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2.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4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رسائل و مقالات تبحث فی مواضیع فقهیه اصولیه کلامیه تراجم و مکاتبات و حورات مع بعض الاعلام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63365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6963367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6963369_73709187">
            <w:r>
              <w:rPr>
                <w:webHidden/>
                <w:rStyle w:val="IndexLink"/>
                <w:rtl w:val="true"/>
              </w:rPr>
              <w:t>مقدمة المؤلف</w:t>
            </w:r>
            <w:r>
              <w:rPr>
                <w:rStyle w:val="IndexLink"/>
                <w:rtl w:val="true"/>
              </w:rPr>
              <w:tab/>
            </w:r>
            <w:r>
              <w:rPr>
                <w:rStyle w:val="IndexLink"/>
              </w:rPr>
              <w:t>15</w:t>
            </w:r>
          </w:hyperlink>
        </w:p>
        <w:p>
          <w:pPr>
            <w:pStyle w:val="Contents2"/>
            <w:tabs>
              <w:tab w:val="clear" w:pos="8743"/>
              <w:tab w:val="right" w:pos="9026" w:leader="dot"/>
            </w:tabs>
            <w:rPr/>
          </w:pPr>
          <w:hyperlink w:anchor="__RefHeading___Toc6963371_73709187">
            <w:r>
              <w:rPr>
                <w:webHidden/>
                <w:rStyle w:val="IndexLink"/>
                <w:rtl w:val="true"/>
              </w:rPr>
              <w:t>الفصل الأوّل</w:t>
            </w:r>
            <w:r>
              <w:rPr>
                <w:rStyle w:val="IndexLink"/>
                <w:rtl w:val="true"/>
              </w:rPr>
              <w:t xml:space="preserve">: </w:t>
            </w:r>
            <w:r>
              <w:rPr>
                <w:rStyle w:val="IndexLink"/>
                <w:rtl w:val="true"/>
              </w:rPr>
              <w:t>المقالات</w:t>
            </w:r>
            <w:r>
              <w:rPr>
                <w:rStyle w:val="IndexLink"/>
                <w:rtl w:val="true"/>
              </w:rPr>
              <w:tab/>
            </w:r>
            <w:r>
              <w:rPr>
                <w:rStyle w:val="IndexLink"/>
              </w:rPr>
              <w:t>17</w:t>
            </w:r>
          </w:hyperlink>
        </w:p>
        <w:p>
          <w:pPr>
            <w:pStyle w:val="Contents3"/>
            <w:tabs>
              <w:tab w:val="clear" w:pos="8459"/>
              <w:tab w:val="right" w:pos="9026" w:leader="dot"/>
            </w:tabs>
            <w:rPr/>
          </w:pPr>
          <w:hyperlink w:anchor="__RefHeading___Toc6963373_73709187">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6963375_73709187">
            <w:r>
              <w:rPr>
                <w:webHidden/>
                <w:rStyle w:val="IndexLink"/>
              </w:rPr>
              <w:t>1</w:t>
            </w:r>
            <w:r>
              <w:rPr>
                <w:rStyle w:val="IndexLink"/>
                <w:rtl w:val="true"/>
              </w:rPr>
              <w:t xml:space="preserve"> </w:t>
            </w:r>
            <w:r>
              <w:rPr>
                <w:rStyle w:val="IndexLink"/>
                <w:rtl w:val="true"/>
              </w:rPr>
              <w:t>الحدوث والقدم</w:t>
            </w:r>
            <w:r>
              <w:rPr>
                <w:rStyle w:val="IndexLink"/>
                <w:rtl w:val="true"/>
              </w:rPr>
              <w:tab/>
            </w:r>
            <w:r>
              <w:rPr>
                <w:rStyle w:val="IndexLink"/>
              </w:rPr>
              <w:t>18</w:t>
            </w:r>
          </w:hyperlink>
        </w:p>
        <w:p>
          <w:pPr>
            <w:pStyle w:val="Contents4"/>
            <w:tabs>
              <w:tab w:val="clear" w:pos="8176"/>
              <w:tab w:val="right" w:pos="9026" w:leader="dot"/>
            </w:tabs>
            <w:rPr/>
          </w:pPr>
          <w:hyperlink w:anchor="__RefHeading___Toc6963377_73709187">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6963379_73709187">
            <w:r>
              <w:rPr>
                <w:webHidden/>
                <w:rStyle w:val="IndexLink"/>
                <w:rtl w:val="true"/>
              </w:rPr>
              <w:t>أ</w:t>
            </w:r>
            <w:r>
              <w:rPr>
                <w:rStyle w:val="IndexLink"/>
                <w:rtl w:val="true"/>
              </w:rPr>
              <w:t xml:space="preserve">. </w:t>
            </w:r>
            <w:r>
              <w:rPr>
                <w:rStyle w:val="IndexLink"/>
                <w:rtl w:val="true"/>
              </w:rPr>
              <w:t>اتّفاق أصحاب الشرائع على حدوث العالم زماناً</w:t>
            </w:r>
            <w:r>
              <w:rPr>
                <w:rStyle w:val="IndexLink"/>
                <w:rtl w:val="true"/>
              </w:rPr>
              <w:tab/>
            </w:r>
            <w:r>
              <w:rPr>
                <w:rStyle w:val="IndexLink"/>
              </w:rPr>
              <w:t>20</w:t>
            </w:r>
          </w:hyperlink>
        </w:p>
        <w:p>
          <w:pPr>
            <w:pStyle w:val="Contents4"/>
            <w:tabs>
              <w:tab w:val="clear" w:pos="8176"/>
              <w:tab w:val="right" w:pos="9026" w:leader="dot"/>
            </w:tabs>
            <w:rPr/>
          </w:pPr>
          <w:hyperlink w:anchor="__RefHeading___Toc6963381_73709187">
            <w:r>
              <w:rPr>
                <w:webHidden/>
                <w:rStyle w:val="IndexLink"/>
                <w:rtl w:val="true"/>
              </w:rPr>
              <w:t>ب</w:t>
            </w:r>
            <w:r>
              <w:rPr>
                <w:rStyle w:val="IndexLink"/>
                <w:rtl w:val="true"/>
              </w:rPr>
              <w:t xml:space="preserve">. </w:t>
            </w:r>
            <w:r>
              <w:rPr>
                <w:rStyle w:val="IndexLink"/>
                <w:rtl w:val="true"/>
              </w:rPr>
              <w:t>التفسير الخاطئ لما نقل عن أفلاطون وأرسطو</w:t>
            </w:r>
            <w:r>
              <w:rPr>
                <w:rStyle w:val="IndexLink"/>
                <w:rtl w:val="true"/>
              </w:rPr>
              <w:tab/>
            </w:r>
            <w:r>
              <w:rPr>
                <w:rStyle w:val="IndexLink"/>
              </w:rPr>
              <w:t>21</w:t>
            </w:r>
          </w:hyperlink>
        </w:p>
        <w:p>
          <w:pPr>
            <w:pStyle w:val="Contents4"/>
            <w:tabs>
              <w:tab w:val="clear" w:pos="8176"/>
              <w:tab w:val="right" w:pos="9026" w:leader="dot"/>
            </w:tabs>
            <w:rPr/>
          </w:pPr>
          <w:hyperlink w:anchor="__RefHeading___Toc6963383_73709187">
            <w:r>
              <w:rPr>
                <w:webHidden/>
                <w:rStyle w:val="IndexLink"/>
              </w:rPr>
              <w:t>1</w:t>
            </w:r>
            <w:r>
              <w:rPr>
                <w:rStyle w:val="IndexLink"/>
                <w:rtl w:val="true"/>
              </w:rPr>
              <w:t xml:space="preserve">. </w:t>
            </w:r>
            <w:r>
              <w:rPr>
                <w:rStyle w:val="IndexLink"/>
                <w:rtl w:val="true"/>
              </w:rPr>
              <w:t>الحدوث الزماني للعالم</w:t>
            </w:r>
            <w:r>
              <w:rPr>
                <w:rStyle w:val="IndexLink"/>
                <w:rtl w:val="true"/>
              </w:rPr>
              <w:tab/>
            </w:r>
            <w:r>
              <w:rPr>
                <w:rStyle w:val="IndexLink"/>
              </w:rPr>
              <w:t>22</w:t>
            </w:r>
          </w:hyperlink>
        </w:p>
        <w:p>
          <w:pPr>
            <w:pStyle w:val="Contents5"/>
            <w:tabs>
              <w:tab w:val="clear" w:pos="7892"/>
              <w:tab w:val="right" w:pos="9026" w:leader="dot"/>
            </w:tabs>
            <w:rPr/>
          </w:pPr>
          <w:hyperlink w:anchor="__RefHeading___Toc6963385_73709187">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6963387_73709187">
            <w:r>
              <w:rPr>
                <w:webHidden/>
                <w:rStyle w:val="IndexLink"/>
                <w:rtl w:val="true"/>
              </w:rPr>
              <w:t>تقييم النظرية</w:t>
            </w:r>
            <w:r>
              <w:rPr>
                <w:rStyle w:val="IndexLink"/>
                <w:rtl w:val="true"/>
              </w:rPr>
              <w:tab/>
            </w:r>
            <w:r>
              <w:rPr>
                <w:rStyle w:val="IndexLink"/>
              </w:rPr>
              <w:t>23</w:t>
            </w:r>
          </w:hyperlink>
        </w:p>
        <w:p>
          <w:pPr>
            <w:pStyle w:val="Contents5"/>
            <w:tabs>
              <w:tab w:val="clear" w:pos="7892"/>
              <w:tab w:val="right" w:pos="9026" w:leader="dot"/>
            </w:tabs>
            <w:rPr/>
          </w:pPr>
          <w:hyperlink w:anchor="__RefHeading___Toc6963389_73709187">
            <w:r>
              <w:rPr>
                <w:webHidden/>
                <w:rStyle w:val="IndexLink"/>
                <w:rtl w:val="true"/>
              </w:rPr>
              <w:t>ما هي المصلحة في إمساك الفيض‌؟</w:t>
            </w:r>
            <w:r>
              <w:rPr>
                <w:rStyle w:val="IndexLink"/>
                <w:rtl w:val="true"/>
              </w:rPr>
              <w:tab/>
            </w:r>
            <w:r>
              <w:rPr>
                <w:rStyle w:val="IndexLink"/>
              </w:rPr>
              <w:t>25</w:t>
            </w:r>
          </w:hyperlink>
        </w:p>
        <w:p>
          <w:pPr>
            <w:pStyle w:val="Contents4"/>
            <w:tabs>
              <w:tab w:val="clear" w:pos="8176"/>
              <w:tab w:val="right" w:pos="9026" w:leader="dot"/>
            </w:tabs>
            <w:rPr/>
          </w:pPr>
          <w:hyperlink w:anchor="__RefHeading___Toc6963391_73709187">
            <w:r>
              <w:rPr>
                <w:webHidden/>
                <w:rStyle w:val="IndexLink"/>
              </w:rPr>
              <w:t>2</w:t>
            </w:r>
            <w:r>
              <w:rPr>
                <w:rStyle w:val="IndexLink"/>
                <w:rtl w:val="true"/>
              </w:rPr>
              <w:t xml:space="preserve">. </w:t>
            </w:r>
            <w:r>
              <w:rPr>
                <w:rStyle w:val="IndexLink"/>
                <w:rtl w:val="true"/>
              </w:rPr>
              <w:t>الحدوث الذاتي للعالم</w:t>
            </w:r>
            <w:r>
              <w:rPr>
                <w:rStyle w:val="IndexLink"/>
                <w:rtl w:val="true"/>
              </w:rPr>
              <w:tab/>
            </w:r>
            <w:r>
              <w:rPr>
                <w:rStyle w:val="IndexLink"/>
              </w:rPr>
              <w:t>26</w:t>
            </w:r>
          </w:hyperlink>
        </w:p>
        <w:p>
          <w:pPr>
            <w:pStyle w:val="Contents5"/>
            <w:tabs>
              <w:tab w:val="clear" w:pos="7892"/>
              <w:tab w:val="right" w:pos="9026" w:leader="dot"/>
            </w:tabs>
            <w:rPr/>
          </w:pPr>
          <w:hyperlink w:anchor="__RefHeading___Toc6963393_73709187">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6963395_73709187">
            <w:r>
              <w:rPr>
                <w:webHidden/>
                <w:rStyle w:val="IndexLink"/>
                <w:rtl w:val="true"/>
              </w:rPr>
              <w:t>المحقّق الداماد ونقد الحدوث الذاتي</w:t>
            </w:r>
            <w:r>
              <w:rPr>
                <w:rStyle w:val="IndexLink"/>
                <w:rtl w:val="true"/>
              </w:rPr>
              <w:tab/>
            </w:r>
            <w:r>
              <w:rPr>
                <w:rStyle w:val="IndexLink"/>
              </w:rPr>
              <w:t>28</w:t>
            </w:r>
          </w:hyperlink>
        </w:p>
        <w:p>
          <w:pPr>
            <w:pStyle w:val="Contents5"/>
            <w:tabs>
              <w:tab w:val="clear" w:pos="7892"/>
              <w:tab w:val="right" w:pos="9026" w:leader="dot"/>
            </w:tabs>
            <w:rPr/>
          </w:pPr>
          <w:hyperlink w:anchor="__RefHeading___Toc6963397_73709187">
            <w:r>
              <w:rPr>
                <w:webHidden/>
                <w:rStyle w:val="IndexLink"/>
                <w:rtl w:val="true"/>
              </w:rPr>
              <w:t>المحقّق الداماد والحدوث الزماني</w:t>
            </w:r>
            <w:r>
              <w:rPr>
                <w:rStyle w:val="IndexLink"/>
                <w:rtl w:val="true"/>
              </w:rPr>
              <w:tab/>
            </w:r>
            <w:r>
              <w:rPr>
                <w:rStyle w:val="IndexLink"/>
              </w:rPr>
              <w:t>28</w:t>
            </w:r>
          </w:hyperlink>
        </w:p>
        <w:p>
          <w:pPr>
            <w:pStyle w:val="Contents5"/>
            <w:tabs>
              <w:tab w:val="clear" w:pos="7892"/>
              <w:tab w:val="right" w:pos="9026" w:leader="dot"/>
            </w:tabs>
            <w:rPr/>
          </w:pPr>
          <w:hyperlink w:anchor="__RefHeading___Toc6963399_73709187">
            <w:r>
              <w:rPr>
                <w:webHidden/>
                <w:rStyle w:val="IndexLink"/>
                <w:rtl w:val="true"/>
              </w:rPr>
              <w:t>نظريتنا في الاعتراض</w:t>
            </w:r>
            <w:r>
              <w:rPr>
                <w:rStyle w:val="IndexLink"/>
                <w:rtl w:val="true"/>
              </w:rPr>
              <w:tab/>
            </w:r>
            <w:r>
              <w:rPr>
                <w:rStyle w:val="IndexLink"/>
              </w:rPr>
              <w:t>29</w:t>
            </w:r>
          </w:hyperlink>
        </w:p>
        <w:p>
          <w:pPr>
            <w:pStyle w:val="Contents5"/>
            <w:tabs>
              <w:tab w:val="clear" w:pos="7892"/>
              <w:tab w:val="right" w:pos="9026" w:leader="dot"/>
            </w:tabs>
            <w:rPr/>
          </w:pPr>
          <w:hyperlink w:anchor="__RefHeading___Toc6963401_73709187">
            <w:r>
              <w:rPr>
                <w:webHidden/>
                <w:rStyle w:val="IndexLink"/>
                <w:rtl w:val="true"/>
              </w:rPr>
              <w:t>الشيخ الرئيس وحدوث العالم</w:t>
            </w:r>
            <w:r>
              <w:rPr>
                <w:rStyle w:val="IndexLink"/>
                <w:rtl w:val="true"/>
              </w:rPr>
              <w:tab/>
            </w:r>
            <w:r>
              <w:rPr>
                <w:rStyle w:val="IndexLink"/>
              </w:rPr>
              <w:t>31</w:t>
            </w:r>
          </w:hyperlink>
        </w:p>
        <w:p>
          <w:pPr>
            <w:pStyle w:val="Contents4"/>
            <w:tabs>
              <w:tab w:val="clear" w:pos="8176"/>
              <w:tab w:val="right" w:pos="9026" w:leader="dot"/>
            </w:tabs>
            <w:rPr/>
          </w:pPr>
          <w:hyperlink w:anchor="__RefHeading___Toc6963403_73709187">
            <w:r>
              <w:rPr>
                <w:webHidden/>
                <w:rStyle w:val="IndexLink"/>
              </w:rPr>
              <w:t>3</w:t>
            </w:r>
            <w:r>
              <w:rPr>
                <w:rStyle w:val="IndexLink"/>
                <w:rtl w:val="true"/>
              </w:rPr>
              <w:t xml:space="preserve">. </w:t>
            </w:r>
            <w:r>
              <w:rPr>
                <w:rStyle w:val="IndexLink"/>
                <w:rtl w:val="true"/>
              </w:rPr>
              <w:t>الحدوث الدهري للعالم</w:t>
            </w:r>
            <w:r>
              <w:rPr>
                <w:rStyle w:val="IndexLink"/>
                <w:rtl w:val="true"/>
              </w:rPr>
              <w:tab/>
            </w:r>
            <w:r>
              <w:rPr>
                <w:rStyle w:val="IndexLink"/>
              </w:rPr>
              <w:t>31</w:t>
            </w:r>
          </w:hyperlink>
        </w:p>
        <w:p>
          <w:pPr>
            <w:pStyle w:val="Contents5"/>
            <w:tabs>
              <w:tab w:val="clear" w:pos="7892"/>
              <w:tab w:val="right" w:pos="9026" w:leader="dot"/>
            </w:tabs>
            <w:rPr/>
          </w:pPr>
          <w:hyperlink w:anchor="__RefHeading___Toc6963405_73709187">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6963407_73709187">
            <w:r>
              <w:rPr>
                <w:webHidden/>
                <w:rStyle w:val="IndexLink"/>
                <w:rtl w:val="true"/>
              </w:rPr>
              <w:t>أ</w:t>
            </w:r>
            <w:r>
              <w:rPr>
                <w:rStyle w:val="IndexLink"/>
                <w:rtl w:val="true"/>
              </w:rPr>
              <w:t xml:space="preserve">. </w:t>
            </w:r>
            <w:r>
              <w:rPr>
                <w:rStyle w:val="IndexLink"/>
                <w:rtl w:val="true"/>
              </w:rPr>
              <w:t>مقولة الزمان</w:t>
            </w:r>
            <w:r>
              <w:rPr>
                <w:rStyle w:val="IndexLink"/>
                <w:rtl w:val="true"/>
              </w:rPr>
              <w:tab/>
            </w:r>
            <w:r>
              <w:rPr>
                <w:rStyle w:val="IndexLink"/>
              </w:rPr>
              <w:t>32</w:t>
            </w:r>
          </w:hyperlink>
        </w:p>
        <w:p>
          <w:pPr>
            <w:pStyle w:val="Contents5"/>
            <w:tabs>
              <w:tab w:val="clear" w:pos="7892"/>
              <w:tab w:val="right" w:pos="9026" w:leader="dot"/>
            </w:tabs>
            <w:rPr/>
          </w:pPr>
          <w:hyperlink w:anchor="__RefHeading___Toc6963409_73709187">
            <w:r>
              <w:rPr>
                <w:webHidden/>
                <w:rStyle w:val="IndexLink"/>
                <w:rtl w:val="true"/>
              </w:rPr>
              <w:t>ب</w:t>
            </w:r>
            <w:r>
              <w:rPr>
                <w:rStyle w:val="IndexLink"/>
                <w:rtl w:val="true"/>
              </w:rPr>
              <w:t xml:space="preserve">. </w:t>
            </w:r>
            <w:r>
              <w:rPr>
                <w:rStyle w:val="IndexLink"/>
                <w:rtl w:val="true"/>
              </w:rPr>
              <w:t>مقولة الدهر</w:t>
            </w:r>
            <w:r>
              <w:rPr>
                <w:rStyle w:val="IndexLink"/>
                <w:rtl w:val="true"/>
              </w:rPr>
              <w:tab/>
            </w:r>
            <w:r>
              <w:rPr>
                <w:rStyle w:val="IndexLink"/>
              </w:rPr>
              <w:t>34</w:t>
            </w:r>
          </w:hyperlink>
        </w:p>
        <w:p>
          <w:pPr>
            <w:pStyle w:val="Contents5"/>
            <w:tabs>
              <w:tab w:val="clear" w:pos="7892"/>
              <w:tab w:val="right" w:pos="9026" w:leader="dot"/>
            </w:tabs>
            <w:rPr/>
          </w:pPr>
          <w:hyperlink w:anchor="__RefHeading___Toc6963411_73709187">
            <w:r>
              <w:rPr>
                <w:webHidden/>
                <w:rStyle w:val="IndexLink"/>
                <w:rtl w:val="true"/>
              </w:rPr>
              <w:t>ج</w:t>
            </w:r>
            <w:r>
              <w:rPr>
                <w:rStyle w:val="IndexLink"/>
                <w:rtl w:val="true"/>
              </w:rPr>
              <w:t xml:space="preserve">. </w:t>
            </w:r>
            <w:r>
              <w:rPr>
                <w:rStyle w:val="IndexLink"/>
                <w:rtl w:val="true"/>
              </w:rPr>
              <w:t>مقولة السرمد</w:t>
            </w:r>
            <w:r>
              <w:rPr>
                <w:rStyle w:val="IndexLink"/>
                <w:rtl w:val="true"/>
              </w:rPr>
              <w:tab/>
            </w:r>
            <w:r>
              <w:rPr>
                <w:rStyle w:val="IndexLink"/>
              </w:rPr>
              <w:t>35</w:t>
            </w:r>
          </w:hyperlink>
        </w:p>
        <w:p>
          <w:pPr>
            <w:pStyle w:val="Contents5"/>
            <w:tabs>
              <w:tab w:val="clear" w:pos="7892"/>
              <w:tab w:val="right" w:pos="9026" w:leader="dot"/>
            </w:tabs>
            <w:rPr/>
          </w:pPr>
          <w:hyperlink w:anchor="__RefHeading___Toc6963413_73709187">
            <w:r>
              <w:rPr>
                <w:webHidden/>
                <w:rStyle w:val="IndexLink"/>
                <w:rtl w:val="true"/>
              </w:rPr>
              <w:t>صدر المتألّهين والحركة الجوهرية</w:t>
            </w:r>
            <w:r>
              <w:rPr>
                <w:rStyle w:val="IndexLink"/>
                <w:rtl w:val="true"/>
              </w:rPr>
              <w:tab/>
            </w:r>
            <w:r>
              <w:rPr>
                <w:rStyle w:val="IndexLink"/>
              </w:rPr>
              <w:t>37</w:t>
            </w:r>
          </w:hyperlink>
        </w:p>
        <w:p>
          <w:pPr>
            <w:pStyle w:val="Contents5"/>
            <w:tabs>
              <w:tab w:val="clear" w:pos="7892"/>
              <w:tab w:val="right" w:pos="9026" w:leader="dot"/>
            </w:tabs>
            <w:rPr/>
          </w:pPr>
          <w:hyperlink w:anchor="__RefHeading___Toc6963415_73709187">
            <w:r>
              <w:rPr>
                <w:webHidden/>
                <w:rStyle w:val="IndexLink"/>
                <w:rtl w:val="true"/>
              </w:rPr>
              <w:t>حدوث المادة والعلوم التجريبية</w:t>
            </w:r>
            <w:r>
              <w:rPr>
                <w:rStyle w:val="IndexLink"/>
                <w:rtl w:val="true"/>
              </w:rPr>
              <w:tab/>
            </w:r>
            <w:r>
              <w:rPr>
                <w:rStyle w:val="IndexLink"/>
              </w:rPr>
              <w:t>40</w:t>
            </w:r>
          </w:hyperlink>
        </w:p>
        <w:p>
          <w:pPr>
            <w:pStyle w:val="Contents5"/>
            <w:tabs>
              <w:tab w:val="clear" w:pos="7892"/>
              <w:tab w:val="right" w:pos="9026" w:leader="dot"/>
            </w:tabs>
            <w:rPr/>
          </w:pPr>
          <w:hyperlink w:anchor="__RefHeading___Toc6963417_73709187">
            <w:r>
              <w:rPr>
                <w:webHidden/>
                <w:rStyle w:val="IndexLink"/>
                <w:rtl w:val="true"/>
              </w:rPr>
              <w:t>الاستنتاج الفلسفي من القانون الحراري</w:t>
            </w:r>
            <w:r>
              <w:rPr>
                <w:rStyle w:val="IndexLink"/>
                <w:rtl w:val="true"/>
              </w:rPr>
              <w:tab/>
            </w:r>
            <w:r>
              <w:rPr>
                <w:rStyle w:val="IndexLink"/>
              </w:rPr>
              <w:t>41</w:t>
            </w:r>
          </w:hyperlink>
        </w:p>
        <w:p>
          <w:pPr>
            <w:pStyle w:val="Contents5"/>
            <w:tabs>
              <w:tab w:val="clear" w:pos="7892"/>
              <w:tab w:val="right" w:pos="9026" w:leader="dot"/>
            </w:tabs>
            <w:rPr/>
          </w:pPr>
          <w:hyperlink w:anchor="__RefHeading___Toc6963419_73709187">
            <w:r>
              <w:rPr>
                <w:webHidden/>
                <w:rStyle w:val="IndexLink"/>
                <w:rtl w:val="true"/>
              </w:rPr>
              <w:t>الحدوث الإسمي للعالم</w:t>
            </w:r>
            <w:r>
              <w:rPr>
                <w:rStyle w:val="IndexLink"/>
                <w:rtl w:val="true"/>
              </w:rPr>
              <w:tab/>
            </w:r>
            <w:r>
              <w:rPr>
                <w:rStyle w:val="IndexLink"/>
              </w:rPr>
              <w:t>43</w:t>
            </w:r>
          </w:hyperlink>
        </w:p>
        <w:p>
          <w:pPr>
            <w:pStyle w:val="Contents5"/>
            <w:tabs>
              <w:tab w:val="clear" w:pos="7892"/>
              <w:tab w:val="right" w:pos="9026" w:leader="dot"/>
            </w:tabs>
            <w:rPr/>
          </w:pPr>
          <w:hyperlink w:anchor="__RefHeading___Toc6963421_73709187">
            <w:r>
              <w:rPr>
                <w:webHidden/>
                <w:rStyle w:val="IndexLink"/>
                <w:rtl w:val="true"/>
              </w:rPr>
              <w:t>نظريتنا في الحدوث الزماني</w:t>
            </w:r>
            <w:r>
              <w:rPr>
                <w:rStyle w:val="IndexLink"/>
                <w:rtl w:val="true"/>
              </w:rPr>
              <w:tab/>
            </w:r>
            <w:r>
              <w:rPr>
                <w:rStyle w:val="IndexLink"/>
              </w:rPr>
              <w:t>44</w:t>
            </w:r>
          </w:hyperlink>
        </w:p>
        <w:p>
          <w:pPr>
            <w:pStyle w:val="Contents6"/>
            <w:tabs>
              <w:tab w:val="clear" w:pos="7609"/>
              <w:tab w:val="right" w:pos="9026" w:leader="dot"/>
            </w:tabs>
            <w:rPr/>
          </w:pPr>
          <w:hyperlink w:anchor="__RefHeading___Toc6963423_73709187">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6963425_73709187">
            <w:r>
              <w:rPr>
                <w:webHidden/>
                <w:rStyle w:val="IndexLink"/>
              </w:rPr>
              <w:t>1</w:t>
            </w:r>
            <w:r>
              <w:rPr>
                <w:rStyle w:val="IndexLink"/>
                <w:rtl w:val="true"/>
              </w:rPr>
              <w:t xml:space="preserve">. </w:t>
            </w:r>
            <w:r>
              <w:rPr>
                <w:rStyle w:val="IndexLink"/>
                <w:rtl w:val="true"/>
              </w:rPr>
              <w:t>وجود عوالم قبل هذا العالم</w:t>
            </w:r>
            <w:r>
              <w:rPr>
                <w:rStyle w:val="IndexLink"/>
                <w:rtl w:val="true"/>
              </w:rPr>
              <w:tab/>
            </w:r>
            <w:r>
              <w:rPr>
                <w:rStyle w:val="IndexLink"/>
              </w:rPr>
              <w:t>45</w:t>
            </w:r>
          </w:hyperlink>
        </w:p>
        <w:p>
          <w:pPr>
            <w:pStyle w:val="Contents6"/>
            <w:tabs>
              <w:tab w:val="clear" w:pos="7609"/>
              <w:tab w:val="right" w:pos="9026" w:leader="dot"/>
            </w:tabs>
            <w:rPr/>
          </w:pPr>
          <w:hyperlink w:anchor="__RefHeading___Toc6963427_73709187">
            <w:r>
              <w:rPr>
                <w:webHidden/>
                <w:rStyle w:val="IndexLink"/>
              </w:rPr>
              <w:t>2</w:t>
            </w:r>
            <w:r>
              <w:rPr>
                <w:rStyle w:val="IndexLink"/>
                <w:rtl w:val="true"/>
              </w:rPr>
              <w:t xml:space="preserve">. </w:t>
            </w:r>
            <w:r>
              <w:rPr>
                <w:rStyle w:val="IndexLink"/>
                <w:rtl w:val="true"/>
              </w:rPr>
              <w:t>تفسير حدوث ما سوى اللّه</w:t>
            </w:r>
            <w:r>
              <w:rPr>
                <w:rStyle w:val="IndexLink"/>
                <w:rtl w:val="true"/>
              </w:rPr>
              <w:tab/>
            </w:r>
            <w:r>
              <w:rPr>
                <w:rStyle w:val="IndexLink"/>
              </w:rPr>
              <w:t>45</w:t>
            </w:r>
          </w:hyperlink>
        </w:p>
        <w:p>
          <w:pPr>
            <w:pStyle w:val="Contents3"/>
            <w:tabs>
              <w:tab w:val="clear" w:pos="8459"/>
              <w:tab w:val="right" w:pos="9026" w:leader="dot"/>
            </w:tabs>
            <w:rPr/>
          </w:pPr>
          <w:hyperlink w:anchor="__RefHeading___Toc6963429_73709187">
            <w:r>
              <w:rPr>
                <w:webHidden/>
                <w:rStyle w:val="IndexLink"/>
              </w:rPr>
              <w:t>2</w:t>
            </w:r>
            <w:r>
              <w:rPr>
                <w:rStyle w:val="IndexLink"/>
                <w:rtl w:val="true"/>
              </w:rPr>
              <w:t xml:space="preserve"> </w:t>
            </w:r>
            <w:r>
              <w:rPr>
                <w:rStyle w:val="IndexLink"/>
                <w:rtl w:val="true"/>
              </w:rPr>
              <w:t>تطوّر العلوم سرّ بلوغ القمّة</w:t>
            </w:r>
            <w:r>
              <w:rPr>
                <w:rStyle w:val="IndexLink"/>
                <w:rtl w:val="true"/>
              </w:rPr>
              <w:tab/>
            </w:r>
            <w:r>
              <w:rPr>
                <w:rStyle w:val="IndexLink"/>
              </w:rPr>
              <w:t>48</w:t>
            </w:r>
          </w:hyperlink>
        </w:p>
        <w:p>
          <w:pPr>
            <w:pStyle w:val="Contents4"/>
            <w:tabs>
              <w:tab w:val="clear" w:pos="8176"/>
              <w:tab w:val="right" w:pos="9026" w:leader="dot"/>
            </w:tabs>
            <w:rPr/>
          </w:pPr>
          <w:hyperlink w:anchor="__RefHeading___Toc6963431_73709187">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6963433_73709187">
            <w:r>
              <w:rPr>
                <w:webHidden/>
                <w:rStyle w:val="IndexLink"/>
                <w:rtl w:val="true"/>
              </w:rPr>
              <w:t>معنى التطوّر في العلوم الشرعية</w:t>
            </w:r>
            <w:r>
              <w:rPr>
                <w:rStyle w:val="IndexLink"/>
                <w:rtl w:val="true"/>
              </w:rPr>
              <w:tab/>
            </w:r>
            <w:r>
              <w:rPr>
                <w:rStyle w:val="IndexLink"/>
              </w:rPr>
              <w:t>50</w:t>
            </w:r>
          </w:hyperlink>
        </w:p>
        <w:p>
          <w:pPr>
            <w:pStyle w:val="Contents4"/>
            <w:tabs>
              <w:tab w:val="clear" w:pos="8176"/>
              <w:tab w:val="right" w:pos="9026" w:leader="dot"/>
            </w:tabs>
            <w:rPr/>
          </w:pPr>
          <w:hyperlink w:anchor="__RefHeading___Toc6963435_73709187">
            <w:r>
              <w:rPr>
                <w:webHidden/>
                <w:rStyle w:val="IndexLink"/>
                <w:rtl w:val="true"/>
              </w:rPr>
              <w:t>منهجية التطور</w:t>
            </w:r>
            <w:r>
              <w:rPr>
                <w:rStyle w:val="IndexLink"/>
                <w:rtl w:val="true"/>
              </w:rPr>
              <w:tab/>
            </w:r>
            <w:r>
              <w:rPr>
                <w:rStyle w:val="IndexLink"/>
              </w:rPr>
              <w:t>50</w:t>
            </w:r>
          </w:hyperlink>
        </w:p>
        <w:p>
          <w:pPr>
            <w:pStyle w:val="Contents4"/>
            <w:tabs>
              <w:tab w:val="clear" w:pos="8176"/>
              <w:tab w:val="right" w:pos="9026" w:leader="dot"/>
            </w:tabs>
            <w:rPr/>
          </w:pPr>
          <w:hyperlink w:anchor="__RefHeading___Toc6963437_73709187">
            <w:r>
              <w:rPr>
                <w:webHidden/>
                <w:rStyle w:val="IndexLink"/>
                <w:rtl w:val="true"/>
              </w:rPr>
              <w:t>دور الزمان والمكان في الاستنباط</w:t>
            </w:r>
            <w:r>
              <w:rPr>
                <w:rStyle w:val="IndexLink"/>
                <w:rtl w:val="true"/>
              </w:rPr>
              <w:tab/>
            </w:r>
            <w:r>
              <w:rPr>
                <w:rStyle w:val="IndexLink"/>
              </w:rPr>
              <w:t>52</w:t>
            </w:r>
          </w:hyperlink>
        </w:p>
        <w:p>
          <w:pPr>
            <w:pStyle w:val="Contents4"/>
            <w:tabs>
              <w:tab w:val="clear" w:pos="8176"/>
              <w:tab w:val="right" w:pos="9026" w:leader="dot"/>
            </w:tabs>
            <w:rPr/>
          </w:pPr>
          <w:hyperlink w:anchor="__RefHeading___Toc6963439_73709187">
            <w:r>
              <w:rPr>
                <w:webHidden/>
                <w:rStyle w:val="IndexLink"/>
                <w:rtl w:val="true"/>
              </w:rPr>
              <w:t>مسائل مستحدثة بحاجة إلى دراسة</w:t>
            </w:r>
            <w:r>
              <w:rPr>
                <w:rStyle w:val="IndexLink"/>
                <w:rtl w:val="true"/>
              </w:rPr>
              <w:tab/>
            </w:r>
            <w:r>
              <w:rPr>
                <w:rStyle w:val="IndexLink"/>
              </w:rPr>
              <w:t>56</w:t>
            </w:r>
          </w:hyperlink>
        </w:p>
        <w:p>
          <w:pPr>
            <w:pStyle w:val="Contents4"/>
            <w:tabs>
              <w:tab w:val="clear" w:pos="8176"/>
              <w:tab w:val="right" w:pos="9026" w:leader="dot"/>
            </w:tabs>
            <w:rPr/>
          </w:pPr>
          <w:hyperlink w:anchor="__RefHeading___Toc6963441_73709187">
            <w:r>
              <w:rPr>
                <w:webHidden/>
                <w:rStyle w:val="IndexLink"/>
                <w:rtl w:val="true"/>
              </w:rPr>
              <w:t>توصيات عملية</w:t>
            </w:r>
            <w:r>
              <w:rPr>
                <w:rStyle w:val="IndexLink"/>
                <w:rtl w:val="true"/>
              </w:rPr>
              <w:tab/>
            </w:r>
            <w:r>
              <w:rPr>
                <w:rStyle w:val="IndexLink"/>
              </w:rPr>
              <w:t>58</w:t>
            </w:r>
          </w:hyperlink>
        </w:p>
        <w:p>
          <w:pPr>
            <w:pStyle w:val="Contents3"/>
            <w:tabs>
              <w:tab w:val="clear" w:pos="8459"/>
              <w:tab w:val="right" w:pos="9026" w:leader="dot"/>
            </w:tabs>
            <w:rPr/>
          </w:pPr>
          <w:hyperlink w:anchor="__RefHeading___Toc6963443_73709187">
            <w:r>
              <w:rPr>
                <w:webHidden/>
                <w:rStyle w:val="IndexLink"/>
              </w:rPr>
              <w:t>3</w:t>
            </w:r>
            <w:r>
              <w:rPr>
                <w:rStyle w:val="IndexLink"/>
                <w:rtl w:val="true"/>
              </w:rPr>
              <w:t xml:space="preserve"> </w:t>
            </w:r>
            <w:r>
              <w:rPr>
                <w:rStyle w:val="IndexLink"/>
                <w:rtl w:val="true"/>
              </w:rPr>
              <w:t>فلسفة الفقه</w:t>
            </w:r>
            <w:r>
              <w:rPr>
                <w:rStyle w:val="IndexLink"/>
                <w:rtl w:val="true"/>
              </w:rPr>
              <w:t xml:space="preserve">: </w:t>
            </w:r>
            <w:r>
              <w:rPr>
                <w:rStyle w:val="IndexLink"/>
                <w:rtl w:val="true"/>
              </w:rPr>
              <w:t>مخاضات التأصيل</w:t>
            </w:r>
            <w:r>
              <w:rPr>
                <w:rStyle w:val="IndexLink"/>
                <w:rtl w:val="true"/>
              </w:rPr>
              <w:tab/>
            </w:r>
            <w:r>
              <w:rPr>
                <w:rStyle w:val="IndexLink"/>
              </w:rPr>
              <w:t>60</w:t>
            </w:r>
          </w:hyperlink>
        </w:p>
        <w:p>
          <w:pPr>
            <w:pStyle w:val="Contents4"/>
            <w:tabs>
              <w:tab w:val="clear" w:pos="8176"/>
              <w:tab w:val="right" w:pos="9026" w:leader="dot"/>
            </w:tabs>
            <w:rPr/>
          </w:pPr>
          <w:hyperlink w:anchor="__RefHeading___Toc6963445_73709187">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6963447_73709187">
            <w:r>
              <w:rPr>
                <w:webHidden/>
                <w:rStyle w:val="IndexLink"/>
                <w:rtl w:val="true"/>
              </w:rPr>
              <w:t>بشرية علم الفقه</w:t>
            </w:r>
            <w:r>
              <w:rPr>
                <w:rStyle w:val="IndexLink"/>
                <w:rtl w:val="true"/>
              </w:rPr>
              <w:t>!</w:t>
              <w:tab/>
            </w:r>
            <w:r>
              <w:rPr>
                <w:rStyle w:val="IndexLink"/>
              </w:rPr>
              <w:t>61</w:t>
            </w:r>
          </w:hyperlink>
        </w:p>
        <w:p>
          <w:pPr>
            <w:pStyle w:val="Contents4"/>
            <w:tabs>
              <w:tab w:val="clear" w:pos="8176"/>
              <w:tab w:val="right" w:pos="9026" w:leader="dot"/>
            </w:tabs>
            <w:rPr/>
          </w:pPr>
          <w:hyperlink w:anchor="__RefHeading___Toc6963449_73709187">
            <w:r>
              <w:rPr>
                <w:webHidden/>
                <w:rStyle w:val="IndexLink"/>
                <w:rtl w:val="true"/>
              </w:rPr>
              <w:t>تبعية علم الفقه</w:t>
            </w:r>
            <w:r>
              <w:rPr>
                <w:rStyle w:val="IndexLink"/>
                <w:rtl w:val="true"/>
              </w:rPr>
              <w:tab/>
            </w:r>
            <w:r>
              <w:rPr>
                <w:rStyle w:val="IndexLink"/>
              </w:rPr>
              <w:t>63</w:t>
            </w:r>
          </w:hyperlink>
        </w:p>
        <w:p>
          <w:pPr>
            <w:pStyle w:val="Contents4"/>
            <w:tabs>
              <w:tab w:val="clear" w:pos="8176"/>
              <w:tab w:val="right" w:pos="9026" w:leader="dot"/>
            </w:tabs>
            <w:rPr/>
          </w:pPr>
          <w:hyperlink w:anchor="__RefHeading___Toc6963451_73709187">
            <w:r>
              <w:rPr>
                <w:webHidden/>
                <w:rStyle w:val="IndexLink"/>
                <w:rtl w:val="true"/>
              </w:rPr>
              <w:t>دنيوية علم الفقه</w:t>
            </w:r>
            <w:r>
              <w:rPr>
                <w:rStyle w:val="IndexLink"/>
                <w:rtl w:val="true"/>
              </w:rPr>
              <w:tab/>
            </w:r>
            <w:r>
              <w:rPr>
                <w:rStyle w:val="IndexLink"/>
              </w:rPr>
              <w:t>66</w:t>
            </w:r>
          </w:hyperlink>
        </w:p>
        <w:p>
          <w:pPr>
            <w:pStyle w:val="Contents4"/>
            <w:tabs>
              <w:tab w:val="clear" w:pos="8176"/>
              <w:tab w:val="right" w:pos="9026" w:leader="dot"/>
            </w:tabs>
            <w:rPr/>
          </w:pPr>
          <w:hyperlink w:anchor="__RefHeading___Toc6963453_73709187">
            <w:r>
              <w:rPr>
                <w:webHidden/>
                <w:rStyle w:val="IndexLink"/>
                <w:rtl w:val="true"/>
              </w:rPr>
              <w:t>الفقه يُعنى بالظواهر</w:t>
            </w:r>
            <w:r>
              <w:rPr>
                <w:rStyle w:val="IndexLink"/>
                <w:rtl w:val="true"/>
              </w:rPr>
              <w:t>!</w:t>
              <w:tab/>
            </w:r>
            <w:r>
              <w:rPr>
                <w:rStyle w:val="IndexLink"/>
              </w:rPr>
              <w:t>68</w:t>
            </w:r>
          </w:hyperlink>
        </w:p>
        <w:p>
          <w:pPr>
            <w:pStyle w:val="Contents4"/>
            <w:tabs>
              <w:tab w:val="clear" w:pos="8176"/>
              <w:tab w:val="right" w:pos="9026" w:leader="dot"/>
            </w:tabs>
            <w:rPr/>
          </w:pPr>
          <w:hyperlink w:anchor="__RefHeading___Toc6963455_73709187">
            <w:r>
              <w:rPr>
                <w:webHidden/>
                <w:rStyle w:val="IndexLink"/>
                <w:rtl w:val="true"/>
              </w:rPr>
              <w:t>المجتمع الفقهي ليس متقدّماً</w:t>
            </w:r>
            <w:r>
              <w:rPr>
                <w:rStyle w:val="IndexLink"/>
                <w:rtl w:val="true"/>
              </w:rPr>
              <w:t>!</w:t>
              <w:tab/>
            </w:r>
            <w:r>
              <w:rPr>
                <w:rStyle w:val="IndexLink"/>
              </w:rPr>
              <w:t>70</w:t>
            </w:r>
          </w:hyperlink>
        </w:p>
        <w:p>
          <w:pPr>
            <w:pStyle w:val="Contents4"/>
            <w:tabs>
              <w:tab w:val="clear" w:pos="8176"/>
              <w:tab w:val="right" w:pos="9026" w:leader="dot"/>
            </w:tabs>
            <w:rPr/>
          </w:pPr>
          <w:hyperlink w:anchor="__RefHeading___Toc6963457_73709187">
            <w:r>
              <w:rPr>
                <w:webHidden/>
                <w:rStyle w:val="IndexLink"/>
                <w:rtl w:val="true"/>
              </w:rPr>
              <w:t>الفقه علمٌ استهلاكي</w:t>
            </w:r>
            <w:r>
              <w:rPr>
                <w:rStyle w:val="IndexLink"/>
                <w:rtl w:val="true"/>
              </w:rPr>
              <w:t>!</w:t>
              <w:tab/>
            </w:r>
            <w:r>
              <w:rPr>
                <w:rStyle w:val="IndexLink"/>
              </w:rPr>
              <w:t>71</w:t>
            </w:r>
          </w:hyperlink>
        </w:p>
        <w:p>
          <w:pPr>
            <w:pStyle w:val="Contents4"/>
            <w:tabs>
              <w:tab w:val="clear" w:pos="8176"/>
              <w:tab w:val="right" w:pos="9026" w:leader="dot"/>
            </w:tabs>
            <w:rPr/>
          </w:pPr>
          <w:hyperlink w:anchor="__RefHeading___Toc6963459_73709187">
            <w:r>
              <w:rPr>
                <w:webHidden/>
                <w:rStyle w:val="IndexLink"/>
                <w:rtl w:val="true"/>
              </w:rPr>
              <w:t>الفقه علمٌ مختصر</w:t>
            </w:r>
            <w:r>
              <w:rPr>
                <w:rStyle w:val="IndexLink"/>
                <w:rtl w:val="true"/>
              </w:rPr>
              <w:t>!</w:t>
              <w:tab/>
            </w:r>
            <w:r>
              <w:rPr>
                <w:rStyle w:val="IndexLink"/>
              </w:rPr>
              <w:t>73</w:t>
            </w:r>
          </w:hyperlink>
        </w:p>
        <w:p>
          <w:pPr>
            <w:pStyle w:val="Contents4"/>
            <w:tabs>
              <w:tab w:val="clear" w:pos="8176"/>
              <w:tab w:val="right" w:pos="9026" w:leader="dot"/>
            </w:tabs>
            <w:rPr/>
          </w:pPr>
          <w:hyperlink w:anchor="__RefHeading___Toc6963461_73709187">
            <w:r>
              <w:rPr>
                <w:webHidden/>
                <w:rStyle w:val="IndexLink"/>
                <w:rtl w:val="true"/>
              </w:rPr>
              <w:t>علم الفقه متأثّر بالبنية الاجتماعية</w:t>
            </w:r>
            <w:r>
              <w:rPr>
                <w:rStyle w:val="IndexLink"/>
                <w:rtl w:val="true"/>
              </w:rPr>
              <w:t>!</w:t>
              <w:tab/>
            </w:r>
            <w:r>
              <w:rPr>
                <w:rStyle w:val="IndexLink"/>
              </w:rPr>
              <w:t>74</w:t>
            </w:r>
          </w:hyperlink>
        </w:p>
        <w:p>
          <w:pPr>
            <w:pStyle w:val="Contents4"/>
            <w:tabs>
              <w:tab w:val="clear" w:pos="8176"/>
              <w:tab w:val="right" w:pos="9026" w:leader="dot"/>
            </w:tabs>
            <w:rPr/>
          </w:pPr>
          <w:hyperlink w:anchor="__RefHeading___Toc6963463_73709187">
            <w:r>
              <w:rPr>
                <w:webHidden/>
                <w:rStyle w:val="IndexLink"/>
                <w:rtl w:val="true"/>
              </w:rPr>
              <w:t>لا شأن للفقه بالحقوق</w:t>
            </w:r>
            <w:r>
              <w:rPr>
                <w:rStyle w:val="IndexLink"/>
                <w:rtl w:val="true"/>
              </w:rPr>
              <w:t>!</w:t>
              <w:tab/>
            </w:r>
            <w:r>
              <w:rPr>
                <w:rStyle w:val="IndexLink"/>
              </w:rPr>
              <w:t>75</w:t>
            </w:r>
          </w:hyperlink>
        </w:p>
        <w:p>
          <w:pPr>
            <w:pStyle w:val="Contents4"/>
            <w:tabs>
              <w:tab w:val="clear" w:pos="8176"/>
              <w:tab w:val="right" w:pos="9026" w:leader="dot"/>
            </w:tabs>
            <w:rPr/>
          </w:pPr>
          <w:hyperlink w:anchor="__RefHeading___Toc6963465_73709187">
            <w:r>
              <w:rPr>
                <w:webHidden/>
                <w:rStyle w:val="IndexLink"/>
                <w:rtl w:val="true"/>
              </w:rPr>
              <w:t>الفقه والمصالح</w:t>
            </w:r>
            <w:r>
              <w:rPr>
                <w:rStyle w:val="IndexLink"/>
                <w:rtl w:val="true"/>
              </w:rPr>
              <w:tab/>
            </w:r>
            <w:r>
              <w:rPr>
                <w:rStyle w:val="IndexLink"/>
              </w:rPr>
              <w:t>76</w:t>
            </w:r>
          </w:hyperlink>
        </w:p>
        <w:p>
          <w:pPr>
            <w:pStyle w:val="Contents3"/>
            <w:tabs>
              <w:tab w:val="clear" w:pos="8459"/>
              <w:tab w:val="right" w:pos="9026" w:leader="dot"/>
            </w:tabs>
            <w:rPr/>
          </w:pPr>
          <w:hyperlink w:anchor="__RefHeading___Toc6963467_73709187">
            <w:r>
              <w:rPr>
                <w:webHidden/>
                <w:rStyle w:val="IndexLink"/>
              </w:rPr>
              <w:t>4</w:t>
            </w:r>
            <w:r>
              <w:rPr>
                <w:rStyle w:val="IndexLink"/>
                <w:rtl w:val="true"/>
              </w:rPr>
              <w:t xml:space="preserve"> </w:t>
            </w:r>
            <w:r>
              <w:rPr>
                <w:rStyle w:val="IndexLink"/>
                <w:rtl w:val="true"/>
              </w:rPr>
              <w:t>صفة حجّ رسول اللّه صلى الله عليه و آله و سلم في حديث الإمام الباقر عليه السلام حضور الصادقين عليهما السلام في الحج قلّل الاختلاف في المناسك</w:t>
            </w:r>
            <w:r>
              <w:rPr>
                <w:rStyle w:val="IndexLink"/>
                <w:rtl w:val="true"/>
              </w:rPr>
              <w:tab/>
            </w:r>
            <w:r>
              <w:rPr>
                <w:rStyle w:val="IndexLink"/>
              </w:rPr>
              <w:t>78</w:t>
            </w:r>
          </w:hyperlink>
        </w:p>
        <w:p>
          <w:pPr>
            <w:pStyle w:val="Contents4"/>
            <w:tabs>
              <w:tab w:val="clear" w:pos="8176"/>
              <w:tab w:val="right" w:pos="9026" w:leader="dot"/>
            </w:tabs>
            <w:rPr/>
          </w:pPr>
          <w:hyperlink w:anchor="__RefHeading___Toc6963469_73709187">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6963471_73709187">
            <w:r>
              <w:rPr>
                <w:webHidden/>
                <w:rStyle w:val="IndexLink"/>
                <w:rtl w:val="true"/>
              </w:rPr>
              <w:t>الإمام الباقر عليه السلام يصف حج رسول اللّه صلى الله عليه و آله و سلم</w:t>
            </w:r>
            <w:r>
              <w:rPr>
                <w:rStyle w:val="IndexLink"/>
                <w:rtl w:val="true"/>
              </w:rPr>
              <w:tab/>
            </w:r>
            <w:r>
              <w:rPr>
                <w:rStyle w:val="IndexLink"/>
              </w:rPr>
              <w:t>80</w:t>
            </w:r>
          </w:hyperlink>
        </w:p>
        <w:p>
          <w:pPr>
            <w:pStyle w:val="Contents4"/>
            <w:tabs>
              <w:tab w:val="clear" w:pos="8176"/>
              <w:tab w:val="right" w:pos="9026" w:leader="dot"/>
            </w:tabs>
            <w:rPr/>
          </w:pPr>
          <w:hyperlink w:anchor="__RefHeading___Toc6963473_73709187">
            <w:r>
              <w:rPr>
                <w:webHidden/>
                <w:rStyle w:val="IndexLink"/>
                <w:rtl w:val="true"/>
              </w:rPr>
              <w:t>السيّد البروجردي يهدي هذا الحديث إلى الملك سعود</w:t>
            </w:r>
            <w:r>
              <w:rPr>
                <w:rStyle w:val="IndexLink"/>
                <w:rtl w:val="true"/>
              </w:rPr>
              <w:tab/>
            </w:r>
            <w:r>
              <w:rPr>
                <w:rStyle w:val="IndexLink"/>
              </w:rPr>
              <w:t>86</w:t>
            </w:r>
          </w:hyperlink>
        </w:p>
        <w:p>
          <w:pPr>
            <w:pStyle w:val="Contents3"/>
            <w:tabs>
              <w:tab w:val="clear" w:pos="8459"/>
              <w:tab w:val="right" w:pos="9026" w:leader="dot"/>
            </w:tabs>
            <w:rPr/>
          </w:pPr>
          <w:hyperlink w:anchor="__RefHeading___Toc6963475_73709187">
            <w:r>
              <w:rPr>
                <w:webHidden/>
                <w:rStyle w:val="IndexLink"/>
              </w:rPr>
              <w:t>5</w:t>
            </w:r>
            <w:r>
              <w:rPr>
                <w:rStyle w:val="IndexLink"/>
                <w:rtl w:val="true"/>
              </w:rPr>
              <w:t xml:space="preserve"> </w:t>
            </w:r>
            <w:r>
              <w:rPr>
                <w:rStyle w:val="IndexLink"/>
                <w:rtl w:val="true"/>
              </w:rPr>
              <w:t>تغيير الجنس في الشريعة الإسلامية</w:t>
            </w:r>
            <w:r>
              <w:rPr>
                <w:rStyle w:val="IndexLink"/>
                <w:rtl w:val="true"/>
              </w:rPr>
              <w:tab/>
            </w:r>
            <w:r>
              <w:rPr>
                <w:rStyle w:val="IndexLink"/>
              </w:rPr>
              <w:t>91</w:t>
            </w:r>
          </w:hyperlink>
        </w:p>
        <w:p>
          <w:pPr>
            <w:pStyle w:val="Contents4"/>
            <w:tabs>
              <w:tab w:val="clear" w:pos="8176"/>
              <w:tab w:val="right" w:pos="9026" w:leader="dot"/>
            </w:tabs>
            <w:rPr/>
          </w:pPr>
          <w:hyperlink w:anchor="__RefHeading___Toc6963477_73709187">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6963479_73709187">
            <w:r>
              <w:rPr>
                <w:webHidden/>
                <w:rStyle w:val="IndexLink"/>
                <w:rtl w:val="true"/>
              </w:rPr>
              <w:t>القسم الأوّل</w:t>
            </w:r>
            <w:r>
              <w:rPr>
                <w:rStyle w:val="IndexLink"/>
                <w:rtl w:val="true"/>
              </w:rPr>
              <w:t xml:space="preserve">: </w:t>
            </w:r>
            <w:r>
              <w:rPr>
                <w:rStyle w:val="IndexLink"/>
                <w:rtl w:val="true"/>
              </w:rPr>
              <w:t>تغيير الجنس</w:t>
            </w:r>
            <w:r>
              <w:rPr>
                <w:rStyle w:val="IndexLink"/>
                <w:rtl w:val="true"/>
              </w:rPr>
              <w:tab/>
            </w:r>
            <w:r>
              <w:rPr>
                <w:rStyle w:val="IndexLink"/>
              </w:rPr>
              <w:t>91</w:t>
            </w:r>
          </w:hyperlink>
        </w:p>
        <w:p>
          <w:pPr>
            <w:pStyle w:val="Contents4"/>
            <w:tabs>
              <w:tab w:val="clear" w:pos="8176"/>
              <w:tab w:val="right" w:pos="9026" w:leader="dot"/>
            </w:tabs>
            <w:rPr/>
          </w:pPr>
          <w:hyperlink w:anchor="__RefHeading___Toc6963481_73709187">
            <w:r>
              <w:rPr>
                <w:webHidden/>
                <w:rStyle w:val="IndexLink"/>
                <w:rtl w:val="true"/>
              </w:rPr>
              <w:t>القسم الثاني</w:t>
            </w:r>
            <w:r>
              <w:rPr>
                <w:rStyle w:val="IndexLink"/>
                <w:rtl w:val="true"/>
              </w:rPr>
              <w:t xml:space="preserve">: </w:t>
            </w:r>
            <w:r>
              <w:rPr>
                <w:rStyle w:val="IndexLink"/>
                <w:rtl w:val="true"/>
              </w:rPr>
              <w:t>التغيير في الجنس</w:t>
            </w:r>
            <w:r>
              <w:rPr>
                <w:rStyle w:val="IndexLink"/>
                <w:rtl w:val="true"/>
              </w:rPr>
              <w:tab/>
            </w:r>
            <w:r>
              <w:rPr>
                <w:rStyle w:val="IndexLink"/>
              </w:rPr>
              <w:t>92</w:t>
            </w:r>
          </w:hyperlink>
        </w:p>
        <w:p>
          <w:pPr>
            <w:pStyle w:val="Contents4"/>
            <w:tabs>
              <w:tab w:val="clear" w:pos="8176"/>
              <w:tab w:val="right" w:pos="9026" w:leader="dot"/>
            </w:tabs>
            <w:rPr/>
          </w:pPr>
          <w:hyperlink w:anchor="__RefHeading___Toc6963483_73709187">
            <w:r>
              <w:rPr>
                <w:webHidden/>
                <w:rStyle w:val="IndexLink"/>
                <w:rtl w:val="true"/>
              </w:rPr>
              <w:t>القسم الثالث</w:t>
            </w:r>
            <w:r>
              <w:rPr>
                <w:rStyle w:val="IndexLink"/>
                <w:rtl w:val="true"/>
              </w:rPr>
              <w:t xml:space="preserve">: </w:t>
            </w:r>
            <w:r>
              <w:rPr>
                <w:rStyle w:val="IndexLink"/>
                <w:rtl w:val="true"/>
              </w:rPr>
              <w:t>من له آلتان لكن تترجّح إحدى الآلتين على الأُخرى</w:t>
            </w:r>
            <w:r>
              <w:rPr>
                <w:rStyle w:val="IndexLink"/>
                <w:rtl w:val="true"/>
              </w:rPr>
              <w:tab/>
            </w:r>
            <w:r>
              <w:rPr>
                <w:rStyle w:val="IndexLink"/>
              </w:rPr>
              <w:t>100</w:t>
            </w:r>
          </w:hyperlink>
        </w:p>
        <w:p>
          <w:pPr>
            <w:pStyle w:val="Contents4"/>
            <w:tabs>
              <w:tab w:val="clear" w:pos="8176"/>
              <w:tab w:val="right" w:pos="9026" w:leader="dot"/>
            </w:tabs>
            <w:rPr/>
          </w:pPr>
          <w:hyperlink w:anchor="__RefHeading___Toc6963485_73709187">
            <w:r>
              <w:rPr>
                <w:webHidden/>
                <w:rStyle w:val="IndexLink"/>
                <w:rtl w:val="true"/>
              </w:rPr>
              <w:t>القسم الرابع</w:t>
            </w:r>
            <w:r>
              <w:rPr>
                <w:rStyle w:val="IndexLink"/>
                <w:rtl w:val="true"/>
              </w:rPr>
              <w:t xml:space="preserve">: </w:t>
            </w:r>
            <w:r>
              <w:rPr>
                <w:rStyle w:val="IndexLink"/>
                <w:rtl w:val="true"/>
              </w:rPr>
              <w:t>من له آلتان ولم تترجّح إحدى الآلتين على الأُخرى</w:t>
            </w:r>
            <w:r>
              <w:rPr>
                <w:rStyle w:val="IndexLink"/>
                <w:rtl w:val="true"/>
              </w:rPr>
              <w:tab/>
            </w:r>
            <w:r>
              <w:rPr>
                <w:rStyle w:val="IndexLink"/>
              </w:rPr>
              <w:t>101</w:t>
            </w:r>
          </w:hyperlink>
        </w:p>
        <w:p>
          <w:pPr>
            <w:pStyle w:val="Contents4"/>
            <w:tabs>
              <w:tab w:val="clear" w:pos="8176"/>
              <w:tab w:val="right" w:pos="9026" w:leader="dot"/>
            </w:tabs>
            <w:rPr/>
          </w:pPr>
          <w:hyperlink w:anchor="__RefHeading___Toc6963487_73709187">
            <w:r>
              <w:rPr>
                <w:webHidden/>
                <w:rStyle w:val="IndexLink"/>
                <w:rtl w:val="true"/>
              </w:rPr>
              <w:t>فخرجنا بالنتائج التالية</w:t>
            </w:r>
            <w:r>
              <w:rPr>
                <w:rStyle w:val="IndexLink"/>
                <w:rtl w:val="true"/>
              </w:rPr>
              <w:t>:</w:t>
              <w:tab/>
            </w:r>
            <w:r>
              <w:rPr>
                <w:rStyle w:val="IndexLink"/>
              </w:rPr>
              <w:t>103</w:t>
            </w:r>
          </w:hyperlink>
        </w:p>
        <w:p>
          <w:pPr>
            <w:pStyle w:val="Contents3"/>
            <w:tabs>
              <w:tab w:val="clear" w:pos="8459"/>
              <w:tab w:val="right" w:pos="9026" w:leader="dot"/>
            </w:tabs>
            <w:rPr/>
          </w:pPr>
          <w:hyperlink w:anchor="__RefHeading___Toc6963489_73709187">
            <w:r>
              <w:rPr>
                <w:webHidden/>
                <w:rStyle w:val="IndexLink"/>
              </w:rPr>
              <w:t>6</w:t>
            </w:r>
            <w:r>
              <w:rPr>
                <w:rStyle w:val="IndexLink"/>
                <w:rtl w:val="true"/>
              </w:rPr>
              <w:t xml:space="preserve"> </w:t>
            </w:r>
            <w:r>
              <w:rPr>
                <w:rStyle w:val="IndexLink"/>
                <w:rtl w:val="true"/>
              </w:rPr>
              <w:t>شدّ الرحال إلى زيارة قبر النبي وآله عليهم 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6963491_73709187">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6963493_73709187">
            <w:r>
              <w:rPr>
                <w:webHidden/>
                <w:rStyle w:val="IndexLink"/>
                <w:rtl w:val="true"/>
              </w:rPr>
              <w:t>المقام الأوّل</w:t>
            </w:r>
            <w:r>
              <w:rPr>
                <w:rStyle w:val="IndexLink"/>
                <w:rtl w:val="true"/>
              </w:rPr>
              <w:t xml:space="preserve">: </w:t>
            </w:r>
            <w:r>
              <w:rPr>
                <w:rStyle w:val="IndexLink"/>
                <w:rtl w:val="true"/>
              </w:rPr>
              <w:t>تبيين مفاد الحديث</w:t>
            </w:r>
            <w:r>
              <w:rPr>
                <w:rStyle w:val="IndexLink"/>
                <w:rtl w:val="true"/>
              </w:rPr>
              <w:tab/>
            </w:r>
            <w:r>
              <w:rPr>
                <w:rStyle w:val="IndexLink"/>
              </w:rPr>
              <w:t>104</w:t>
            </w:r>
          </w:hyperlink>
        </w:p>
        <w:p>
          <w:pPr>
            <w:pStyle w:val="Contents5"/>
            <w:tabs>
              <w:tab w:val="clear" w:pos="7892"/>
              <w:tab w:val="right" w:pos="9026" w:leader="dot"/>
            </w:tabs>
            <w:rPr/>
          </w:pPr>
          <w:hyperlink w:anchor="__RefHeading___Toc6963495_73709187">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6963497_73709187">
            <w:r>
              <w:rPr>
                <w:webHidden/>
                <w:rStyle w:val="IndexLink"/>
                <w:rtl w:val="true"/>
              </w:rPr>
              <w:t>استحباب زيارة قبر النبي صلى الله عليه و آله و سلم</w:t>
            </w:r>
            <w:r>
              <w:rPr>
                <w:rStyle w:val="IndexLink"/>
                <w:rtl w:val="true"/>
              </w:rPr>
              <w:tab/>
            </w:r>
            <w:r>
              <w:rPr>
                <w:rStyle w:val="IndexLink"/>
              </w:rPr>
              <w:t>109</w:t>
            </w:r>
          </w:hyperlink>
        </w:p>
        <w:p>
          <w:pPr>
            <w:pStyle w:val="Contents4"/>
            <w:tabs>
              <w:tab w:val="clear" w:pos="8176"/>
              <w:tab w:val="right" w:pos="9026" w:leader="dot"/>
            </w:tabs>
            <w:rPr/>
          </w:pPr>
          <w:hyperlink w:anchor="__RefHeading___Toc6963499_73709187">
            <w:r>
              <w:rPr>
                <w:webHidden/>
                <w:rStyle w:val="IndexLink"/>
                <w:rtl w:val="true"/>
              </w:rPr>
              <w:t>المقام الثاني</w:t>
            </w:r>
            <w:r>
              <w:rPr>
                <w:rStyle w:val="IndexLink"/>
                <w:rtl w:val="true"/>
              </w:rPr>
              <w:t xml:space="preserve">: </w:t>
            </w:r>
            <w:r>
              <w:rPr>
                <w:rStyle w:val="IndexLink"/>
                <w:rtl w:val="true"/>
              </w:rPr>
              <w:t>سيرة المسلمين عبر القرون في السفر لزيارة قبر النبي صلى الله عليه و آله و سلم وآله عليهم السلام وغيرهم</w:t>
            </w:r>
            <w:r>
              <w:rPr>
                <w:rStyle w:val="IndexLink"/>
                <w:rtl w:val="true"/>
              </w:rPr>
              <w:tab/>
            </w:r>
            <w:r>
              <w:rPr>
                <w:rStyle w:val="IndexLink"/>
              </w:rPr>
              <w:t>110</w:t>
            </w:r>
          </w:hyperlink>
        </w:p>
        <w:p>
          <w:pPr>
            <w:pStyle w:val="Contents5"/>
            <w:tabs>
              <w:tab w:val="clear" w:pos="7892"/>
              <w:tab w:val="right" w:pos="9026" w:leader="dot"/>
            </w:tabs>
            <w:rPr/>
          </w:pPr>
          <w:hyperlink w:anchor="__RefHeading___Toc6963501_73709187">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6963503_73709187">
            <w:r>
              <w:rPr>
                <w:webHidden/>
                <w:rStyle w:val="IndexLink"/>
              </w:rPr>
              <w:t>1</w:t>
            </w:r>
            <w:r>
              <w:rPr>
                <w:rStyle w:val="IndexLink"/>
                <w:rtl w:val="true"/>
              </w:rPr>
              <w:t xml:space="preserve">. </w:t>
            </w:r>
            <w:r>
              <w:rPr>
                <w:rStyle w:val="IndexLink"/>
                <w:rtl w:val="true"/>
              </w:rPr>
              <w:t>سفر السيدة فاطمة الزهراء عليها السلام لزيارة قبر حمزة سيد الشهداء في أُحد</w:t>
            </w:r>
            <w:r>
              <w:rPr>
                <w:rStyle w:val="IndexLink"/>
                <w:rtl w:val="true"/>
              </w:rPr>
              <w:tab/>
            </w:r>
            <w:r>
              <w:rPr>
                <w:rStyle w:val="IndexLink"/>
              </w:rPr>
              <w:t>110</w:t>
            </w:r>
          </w:hyperlink>
        </w:p>
        <w:p>
          <w:pPr>
            <w:pStyle w:val="Contents5"/>
            <w:tabs>
              <w:tab w:val="clear" w:pos="7892"/>
              <w:tab w:val="right" w:pos="9026" w:leader="dot"/>
            </w:tabs>
            <w:rPr/>
          </w:pPr>
          <w:hyperlink w:anchor="__RefHeading___Toc6963505_73709187">
            <w:r>
              <w:rPr>
                <w:webHidden/>
                <w:rStyle w:val="IndexLink"/>
              </w:rPr>
              <w:t>2</w:t>
            </w:r>
            <w:r>
              <w:rPr>
                <w:rStyle w:val="IndexLink"/>
                <w:rtl w:val="true"/>
              </w:rPr>
              <w:t xml:space="preserve">. </w:t>
            </w:r>
            <w:r>
              <w:rPr>
                <w:rStyle w:val="IndexLink"/>
                <w:rtl w:val="true"/>
              </w:rPr>
              <w:t>سفر عائشة إلى زيارة قبر أخيها</w:t>
            </w:r>
            <w:r>
              <w:rPr>
                <w:rStyle w:val="IndexLink"/>
                <w:rtl w:val="true"/>
              </w:rPr>
              <w:tab/>
            </w:r>
            <w:r>
              <w:rPr>
                <w:rStyle w:val="IndexLink"/>
              </w:rPr>
              <w:t>111</w:t>
            </w:r>
          </w:hyperlink>
        </w:p>
        <w:p>
          <w:pPr>
            <w:pStyle w:val="Contents5"/>
            <w:tabs>
              <w:tab w:val="clear" w:pos="7892"/>
              <w:tab w:val="right" w:pos="9026" w:leader="dot"/>
            </w:tabs>
            <w:rPr/>
          </w:pPr>
          <w:hyperlink w:anchor="__RefHeading___Toc6963507_73709187">
            <w:r>
              <w:rPr>
                <w:webHidden/>
                <w:rStyle w:val="IndexLink"/>
              </w:rPr>
              <w:t>3</w:t>
            </w:r>
            <w:r>
              <w:rPr>
                <w:rStyle w:val="IndexLink"/>
                <w:rtl w:val="true"/>
              </w:rPr>
              <w:t xml:space="preserve">. </w:t>
            </w:r>
            <w:r>
              <w:rPr>
                <w:rStyle w:val="IndexLink"/>
                <w:rtl w:val="true"/>
              </w:rPr>
              <w:t>سفر بلال إلى المدينة لزيارة قبر النبي صلى الله عليه و آله و سلم</w:t>
            </w:r>
            <w:r>
              <w:rPr>
                <w:rStyle w:val="IndexLink"/>
                <w:rtl w:val="true"/>
              </w:rPr>
              <w:tab/>
            </w:r>
            <w:r>
              <w:rPr>
                <w:rStyle w:val="IndexLink"/>
              </w:rPr>
              <w:t>112</w:t>
            </w:r>
          </w:hyperlink>
        </w:p>
        <w:p>
          <w:pPr>
            <w:pStyle w:val="Contents5"/>
            <w:tabs>
              <w:tab w:val="clear" w:pos="7892"/>
              <w:tab w:val="right" w:pos="9026" w:leader="dot"/>
            </w:tabs>
            <w:rPr/>
          </w:pPr>
          <w:hyperlink w:anchor="__RefHeading___Toc6963509_73709187">
            <w:r>
              <w:rPr>
                <w:webHidden/>
                <w:rStyle w:val="IndexLink"/>
              </w:rPr>
              <w:t>4</w:t>
            </w:r>
            <w:r>
              <w:rPr>
                <w:rStyle w:val="IndexLink"/>
                <w:rtl w:val="true"/>
              </w:rPr>
              <w:t xml:space="preserve">. </w:t>
            </w:r>
            <w:r>
              <w:rPr>
                <w:rStyle w:val="IndexLink"/>
                <w:rtl w:val="true"/>
              </w:rPr>
              <w:t>إبراد عمر بن عبدالعزيز بالسلام على رسول اللّه صلى الله عليه و آله و سلم</w:t>
            </w:r>
            <w:r>
              <w:rPr>
                <w:rStyle w:val="IndexLink"/>
                <w:rtl w:val="true"/>
              </w:rPr>
              <w:tab/>
            </w:r>
            <w:r>
              <w:rPr>
                <w:rStyle w:val="IndexLink"/>
              </w:rPr>
              <w:t>112</w:t>
            </w:r>
          </w:hyperlink>
        </w:p>
        <w:p>
          <w:pPr>
            <w:pStyle w:val="Contents5"/>
            <w:tabs>
              <w:tab w:val="clear" w:pos="7892"/>
              <w:tab w:val="right" w:pos="9026" w:leader="dot"/>
            </w:tabs>
            <w:rPr/>
          </w:pPr>
          <w:hyperlink w:anchor="__RefHeading___Toc6963511_73709187">
            <w:r>
              <w:rPr>
                <w:webHidden/>
                <w:rStyle w:val="IndexLink"/>
              </w:rPr>
              <w:t>5</w:t>
            </w:r>
            <w:r>
              <w:rPr>
                <w:rStyle w:val="IndexLink"/>
                <w:rtl w:val="true"/>
              </w:rPr>
              <w:t xml:space="preserve">. </w:t>
            </w:r>
            <w:r>
              <w:rPr>
                <w:rStyle w:val="IndexLink"/>
                <w:rtl w:val="true"/>
              </w:rPr>
              <w:t>سفر كعب الأحبار إلى المدينة لزيارة قبر النبي صلى الله عليه و آله و سلم بدعوة من الخليفة</w:t>
            </w:r>
            <w:r>
              <w:rPr>
                <w:rStyle w:val="IndexLink"/>
                <w:rtl w:val="true"/>
              </w:rPr>
              <w:tab/>
            </w:r>
            <w:r>
              <w:rPr>
                <w:rStyle w:val="IndexLink"/>
              </w:rPr>
              <w:t>113</w:t>
            </w:r>
          </w:hyperlink>
        </w:p>
        <w:p>
          <w:pPr>
            <w:pStyle w:val="Contents5"/>
            <w:tabs>
              <w:tab w:val="clear" w:pos="7892"/>
              <w:tab w:val="right" w:pos="9026" w:leader="dot"/>
            </w:tabs>
            <w:rPr/>
          </w:pPr>
          <w:hyperlink w:anchor="__RefHeading___Toc6963513_73709187">
            <w:r>
              <w:rPr>
                <w:webHidden/>
                <w:rStyle w:val="IndexLink"/>
              </w:rPr>
              <w:t>6</w:t>
            </w:r>
            <w:r>
              <w:rPr>
                <w:rStyle w:val="IndexLink"/>
                <w:rtl w:val="true"/>
              </w:rPr>
              <w:t xml:space="preserve">. </w:t>
            </w:r>
            <w:r>
              <w:rPr>
                <w:rStyle w:val="IndexLink"/>
                <w:rtl w:val="true"/>
              </w:rPr>
              <w:t>سفر أئمة الحديث لزيارة الإمام الرضا عليه السلام</w:t>
            </w:r>
            <w:r>
              <w:rPr>
                <w:rStyle w:val="IndexLink"/>
                <w:rtl w:val="true"/>
              </w:rPr>
              <w:tab/>
            </w:r>
            <w:r>
              <w:rPr>
                <w:rStyle w:val="IndexLink"/>
              </w:rPr>
              <w:t>113</w:t>
            </w:r>
          </w:hyperlink>
        </w:p>
        <w:p>
          <w:pPr>
            <w:pStyle w:val="Contents5"/>
            <w:tabs>
              <w:tab w:val="clear" w:pos="7892"/>
              <w:tab w:val="right" w:pos="9026" w:leader="dot"/>
            </w:tabs>
            <w:rPr/>
          </w:pPr>
          <w:hyperlink w:anchor="__RefHeading___Toc6963515_73709187">
            <w:r>
              <w:rPr>
                <w:webHidden/>
                <w:rStyle w:val="IndexLink"/>
              </w:rPr>
              <w:t>7</w:t>
            </w:r>
            <w:r>
              <w:rPr>
                <w:rStyle w:val="IndexLink"/>
                <w:rtl w:val="true"/>
              </w:rPr>
              <w:t xml:space="preserve">. </w:t>
            </w:r>
            <w:r>
              <w:rPr>
                <w:rStyle w:val="IndexLink"/>
                <w:rtl w:val="true"/>
              </w:rPr>
              <w:t>إطباق المسلمين على جواز السفر لزيارة قبر النبي صلى الله عليه و آله و سلم</w:t>
            </w:r>
            <w:r>
              <w:rPr>
                <w:rStyle w:val="IndexLink"/>
                <w:rtl w:val="true"/>
              </w:rPr>
              <w:tab/>
            </w:r>
            <w:r>
              <w:rPr>
                <w:rStyle w:val="IndexLink"/>
              </w:rPr>
              <w:t>114</w:t>
            </w:r>
          </w:hyperlink>
        </w:p>
        <w:p>
          <w:pPr>
            <w:pStyle w:val="Contents4"/>
            <w:tabs>
              <w:tab w:val="clear" w:pos="8176"/>
              <w:tab w:val="right" w:pos="9026" w:leader="dot"/>
            </w:tabs>
            <w:rPr/>
          </w:pPr>
          <w:hyperlink w:anchor="__RefHeading___Toc6963517_73709187">
            <w:r>
              <w:rPr>
                <w:webHidden/>
                <w:rStyle w:val="IndexLink"/>
                <w:rtl w:val="true"/>
              </w:rPr>
              <w:t>حصيلة الكلام</w:t>
            </w:r>
            <w:r>
              <w:rPr>
                <w:rStyle w:val="IndexLink"/>
                <w:rtl w:val="true"/>
              </w:rPr>
              <w:tab/>
            </w:r>
            <w:r>
              <w:rPr>
                <w:rStyle w:val="IndexLink"/>
              </w:rPr>
              <w:t>115</w:t>
            </w:r>
          </w:hyperlink>
        </w:p>
        <w:p>
          <w:pPr>
            <w:pStyle w:val="Contents3"/>
            <w:tabs>
              <w:tab w:val="clear" w:pos="8459"/>
              <w:tab w:val="right" w:pos="9026" w:leader="dot"/>
            </w:tabs>
            <w:rPr/>
          </w:pPr>
          <w:hyperlink w:anchor="__RefHeading___Toc6963519_73709187">
            <w:r>
              <w:rPr>
                <w:webHidden/>
                <w:rStyle w:val="IndexLink"/>
              </w:rPr>
              <w:t>7</w:t>
            </w:r>
            <w:r>
              <w:rPr>
                <w:rStyle w:val="IndexLink"/>
                <w:rtl w:val="true"/>
              </w:rPr>
              <w:t xml:space="preserve"> </w:t>
            </w:r>
            <w:r>
              <w:rPr>
                <w:rStyle w:val="IndexLink"/>
                <w:rtl w:val="true"/>
              </w:rPr>
              <w:t>كمال الدين ميثم البحراني حياة مليئة بالعطاء والأحداث</w:t>
            </w:r>
            <w:r>
              <w:rPr>
                <w:rStyle w:val="IndexLink"/>
                <w:rtl w:val="true"/>
              </w:rPr>
              <w:tab/>
            </w:r>
            <w:r>
              <w:rPr>
                <w:rStyle w:val="IndexLink"/>
              </w:rPr>
              <w:t>117</w:t>
            </w:r>
          </w:hyperlink>
        </w:p>
        <w:p>
          <w:pPr>
            <w:pStyle w:val="Contents4"/>
            <w:tabs>
              <w:tab w:val="clear" w:pos="8176"/>
              <w:tab w:val="right" w:pos="9026" w:leader="dot"/>
            </w:tabs>
            <w:rPr/>
          </w:pPr>
          <w:hyperlink w:anchor="__RefHeading___Toc6963521_73709187">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6963523_73709187">
            <w:r>
              <w:rPr>
                <w:webHidden/>
                <w:rStyle w:val="IndexLink"/>
                <w:rtl w:val="true"/>
              </w:rPr>
              <w:t>مكانته العلمية وثناء العلماء عليه</w:t>
            </w:r>
            <w:r>
              <w:rPr>
                <w:rStyle w:val="IndexLink"/>
                <w:rtl w:val="true"/>
              </w:rPr>
              <w:tab/>
            </w:r>
            <w:r>
              <w:rPr>
                <w:rStyle w:val="IndexLink"/>
              </w:rPr>
              <w:t>117</w:t>
            </w:r>
          </w:hyperlink>
        </w:p>
        <w:p>
          <w:pPr>
            <w:pStyle w:val="Contents4"/>
            <w:tabs>
              <w:tab w:val="clear" w:pos="8176"/>
              <w:tab w:val="right" w:pos="9026" w:leader="dot"/>
            </w:tabs>
            <w:rPr/>
          </w:pPr>
          <w:hyperlink w:anchor="__RefHeading___Toc6963525_73709187">
            <w:r>
              <w:rPr>
                <w:webHidden/>
                <w:rStyle w:val="IndexLink"/>
                <w:rtl w:val="true"/>
              </w:rPr>
              <w:t>عصر المؤلّف</w:t>
            </w:r>
            <w:r>
              <w:rPr>
                <w:rStyle w:val="IndexLink"/>
                <w:rtl w:val="true"/>
              </w:rPr>
              <w:tab/>
            </w:r>
            <w:r>
              <w:rPr>
                <w:rStyle w:val="IndexLink"/>
              </w:rPr>
              <w:t>118</w:t>
            </w:r>
          </w:hyperlink>
        </w:p>
        <w:p>
          <w:pPr>
            <w:pStyle w:val="Contents4"/>
            <w:tabs>
              <w:tab w:val="clear" w:pos="8176"/>
              <w:tab w:val="right" w:pos="9026" w:leader="dot"/>
            </w:tabs>
            <w:rPr/>
          </w:pPr>
          <w:hyperlink w:anchor="__RefHeading___Toc6963527_73709187">
            <w:r>
              <w:rPr>
                <w:webHidden/>
                <w:rStyle w:val="IndexLink"/>
                <w:rtl w:val="true"/>
              </w:rPr>
              <w:t>أساتذته وشيوخه</w:t>
            </w:r>
            <w:r>
              <w:rPr>
                <w:rStyle w:val="IndexLink"/>
                <w:rtl w:val="true"/>
              </w:rPr>
              <w:tab/>
            </w:r>
            <w:r>
              <w:rPr>
                <w:rStyle w:val="IndexLink"/>
              </w:rPr>
              <w:t>120</w:t>
            </w:r>
          </w:hyperlink>
        </w:p>
        <w:p>
          <w:pPr>
            <w:pStyle w:val="Contents4"/>
            <w:tabs>
              <w:tab w:val="clear" w:pos="8176"/>
              <w:tab w:val="right" w:pos="9026" w:leader="dot"/>
            </w:tabs>
            <w:rPr/>
          </w:pPr>
          <w:hyperlink w:anchor="__RefHeading___Toc6963529_73709187">
            <w:r>
              <w:rPr>
                <w:webHidden/>
                <w:rStyle w:val="IndexLink"/>
                <w:rtl w:val="true"/>
              </w:rPr>
              <w:t>تلامذته والراوون عنه</w:t>
            </w:r>
            <w:r>
              <w:rPr>
                <w:rStyle w:val="IndexLink"/>
                <w:rtl w:val="true"/>
              </w:rPr>
              <w:tab/>
            </w:r>
            <w:r>
              <w:rPr>
                <w:rStyle w:val="IndexLink"/>
              </w:rPr>
              <w:t>121</w:t>
            </w:r>
          </w:hyperlink>
        </w:p>
        <w:p>
          <w:pPr>
            <w:pStyle w:val="Contents4"/>
            <w:tabs>
              <w:tab w:val="clear" w:pos="8176"/>
              <w:tab w:val="right" w:pos="9026" w:leader="dot"/>
            </w:tabs>
            <w:rPr/>
          </w:pPr>
          <w:hyperlink w:anchor="__RefHeading___Toc6963531_73709187">
            <w:r>
              <w:rPr>
                <w:webHidden/>
                <w:rStyle w:val="IndexLink"/>
                <w:rtl w:val="true"/>
              </w:rPr>
              <w:t>مصنّفاته وآثاره العلمية</w:t>
            </w:r>
            <w:r>
              <w:rPr>
                <w:rStyle w:val="IndexLink"/>
                <w:rtl w:val="true"/>
              </w:rPr>
              <w:tab/>
            </w:r>
            <w:r>
              <w:rPr>
                <w:rStyle w:val="IndexLink"/>
              </w:rPr>
              <w:t>121</w:t>
            </w:r>
          </w:hyperlink>
        </w:p>
        <w:p>
          <w:pPr>
            <w:pStyle w:val="Contents4"/>
            <w:tabs>
              <w:tab w:val="clear" w:pos="8176"/>
              <w:tab w:val="right" w:pos="9026" w:leader="dot"/>
            </w:tabs>
            <w:rPr/>
          </w:pPr>
          <w:hyperlink w:anchor="__RefHeading___Toc6963533_73709187">
            <w:r>
              <w:rPr>
                <w:webHidden/>
                <w:rStyle w:val="IndexLink"/>
                <w:rtl w:val="true"/>
              </w:rPr>
              <w:t>وفاته</w:t>
            </w:r>
            <w:r>
              <w:rPr>
                <w:rStyle w:val="IndexLink"/>
                <w:rtl w:val="true"/>
              </w:rPr>
              <w:tab/>
            </w:r>
            <w:r>
              <w:rPr>
                <w:rStyle w:val="IndexLink"/>
              </w:rPr>
              <w:t>126</w:t>
            </w:r>
          </w:hyperlink>
        </w:p>
        <w:p>
          <w:pPr>
            <w:pStyle w:val="Contents4"/>
            <w:tabs>
              <w:tab w:val="clear" w:pos="8176"/>
              <w:tab w:val="right" w:pos="9026" w:leader="dot"/>
            </w:tabs>
            <w:rPr/>
          </w:pPr>
          <w:hyperlink w:anchor="__RefHeading___Toc6963535_73709187">
            <w:r>
              <w:rPr>
                <w:webHidden/>
                <w:rStyle w:val="IndexLink"/>
                <w:rtl w:val="true"/>
              </w:rPr>
              <w:t>مدفنه وقبره رحمه الله</w:t>
            </w:r>
            <w:r>
              <w:rPr>
                <w:rStyle w:val="IndexLink"/>
                <w:rtl w:val="true"/>
              </w:rPr>
              <w:tab/>
            </w:r>
            <w:r>
              <w:rPr>
                <w:rStyle w:val="IndexLink"/>
              </w:rPr>
              <w:t>127</w:t>
            </w:r>
          </w:hyperlink>
        </w:p>
        <w:p>
          <w:pPr>
            <w:pStyle w:val="Contents2"/>
            <w:tabs>
              <w:tab w:val="clear" w:pos="8743"/>
              <w:tab w:val="right" w:pos="9026" w:leader="dot"/>
            </w:tabs>
            <w:rPr/>
          </w:pPr>
          <w:hyperlink w:anchor="__RefHeading___Toc6963537_73709187">
            <w:r>
              <w:rPr>
                <w:webHidden/>
                <w:rStyle w:val="IndexLink"/>
                <w:rtl w:val="true"/>
              </w:rPr>
              <w:t>الفصل الثاني</w:t>
            </w:r>
            <w:r>
              <w:rPr>
                <w:rStyle w:val="IndexLink"/>
                <w:rtl w:val="true"/>
              </w:rPr>
              <w:t xml:space="preserve">: </w:t>
            </w:r>
            <w:r>
              <w:rPr>
                <w:rStyle w:val="IndexLink"/>
                <w:rtl w:val="true"/>
              </w:rPr>
              <w:t>مقالات وردود</w:t>
            </w:r>
            <w:r>
              <w:rPr>
                <w:rStyle w:val="IndexLink"/>
                <w:rtl w:val="true"/>
              </w:rPr>
              <w:tab/>
            </w:r>
            <w:r>
              <w:rPr>
                <w:rStyle w:val="IndexLink"/>
              </w:rPr>
              <w:t>129</w:t>
            </w:r>
          </w:hyperlink>
        </w:p>
        <w:p>
          <w:pPr>
            <w:pStyle w:val="Contents3"/>
            <w:tabs>
              <w:tab w:val="clear" w:pos="8459"/>
              <w:tab w:val="right" w:pos="9026" w:leader="dot"/>
            </w:tabs>
            <w:rPr/>
          </w:pPr>
          <w:hyperlink w:anchor="__RefHeading___Toc6963539_73709187">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6963541_73709187">
            <w:r>
              <w:rPr>
                <w:webHidden/>
                <w:rStyle w:val="IndexLink"/>
              </w:rPr>
              <w:t>1</w:t>
            </w:r>
            <w:r>
              <w:rPr>
                <w:rStyle w:val="IndexLink"/>
                <w:rtl w:val="true"/>
              </w:rPr>
              <w:t xml:space="preserve"> </w:t>
            </w:r>
            <w:r>
              <w:rPr>
                <w:rStyle w:val="IndexLink"/>
                <w:rtl w:val="true"/>
              </w:rPr>
              <w:t>إتقان الاستدلال بآية الابتلاء على عصمة الإمام</w:t>
            </w:r>
            <w:r>
              <w:rPr>
                <w:rStyle w:val="IndexLink"/>
                <w:rtl w:val="true"/>
              </w:rPr>
              <w:tab/>
            </w:r>
            <w:r>
              <w:rPr>
                <w:rStyle w:val="IndexLink"/>
              </w:rPr>
              <w:t>130</w:t>
            </w:r>
          </w:hyperlink>
        </w:p>
        <w:p>
          <w:pPr>
            <w:pStyle w:val="Contents3"/>
            <w:tabs>
              <w:tab w:val="clear" w:pos="8459"/>
              <w:tab w:val="right" w:pos="9026" w:leader="dot"/>
            </w:tabs>
            <w:rPr/>
          </w:pPr>
          <w:hyperlink w:anchor="__RefHeading___Toc6963543_73709187">
            <w:r>
              <w:rPr>
                <w:webHidden/>
                <w:rStyle w:val="IndexLink"/>
              </w:rPr>
              <w:t>2</w:t>
            </w:r>
            <w:r>
              <w:rPr>
                <w:rStyle w:val="IndexLink"/>
                <w:rtl w:val="true"/>
              </w:rPr>
              <w:t xml:space="preserve"> </w:t>
            </w:r>
            <w:r>
              <w:rPr>
                <w:rStyle w:val="IndexLink"/>
                <w:rtl w:val="true"/>
              </w:rPr>
              <w:t>رسالة نقدية حول قاعدتي الاختبار واللطف لا تعجلن فقد أتاك المجيب</w:t>
            </w:r>
            <w:r>
              <w:rPr>
                <w:rStyle w:val="IndexLink"/>
                <w:rtl w:val="true"/>
              </w:rPr>
              <w:tab/>
            </w:r>
            <w:r>
              <w:rPr>
                <w:rStyle w:val="IndexLink"/>
              </w:rPr>
              <w:t>136</w:t>
            </w:r>
          </w:hyperlink>
        </w:p>
        <w:p>
          <w:pPr>
            <w:pStyle w:val="Contents4"/>
            <w:tabs>
              <w:tab w:val="clear" w:pos="8176"/>
              <w:tab w:val="right" w:pos="9026" w:leader="dot"/>
            </w:tabs>
            <w:rPr/>
          </w:pPr>
          <w:hyperlink w:anchor="__RefHeading___Toc6963545_73709187">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6963547_73709187">
            <w:r>
              <w:rPr>
                <w:webHidden/>
                <w:rStyle w:val="IndexLink"/>
                <w:rtl w:val="true"/>
              </w:rPr>
              <w:t>النصّ الأوّل</w:t>
            </w:r>
            <w:r>
              <w:rPr>
                <w:rStyle w:val="IndexLink"/>
                <w:rtl w:val="true"/>
              </w:rPr>
              <w:t xml:space="preserve">: </w:t>
            </w:r>
            <w:r>
              <w:rPr>
                <w:rStyle w:val="IndexLink"/>
                <w:rtl w:val="true"/>
              </w:rPr>
              <w:t>قال عليه السلام حول الكعبة المقدّسة</w:t>
            </w:r>
            <w:r>
              <w:rPr>
                <w:rStyle w:val="IndexLink"/>
                <w:rtl w:val="true"/>
              </w:rPr>
              <w:t>:</w:t>
              <w:tab/>
            </w:r>
            <w:r>
              <w:rPr>
                <w:rStyle w:val="IndexLink"/>
              </w:rPr>
              <w:t>137</w:t>
            </w:r>
          </w:hyperlink>
        </w:p>
        <w:p>
          <w:pPr>
            <w:pStyle w:val="Contents5"/>
            <w:tabs>
              <w:tab w:val="clear" w:pos="7892"/>
              <w:tab w:val="right" w:pos="9026" w:leader="dot"/>
            </w:tabs>
            <w:rPr/>
          </w:pPr>
          <w:hyperlink w:anchor="__RefHeading___Toc6963549_73709187">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6963551_73709187">
            <w:r>
              <w:rPr>
                <w:webHidden/>
                <w:rStyle w:val="IndexLink"/>
                <w:rtl w:val="true"/>
              </w:rPr>
              <w:t>الكلام حول قاعدة الاختبار</w:t>
            </w:r>
            <w:r>
              <w:rPr>
                <w:rStyle w:val="IndexLink"/>
                <w:rtl w:val="true"/>
              </w:rPr>
              <w:tab/>
            </w:r>
            <w:r>
              <w:rPr>
                <w:rStyle w:val="IndexLink"/>
              </w:rPr>
              <w:t>140</w:t>
            </w:r>
          </w:hyperlink>
        </w:p>
        <w:p>
          <w:pPr>
            <w:pStyle w:val="Contents4"/>
            <w:tabs>
              <w:tab w:val="clear" w:pos="8176"/>
              <w:tab w:val="right" w:pos="9026" w:leader="dot"/>
            </w:tabs>
            <w:rPr/>
          </w:pPr>
          <w:hyperlink w:anchor="__RefHeading___Toc6963553_73709187">
            <w:r>
              <w:rPr>
                <w:webHidden/>
                <w:rStyle w:val="IndexLink"/>
                <w:rtl w:val="true"/>
              </w:rPr>
              <w:t>النصّ الثاني</w:t>
            </w:r>
            <w:r>
              <w:rPr>
                <w:rStyle w:val="IndexLink"/>
                <w:rtl w:val="true"/>
              </w:rPr>
              <w:t>:</w:t>
              <w:tab/>
            </w:r>
            <w:r>
              <w:rPr>
                <w:rStyle w:val="IndexLink"/>
              </w:rPr>
              <w:t>142</w:t>
            </w:r>
          </w:hyperlink>
        </w:p>
        <w:p>
          <w:pPr>
            <w:pStyle w:val="Contents4"/>
            <w:tabs>
              <w:tab w:val="clear" w:pos="8176"/>
              <w:tab w:val="right" w:pos="9026" w:leader="dot"/>
            </w:tabs>
            <w:rPr/>
          </w:pPr>
          <w:hyperlink w:anchor="__RefHeading___Toc6963555_73709187">
            <w:r>
              <w:rPr>
                <w:webHidden/>
                <w:rStyle w:val="IndexLink"/>
                <w:rtl w:val="true"/>
              </w:rPr>
              <w:t>النصّ الثالث</w:t>
            </w:r>
            <w:r>
              <w:rPr>
                <w:rStyle w:val="IndexLink"/>
                <w:rtl w:val="true"/>
              </w:rPr>
              <w:t>:</w:t>
              <w:tab/>
            </w:r>
            <w:r>
              <w:rPr>
                <w:rStyle w:val="IndexLink"/>
              </w:rPr>
              <w:t>143</w:t>
            </w:r>
          </w:hyperlink>
        </w:p>
        <w:p>
          <w:pPr>
            <w:pStyle w:val="Contents4"/>
            <w:tabs>
              <w:tab w:val="clear" w:pos="8176"/>
              <w:tab w:val="right" w:pos="9026" w:leader="dot"/>
            </w:tabs>
            <w:rPr/>
          </w:pPr>
          <w:hyperlink w:anchor="__RefHeading___Toc6963557_73709187">
            <w:r>
              <w:rPr>
                <w:webHidden/>
                <w:rStyle w:val="IndexLink"/>
                <w:rtl w:val="true"/>
              </w:rPr>
              <w:t>القاعدة الثانية</w:t>
            </w:r>
            <w:r>
              <w:rPr>
                <w:rStyle w:val="IndexLink"/>
                <w:rtl w:val="true"/>
              </w:rPr>
              <w:t xml:space="preserve">: </w:t>
            </w:r>
            <w:r>
              <w:rPr>
                <w:rStyle w:val="IndexLink"/>
                <w:rtl w:val="true"/>
              </w:rPr>
              <w:t>قاعدة اللطف</w:t>
            </w:r>
            <w:r>
              <w:rPr>
                <w:rStyle w:val="IndexLink"/>
                <w:rtl w:val="true"/>
              </w:rPr>
              <w:tab/>
            </w:r>
            <w:r>
              <w:rPr>
                <w:rStyle w:val="IndexLink"/>
              </w:rPr>
              <w:t>144</w:t>
            </w:r>
          </w:hyperlink>
        </w:p>
        <w:p>
          <w:pPr>
            <w:pStyle w:val="Contents5"/>
            <w:tabs>
              <w:tab w:val="clear" w:pos="7892"/>
              <w:tab w:val="right" w:pos="9026" w:leader="dot"/>
            </w:tabs>
            <w:rPr/>
          </w:pPr>
          <w:hyperlink w:anchor="__RefHeading___Toc6963559_73709187">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6963561_73709187">
            <w:r>
              <w:rPr>
                <w:webHidden/>
                <w:rStyle w:val="IndexLink"/>
                <w:rtl w:val="true"/>
              </w:rPr>
              <w:t>برهان وجوب اللطف</w:t>
            </w:r>
            <w:r>
              <w:rPr>
                <w:rStyle w:val="IndexLink"/>
                <w:rtl w:val="true"/>
              </w:rPr>
              <w:tab/>
            </w:r>
            <w:r>
              <w:rPr>
                <w:rStyle w:val="IndexLink"/>
              </w:rPr>
              <w:t>144</w:t>
            </w:r>
          </w:hyperlink>
        </w:p>
        <w:p>
          <w:pPr>
            <w:pStyle w:val="Contents6"/>
            <w:tabs>
              <w:tab w:val="clear" w:pos="7609"/>
              <w:tab w:val="right" w:pos="9026" w:leader="dot"/>
            </w:tabs>
            <w:rPr/>
          </w:pPr>
          <w:hyperlink w:anchor="__RefHeading___Toc6963563_73709187">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6963565_73709187">
            <w:r>
              <w:rPr>
                <w:webHidden/>
                <w:rStyle w:val="IndexLink"/>
              </w:rPr>
              <w:t>1</w:t>
            </w:r>
            <w:r>
              <w:rPr>
                <w:rStyle w:val="IndexLink"/>
                <w:rtl w:val="true"/>
              </w:rPr>
              <w:t xml:space="preserve">. </w:t>
            </w:r>
            <w:r>
              <w:rPr>
                <w:rStyle w:val="IndexLink"/>
                <w:rtl w:val="true"/>
              </w:rPr>
              <w:t>وجوب عصمة الأنبياء</w:t>
            </w:r>
            <w:r>
              <w:rPr>
                <w:rStyle w:val="IndexLink"/>
                <w:rtl w:val="true"/>
              </w:rPr>
              <w:tab/>
            </w:r>
            <w:r>
              <w:rPr>
                <w:rStyle w:val="IndexLink"/>
              </w:rPr>
              <w:t>145</w:t>
            </w:r>
          </w:hyperlink>
        </w:p>
        <w:p>
          <w:pPr>
            <w:pStyle w:val="Contents6"/>
            <w:tabs>
              <w:tab w:val="clear" w:pos="7609"/>
              <w:tab w:val="right" w:pos="9026" w:leader="dot"/>
            </w:tabs>
            <w:rPr/>
          </w:pPr>
          <w:hyperlink w:anchor="__RefHeading___Toc6963567_73709187">
            <w:r>
              <w:rPr>
                <w:webHidden/>
                <w:rStyle w:val="IndexLink"/>
              </w:rPr>
              <w:t>2</w:t>
            </w:r>
            <w:r>
              <w:rPr>
                <w:rStyle w:val="IndexLink"/>
                <w:rtl w:val="true"/>
              </w:rPr>
              <w:t xml:space="preserve">. </w:t>
            </w:r>
            <w:r>
              <w:rPr>
                <w:rStyle w:val="IndexLink"/>
                <w:rtl w:val="true"/>
              </w:rPr>
              <w:t>الوعد والوعيد</w:t>
            </w:r>
            <w:r>
              <w:rPr>
                <w:rStyle w:val="IndexLink"/>
                <w:rtl w:val="true"/>
              </w:rPr>
              <w:tab/>
            </w:r>
            <w:r>
              <w:rPr>
                <w:rStyle w:val="IndexLink"/>
              </w:rPr>
              <w:t>146</w:t>
            </w:r>
          </w:hyperlink>
        </w:p>
        <w:p>
          <w:pPr>
            <w:pStyle w:val="Contents6"/>
            <w:tabs>
              <w:tab w:val="clear" w:pos="7609"/>
              <w:tab w:val="right" w:pos="9026" w:leader="dot"/>
            </w:tabs>
            <w:rPr/>
          </w:pPr>
          <w:hyperlink w:anchor="__RefHeading___Toc6963569_73709187">
            <w:r>
              <w:rPr>
                <w:webHidden/>
                <w:rStyle w:val="IndexLink"/>
              </w:rPr>
              <w:t>3</w:t>
            </w:r>
            <w:r>
              <w:rPr>
                <w:rStyle w:val="IndexLink"/>
                <w:rtl w:val="true"/>
              </w:rPr>
              <w:t xml:space="preserve">. </w:t>
            </w:r>
            <w:r>
              <w:rPr>
                <w:rStyle w:val="IndexLink"/>
                <w:rtl w:val="true"/>
              </w:rPr>
              <w:t>وجوب نصب الإمام المعصوم</w:t>
            </w:r>
            <w:r>
              <w:rPr>
                <w:rStyle w:val="IndexLink"/>
                <w:rtl w:val="true"/>
              </w:rPr>
              <w:tab/>
            </w:r>
            <w:r>
              <w:rPr>
                <w:rStyle w:val="IndexLink"/>
              </w:rPr>
              <w:t>146</w:t>
            </w:r>
          </w:hyperlink>
        </w:p>
        <w:p>
          <w:pPr>
            <w:pStyle w:val="Contents3"/>
            <w:tabs>
              <w:tab w:val="clear" w:pos="8459"/>
              <w:tab w:val="right" w:pos="9026" w:leader="dot"/>
            </w:tabs>
            <w:rPr/>
          </w:pPr>
          <w:hyperlink w:anchor="__RefHeading___Toc6963571_73709187">
            <w:r>
              <w:rPr>
                <w:webHidden/>
                <w:rStyle w:val="IndexLink"/>
              </w:rPr>
              <w:t>3</w:t>
            </w:r>
            <w:r>
              <w:rPr>
                <w:rStyle w:val="IndexLink"/>
                <w:rtl w:val="true"/>
              </w:rPr>
              <w:t xml:space="preserve"> </w:t>
            </w:r>
            <w:r>
              <w:rPr>
                <w:rStyle w:val="IndexLink"/>
                <w:rtl w:val="true"/>
              </w:rPr>
              <w:t>شبهات حول التقية والرد عليها</w:t>
            </w:r>
            <w:r>
              <w:rPr>
                <w:rStyle w:val="IndexLink"/>
                <w:rtl w:val="true"/>
              </w:rPr>
              <w:tab/>
            </w:r>
            <w:r>
              <w:rPr>
                <w:rStyle w:val="IndexLink"/>
              </w:rPr>
              <w:t>148</w:t>
            </w:r>
          </w:hyperlink>
        </w:p>
        <w:p>
          <w:pPr>
            <w:pStyle w:val="Contents4"/>
            <w:tabs>
              <w:tab w:val="clear" w:pos="8176"/>
              <w:tab w:val="right" w:pos="9026" w:leader="dot"/>
            </w:tabs>
            <w:rPr/>
          </w:pPr>
          <w:hyperlink w:anchor="__RefHeading___Toc6963573_73709187">
            <w:r>
              <w:rPr>
                <w:webHidden/>
                <w:rStyle w:val="IndexLink"/>
                <w:rtl w:val="true"/>
              </w:rPr>
              <w:t>زيارة وحوار مع الشيخ صالح بن عبدالرحمن الحصين رئيس شؤون الحرمين الشريفين</w:t>
            </w:r>
            <w:r>
              <w:rPr>
                <w:rStyle w:val="IndexLink"/>
                <w:rtl w:val="true"/>
              </w:rPr>
              <w:tab/>
            </w:r>
            <w:r>
              <w:rPr>
                <w:rStyle w:val="IndexLink"/>
              </w:rPr>
              <w:t>148</w:t>
            </w:r>
          </w:hyperlink>
        </w:p>
        <w:p>
          <w:pPr>
            <w:pStyle w:val="Contents3"/>
            <w:tabs>
              <w:tab w:val="clear" w:pos="8459"/>
              <w:tab w:val="right" w:pos="9026" w:leader="dot"/>
            </w:tabs>
            <w:rPr/>
          </w:pPr>
          <w:hyperlink w:anchor="__RefHeading___Toc6963575_73709187">
            <w:r>
              <w:rPr>
                <w:webHidden/>
                <w:rStyle w:val="IndexLink"/>
              </w:rPr>
              <w:t>4</w:t>
            </w:r>
            <w:r>
              <w:rPr>
                <w:rStyle w:val="IndexLink"/>
                <w:rtl w:val="true"/>
              </w:rPr>
              <w:t xml:space="preserve"> </w:t>
            </w:r>
            <w:r>
              <w:rPr>
                <w:rStyle w:val="IndexLink"/>
                <w:rtl w:val="true"/>
              </w:rPr>
              <w:t>البداء حقيقة قرآنية</w:t>
            </w:r>
            <w:r>
              <w:rPr>
                <w:rStyle w:val="IndexLink"/>
                <w:rtl w:val="true"/>
              </w:rPr>
              <w:tab/>
            </w:r>
            <w:r>
              <w:rPr>
                <w:rStyle w:val="IndexLink"/>
              </w:rPr>
              <w:t>168</w:t>
            </w:r>
          </w:hyperlink>
        </w:p>
        <w:p>
          <w:pPr>
            <w:pStyle w:val="Contents4"/>
            <w:tabs>
              <w:tab w:val="clear" w:pos="8176"/>
              <w:tab w:val="right" w:pos="9026" w:leader="dot"/>
            </w:tabs>
            <w:rPr/>
          </w:pPr>
          <w:hyperlink w:anchor="__RefHeading___Toc6963577_73709187">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6963579_73709187">
            <w:r>
              <w:rPr>
                <w:webHidden/>
                <w:rStyle w:val="IndexLink"/>
              </w:rPr>
              <w:t>1</w:t>
            </w:r>
            <w:r>
              <w:rPr>
                <w:rStyle w:val="IndexLink"/>
                <w:rtl w:val="true"/>
              </w:rPr>
              <w:t xml:space="preserve">. </w:t>
            </w:r>
            <w:r>
              <w:rPr>
                <w:rStyle w:val="IndexLink"/>
                <w:rtl w:val="true"/>
              </w:rPr>
              <w:t>حقيقة البداء</w:t>
            </w:r>
            <w:r>
              <w:rPr>
                <w:rStyle w:val="IndexLink"/>
                <w:rtl w:val="true"/>
              </w:rPr>
              <w:tab/>
            </w:r>
            <w:r>
              <w:rPr>
                <w:rStyle w:val="IndexLink"/>
              </w:rPr>
              <w:t>169</w:t>
            </w:r>
          </w:hyperlink>
        </w:p>
        <w:p>
          <w:pPr>
            <w:pStyle w:val="Contents5"/>
            <w:tabs>
              <w:tab w:val="clear" w:pos="7892"/>
              <w:tab w:val="right" w:pos="9026" w:leader="dot"/>
            </w:tabs>
            <w:rPr/>
          </w:pPr>
          <w:hyperlink w:anchor="__RefHeading___Toc6963581_73709187">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6963583_73709187">
            <w:r>
              <w:rPr>
                <w:webHidden/>
                <w:rStyle w:val="IndexLink"/>
                <w:rtl w:val="true"/>
              </w:rPr>
              <w:t>الأثر البنّاء للبداء</w:t>
            </w:r>
            <w:r>
              <w:rPr>
                <w:rStyle w:val="IndexLink"/>
                <w:rtl w:val="true"/>
              </w:rPr>
              <w:tab/>
            </w:r>
            <w:r>
              <w:rPr>
                <w:rStyle w:val="IndexLink"/>
              </w:rPr>
              <w:t>172</w:t>
            </w:r>
          </w:hyperlink>
        </w:p>
        <w:p>
          <w:pPr>
            <w:pStyle w:val="Contents5"/>
            <w:tabs>
              <w:tab w:val="clear" w:pos="7892"/>
              <w:tab w:val="right" w:pos="9026" w:leader="dot"/>
            </w:tabs>
            <w:rPr/>
          </w:pPr>
          <w:hyperlink w:anchor="__RefHeading___Toc6963585_73709187">
            <w:r>
              <w:rPr>
                <w:webHidden/>
                <w:rStyle w:val="IndexLink"/>
                <w:rtl w:val="true"/>
              </w:rPr>
              <w:t>ممّا يترتّب على القول بالبداء</w:t>
            </w:r>
            <w:r>
              <w:rPr>
                <w:rStyle w:val="IndexLink"/>
                <w:rtl w:val="true"/>
              </w:rPr>
              <w:tab/>
            </w:r>
            <w:r>
              <w:rPr>
                <w:rStyle w:val="IndexLink"/>
              </w:rPr>
              <w:t>173</w:t>
            </w:r>
          </w:hyperlink>
        </w:p>
        <w:p>
          <w:pPr>
            <w:pStyle w:val="Contents6"/>
            <w:tabs>
              <w:tab w:val="clear" w:pos="7609"/>
              <w:tab w:val="right" w:pos="9026" w:leader="dot"/>
            </w:tabs>
            <w:rPr/>
          </w:pPr>
          <w:hyperlink w:anchor="__RefHeading___Toc6963587_73709187">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6963589_73709187">
            <w:r>
              <w:rPr>
                <w:webHidden/>
                <w:rStyle w:val="IndexLink"/>
              </w:rPr>
              <w:t>1</w:t>
            </w:r>
            <w:r>
              <w:rPr>
                <w:rStyle w:val="IndexLink"/>
                <w:rtl w:val="true"/>
              </w:rPr>
              <w:t xml:space="preserve">. </w:t>
            </w:r>
            <w:r>
              <w:rPr>
                <w:rStyle w:val="IndexLink"/>
                <w:rtl w:val="true"/>
              </w:rPr>
              <w:t>رفع العذاب عن قوم نبي اللّه يونس عليه السلام</w:t>
            </w:r>
            <w:r>
              <w:rPr>
                <w:rStyle w:val="IndexLink"/>
                <w:rtl w:val="true"/>
              </w:rPr>
              <w:tab/>
            </w:r>
            <w:r>
              <w:rPr>
                <w:rStyle w:val="IndexLink"/>
              </w:rPr>
              <w:t>173</w:t>
            </w:r>
          </w:hyperlink>
        </w:p>
        <w:p>
          <w:pPr>
            <w:pStyle w:val="Contents6"/>
            <w:tabs>
              <w:tab w:val="clear" w:pos="7609"/>
              <w:tab w:val="right" w:pos="9026" w:leader="dot"/>
            </w:tabs>
            <w:rPr/>
          </w:pPr>
          <w:hyperlink w:anchor="__RefHeading___Toc6963591_73709187">
            <w:r>
              <w:rPr>
                <w:webHidden/>
                <w:rStyle w:val="IndexLink"/>
              </w:rPr>
              <w:t>2</w:t>
            </w:r>
            <w:r>
              <w:rPr>
                <w:rStyle w:val="IndexLink"/>
                <w:rtl w:val="true"/>
              </w:rPr>
              <w:t xml:space="preserve">. </w:t>
            </w:r>
            <w:r>
              <w:rPr>
                <w:rStyle w:val="IndexLink"/>
                <w:rtl w:val="true"/>
              </w:rPr>
              <w:t>الإعراض عن ذبح إسماعيل</w:t>
            </w:r>
            <w:r>
              <w:rPr>
                <w:rStyle w:val="IndexLink"/>
                <w:rtl w:val="true"/>
              </w:rPr>
              <w:tab/>
            </w:r>
            <w:r>
              <w:rPr>
                <w:rStyle w:val="IndexLink"/>
              </w:rPr>
              <w:t>173</w:t>
            </w:r>
          </w:hyperlink>
        </w:p>
        <w:p>
          <w:pPr>
            <w:pStyle w:val="Contents6"/>
            <w:tabs>
              <w:tab w:val="clear" w:pos="7609"/>
              <w:tab w:val="right" w:pos="9026" w:leader="dot"/>
            </w:tabs>
            <w:rPr/>
          </w:pPr>
          <w:hyperlink w:anchor="__RefHeading___Toc6963593_73709187">
            <w:r>
              <w:rPr>
                <w:webHidden/>
                <w:rStyle w:val="IndexLink"/>
              </w:rPr>
              <w:t>3</w:t>
            </w:r>
            <w:r>
              <w:rPr>
                <w:rStyle w:val="IndexLink"/>
                <w:rtl w:val="true"/>
              </w:rPr>
              <w:t xml:space="preserve">. </w:t>
            </w:r>
            <w:r>
              <w:rPr>
                <w:rStyle w:val="IndexLink"/>
                <w:rtl w:val="true"/>
              </w:rPr>
              <w:t>إكمال ميقات موسى عليه السلام</w:t>
            </w:r>
            <w:r>
              <w:rPr>
                <w:rStyle w:val="IndexLink"/>
                <w:rtl w:val="true"/>
              </w:rPr>
              <w:tab/>
            </w:r>
            <w:r>
              <w:rPr>
                <w:rStyle w:val="IndexLink"/>
              </w:rPr>
              <w:t>174</w:t>
            </w:r>
          </w:hyperlink>
        </w:p>
        <w:p>
          <w:pPr>
            <w:pStyle w:val="Contents4"/>
            <w:tabs>
              <w:tab w:val="clear" w:pos="8176"/>
              <w:tab w:val="right" w:pos="9026" w:leader="dot"/>
            </w:tabs>
            <w:rPr/>
          </w:pPr>
          <w:hyperlink w:anchor="__RefHeading___Toc6963595_73709187">
            <w:r>
              <w:rPr>
                <w:webHidden/>
                <w:rStyle w:val="IndexLink"/>
              </w:rPr>
              <w:t>2</w:t>
            </w:r>
            <w:r>
              <w:rPr>
                <w:rStyle w:val="IndexLink"/>
                <w:rtl w:val="true"/>
              </w:rPr>
              <w:t xml:space="preserve">. </w:t>
            </w:r>
            <w:r>
              <w:rPr>
                <w:rStyle w:val="IndexLink"/>
                <w:rtl w:val="true"/>
              </w:rPr>
              <w:t>ما هو معنى</w:t>
            </w:r>
            <w:r>
              <w:rPr>
                <w:rStyle w:val="IndexLink"/>
                <w:rtl w:val="true"/>
              </w:rPr>
              <w:t>: «</w:t>
            </w:r>
            <w:r>
              <w:rPr>
                <w:rStyle w:val="IndexLink"/>
                <w:rtl w:val="true"/>
              </w:rPr>
              <w:t>بدا للّه</w:t>
            </w:r>
            <w:r>
              <w:rPr>
                <w:rStyle w:val="IndexLink"/>
                <w:rtl w:val="true"/>
              </w:rPr>
              <w:t xml:space="preserve">» </w:t>
            </w:r>
            <w:r>
              <w:rPr>
                <w:rStyle w:val="IndexLink"/>
                <w:rtl w:val="true"/>
              </w:rPr>
              <w:t>في حديث الرسول صلى الله عليه و آله و سلم‌؟</w:t>
            </w:r>
            <w:r>
              <w:rPr>
                <w:rStyle w:val="IndexLink"/>
                <w:rtl w:val="true"/>
              </w:rPr>
              <w:tab/>
            </w:r>
            <w:r>
              <w:rPr>
                <w:rStyle w:val="IndexLink"/>
              </w:rPr>
              <w:t>176</w:t>
            </w:r>
          </w:hyperlink>
        </w:p>
        <w:p>
          <w:pPr>
            <w:pStyle w:val="Contents2"/>
            <w:tabs>
              <w:tab w:val="clear" w:pos="8743"/>
              <w:tab w:val="right" w:pos="9026" w:leader="dot"/>
            </w:tabs>
            <w:rPr/>
          </w:pPr>
          <w:hyperlink w:anchor="__RefHeading___Toc6963597_73709187">
            <w:r>
              <w:rPr>
                <w:webHidden/>
                <w:rStyle w:val="IndexLink"/>
                <w:rtl w:val="true"/>
              </w:rPr>
              <w:t>الفصل الثالث</w:t>
            </w:r>
            <w:r>
              <w:rPr>
                <w:rStyle w:val="IndexLink"/>
                <w:rtl w:val="true"/>
              </w:rPr>
              <w:t xml:space="preserve">: </w:t>
            </w:r>
            <w:r>
              <w:rPr>
                <w:rStyle w:val="IndexLink"/>
                <w:rtl w:val="true"/>
              </w:rPr>
              <w:t>مقالات قرآنية</w:t>
            </w:r>
            <w:r>
              <w:rPr>
                <w:rStyle w:val="IndexLink"/>
                <w:rtl w:val="true"/>
              </w:rPr>
              <w:tab/>
            </w:r>
            <w:r>
              <w:rPr>
                <w:rStyle w:val="IndexLink"/>
              </w:rPr>
              <w:t>182</w:t>
            </w:r>
          </w:hyperlink>
        </w:p>
        <w:p>
          <w:pPr>
            <w:pStyle w:val="Contents3"/>
            <w:tabs>
              <w:tab w:val="clear" w:pos="8459"/>
              <w:tab w:val="right" w:pos="9026" w:leader="dot"/>
            </w:tabs>
            <w:rPr/>
          </w:pPr>
          <w:hyperlink w:anchor="__RefHeading___Toc6963599_73709187">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6963601_73709187">
            <w:r>
              <w:rPr>
                <w:webHidden/>
                <w:rStyle w:val="IndexLink"/>
              </w:rPr>
              <w:t>1</w:t>
            </w:r>
            <w:r>
              <w:rPr>
                <w:rStyle w:val="IndexLink"/>
                <w:rtl w:val="true"/>
              </w:rPr>
              <w:t xml:space="preserve"> </w:t>
            </w:r>
            <w:r>
              <w:rPr>
                <w:rStyle w:val="IndexLink"/>
                <w:rtl w:val="true"/>
              </w:rPr>
              <w:t>المجاز في القرآن الكريم</w:t>
            </w:r>
            <w:r>
              <w:rPr>
                <w:rStyle w:val="IndexLink"/>
                <w:rtl w:val="true"/>
              </w:rPr>
              <w:tab/>
            </w:r>
            <w:r>
              <w:rPr>
                <w:rStyle w:val="IndexLink"/>
              </w:rPr>
              <w:t>183</w:t>
            </w:r>
          </w:hyperlink>
        </w:p>
        <w:p>
          <w:pPr>
            <w:pStyle w:val="Contents4"/>
            <w:tabs>
              <w:tab w:val="clear" w:pos="8176"/>
              <w:tab w:val="right" w:pos="9026" w:leader="dot"/>
            </w:tabs>
            <w:rPr/>
          </w:pPr>
          <w:hyperlink w:anchor="__RefHeading___Toc6963603_73709187">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6963605_73709187">
            <w:r>
              <w:rPr>
                <w:webHidden/>
                <w:rStyle w:val="IndexLink"/>
              </w:rPr>
              <w:t>1</w:t>
            </w:r>
            <w:r>
              <w:rPr>
                <w:rStyle w:val="IndexLink"/>
                <w:rtl w:val="true"/>
              </w:rPr>
              <w:t xml:space="preserve">. </w:t>
            </w:r>
            <w:r>
              <w:rPr>
                <w:rStyle w:val="IndexLink"/>
                <w:rtl w:val="true"/>
              </w:rPr>
              <w:t>التأكيد على الحسن والصباحة</w:t>
            </w:r>
            <w:r>
              <w:rPr>
                <w:rStyle w:val="IndexLink"/>
                <w:rtl w:val="true"/>
              </w:rPr>
              <w:tab/>
            </w:r>
            <w:r>
              <w:rPr>
                <w:rStyle w:val="IndexLink"/>
              </w:rPr>
              <w:t>185</w:t>
            </w:r>
          </w:hyperlink>
        </w:p>
        <w:p>
          <w:pPr>
            <w:pStyle w:val="Contents4"/>
            <w:tabs>
              <w:tab w:val="clear" w:pos="8176"/>
              <w:tab w:val="right" w:pos="9026" w:leader="dot"/>
            </w:tabs>
            <w:rPr/>
          </w:pPr>
          <w:hyperlink w:anchor="__RefHeading___Toc6963607_73709187">
            <w:r>
              <w:rPr>
                <w:webHidden/>
                <w:rStyle w:val="IndexLink"/>
              </w:rPr>
              <w:t>2</w:t>
            </w:r>
            <w:r>
              <w:rPr>
                <w:rStyle w:val="IndexLink"/>
                <w:rtl w:val="true"/>
              </w:rPr>
              <w:t xml:space="preserve">. </w:t>
            </w:r>
            <w:r>
              <w:rPr>
                <w:rStyle w:val="IndexLink"/>
                <w:rtl w:val="true"/>
              </w:rPr>
              <w:t>التأكيد على الشجاعة التامّة</w:t>
            </w:r>
            <w:r>
              <w:rPr>
                <w:rStyle w:val="IndexLink"/>
                <w:rtl w:val="true"/>
              </w:rPr>
              <w:tab/>
            </w:r>
            <w:r>
              <w:rPr>
                <w:rStyle w:val="IndexLink"/>
              </w:rPr>
              <w:t>185</w:t>
            </w:r>
          </w:hyperlink>
        </w:p>
        <w:p>
          <w:pPr>
            <w:pStyle w:val="Contents4"/>
            <w:tabs>
              <w:tab w:val="clear" w:pos="8176"/>
              <w:tab w:val="right" w:pos="9026" w:leader="dot"/>
            </w:tabs>
            <w:rPr/>
          </w:pPr>
          <w:hyperlink w:anchor="__RefHeading___Toc6963609_73709187">
            <w:r>
              <w:rPr>
                <w:webHidden/>
                <w:rStyle w:val="IndexLink"/>
              </w:rPr>
              <w:t>3</w:t>
            </w:r>
            <w:r>
              <w:rPr>
                <w:rStyle w:val="IndexLink"/>
                <w:rtl w:val="true"/>
              </w:rPr>
              <w:t xml:space="preserve">. </w:t>
            </w:r>
            <w:r>
              <w:rPr>
                <w:rStyle w:val="IndexLink"/>
                <w:rtl w:val="true"/>
              </w:rPr>
              <w:t>إثارة التعجّب</w:t>
            </w:r>
            <w:r>
              <w:rPr>
                <w:rStyle w:val="IndexLink"/>
                <w:rtl w:val="true"/>
              </w:rPr>
              <w:tab/>
            </w:r>
            <w:r>
              <w:rPr>
                <w:rStyle w:val="IndexLink"/>
              </w:rPr>
              <w:t>186</w:t>
            </w:r>
          </w:hyperlink>
        </w:p>
        <w:p>
          <w:pPr>
            <w:pStyle w:val="Contents4"/>
            <w:tabs>
              <w:tab w:val="clear" w:pos="8176"/>
              <w:tab w:val="right" w:pos="9026" w:leader="dot"/>
            </w:tabs>
            <w:rPr/>
          </w:pPr>
          <w:hyperlink w:anchor="__RefHeading___Toc6963611_73709187">
            <w:r>
              <w:rPr>
                <w:webHidden/>
                <w:rStyle w:val="IndexLink"/>
              </w:rPr>
              <w:t>4</w:t>
            </w:r>
            <w:r>
              <w:rPr>
                <w:rStyle w:val="IndexLink"/>
                <w:rtl w:val="true"/>
              </w:rPr>
              <w:t xml:space="preserve">. </w:t>
            </w:r>
            <w:r>
              <w:rPr>
                <w:rStyle w:val="IndexLink"/>
                <w:rtl w:val="true"/>
              </w:rPr>
              <w:t>رفع التعجّب</w:t>
            </w:r>
            <w:r>
              <w:rPr>
                <w:rStyle w:val="IndexLink"/>
                <w:rtl w:val="true"/>
              </w:rPr>
              <w:tab/>
            </w:r>
            <w:r>
              <w:rPr>
                <w:rStyle w:val="IndexLink"/>
              </w:rPr>
              <w:t>187</w:t>
            </w:r>
          </w:hyperlink>
        </w:p>
        <w:p>
          <w:pPr>
            <w:pStyle w:val="Contents5"/>
            <w:tabs>
              <w:tab w:val="clear" w:pos="7892"/>
              <w:tab w:val="right" w:pos="9026" w:leader="dot"/>
            </w:tabs>
            <w:rPr/>
          </w:pPr>
          <w:hyperlink w:anchor="__RefHeading___Toc6963613_73709187">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6963615_73709187">
            <w:r>
              <w:rPr>
                <w:webHidden/>
                <w:rStyle w:val="IndexLink"/>
                <w:rtl w:val="true"/>
              </w:rPr>
              <w:t>سؤال وإجابة</w:t>
            </w:r>
            <w:r>
              <w:rPr>
                <w:rStyle w:val="IndexLink"/>
                <w:rtl w:val="true"/>
              </w:rPr>
              <w:tab/>
            </w:r>
            <w:r>
              <w:rPr>
                <w:rStyle w:val="IndexLink"/>
              </w:rPr>
              <w:t>187</w:t>
            </w:r>
          </w:hyperlink>
        </w:p>
        <w:p>
          <w:pPr>
            <w:pStyle w:val="Contents5"/>
            <w:tabs>
              <w:tab w:val="clear" w:pos="7892"/>
              <w:tab w:val="right" w:pos="9026" w:leader="dot"/>
            </w:tabs>
            <w:rPr/>
          </w:pPr>
          <w:hyperlink w:anchor="__RefHeading___Toc6963617_73709187">
            <w:r>
              <w:rPr>
                <w:webHidden/>
                <w:rStyle w:val="IndexLink"/>
                <w:rtl w:val="true"/>
              </w:rPr>
              <w:t>سؤال آخر</w:t>
            </w:r>
            <w:r>
              <w:rPr>
                <w:rStyle w:val="IndexLink"/>
                <w:rtl w:val="true"/>
              </w:rPr>
              <w:tab/>
            </w:r>
            <w:r>
              <w:rPr>
                <w:rStyle w:val="IndexLink"/>
              </w:rPr>
              <w:t>188</w:t>
            </w:r>
          </w:hyperlink>
        </w:p>
        <w:p>
          <w:pPr>
            <w:pStyle w:val="Contents5"/>
            <w:tabs>
              <w:tab w:val="clear" w:pos="7892"/>
              <w:tab w:val="right" w:pos="9026" w:leader="dot"/>
            </w:tabs>
            <w:rPr/>
          </w:pPr>
          <w:hyperlink w:anchor="__RefHeading___Toc6963619_73709187">
            <w:r>
              <w:rPr>
                <w:webHidden/>
                <w:rStyle w:val="IndexLink"/>
                <w:rtl w:val="true"/>
              </w:rPr>
              <w:t>الكناية والتعريض في القرآن الكريم</w:t>
            </w:r>
            <w:r>
              <w:rPr>
                <w:rStyle w:val="IndexLink"/>
                <w:rtl w:val="true"/>
              </w:rPr>
              <w:tab/>
            </w:r>
            <w:r>
              <w:rPr>
                <w:rStyle w:val="IndexLink"/>
              </w:rPr>
              <w:t>191</w:t>
            </w:r>
          </w:hyperlink>
        </w:p>
        <w:p>
          <w:pPr>
            <w:pStyle w:val="Contents4"/>
            <w:tabs>
              <w:tab w:val="clear" w:pos="8176"/>
              <w:tab w:val="right" w:pos="9026" w:leader="dot"/>
            </w:tabs>
            <w:rPr/>
          </w:pPr>
          <w:hyperlink w:anchor="__RefHeading___Toc6963621_73709187">
            <w:r>
              <w:rPr>
                <w:webHidden/>
                <w:rStyle w:val="IndexLink"/>
                <w:rtl w:val="true"/>
              </w:rPr>
              <w:t>أدلّة النافين لوجود المجاز في القرآن</w:t>
            </w:r>
            <w:r>
              <w:rPr>
                <w:rStyle w:val="IndexLink"/>
                <w:rtl w:val="true"/>
              </w:rPr>
              <w:tab/>
            </w:r>
            <w:r>
              <w:rPr>
                <w:rStyle w:val="IndexLink"/>
              </w:rPr>
              <w:t>200</w:t>
            </w:r>
          </w:hyperlink>
        </w:p>
        <w:p>
          <w:pPr>
            <w:pStyle w:val="Contents5"/>
            <w:tabs>
              <w:tab w:val="clear" w:pos="7892"/>
              <w:tab w:val="right" w:pos="9026" w:leader="dot"/>
            </w:tabs>
            <w:rPr/>
          </w:pPr>
          <w:hyperlink w:anchor="__RefHeading___Toc6963623_73709187">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6963625_73709187">
            <w:r>
              <w:rPr>
                <w:webHidden/>
                <w:rStyle w:val="IndexLink"/>
                <w:rtl w:val="true"/>
              </w:rPr>
              <w:t>الأوّل</w:t>
            </w:r>
            <w:r>
              <w:rPr>
                <w:rStyle w:val="IndexLink"/>
                <w:rtl w:val="true"/>
              </w:rPr>
              <w:t xml:space="preserve">: </w:t>
            </w:r>
            <w:r>
              <w:rPr>
                <w:rStyle w:val="IndexLink"/>
                <w:rtl w:val="true"/>
              </w:rPr>
              <w:t>المثبتون للصفات بمعانيها الحرفية</w:t>
            </w:r>
            <w:r>
              <w:rPr>
                <w:rStyle w:val="IndexLink"/>
                <w:rtl w:val="true"/>
              </w:rPr>
              <w:tab/>
            </w:r>
            <w:r>
              <w:rPr>
                <w:rStyle w:val="IndexLink"/>
              </w:rPr>
              <w:t>206</w:t>
            </w:r>
          </w:hyperlink>
        </w:p>
        <w:p>
          <w:pPr>
            <w:pStyle w:val="Contents5"/>
            <w:tabs>
              <w:tab w:val="clear" w:pos="7892"/>
              <w:tab w:val="right" w:pos="9026" w:leader="dot"/>
            </w:tabs>
            <w:rPr/>
          </w:pPr>
          <w:hyperlink w:anchor="__RefHeading___Toc6963627_73709187">
            <w:r>
              <w:rPr>
                <w:webHidden/>
                <w:rStyle w:val="IndexLink"/>
                <w:rtl w:val="true"/>
              </w:rPr>
              <w:t>الثاني</w:t>
            </w:r>
            <w:r>
              <w:rPr>
                <w:rStyle w:val="IndexLink"/>
                <w:rtl w:val="true"/>
              </w:rPr>
              <w:t xml:space="preserve">: </w:t>
            </w:r>
            <w:r>
              <w:rPr>
                <w:rStyle w:val="IndexLink"/>
                <w:rtl w:val="true"/>
              </w:rPr>
              <w:t>المثبتون بلا كيف</w:t>
            </w:r>
            <w:r>
              <w:rPr>
                <w:rStyle w:val="IndexLink"/>
                <w:rtl w:val="true"/>
              </w:rPr>
              <w:tab/>
            </w:r>
            <w:r>
              <w:rPr>
                <w:rStyle w:val="IndexLink"/>
              </w:rPr>
              <w:t>207</w:t>
            </w:r>
          </w:hyperlink>
        </w:p>
        <w:p>
          <w:pPr>
            <w:pStyle w:val="Contents5"/>
            <w:tabs>
              <w:tab w:val="clear" w:pos="7892"/>
              <w:tab w:val="right" w:pos="9026" w:leader="dot"/>
            </w:tabs>
            <w:rPr/>
          </w:pPr>
          <w:hyperlink w:anchor="__RefHeading___Toc6963629_73709187">
            <w:r>
              <w:rPr>
                <w:webHidden/>
                <w:rStyle w:val="IndexLink"/>
                <w:rtl w:val="true"/>
              </w:rPr>
              <w:t>الثالث</w:t>
            </w:r>
            <w:r>
              <w:rPr>
                <w:rStyle w:val="IndexLink"/>
                <w:rtl w:val="true"/>
              </w:rPr>
              <w:t xml:space="preserve">: </w:t>
            </w:r>
            <w:r>
              <w:rPr>
                <w:rStyle w:val="IndexLink"/>
                <w:rtl w:val="true"/>
              </w:rPr>
              <w:t>منهج التفويض</w:t>
            </w:r>
            <w:r>
              <w:rPr>
                <w:rStyle w:val="IndexLink"/>
                <w:rtl w:val="true"/>
              </w:rPr>
              <w:tab/>
            </w:r>
            <w:r>
              <w:rPr>
                <w:rStyle w:val="IndexLink"/>
              </w:rPr>
              <w:t>209</w:t>
            </w:r>
          </w:hyperlink>
        </w:p>
        <w:p>
          <w:pPr>
            <w:pStyle w:val="Contents5"/>
            <w:tabs>
              <w:tab w:val="clear" w:pos="7892"/>
              <w:tab w:val="right" w:pos="9026" w:leader="dot"/>
            </w:tabs>
            <w:rPr/>
          </w:pPr>
          <w:hyperlink w:anchor="__RefHeading___Toc6963631_73709187">
            <w:r>
              <w:rPr>
                <w:webHidden/>
                <w:rStyle w:val="IndexLink"/>
                <w:rtl w:val="true"/>
              </w:rPr>
              <w:t>الرابع</w:t>
            </w:r>
            <w:r>
              <w:rPr>
                <w:rStyle w:val="IndexLink"/>
                <w:rtl w:val="true"/>
              </w:rPr>
              <w:t xml:space="preserve">: </w:t>
            </w:r>
            <w:r>
              <w:rPr>
                <w:rStyle w:val="IndexLink"/>
                <w:rtl w:val="true"/>
              </w:rPr>
              <w:t>منهج التأويل</w:t>
            </w:r>
            <w:r>
              <w:rPr>
                <w:rStyle w:val="IndexLink"/>
                <w:rtl w:val="true"/>
              </w:rPr>
              <w:tab/>
            </w:r>
            <w:r>
              <w:rPr>
                <w:rStyle w:val="IndexLink"/>
              </w:rPr>
              <w:t>210</w:t>
            </w:r>
          </w:hyperlink>
        </w:p>
        <w:p>
          <w:pPr>
            <w:pStyle w:val="Contents5"/>
            <w:tabs>
              <w:tab w:val="clear" w:pos="7892"/>
              <w:tab w:val="right" w:pos="9026" w:leader="dot"/>
            </w:tabs>
            <w:rPr/>
          </w:pPr>
          <w:hyperlink w:anchor="__RefHeading___Toc6963633_73709187">
            <w:r>
              <w:rPr>
                <w:webHidden/>
                <w:rStyle w:val="IndexLink"/>
                <w:rtl w:val="true"/>
              </w:rPr>
              <w:t>الخامس</w:t>
            </w:r>
            <w:r>
              <w:rPr>
                <w:rStyle w:val="IndexLink"/>
                <w:rtl w:val="true"/>
              </w:rPr>
              <w:t xml:space="preserve">: </w:t>
            </w:r>
            <w:r>
              <w:rPr>
                <w:rStyle w:val="IndexLink"/>
                <w:rtl w:val="true"/>
              </w:rPr>
              <w:t>الأخذ بالظهور التصديقي دون التصوري</w:t>
            </w:r>
            <w:r>
              <w:rPr>
                <w:rStyle w:val="IndexLink"/>
                <w:rtl w:val="true"/>
              </w:rPr>
              <w:tab/>
            </w:r>
            <w:r>
              <w:rPr>
                <w:rStyle w:val="IndexLink"/>
              </w:rPr>
              <w:t>212</w:t>
            </w:r>
          </w:hyperlink>
        </w:p>
        <w:p>
          <w:pPr>
            <w:pStyle w:val="Contents6"/>
            <w:tabs>
              <w:tab w:val="clear" w:pos="7609"/>
              <w:tab w:val="right" w:pos="9026" w:leader="dot"/>
            </w:tabs>
            <w:rPr/>
          </w:pPr>
          <w:hyperlink w:anchor="__RefHeading___Toc6963635_73709187">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6963637_73709187">
            <w:r>
              <w:rPr>
                <w:webHidden/>
                <w:rStyle w:val="IndexLink"/>
                <w:rtl w:val="true"/>
              </w:rPr>
              <w:t>نموذج آخر</w:t>
            </w:r>
            <w:r>
              <w:rPr>
                <w:rStyle w:val="IndexLink"/>
                <w:rtl w:val="true"/>
              </w:rPr>
              <w:tab/>
            </w:r>
            <w:r>
              <w:rPr>
                <w:rStyle w:val="IndexLink"/>
              </w:rPr>
              <w:t>214</w:t>
            </w:r>
          </w:hyperlink>
        </w:p>
        <w:p>
          <w:pPr>
            <w:pStyle w:val="Contents5"/>
            <w:tabs>
              <w:tab w:val="clear" w:pos="7892"/>
              <w:tab w:val="right" w:pos="9026" w:leader="dot"/>
            </w:tabs>
            <w:rPr/>
          </w:pPr>
          <w:hyperlink w:anchor="__RefHeading___Toc6963639_73709187">
            <w:r>
              <w:rPr>
                <w:webHidden/>
                <w:rStyle w:val="IndexLink"/>
                <w:rtl w:val="true"/>
              </w:rPr>
              <w:t>الشبهة السادسة</w:t>
            </w:r>
            <w:r>
              <w:rPr>
                <w:rStyle w:val="IndexLink"/>
                <w:rtl w:val="true"/>
              </w:rPr>
              <w:tab/>
            </w:r>
            <w:r>
              <w:rPr>
                <w:rStyle w:val="IndexLink"/>
              </w:rPr>
              <w:t>217</w:t>
            </w:r>
          </w:hyperlink>
        </w:p>
        <w:p>
          <w:pPr>
            <w:pStyle w:val="Contents5"/>
            <w:tabs>
              <w:tab w:val="clear" w:pos="7892"/>
              <w:tab w:val="right" w:pos="9026" w:leader="dot"/>
            </w:tabs>
            <w:rPr/>
          </w:pPr>
          <w:hyperlink w:anchor="__RefHeading___Toc6963641_73709187">
            <w:r>
              <w:rPr>
                <w:webHidden/>
                <w:rStyle w:val="IndexLink"/>
                <w:rtl w:val="true"/>
              </w:rPr>
              <w:t>الشبهة السابعة</w:t>
            </w:r>
            <w:r>
              <w:rPr>
                <w:rStyle w:val="IndexLink"/>
                <w:rtl w:val="true"/>
              </w:rPr>
              <w:t>:</w:t>
              <w:tab/>
            </w:r>
            <w:r>
              <w:rPr>
                <w:rStyle w:val="IndexLink"/>
              </w:rPr>
              <w:t>220</w:t>
            </w:r>
          </w:hyperlink>
        </w:p>
        <w:p>
          <w:pPr>
            <w:pStyle w:val="Contents5"/>
            <w:tabs>
              <w:tab w:val="clear" w:pos="7892"/>
              <w:tab w:val="right" w:pos="9026" w:leader="dot"/>
            </w:tabs>
            <w:rPr/>
          </w:pPr>
          <w:hyperlink w:anchor="__RefHeading___Toc6963643_73709187">
            <w:r>
              <w:rPr>
                <w:webHidden/>
                <w:rStyle w:val="IndexLink"/>
                <w:rtl w:val="true"/>
              </w:rPr>
              <w:t>الشبهة الثامنة</w:t>
            </w:r>
            <w:r>
              <w:rPr>
                <w:rStyle w:val="IndexLink"/>
                <w:rtl w:val="true"/>
              </w:rPr>
              <w:t>:</w:t>
              <w:tab/>
            </w:r>
            <w:r>
              <w:rPr>
                <w:rStyle w:val="IndexLink"/>
              </w:rPr>
              <w:t>221</w:t>
            </w:r>
          </w:hyperlink>
        </w:p>
        <w:p>
          <w:pPr>
            <w:pStyle w:val="Contents5"/>
            <w:tabs>
              <w:tab w:val="clear" w:pos="7892"/>
              <w:tab w:val="right" w:pos="9026" w:leader="dot"/>
            </w:tabs>
            <w:rPr/>
          </w:pPr>
          <w:hyperlink w:anchor="__RefHeading___Toc6963645_73709187">
            <w:r>
              <w:rPr>
                <w:webHidden/>
                <w:rStyle w:val="IndexLink"/>
                <w:rtl w:val="true"/>
              </w:rPr>
              <w:t>الشبهة التاسعة</w:t>
            </w:r>
            <w:r>
              <w:rPr>
                <w:rStyle w:val="IndexLink"/>
                <w:rtl w:val="true"/>
              </w:rPr>
              <w:t>:</w:t>
              <w:tab/>
            </w:r>
            <w:r>
              <w:rPr>
                <w:rStyle w:val="IndexLink"/>
              </w:rPr>
              <w:t>222</w:t>
            </w:r>
          </w:hyperlink>
        </w:p>
        <w:p>
          <w:pPr>
            <w:pStyle w:val="Contents4"/>
            <w:tabs>
              <w:tab w:val="clear" w:pos="8176"/>
              <w:tab w:val="right" w:pos="9026" w:leader="dot"/>
            </w:tabs>
            <w:rPr/>
          </w:pPr>
          <w:hyperlink w:anchor="__RefHeading___Toc6963647_73709187">
            <w:r>
              <w:rPr>
                <w:webHidden/>
                <w:rStyle w:val="IndexLink"/>
                <w:rtl w:val="true"/>
              </w:rPr>
              <w:t>المجازات في الأحاديث النبوية</w:t>
            </w:r>
            <w:r>
              <w:rPr>
                <w:rStyle w:val="IndexLink"/>
                <w:rtl w:val="true"/>
              </w:rPr>
              <w:tab/>
            </w:r>
            <w:r>
              <w:rPr>
                <w:rStyle w:val="IndexLink"/>
              </w:rPr>
              <w:t>223</w:t>
            </w:r>
          </w:hyperlink>
        </w:p>
        <w:p>
          <w:pPr>
            <w:pStyle w:val="Contents4"/>
            <w:tabs>
              <w:tab w:val="clear" w:pos="8176"/>
              <w:tab w:val="right" w:pos="9026" w:leader="dot"/>
            </w:tabs>
            <w:rPr/>
          </w:pPr>
          <w:hyperlink w:anchor="__RefHeading___Toc6963649_73709187">
            <w:r>
              <w:rPr>
                <w:webHidden/>
                <w:rStyle w:val="IndexLink"/>
                <w:rtl w:val="true"/>
              </w:rPr>
              <w:t>عود على بدء أو نقد رسالة الشيخ الشنقيطي</w:t>
            </w:r>
            <w:r>
              <w:rPr>
                <w:rStyle w:val="IndexLink"/>
                <w:rtl w:val="true"/>
              </w:rPr>
              <w:tab/>
            </w:r>
            <w:r>
              <w:rPr>
                <w:rStyle w:val="IndexLink"/>
              </w:rPr>
              <w:t>229</w:t>
            </w:r>
          </w:hyperlink>
        </w:p>
        <w:p>
          <w:pPr>
            <w:pStyle w:val="Contents5"/>
            <w:tabs>
              <w:tab w:val="clear" w:pos="7892"/>
              <w:tab w:val="right" w:pos="9026" w:leader="dot"/>
            </w:tabs>
            <w:rPr/>
          </w:pPr>
          <w:hyperlink w:anchor="__RefHeading___Toc6963651_73709187">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6963653_73709187">
            <w:r>
              <w:rPr>
                <w:webHidden/>
                <w:rStyle w:val="IndexLink"/>
                <w:rtl w:val="true"/>
              </w:rPr>
              <w:t>النزاع في اللفظ والتسمية</w:t>
            </w:r>
            <w:r>
              <w:rPr>
                <w:rStyle w:val="IndexLink"/>
                <w:rtl w:val="true"/>
              </w:rPr>
              <w:tab/>
            </w:r>
            <w:r>
              <w:rPr>
                <w:rStyle w:val="IndexLink"/>
              </w:rPr>
              <w:t>234</w:t>
            </w:r>
          </w:hyperlink>
        </w:p>
        <w:p>
          <w:pPr>
            <w:pStyle w:val="Contents5"/>
            <w:tabs>
              <w:tab w:val="clear" w:pos="7892"/>
              <w:tab w:val="right" w:pos="9026" w:leader="dot"/>
            </w:tabs>
            <w:rPr/>
          </w:pPr>
          <w:hyperlink w:anchor="__RefHeading___Toc6963655_73709187">
            <w:r>
              <w:rPr>
                <w:webHidden/>
                <w:rStyle w:val="IndexLink"/>
                <w:rtl w:val="true"/>
              </w:rPr>
              <w:t>زلّة لا تستقال</w:t>
            </w:r>
            <w:r>
              <w:rPr>
                <w:rStyle w:val="IndexLink"/>
                <w:rtl w:val="true"/>
              </w:rPr>
              <w:tab/>
            </w:r>
            <w:r>
              <w:rPr>
                <w:rStyle w:val="IndexLink"/>
              </w:rPr>
              <w:t>235</w:t>
            </w:r>
          </w:hyperlink>
        </w:p>
        <w:p>
          <w:pPr>
            <w:pStyle w:val="Contents5"/>
            <w:tabs>
              <w:tab w:val="clear" w:pos="7892"/>
              <w:tab w:val="right" w:pos="9026" w:leader="dot"/>
            </w:tabs>
            <w:rPr/>
          </w:pPr>
          <w:hyperlink w:anchor="__RefHeading___Toc6963657_73709187">
            <w:r>
              <w:rPr>
                <w:webHidden/>
                <w:rStyle w:val="IndexLink"/>
                <w:rtl w:val="true"/>
              </w:rPr>
              <w:t>نقضت غزلها أنكاثاً</w:t>
            </w:r>
            <w:r>
              <w:rPr>
                <w:rStyle w:val="IndexLink"/>
                <w:rtl w:val="true"/>
              </w:rPr>
              <w:tab/>
            </w:r>
            <w:r>
              <w:rPr>
                <w:rStyle w:val="IndexLink"/>
              </w:rPr>
              <w:t>237</w:t>
            </w:r>
          </w:hyperlink>
        </w:p>
        <w:p>
          <w:pPr>
            <w:pStyle w:val="Contents3"/>
            <w:tabs>
              <w:tab w:val="clear" w:pos="8459"/>
              <w:tab w:val="right" w:pos="9026" w:leader="dot"/>
            </w:tabs>
            <w:rPr/>
          </w:pPr>
          <w:hyperlink w:anchor="__RefHeading___Toc6963659_73709187">
            <w:r>
              <w:rPr>
                <w:webHidden/>
                <w:rStyle w:val="IndexLink"/>
              </w:rPr>
              <w:t>2</w:t>
            </w:r>
            <w:r>
              <w:rPr>
                <w:rStyle w:val="IndexLink"/>
                <w:rtl w:val="true"/>
              </w:rPr>
              <w:t xml:space="preserve"> </w:t>
            </w:r>
            <w:r>
              <w:rPr>
                <w:rStyle w:val="IndexLink"/>
                <w:rtl w:val="true"/>
              </w:rPr>
              <w:t>الوحي</w:t>
            </w:r>
            <w:r>
              <w:rPr>
                <w:rStyle w:val="IndexLink"/>
                <w:rtl w:val="true"/>
              </w:rPr>
              <w:t xml:space="preserve">: </w:t>
            </w:r>
            <w:r>
              <w:rPr>
                <w:rStyle w:val="IndexLink"/>
                <w:rtl w:val="true"/>
              </w:rPr>
              <w:t>لغة واصطلاحاً</w:t>
            </w:r>
            <w:r>
              <w:rPr>
                <w:rStyle w:val="IndexLink"/>
                <w:rtl w:val="true"/>
              </w:rPr>
              <w:tab/>
            </w:r>
            <w:r>
              <w:rPr>
                <w:rStyle w:val="IndexLink"/>
              </w:rPr>
              <w:t>239</w:t>
            </w:r>
          </w:hyperlink>
        </w:p>
        <w:p>
          <w:pPr>
            <w:pStyle w:val="Contents4"/>
            <w:tabs>
              <w:tab w:val="clear" w:pos="8176"/>
              <w:tab w:val="right" w:pos="9026" w:leader="dot"/>
            </w:tabs>
            <w:rPr/>
          </w:pPr>
          <w:hyperlink w:anchor="__RefHeading___Toc6963661_73709187">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6963663_73709187">
            <w:r>
              <w:rPr>
                <w:webHidden/>
                <w:rStyle w:val="IndexLink"/>
              </w:rPr>
              <w:t>1</w:t>
            </w:r>
            <w:r>
              <w:rPr>
                <w:rStyle w:val="IndexLink"/>
                <w:rtl w:val="true"/>
              </w:rPr>
              <w:t xml:space="preserve">. </w:t>
            </w:r>
            <w:r>
              <w:rPr>
                <w:rStyle w:val="IndexLink"/>
                <w:rtl w:val="true"/>
              </w:rPr>
              <w:t>تقدير الخلقة بالسنن والقوانين</w:t>
            </w:r>
            <w:r>
              <w:rPr>
                <w:rStyle w:val="IndexLink"/>
                <w:rtl w:val="true"/>
              </w:rPr>
              <w:tab/>
            </w:r>
            <w:r>
              <w:rPr>
                <w:rStyle w:val="IndexLink"/>
              </w:rPr>
              <w:t>239</w:t>
            </w:r>
          </w:hyperlink>
        </w:p>
        <w:p>
          <w:pPr>
            <w:pStyle w:val="Contents4"/>
            <w:tabs>
              <w:tab w:val="clear" w:pos="8176"/>
              <w:tab w:val="right" w:pos="9026" w:leader="dot"/>
            </w:tabs>
            <w:rPr/>
          </w:pPr>
          <w:hyperlink w:anchor="__RefHeading___Toc6963665_73709187">
            <w:r>
              <w:rPr>
                <w:webHidden/>
                <w:rStyle w:val="IndexLink"/>
              </w:rPr>
              <w:t>2</w:t>
            </w:r>
            <w:r>
              <w:rPr>
                <w:rStyle w:val="IndexLink"/>
                <w:rtl w:val="true"/>
              </w:rPr>
              <w:t xml:space="preserve">. </w:t>
            </w:r>
            <w:r>
              <w:rPr>
                <w:rStyle w:val="IndexLink"/>
                <w:rtl w:val="true"/>
              </w:rPr>
              <w:t>الإدراك والغريزة</w:t>
            </w:r>
            <w:r>
              <w:rPr>
                <w:rStyle w:val="IndexLink"/>
                <w:rtl w:val="true"/>
              </w:rPr>
              <w:tab/>
            </w:r>
            <w:r>
              <w:rPr>
                <w:rStyle w:val="IndexLink"/>
              </w:rPr>
              <w:t>240</w:t>
            </w:r>
          </w:hyperlink>
        </w:p>
        <w:p>
          <w:pPr>
            <w:pStyle w:val="Contents4"/>
            <w:tabs>
              <w:tab w:val="clear" w:pos="8176"/>
              <w:tab w:val="right" w:pos="9026" w:leader="dot"/>
            </w:tabs>
            <w:rPr/>
          </w:pPr>
          <w:hyperlink w:anchor="__RefHeading___Toc6963667_73709187">
            <w:r>
              <w:rPr>
                <w:webHidden/>
                <w:rStyle w:val="IndexLink"/>
              </w:rPr>
              <w:t>3</w:t>
            </w:r>
            <w:r>
              <w:rPr>
                <w:rStyle w:val="IndexLink"/>
                <w:rtl w:val="true"/>
              </w:rPr>
              <w:t xml:space="preserve">. </w:t>
            </w:r>
            <w:r>
              <w:rPr>
                <w:rStyle w:val="IndexLink"/>
                <w:rtl w:val="true"/>
              </w:rPr>
              <w:t>الإلهام والإلقاء في القلب</w:t>
            </w:r>
            <w:r>
              <w:rPr>
                <w:rStyle w:val="IndexLink"/>
                <w:rtl w:val="true"/>
              </w:rPr>
              <w:tab/>
            </w:r>
            <w:r>
              <w:rPr>
                <w:rStyle w:val="IndexLink"/>
              </w:rPr>
              <w:t>241</w:t>
            </w:r>
          </w:hyperlink>
        </w:p>
        <w:p>
          <w:pPr>
            <w:pStyle w:val="Contents4"/>
            <w:tabs>
              <w:tab w:val="clear" w:pos="8176"/>
              <w:tab w:val="right" w:pos="9026" w:leader="dot"/>
            </w:tabs>
            <w:rPr/>
          </w:pPr>
          <w:hyperlink w:anchor="__RefHeading___Toc6963669_73709187">
            <w:r>
              <w:rPr>
                <w:webHidden/>
                <w:rStyle w:val="IndexLink"/>
              </w:rPr>
              <w:t>4</w:t>
            </w:r>
            <w:r>
              <w:rPr>
                <w:rStyle w:val="IndexLink"/>
                <w:rtl w:val="true"/>
              </w:rPr>
              <w:t xml:space="preserve">. </w:t>
            </w:r>
            <w:r>
              <w:rPr>
                <w:rStyle w:val="IndexLink"/>
                <w:rtl w:val="true"/>
              </w:rPr>
              <w:t>الإشارة</w:t>
            </w:r>
            <w:r>
              <w:rPr>
                <w:rStyle w:val="IndexLink"/>
                <w:rtl w:val="true"/>
              </w:rPr>
              <w:tab/>
            </w:r>
            <w:r>
              <w:rPr>
                <w:rStyle w:val="IndexLink"/>
              </w:rPr>
              <w:t>241</w:t>
            </w:r>
          </w:hyperlink>
        </w:p>
        <w:p>
          <w:pPr>
            <w:pStyle w:val="Contents4"/>
            <w:tabs>
              <w:tab w:val="clear" w:pos="8176"/>
              <w:tab w:val="right" w:pos="9026" w:leader="dot"/>
            </w:tabs>
            <w:rPr/>
          </w:pPr>
          <w:hyperlink w:anchor="__RefHeading___Toc6963671_73709187">
            <w:r>
              <w:rPr>
                <w:webHidden/>
                <w:rStyle w:val="IndexLink"/>
              </w:rPr>
              <w:t>5</w:t>
            </w:r>
            <w:r>
              <w:rPr>
                <w:rStyle w:val="IndexLink"/>
                <w:rtl w:val="true"/>
              </w:rPr>
              <w:t xml:space="preserve">. </w:t>
            </w:r>
            <w:r>
              <w:rPr>
                <w:rStyle w:val="IndexLink"/>
                <w:rtl w:val="true"/>
              </w:rPr>
              <w:t>الإلقاءات الشيطانية</w:t>
            </w:r>
            <w:r>
              <w:rPr>
                <w:rStyle w:val="IndexLink"/>
                <w:rtl w:val="true"/>
              </w:rPr>
              <w:tab/>
            </w:r>
            <w:r>
              <w:rPr>
                <w:rStyle w:val="IndexLink"/>
              </w:rPr>
              <w:t>242</w:t>
            </w:r>
          </w:hyperlink>
        </w:p>
        <w:p>
          <w:pPr>
            <w:pStyle w:val="Contents4"/>
            <w:tabs>
              <w:tab w:val="clear" w:pos="8176"/>
              <w:tab w:val="right" w:pos="9026" w:leader="dot"/>
            </w:tabs>
            <w:rPr/>
          </w:pPr>
          <w:hyperlink w:anchor="__RefHeading___Toc6963673_73709187">
            <w:r>
              <w:rPr>
                <w:webHidden/>
                <w:rStyle w:val="IndexLink"/>
              </w:rPr>
              <w:t>6</w:t>
            </w:r>
            <w:r>
              <w:rPr>
                <w:rStyle w:val="IndexLink"/>
                <w:rtl w:val="true"/>
              </w:rPr>
              <w:t xml:space="preserve">. </w:t>
            </w:r>
            <w:r>
              <w:rPr>
                <w:rStyle w:val="IndexLink"/>
                <w:rtl w:val="true"/>
              </w:rPr>
              <w:t>كلام اللّه المنزل على نبي من أنبيائه</w:t>
            </w:r>
            <w:r>
              <w:rPr>
                <w:rStyle w:val="IndexLink"/>
                <w:rtl w:val="true"/>
              </w:rPr>
              <w:tab/>
            </w:r>
            <w:r>
              <w:rPr>
                <w:rStyle w:val="IndexLink"/>
              </w:rPr>
              <w:t>242</w:t>
            </w:r>
          </w:hyperlink>
        </w:p>
        <w:p>
          <w:pPr>
            <w:pStyle w:val="Contents4"/>
            <w:tabs>
              <w:tab w:val="clear" w:pos="8176"/>
              <w:tab w:val="right" w:pos="9026" w:leader="dot"/>
            </w:tabs>
            <w:rPr/>
          </w:pPr>
          <w:hyperlink w:anchor="__RefHeading___Toc6963675_73709187">
            <w:r>
              <w:rPr>
                <w:webHidden/>
                <w:rStyle w:val="IndexLink"/>
                <w:rtl w:val="true"/>
              </w:rPr>
              <w:t>قنوات المعرفة الثلاث</w:t>
            </w:r>
            <w:r>
              <w:rPr>
                <w:rStyle w:val="IndexLink"/>
                <w:rtl w:val="true"/>
              </w:rPr>
              <w:tab/>
            </w:r>
            <w:r>
              <w:rPr>
                <w:rStyle w:val="IndexLink"/>
              </w:rPr>
              <w:t>242</w:t>
            </w:r>
          </w:hyperlink>
        </w:p>
        <w:p>
          <w:pPr>
            <w:pStyle w:val="Contents5"/>
            <w:tabs>
              <w:tab w:val="clear" w:pos="7892"/>
              <w:tab w:val="right" w:pos="9026" w:leader="dot"/>
            </w:tabs>
            <w:rPr/>
          </w:pPr>
          <w:hyperlink w:anchor="__RefHeading___Toc6963677_73709187">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6963679_73709187">
            <w:r>
              <w:rPr>
                <w:webHidden/>
                <w:rStyle w:val="IndexLink"/>
              </w:rPr>
              <w:t>1</w:t>
            </w:r>
            <w:r>
              <w:rPr>
                <w:rStyle w:val="IndexLink"/>
                <w:rtl w:val="true"/>
              </w:rPr>
              <w:t xml:space="preserve">. </w:t>
            </w:r>
            <w:r>
              <w:rPr>
                <w:rStyle w:val="IndexLink"/>
                <w:rtl w:val="true"/>
              </w:rPr>
              <w:t>الطريق الحسّي والتجربي</w:t>
            </w:r>
            <w:r>
              <w:rPr>
                <w:rStyle w:val="IndexLink"/>
                <w:rtl w:val="true"/>
              </w:rPr>
              <w:tab/>
            </w:r>
            <w:r>
              <w:rPr>
                <w:rStyle w:val="IndexLink"/>
              </w:rPr>
              <w:t>243</w:t>
            </w:r>
          </w:hyperlink>
        </w:p>
        <w:p>
          <w:pPr>
            <w:pStyle w:val="Contents5"/>
            <w:tabs>
              <w:tab w:val="clear" w:pos="7892"/>
              <w:tab w:val="right" w:pos="9026" w:leader="dot"/>
            </w:tabs>
            <w:rPr/>
          </w:pPr>
          <w:hyperlink w:anchor="__RefHeading___Toc6963681_73709187">
            <w:r>
              <w:rPr>
                <w:webHidden/>
                <w:rStyle w:val="IndexLink"/>
              </w:rPr>
              <w:t>2</w:t>
            </w:r>
            <w:r>
              <w:rPr>
                <w:rStyle w:val="IndexLink"/>
                <w:rtl w:val="true"/>
              </w:rPr>
              <w:t xml:space="preserve">. </w:t>
            </w:r>
            <w:r>
              <w:rPr>
                <w:rStyle w:val="IndexLink"/>
                <w:rtl w:val="true"/>
              </w:rPr>
              <w:t>الطريق التعقّلي النظري</w:t>
            </w:r>
            <w:r>
              <w:rPr>
                <w:rStyle w:val="IndexLink"/>
                <w:rtl w:val="true"/>
              </w:rPr>
              <w:tab/>
            </w:r>
            <w:r>
              <w:rPr>
                <w:rStyle w:val="IndexLink"/>
              </w:rPr>
              <w:t>243</w:t>
            </w:r>
          </w:hyperlink>
        </w:p>
        <w:p>
          <w:pPr>
            <w:pStyle w:val="Contents5"/>
            <w:tabs>
              <w:tab w:val="clear" w:pos="7892"/>
              <w:tab w:val="right" w:pos="9026" w:leader="dot"/>
            </w:tabs>
            <w:rPr/>
          </w:pPr>
          <w:hyperlink w:anchor="__RefHeading___Toc6963683_73709187">
            <w:r>
              <w:rPr>
                <w:webHidden/>
                <w:rStyle w:val="IndexLink"/>
              </w:rPr>
              <w:t>3</w:t>
            </w:r>
            <w:r>
              <w:rPr>
                <w:rStyle w:val="IndexLink"/>
                <w:rtl w:val="true"/>
              </w:rPr>
              <w:t xml:space="preserve">. </w:t>
            </w:r>
            <w:r>
              <w:rPr>
                <w:rStyle w:val="IndexLink"/>
                <w:rtl w:val="true"/>
              </w:rPr>
              <w:t>طريق الإلهام</w:t>
            </w:r>
            <w:r>
              <w:rPr>
                <w:rStyle w:val="IndexLink"/>
                <w:rtl w:val="true"/>
              </w:rPr>
              <w:tab/>
            </w:r>
            <w:r>
              <w:rPr>
                <w:rStyle w:val="IndexLink"/>
              </w:rPr>
              <w:t>243</w:t>
            </w:r>
          </w:hyperlink>
        </w:p>
        <w:p>
          <w:pPr>
            <w:pStyle w:val="Contents4"/>
            <w:tabs>
              <w:tab w:val="clear" w:pos="8176"/>
              <w:tab w:val="right" w:pos="9026" w:leader="dot"/>
            </w:tabs>
            <w:rPr/>
          </w:pPr>
          <w:hyperlink w:anchor="__RefHeading___Toc6963685_73709187">
            <w:r>
              <w:rPr>
                <w:webHidden/>
                <w:rStyle w:val="IndexLink"/>
                <w:rtl w:val="true"/>
              </w:rPr>
              <w:t>أنواع الوحي وأقسامه</w:t>
            </w:r>
            <w:r>
              <w:rPr>
                <w:rStyle w:val="IndexLink"/>
                <w:rtl w:val="true"/>
              </w:rPr>
              <w:t>:</w:t>
              <w:tab/>
            </w:r>
            <w:r>
              <w:rPr>
                <w:rStyle w:val="IndexLink"/>
              </w:rPr>
              <w:t>244</w:t>
            </w:r>
          </w:hyperlink>
        </w:p>
        <w:p>
          <w:pPr>
            <w:pStyle w:val="Contents5"/>
            <w:tabs>
              <w:tab w:val="clear" w:pos="7892"/>
              <w:tab w:val="right" w:pos="9026" w:leader="dot"/>
            </w:tabs>
            <w:rPr/>
          </w:pPr>
          <w:hyperlink w:anchor="__RefHeading___Toc6963687_73709187">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6963689_73709187">
            <w:r>
              <w:rPr>
                <w:webHidden/>
                <w:rStyle w:val="IndexLink"/>
              </w:rPr>
              <w:t>1</w:t>
            </w:r>
            <w:r>
              <w:rPr>
                <w:rStyle w:val="IndexLink"/>
                <w:rtl w:val="true"/>
              </w:rPr>
              <w:t xml:space="preserve">. </w:t>
            </w:r>
            <w:r>
              <w:rPr>
                <w:rStyle w:val="IndexLink"/>
                <w:rtl w:val="true"/>
              </w:rPr>
              <w:t>الوحي وليد النبوغ</w:t>
            </w:r>
            <w:r>
              <w:rPr>
                <w:rStyle w:val="IndexLink"/>
                <w:rtl w:val="true"/>
              </w:rPr>
              <w:tab/>
            </w:r>
            <w:r>
              <w:rPr>
                <w:rStyle w:val="IndexLink"/>
              </w:rPr>
              <w:t>245</w:t>
            </w:r>
          </w:hyperlink>
        </w:p>
        <w:p>
          <w:pPr>
            <w:pStyle w:val="Contents5"/>
            <w:tabs>
              <w:tab w:val="clear" w:pos="7892"/>
              <w:tab w:val="right" w:pos="9026" w:leader="dot"/>
            </w:tabs>
            <w:rPr/>
          </w:pPr>
          <w:hyperlink w:anchor="__RefHeading___Toc6963691_73709187">
            <w:r>
              <w:rPr>
                <w:webHidden/>
                <w:rStyle w:val="IndexLink"/>
              </w:rPr>
              <w:t>2</w:t>
            </w:r>
            <w:r>
              <w:rPr>
                <w:rStyle w:val="IndexLink"/>
                <w:rtl w:val="true"/>
              </w:rPr>
              <w:t xml:space="preserve">. </w:t>
            </w:r>
            <w:r>
              <w:rPr>
                <w:rStyle w:val="IndexLink"/>
                <w:rtl w:val="true"/>
              </w:rPr>
              <w:t>الوحي ثمرة الأحوال الروحية</w:t>
            </w:r>
            <w:r>
              <w:rPr>
                <w:rStyle w:val="IndexLink"/>
                <w:rtl w:val="true"/>
              </w:rPr>
              <w:tab/>
            </w:r>
            <w:r>
              <w:rPr>
                <w:rStyle w:val="IndexLink"/>
              </w:rPr>
              <w:t>248</w:t>
            </w:r>
          </w:hyperlink>
        </w:p>
        <w:p>
          <w:pPr>
            <w:pStyle w:val="Contents5"/>
            <w:tabs>
              <w:tab w:val="clear" w:pos="7892"/>
              <w:tab w:val="right" w:pos="9026" w:leader="dot"/>
            </w:tabs>
            <w:rPr/>
          </w:pPr>
          <w:hyperlink w:anchor="__RefHeading___Toc6963693_73709187">
            <w:r>
              <w:rPr>
                <w:webHidden/>
                <w:rStyle w:val="IndexLink"/>
                <w:rtl w:val="true"/>
              </w:rPr>
              <w:t>نبوة أو أضغاث أحلام‌؟</w:t>
            </w:r>
            <w:r>
              <w:rPr>
                <w:rStyle w:val="IndexLink"/>
                <w:rtl w:val="true"/>
              </w:rPr>
              <w:t>!</w:t>
              <w:tab/>
            </w:r>
            <w:r>
              <w:rPr>
                <w:rStyle w:val="IndexLink"/>
              </w:rPr>
              <w:t>250</w:t>
            </w:r>
          </w:hyperlink>
        </w:p>
        <w:p>
          <w:pPr>
            <w:pStyle w:val="Contents3"/>
            <w:tabs>
              <w:tab w:val="clear" w:pos="8459"/>
              <w:tab w:val="right" w:pos="9026" w:leader="dot"/>
            </w:tabs>
            <w:rPr/>
          </w:pPr>
          <w:hyperlink w:anchor="__RefHeading___Toc6963695_73709187">
            <w:r>
              <w:rPr>
                <w:webHidden/>
                <w:rStyle w:val="IndexLink"/>
              </w:rPr>
              <w:t>3</w:t>
            </w:r>
            <w:r>
              <w:rPr>
                <w:rStyle w:val="IndexLink"/>
                <w:rtl w:val="true"/>
              </w:rPr>
              <w:t xml:space="preserve"> </w:t>
            </w:r>
            <w:r>
              <w:rPr>
                <w:rStyle w:val="IndexLink"/>
                <w:rtl w:val="true"/>
              </w:rPr>
              <w:t>نزول القرآن في شهر رمضان و بعثته في رجب</w:t>
            </w:r>
            <w:r>
              <w:rPr>
                <w:rStyle w:val="IndexLink"/>
                <w:rtl w:val="true"/>
              </w:rPr>
              <w:tab/>
            </w:r>
            <w:r>
              <w:rPr>
                <w:rStyle w:val="IndexLink"/>
              </w:rPr>
              <w:t>251</w:t>
            </w:r>
          </w:hyperlink>
        </w:p>
        <w:p>
          <w:pPr>
            <w:pStyle w:val="Contents4"/>
            <w:tabs>
              <w:tab w:val="clear" w:pos="8176"/>
              <w:tab w:val="right" w:pos="9026" w:leader="dot"/>
            </w:tabs>
            <w:rPr/>
          </w:pPr>
          <w:hyperlink w:anchor="__RefHeading___Toc6963697_73709187">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6963699_73709187">
            <w:r>
              <w:rPr>
                <w:webHidden/>
                <w:rStyle w:val="IndexLink"/>
                <w:rtl w:val="true"/>
              </w:rPr>
              <w:t>و في الرواية تأمّلات واضحة</w:t>
            </w:r>
            <w:r>
              <w:rPr>
                <w:rStyle w:val="IndexLink"/>
                <w:rtl w:val="true"/>
              </w:rPr>
              <w:t>:</w:t>
              <w:tab/>
            </w:r>
            <w:r>
              <w:rPr>
                <w:rStyle w:val="IndexLink"/>
              </w:rPr>
              <w:t>253</w:t>
            </w:r>
          </w:hyperlink>
        </w:p>
        <w:p>
          <w:pPr>
            <w:pStyle w:val="Contents4"/>
            <w:tabs>
              <w:tab w:val="clear" w:pos="8176"/>
              <w:tab w:val="right" w:pos="9026" w:leader="dot"/>
            </w:tabs>
            <w:rPr/>
          </w:pPr>
          <w:hyperlink w:anchor="__RefHeading___Toc6963701_73709187">
            <w:r>
              <w:rPr>
                <w:webHidden/>
                <w:rStyle w:val="IndexLink"/>
                <w:rtl w:val="true"/>
              </w:rPr>
              <w:t>سؤال وإجابة</w:t>
            </w:r>
            <w:r>
              <w:rPr>
                <w:rStyle w:val="IndexLink"/>
                <w:rtl w:val="true"/>
              </w:rPr>
              <w:tab/>
            </w:r>
            <w:r>
              <w:rPr>
                <w:rStyle w:val="IndexLink"/>
              </w:rPr>
              <w:t>256</w:t>
            </w:r>
          </w:hyperlink>
        </w:p>
        <w:p>
          <w:pPr>
            <w:pStyle w:val="Contents3"/>
            <w:tabs>
              <w:tab w:val="clear" w:pos="8459"/>
              <w:tab w:val="right" w:pos="9026" w:leader="dot"/>
            </w:tabs>
            <w:rPr/>
          </w:pPr>
          <w:hyperlink w:anchor="__RefHeading___Toc6963703_73709187">
            <w:r>
              <w:rPr>
                <w:webHidden/>
                <w:rStyle w:val="IndexLink"/>
              </w:rPr>
              <w:t>4</w:t>
            </w:r>
            <w:r>
              <w:rPr>
                <w:rStyle w:val="IndexLink"/>
                <w:rtl w:val="true"/>
              </w:rPr>
              <w:t xml:space="preserve"> </w:t>
            </w:r>
            <w:r>
              <w:rPr>
                <w:rStyle w:val="IndexLink"/>
                <w:rtl w:val="true"/>
              </w:rPr>
              <w:t>فرية انقطاع الوحي وفتوره وأُسطورة شق الصدر</w:t>
            </w:r>
            <w:r>
              <w:rPr>
                <w:rStyle w:val="IndexLink"/>
                <w:rtl w:val="true"/>
              </w:rPr>
              <w:tab/>
            </w:r>
            <w:r>
              <w:rPr>
                <w:rStyle w:val="IndexLink"/>
              </w:rPr>
              <w:t>259</w:t>
            </w:r>
          </w:hyperlink>
        </w:p>
        <w:p>
          <w:pPr>
            <w:pStyle w:val="Contents4"/>
            <w:tabs>
              <w:tab w:val="clear" w:pos="8176"/>
              <w:tab w:val="right" w:pos="9026" w:leader="dot"/>
            </w:tabs>
            <w:rPr/>
          </w:pPr>
          <w:hyperlink w:anchor="__RefHeading___Toc6963705_73709187">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6963707_73709187">
            <w:r>
              <w:rPr>
                <w:webHidden/>
                <w:rStyle w:val="IndexLink"/>
                <w:rtl w:val="true"/>
              </w:rPr>
              <w:t>فرية انقطاع الوحي وفتوره</w:t>
            </w:r>
            <w:r>
              <w:rPr>
                <w:rStyle w:val="IndexLink"/>
                <w:rtl w:val="true"/>
              </w:rPr>
              <w:tab/>
            </w:r>
            <w:r>
              <w:rPr>
                <w:rStyle w:val="IndexLink"/>
              </w:rPr>
              <w:t>262</w:t>
            </w:r>
          </w:hyperlink>
        </w:p>
        <w:p>
          <w:pPr>
            <w:pStyle w:val="Contents4"/>
            <w:tabs>
              <w:tab w:val="clear" w:pos="8176"/>
              <w:tab w:val="right" w:pos="9026" w:leader="dot"/>
            </w:tabs>
            <w:rPr/>
          </w:pPr>
          <w:hyperlink w:anchor="__RefHeading___Toc6963709_73709187">
            <w:r>
              <w:rPr>
                <w:webHidden/>
                <w:rStyle w:val="IndexLink"/>
                <w:rtl w:val="true"/>
              </w:rPr>
              <w:t>شقّ الصدر أو القلب أو البطن، أُسطورة أُخرى</w:t>
            </w:r>
            <w:r>
              <w:rPr>
                <w:rStyle w:val="IndexLink"/>
                <w:rtl w:val="true"/>
              </w:rPr>
              <w:tab/>
            </w:r>
            <w:r>
              <w:rPr>
                <w:rStyle w:val="IndexLink"/>
              </w:rPr>
              <w:t>269</w:t>
            </w:r>
          </w:hyperlink>
        </w:p>
        <w:p>
          <w:pPr>
            <w:pStyle w:val="Contents3"/>
            <w:tabs>
              <w:tab w:val="clear" w:pos="8459"/>
              <w:tab w:val="right" w:pos="9026" w:leader="dot"/>
            </w:tabs>
            <w:rPr/>
          </w:pPr>
          <w:hyperlink w:anchor="__RefHeading___Toc6963711_73709187">
            <w:r>
              <w:rPr>
                <w:webHidden/>
                <w:rStyle w:val="IndexLink"/>
              </w:rPr>
              <w:t>5</w:t>
            </w:r>
            <w:r>
              <w:rPr>
                <w:rStyle w:val="IndexLink"/>
                <w:rtl w:val="true"/>
              </w:rPr>
              <w:t xml:space="preserve"> </w:t>
            </w:r>
            <w:r>
              <w:rPr>
                <w:rStyle w:val="IndexLink"/>
                <w:rtl w:val="true"/>
              </w:rPr>
              <w:t>غار حراء، وذكريات النبي صلى الله عليه و آله و سلم فيه</w:t>
            </w:r>
            <w:r>
              <w:rPr>
                <w:rStyle w:val="IndexLink"/>
                <w:rtl w:val="true"/>
              </w:rPr>
              <w:tab/>
            </w:r>
            <w:r>
              <w:rPr>
                <w:rStyle w:val="IndexLink"/>
              </w:rPr>
              <w:t>275</w:t>
            </w:r>
          </w:hyperlink>
        </w:p>
        <w:p>
          <w:pPr>
            <w:pStyle w:val="Contents4"/>
            <w:tabs>
              <w:tab w:val="clear" w:pos="8176"/>
              <w:tab w:val="right" w:pos="9026" w:leader="dot"/>
            </w:tabs>
            <w:rPr/>
          </w:pPr>
          <w:hyperlink w:anchor="__RefHeading___Toc6963713_73709187">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6963715_73709187">
            <w:r>
              <w:rPr>
                <w:webHidden/>
                <w:rStyle w:val="IndexLink"/>
              </w:rPr>
              <w:t>1</w:t>
            </w:r>
            <w:r>
              <w:rPr>
                <w:rStyle w:val="IndexLink"/>
                <w:rtl w:val="true"/>
              </w:rPr>
              <w:t xml:space="preserve">. </w:t>
            </w:r>
            <w:r>
              <w:rPr>
                <w:rStyle w:val="IndexLink"/>
                <w:rtl w:val="true"/>
              </w:rPr>
              <w:t>تغطية جبرئيل النبي صلى الله عليه و آله و سلم</w:t>
            </w:r>
            <w:r>
              <w:rPr>
                <w:rStyle w:val="IndexLink"/>
                <w:rtl w:val="true"/>
              </w:rPr>
              <w:tab/>
            </w:r>
            <w:r>
              <w:rPr>
                <w:rStyle w:val="IndexLink"/>
              </w:rPr>
              <w:t>276</w:t>
            </w:r>
          </w:hyperlink>
        </w:p>
        <w:p>
          <w:pPr>
            <w:pStyle w:val="Contents4"/>
            <w:tabs>
              <w:tab w:val="clear" w:pos="8176"/>
              <w:tab w:val="right" w:pos="9026" w:leader="dot"/>
            </w:tabs>
            <w:rPr/>
          </w:pPr>
          <w:hyperlink w:anchor="__RefHeading___Toc6963717_73709187">
            <w:r>
              <w:rPr>
                <w:webHidden/>
                <w:rStyle w:val="IndexLink"/>
              </w:rPr>
              <w:t>2</w:t>
            </w:r>
            <w:r>
              <w:rPr>
                <w:rStyle w:val="IndexLink"/>
                <w:rtl w:val="true"/>
              </w:rPr>
              <w:t xml:space="preserve">. </w:t>
            </w:r>
            <w:r>
              <w:rPr>
                <w:rStyle w:val="IndexLink"/>
                <w:rtl w:val="true"/>
              </w:rPr>
              <w:t>شكّ النبي صلى الله عليه و آله و سلم في نبوته ورسالته</w:t>
            </w:r>
            <w:r>
              <w:rPr>
                <w:rStyle w:val="IndexLink"/>
                <w:rtl w:val="true"/>
              </w:rPr>
              <w:tab/>
            </w:r>
            <w:r>
              <w:rPr>
                <w:rStyle w:val="IndexLink"/>
              </w:rPr>
              <w:t>277</w:t>
            </w:r>
          </w:hyperlink>
        </w:p>
        <w:p>
          <w:pPr>
            <w:pStyle w:val="Contents4"/>
            <w:tabs>
              <w:tab w:val="clear" w:pos="8176"/>
              <w:tab w:val="right" w:pos="9026" w:leader="dot"/>
            </w:tabs>
            <w:rPr/>
          </w:pPr>
          <w:hyperlink w:anchor="__RefHeading___Toc6963719_73709187">
            <w:r>
              <w:rPr>
                <w:webHidden/>
                <w:rStyle w:val="IndexLink"/>
                <w:rtl w:val="true"/>
              </w:rPr>
              <w:t>نظرة تحليلية حول هذه النصوص</w:t>
            </w:r>
            <w:r>
              <w:rPr>
                <w:rStyle w:val="IndexLink"/>
                <w:rtl w:val="true"/>
              </w:rPr>
              <w:t>:</w:t>
              <w:tab/>
            </w:r>
            <w:r>
              <w:rPr>
                <w:rStyle w:val="IndexLink"/>
              </w:rPr>
              <w:t>283</w:t>
            </w:r>
          </w:hyperlink>
        </w:p>
        <w:p>
          <w:pPr>
            <w:pStyle w:val="Contents3"/>
            <w:tabs>
              <w:tab w:val="clear" w:pos="8459"/>
              <w:tab w:val="right" w:pos="9026" w:leader="dot"/>
            </w:tabs>
            <w:rPr/>
          </w:pPr>
          <w:hyperlink w:anchor="__RefHeading___Toc6963721_73709187">
            <w:r>
              <w:rPr>
                <w:webHidden/>
                <w:rStyle w:val="IndexLink"/>
              </w:rPr>
              <w:t>6</w:t>
            </w:r>
            <w:r>
              <w:rPr>
                <w:rStyle w:val="IndexLink"/>
                <w:rtl w:val="true"/>
              </w:rPr>
              <w:t xml:space="preserve"> </w:t>
            </w:r>
            <w:r>
              <w:rPr>
                <w:rStyle w:val="IndexLink"/>
                <w:rtl w:val="true"/>
              </w:rPr>
              <w:t>صيانة القرآن من التحريف</w:t>
            </w:r>
            <w:r>
              <w:rPr>
                <w:rStyle w:val="IndexLink"/>
                <w:rtl w:val="true"/>
              </w:rPr>
              <w:tab/>
            </w:r>
            <w:r>
              <w:rPr>
                <w:rStyle w:val="IndexLink"/>
              </w:rPr>
              <w:t>287</w:t>
            </w:r>
          </w:hyperlink>
        </w:p>
        <w:p>
          <w:pPr>
            <w:pStyle w:val="Contents4"/>
            <w:tabs>
              <w:tab w:val="clear" w:pos="8176"/>
              <w:tab w:val="right" w:pos="9026" w:leader="dot"/>
            </w:tabs>
            <w:rPr/>
          </w:pPr>
          <w:hyperlink w:anchor="__RefHeading___Toc6963723_73709187">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6963725_73709187">
            <w:r>
              <w:rPr>
                <w:webHidden/>
                <w:rStyle w:val="IndexLink"/>
                <w:rtl w:val="true"/>
              </w:rPr>
              <w:t>القرآن الكريم عند أهل البيت عليهم السلام</w:t>
            </w:r>
            <w:r>
              <w:rPr>
                <w:rStyle w:val="IndexLink"/>
                <w:rtl w:val="true"/>
              </w:rPr>
              <w:tab/>
            </w:r>
            <w:r>
              <w:rPr>
                <w:rStyle w:val="IndexLink"/>
              </w:rPr>
              <w:t>290</w:t>
            </w:r>
          </w:hyperlink>
        </w:p>
        <w:p>
          <w:pPr>
            <w:pStyle w:val="Contents4"/>
            <w:tabs>
              <w:tab w:val="clear" w:pos="8176"/>
              <w:tab w:val="right" w:pos="9026" w:leader="dot"/>
            </w:tabs>
            <w:rPr/>
          </w:pPr>
          <w:hyperlink w:anchor="__RefHeading___Toc6963727_73709187">
            <w:r>
              <w:rPr>
                <w:webHidden/>
                <w:rStyle w:val="IndexLink"/>
                <w:rtl w:val="true"/>
              </w:rPr>
              <w:t>صيانة القرآن من التحريف</w:t>
            </w:r>
            <w:r>
              <w:rPr>
                <w:rStyle w:val="IndexLink"/>
                <w:rtl w:val="true"/>
              </w:rPr>
              <w:tab/>
            </w:r>
            <w:r>
              <w:rPr>
                <w:rStyle w:val="IndexLink"/>
              </w:rPr>
              <w:t>294</w:t>
            </w:r>
          </w:hyperlink>
        </w:p>
        <w:p>
          <w:pPr>
            <w:pStyle w:val="Contents4"/>
            <w:tabs>
              <w:tab w:val="clear" w:pos="8176"/>
              <w:tab w:val="right" w:pos="9026" w:leader="dot"/>
            </w:tabs>
            <w:rPr/>
          </w:pPr>
          <w:hyperlink w:anchor="__RefHeading___Toc6963729_73709187">
            <w:r>
              <w:rPr>
                <w:webHidden/>
                <w:rStyle w:val="IndexLink"/>
                <w:rtl w:val="true"/>
              </w:rPr>
              <w:t>القرآن مقياس الحق والباطل</w:t>
            </w:r>
            <w:r>
              <w:rPr>
                <w:rStyle w:val="IndexLink"/>
                <w:rtl w:val="true"/>
              </w:rPr>
              <w:tab/>
            </w:r>
            <w:r>
              <w:rPr>
                <w:rStyle w:val="IndexLink"/>
              </w:rPr>
              <w:t>302</w:t>
            </w:r>
          </w:hyperlink>
        </w:p>
        <w:p>
          <w:pPr>
            <w:pStyle w:val="Contents5"/>
            <w:tabs>
              <w:tab w:val="clear" w:pos="7892"/>
              <w:tab w:val="right" w:pos="9026" w:leader="dot"/>
            </w:tabs>
            <w:rPr/>
          </w:pPr>
          <w:hyperlink w:anchor="__RefHeading___Toc6963731_73709187">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6963733_73709187">
            <w:r>
              <w:rPr>
                <w:webHidden/>
                <w:rStyle w:val="IndexLink"/>
              </w:rPr>
              <w:t>1</w:t>
            </w:r>
            <w:r>
              <w:rPr>
                <w:rStyle w:val="IndexLink"/>
                <w:rtl w:val="true"/>
              </w:rPr>
              <w:t xml:space="preserve">. </w:t>
            </w:r>
            <w:r>
              <w:rPr>
                <w:rStyle w:val="IndexLink"/>
                <w:rtl w:val="true"/>
              </w:rPr>
              <w:t>عرض الروايات المتعارضة على القرآن</w:t>
            </w:r>
            <w:r>
              <w:rPr>
                <w:rStyle w:val="IndexLink"/>
                <w:rtl w:val="true"/>
              </w:rPr>
              <w:tab/>
            </w:r>
            <w:r>
              <w:rPr>
                <w:rStyle w:val="IndexLink"/>
              </w:rPr>
              <w:t>303</w:t>
            </w:r>
          </w:hyperlink>
        </w:p>
        <w:p>
          <w:pPr>
            <w:pStyle w:val="Contents5"/>
            <w:tabs>
              <w:tab w:val="clear" w:pos="7892"/>
              <w:tab w:val="right" w:pos="9026" w:leader="dot"/>
            </w:tabs>
            <w:rPr/>
          </w:pPr>
          <w:hyperlink w:anchor="__RefHeading___Toc6963735_73709187">
            <w:r>
              <w:rPr>
                <w:webHidden/>
                <w:rStyle w:val="IndexLink"/>
              </w:rPr>
              <w:t>2</w:t>
            </w:r>
            <w:r>
              <w:rPr>
                <w:rStyle w:val="IndexLink"/>
                <w:rtl w:val="true"/>
              </w:rPr>
              <w:t xml:space="preserve">. </w:t>
            </w:r>
            <w:r>
              <w:rPr>
                <w:rStyle w:val="IndexLink"/>
                <w:rtl w:val="true"/>
              </w:rPr>
              <w:t>حديث الثقلين</w:t>
            </w:r>
            <w:r>
              <w:rPr>
                <w:rStyle w:val="IndexLink"/>
                <w:rtl w:val="true"/>
              </w:rPr>
              <w:tab/>
            </w:r>
            <w:r>
              <w:rPr>
                <w:rStyle w:val="IndexLink"/>
              </w:rPr>
              <w:t>304</w:t>
            </w:r>
          </w:hyperlink>
        </w:p>
        <w:p>
          <w:pPr>
            <w:pStyle w:val="Contents5"/>
            <w:tabs>
              <w:tab w:val="clear" w:pos="7892"/>
              <w:tab w:val="right" w:pos="9026" w:leader="dot"/>
            </w:tabs>
            <w:rPr/>
          </w:pPr>
          <w:hyperlink w:anchor="__RefHeading___Toc6963737_73709187">
            <w:r>
              <w:rPr>
                <w:webHidden/>
                <w:rStyle w:val="IndexLink"/>
              </w:rPr>
              <w:t>3</w:t>
            </w:r>
            <w:r>
              <w:rPr>
                <w:rStyle w:val="IndexLink"/>
                <w:rtl w:val="true"/>
              </w:rPr>
              <w:t xml:space="preserve">. </w:t>
            </w:r>
            <w:r>
              <w:rPr>
                <w:rStyle w:val="IndexLink"/>
                <w:rtl w:val="true"/>
              </w:rPr>
              <w:t>كمال الدين بكمال القرآن</w:t>
            </w:r>
            <w:r>
              <w:rPr>
                <w:rStyle w:val="IndexLink"/>
                <w:rtl w:val="true"/>
              </w:rPr>
              <w:tab/>
            </w:r>
            <w:r>
              <w:rPr>
                <w:rStyle w:val="IndexLink"/>
              </w:rPr>
              <w:t>304</w:t>
            </w:r>
          </w:hyperlink>
        </w:p>
        <w:p>
          <w:pPr>
            <w:pStyle w:val="Contents6"/>
            <w:tabs>
              <w:tab w:val="clear" w:pos="7609"/>
              <w:tab w:val="right" w:pos="9026" w:leader="dot"/>
            </w:tabs>
            <w:rPr/>
          </w:pPr>
          <w:hyperlink w:anchor="__RefHeading___Toc6963739_73709187">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6963741_73709187">
            <w:r>
              <w:rPr>
                <w:webHidden/>
                <w:rStyle w:val="IndexLink"/>
                <w:rtl w:val="true"/>
              </w:rPr>
              <w:t>شتّان بينهما</w:t>
            </w:r>
            <w:r>
              <w:rPr>
                <w:rStyle w:val="IndexLink"/>
                <w:rtl w:val="true"/>
              </w:rPr>
              <w:tab/>
            </w:r>
            <w:r>
              <w:rPr>
                <w:rStyle w:val="IndexLink"/>
              </w:rPr>
              <w:t>305</w:t>
            </w:r>
          </w:hyperlink>
        </w:p>
        <w:p>
          <w:pPr>
            <w:pStyle w:val="Contents4"/>
            <w:tabs>
              <w:tab w:val="clear" w:pos="8176"/>
              <w:tab w:val="right" w:pos="9026" w:leader="dot"/>
            </w:tabs>
            <w:rPr/>
          </w:pPr>
          <w:hyperlink w:anchor="__RefHeading___Toc6963743_73709187">
            <w:r>
              <w:rPr>
                <w:webHidden/>
                <w:rStyle w:val="IndexLink"/>
                <w:rtl w:val="true"/>
              </w:rPr>
              <w:t>أقوال العلماء السنّة في مسألة القول بالتحريف عند الشيعة</w:t>
            </w:r>
            <w:r>
              <w:rPr>
                <w:rStyle w:val="IndexLink"/>
                <w:rtl w:val="true"/>
              </w:rPr>
              <w:tab/>
            </w:r>
            <w:r>
              <w:rPr>
                <w:rStyle w:val="IndexLink"/>
              </w:rPr>
              <w:t>306</w:t>
            </w:r>
          </w:hyperlink>
        </w:p>
        <w:p>
          <w:pPr>
            <w:pStyle w:val="Contents5"/>
            <w:tabs>
              <w:tab w:val="clear" w:pos="7892"/>
              <w:tab w:val="right" w:pos="9026" w:leader="dot"/>
            </w:tabs>
            <w:rPr/>
          </w:pPr>
          <w:hyperlink w:anchor="__RefHeading___Toc6963745_73709187">
            <w:r>
              <w:rPr>
                <w:webHidden/>
                <w:rStyle w:val="IndexLink"/>
              </w:rPr>
              <w:t>1</w:t>
            </w:r>
            <w:r>
              <w:rPr>
                <w:rStyle w:val="IndexLink"/>
                <w:rtl w:val="true"/>
              </w:rPr>
              <w:t xml:space="preserve">. </w:t>
            </w:r>
            <w:r>
              <w:rPr>
                <w:rStyle w:val="IndexLink"/>
                <w:rtl w:val="true"/>
              </w:rPr>
              <w:t>العلّامة الدهلوي الكيرانوي</w:t>
            </w:r>
            <w:r>
              <w:rPr>
                <w:rStyle w:val="IndexLink"/>
                <w:rtl w:val="true"/>
              </w:rPr>
              <w:tab/>
            </w:r>
            <w:r>
              <w:rPr>
                <w:rStyle w:val="IndexLink"/>
              </w:rPr>
              <w:t>306</w:t>
            </w:r>
          </w:hyperlink>
        </w:p>
        <w:p>
          <w:pPr>
            <w:pStyle w:val="Contents5"/>
            <w:tabs>
              <w:tab w:val="clear" w:pos="7892"/>
              <w:tab w:val="right" w:pos="9026" w:leader="dot"/>
            </w:tabs>
            <w:rPr/>
          </w:pPr>
          <w:hyperlink w:anchor="__RefHeading___Toc6963747_73709187">
            <w:r>
              <w:rPr>
                <w:webHidden/>
                <w:rStyle w:val="IndexLink"/>
              </w:rPr>
              <w:t>2</w:t>
            </w:r>
            <w:r>
              <w:rPr>
                <w:rStyle w:val="IndexLink"/>
                <w:rtl w:val="true"/>
              </w:rPr>
              <w:t xml:space="preserve">. </w:t>
            </w:r>
            <w:r>
              <w:rPr>
                <w:rStyle w:val="IndexLink"/>
                <w:rtl w:val="true"/>
              </w:rPr>
              <w:t xml:space="preserve">الدكتورة عائشة يوسف المناعي </w:t>
            </w:r>
            <w:r>
              <w:rPr>
                <w:rStyle w:val="IndexLink"/>
                <w:rtl w:val="true"/>
              </w:rPr>
              <w:t>(</w:t>
            </w:r>
            <w:r>
              <w:rPr>
                <w:rStyle w:val="IndexLink"/>
                <w:rtl w:val="true"/>
              </w:rPr>
              <w:t>المعاصرة</w:t>
            </w:r>
            <w:r>
              <w:rPr>
                <w:rStyle w:val="IndexLink"/>
                <w:rtl w:val="true"/>
              </w:rPr>
              <w:t>)</w:t>
              <w:tab/>
            </w:r>
            <w:r>
              <w:rPr>
                <w:rStyle w:val="IndexLink"/>
              </w:rPr>
              <w:t>307</w:t>
            </w:r>
          </w:hyperlink>
        </w:p>
        <w:p>
          <w:pPr>
            <w:pStyle w:val="Contents5"/>
            <w:tabs>
              <w:tab w:val="clear" w:pos="7892"/>
              <w:tab w:val="right" w:pos="9026" w:leader="dot"/>
            </w:tabs>
            <w:rPr/>
          </w:pPr>
          <w:hyperlink w:anchor="__RefHeading___Toc6963749_73709187">
            <w:r>
              <w:rPr>
                <w:webHidden/>
                <w:rStyle w:val="IndexLink"/>
              </w:rPr>
              <w:t>3</w:t>
            </w:r>
            <w:r>
              <w:rPr>
                <w:rStyle w:val="IndexLink"/>
                <w:rtl w:val="true"/>
              </w:rPr>
              <w:t xml:space="preserve">. </w:t>
            </w:r>
            <w:r>
              <w:rPr>
                <w:rStyle w:val="IndexLink"/>
                <w:rtl w:val="true"/>
              </w:rPr>
              <w:t>عبداللّه بن علي القصيمي</w:t>
            </w:r>
            <w:r>
              <w:rPr>
                <w:rStyle w:val="IndexLink"/>
                <w:rtl w:val="true"/>
              </w:rPr>
              <w:tab/>
            </w:r>
            <w:r>
              <w:rPr>
                <w:rStyle w:val="IndexLink"/>
              </w:rPr>
              <w:t>308</w:t>
            </w:r>
          </w:hyperlink>
        </w:p>
        <w:p>
          <w:pPr>
            <w:pStyle w:val="Contents5"/>
            <w:tabs>
              <w:tab w:val="clear" w:pos="7892"/>
              <w:tab w:val="right" w:pos="9026" w:leader="dot"/>
            </w:tabs>
            <w:rPr/>
          </w:pPr>
          <w:hyperlink w:anchor="__RefHeading___Toc6963751_73709187">
            <w:r>
              <w:rPr>
                <w:webHidden/>
                <w:rStyle w:val="IndexLink"/>
              </w:rPr>
              <w:t>4</w:t>
            </w:r>
            <w:r>
              <w:rPr>
                <w:rStyle w:val="IndexLink"/>
                <w:rtl w:val="true"/>
              </w:rPr>
              <w:t xml:space="preserve">. </w:t>
            </w:r>
            <w:r>
              <w:rPr>
                <w:rStyle w:val="IndexLink"/>
                <w:rtl w:val="true"/>
              </w:rPr>
              <w:t>عبدالملك بن عبدالرحمن الشافعي</w:t>
            </w:r>
            <w:r>
              <w:rPr>
                <w:rStyle w:val="IndexLink"/>
                <w:rtl w:val="true"/>
              </w:rPr>
              <w:tab/>
            </w:r>
            <w:r>
              <w:rPr>
                <w:rStyle w:val="IndexLink"/>
              </w:rPr>
              <w:t>310</w:t>
            </w:r>
          </w:hyperlink>
        </w:p>
        <w:p>
          <w:pPr>
            <w:pStyle w:val="Contents4"/>
            <w:tabs>
              <w:tab w:val="clear" w:pos="8176"/>
              <w:tab w:val="right" w:pos="9026" w:leader="dot"/>
            </w:tabs>
            <w:rPr/>
          </w:pPr>
          <w:hyperlink w:anchor="__RefHeading___Toc6963753_73709187">
            <w:r>
              <w:rPr>
                <w:webHidden/>
                <w:rStyle w:val="IndexLink"/>
                <w:rtl w:val="true"/>
              </w:rPr>
              <w:t>مناقشة الرسالة الأُولى</w:t>
            </w:r>
            <w:r>
              <w:rPr>
                <w:rStyle w:val="IndexLink"/>
                <w:rtl w:val="true"/>
              </w:rPr>
              <w:tab/>
            </w:r>
            <w:r>
              <w:rPr>
                <w:rStyle w:val="IndexLink"/>
              </w:rPr>
              <w:t>310</w:t>
            </w:r>
          </w:hyperlink>
        </w:p>
        <w:p>
          <w:pPr>
            <w:pStyle w:val="Contents5"/>
            <w:tabs>
              <w:tab w:val="clear" w:pos="7892"/>
              <w:tab w:val="right" w:pos="9026" w:leader="dot"/>
            </w:tabs>
            <w:rPr/>
          </w:pPr>
          <w:hyperlink w:anchor="__RefHeading___Toc6963755_73709187">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6963757_73709187">
            <w:r>
              <w:rPr>
                <w:webHidden/>
                <w:rStyle w:val="IndexLink"/>
                <w:rtl w:val="true"/>
              </w:rPr>
              <w:t>مناقشة الفصل الأوّل</w:t>
            </w:r>
            <w:r>
              <w:rPr>
                <w:rStyle w:val="IndexLink"/>
                <w:rtl w:val="true"/>
              </w:rPr>
              <w:tab/>
            </w:r>
            <w:r>
              <w:rPr>
                <w:rStyle w:val="IndexLink"/>
              </w:rPr>
              <w:t>311</w:t>
            </w:r>
          </w:hyperlink>
        </w:p>
        <w:p>
          <w:pPr>
            <w:pStyle w:val="Contents6"/>
            <w:tabs>
              <w:tab w:val="clear" w:pos="7609"/>
              <w:tab w:val="right" w:pos="9026" w:leader="dot"/>
            </w:tabs>
            <w:rPr/>
          </w:pPr>
          <w:hyperlink w:anchor="__RefHeading___Toc6963759_73709187">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6963761_73709187">
            <w:r>
              <w:rPr>
                <w:webHidden/>
                <w:rStyle w:val="IndexLink"/>
                <w:rtl w:val="true"/>
              </w:rPr>
              <w:t>الخيار الأوّل</w:t>
            </w:r>
            <w:r>
              <w:rPr>
                <w:rStyle w:val="IndexLink"/>
                <w:rtl w:val="true"/>
              </w:rPr>
              <w:t>:</w:t>
              <w:tab/>
            </w:r>
            <w:r>
              <w:rPr>
                <w:rStyle w:val="IndexLink"/>
              </w:rPr>
              <w:t>311</w:t>
            </w:r>
          </w:hyperlink>
        </w:p>
        <w:p>
          <w:pPr>
            <w:pStyle w:val="Contents6"/>
            <w:tabs>
              <w:tab w:val="clear" w:pos="7609"/>
              <w:tab w:val="right" w:pos="9026" w:leader="dot"/>
            </w:tabs>
            <w:rPr/>
          </w:pPr>
          <w:hyperlink w:anchor="__RefHeading___Toc6963763_73709187">
            <w:r>
              <w:rPr>
                <w:webHidden/>
                <w:rStyle w:val="IndexLink"/>
                <w:rtl w:val="true"/>
              </w:rPr>
              <w:t>الخيار الثاني</w:t>
            </w:r>
            <w:r>
              <w:rPr>
                <w:rStyle w:val="IndexLink"/>
                <w:rtl w:val="true"/>
              </w:rPr>
              <w:t>:</w:t>
              <w:tab/>
            </w:r>
            <w:r>
              <w:rPr>
                <w:rStyle w:val="IndexLink"/>
              </w:rPr>
              <w:t>311</w:t>
            </w:r>
          </w:hyperlink>
        </w:p>
        <w:p>
          <w:pPr>
            <w:pStyle w:val="Contents6"/>
            <w:tabs>
              <w:tab w:val="clear" w:pos="7609"/>
              <w:tab w:val="right" w:pos="9026" w:leader="dot"/>
            </w:tabs>
            <w:rPr/>
          </w:pPr>
          <w:hyperlink w:anchor="__RefHeading___Toc6963765_73709187">
            <w:r>
              <w:rPr>
                <w:webHidden/>
                <w:rStyle w:val="IndexLink"/>
                <w:rtl w:val="true"/>
              </w:rPr>
              <w:t>ختم القرآن في العهد النبوي</w:t>
            </w:r>
            <w:r>
              <w:rPr>
                <w:rStyle w:val="IndexLink"/>
                <w:rtl w:val="true"/>
              </w:rPr>
              <w:tab/>
            </w:r>
            <w:r>
              <w:rPr>
                <w:rStyle w:val="IndexLink"/>
              </w:rPr>
              <w:t>317</w:t>
            </w:r>
          </w:hyperlink>
        </w:p>
        <w:p>
          <w:pPr>
            <w:pStyle w:val="Contents6"/>
            <w:tabs>
              <w:tab w:val="clear" w:pos="7609"/>
              <w:tab w:val="right" w:pos="9026" w:leader="dot"/>
            </w:tabs>
            <w:rPr/>
          </w:pPr>
          <w:hyperlink w:anchor="__RefHeading___Toc6963767_73709187">
            <w:r>
              <w:rPr>
                <w:webHidden/>
                <w:rStyle w:val="IndexLink"/>
                <w:rtl w:val="true"/>
              </w:rPr>
              <w:t>قراءة القرآن في المصحف</w:t>
            </w:r>
            <w:r>
              <w:rPr>
                <w:rStyle w:val="IndexLink"/>
                <w:rtl w:val="true"/>
              </w:rPr>
              <w:tab/>
            </w:r>
            <w:r>
              <w:rPr>
                <w:rStyle w:val="IndexLink"/>
              </w:rPr>
              <w:t>317</w:t>
            </w:r>
          </w:hyperlink>
        </w:p>
        <w:p>
          <w:pPr>
            <w:pStyle w:val="Contents6"/>
            <w:tabs>
              <w:tab w:val="clear" w:pos="7609"/>
              <w:tab w:val="right" w:pos="9026" w:leader="dot"/>
            </w:tabs>
            <w:rPr/>
          </w:pPr>
          <w:hyperlink w:anchor="__RefHeading___Toc6963769_73709187">
            <w:r>
              <w:rPr>
                <w:webHidden/>
                <w:rStyle w:val="IndexLink"/>
                <w:rtl w:val="true"/>
              </w:rPr>
              <w:t>وأمّا الثالث</w:t>
            </w:r>
            <w:r>
              <w:rPr>
                <w:rStyle w:val="IndexLink"/>
                <w:rtl w:val="true"/>
              </w:rPr>
              <w:t xml:space="preserve">: </w:t>
            </w:r>
            <w:r>
              <w:rPr>
                <w:rStyle w:val="IndexLink"/>
                <w:rtl w:val="true"/>
              </w:rPr>
              <w:t>قضاء العقل الحصيف</w:t>
            </w:r>
            <w:r>
              <w:rPr>
                <w:rStyle w:val="IndexLink"/>
                <w:rtl w:val="true"/>
              </w:rPr>
              <w:tab/>
            </w:r>
            <w:r>
              <w:rPr>
                <w:rStyle w:val="IndexLink"/>
              </w:rPr>
              <w:t>323</w:t>
            </w:r>
          </w:hyperlink>
        </w:p>
        <w:p>
          <w:pPr>
            <w:pStyle w:val="Contents6"/>
            <w:tabs>
              <w:tab w:val="clear" w:pos="7609"/>
              <w:tab w:val="right" w:pos="9026" w:leader="dot"/>
            </w:tabs>
            <w:rPr/>
          </w:pPr>
          <w:hyperlink w:anchor="__RefHeading___Toc6963771_73709187">
            <w:r>
              <w:rPr>
                <w:webHidden/>
                <w:rStyle w:val="IndexLink"/>
                <w:rtl w:val="true"/>
              </w:rPr>
              <w:t>النتائج السلبية لرواية جمع القرآن بعد وفاة النبي صلى الله عليه و آله و سلم</w:t>
            </w:r>
            <w:r>
              <w:rPr>
                <w:rStyle w:val="IndexLink"/>
                <w:rtl w:val="true"/>
              </w:rPr>
              <w:tab/>
            </w:r>
            <w:r>
              <w:rPr>
                <w:rStyle w:val="IndexLink"/>
              </w:rPr>
              <w:t>324</w:t>
            </w:r>
          </w:hyperlink>
        </w:p>
        <w:p>
          <w:pPr>
            <w:pStyle w:val="Contents6"/>
            <w:tabs>
              <w:tab w:val="clear" w:pos="7609"/>
              <w:tab w:val="right" w:pos="9026" w:leader="dot"/>
            </w:tabs>
            <w:rPr/>
          </w:pPr>
          <w:hyperlink w:anchor="__RefHeading___Toc6963773_73709187">
            <w:r>
              <w:rPr>
                <w:webHidden/>
                <w:rStyle w:val="IndexLink"/>
                <w:rtl w:val="true"/>
              </w:rPr>
              <w:t>فرية بعد مرية</w:t>
            </w:r>
            <w:r>
              <w:rPr>
                <w:rStyle w:val="IndexLink"/>
                <w:rtl w:val="true"/>
              </w:rPr>
              <w:tab/>
            </w:r>
            <w:r>
              <w:rPr>
                <w:rStyle w:val="IndexLink"/>
              </w:rPr>
              <w:t>325</w:t>
            </w:r>
          </w:hyperlink>
        </w:p>
        <w:p>
          <w:pPr>
            <w:pStyle w:val="Contents5"/>
            <w:tabs>
              <w:tab w:val="clear" w:pos="7892"/>
              <w:tab w:val="right" w:pos="9026" w:leader="dot"/>
            </w:tabs>
            <w:rPr/>
          </w:pPr>
          <w:hyperlink w:anchor="__RefHeading___Toc6963775_73709187">
            <w:r>
              <w:rPr>
                <w:webHidden/>
                <w:rStyle w:val="IndexLink"/>
                <w:rtl w:val="true"/>
              </w:rPr>
              <w:t>مناقشة الفصل الثاني</w:t>
            </w:r>
            <w:r>
              <w:rPr>
                <w:rStyle w:val="IndexLink"/>
                <w:rtl w:val="true"/>
              </w:rPr>
              <w:tab/>
            </w:r>
            <w:r>
              <w:rPr>
                <w:rStyle w:val="IndexLink"/>
              </w:rPr>
              <w:t>325</w:t>
            </w:r>
          </w:hyperlink>
        </w:p>
        <w:p>
          <w:pPr>
            <w:pStyle w:val="Contents6"/>
            <w:tabs>
              <w:tab w:val="clear" w:pos="7609"/>
              <w:tab w:val="right" w:pos="9026" w:leader="dot"/>
            </w:tabs>
            <w:rPr/>
          </w:pPr>
          <w:hyperlink w:anchor="__RefHeading___Toc6963777_73709187">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6963779_73709187">
            <w:r>
              <w:rPr>
                <w:webHidden/>
                <w:rStyle w:val="IndexLink"/>
                <w:rtl w:val="true"/>
              </w:rPr>
              <w:t>واقع مصحف عليّ عليه السلام</w:t>
            </w:r>
            <w:r>
              <w:rPr>
                <w:rStyle w:val="IndexLink"/>
                <w:rtl w:val="true"/>
              </w:rPr>
              <w:tab/>
            </w:r>
            <w:r>
              <w:rPr>
                <w:rStyle w:val="IndexLink"/>
              </w:rPr>
              <w:t>327</w:t>
            </w:r>
          </w:hyperlink>
        </w:p>
        <w:p>
          <w:pPr>
            <w:pStyle w:val="Contents5"/>
            <w:tabs>
              <w:tab w:val="clear" w:pos="7892"/>
              <w:tab w:val="right" w:pos="9026" w:leader="dot"/>
            </w:tabs>
            <w:rPr/>
          </w:pPr>
          <w:hyperlink w:anchor="__RefHeading___Toc6963781_73709187">
            <w:r>
              <w:rPr>
                <w:webHidden/>
                <w:rStyle w:val="IndexLink"/>
                <w:rtl w:val="true"/>
              </w:rPr>
              <w:t>مناقشة الفصل الثالث</w:t>
            </w:r>
            <w:r>
              <w:rPr>
                <w:rStyle w:val="IndexLink"/>
                <w:rtl w:val="true"/>
              </w:rPr>
              <w:tab/>
            </w:r>
            <w:r>
              <w:rPr>
                <w:rStyle w:val="IndexLink"/>
              </w:rPr>
              <w:t>333</w:t>
            </w:r>
          </w:hyperlink>
        </w:p>
        <w:p>
          <w:pPr>
            <w:pStyle w:val="Contents6"/>
            <w:tabs>
              <w:tab w:val="clear" w:pos="7609"/>
              <w:tab w:val="right" w:pos="9026" w:leader="dot"/>
            </w:tabs>
            <w:rPr/>
          </w:pPr>
          <w:hyperlink w:anchor="__RefHeading___Toc6963783_73709187">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6963785_73709187">
            <w:r>
              <w:rPr>
                <w:webHidden/>
                <w:rStyle w:val="IndexLink"/>
                <w:rtl w:val="true"/>
              </w:rPr>
              <w:t>المظهر الأوّل</w:t>
            </w:r>
            <w:r>
              <w:rPr>
                <w:rStyle w:val="IndexLink"/>
                <w:rtl w:val="true"/>
              </w:rPr>
              <w:t>:</w:t>
              <w:tab/>
            </w:r>
            <w:r>
              <w:rPr>
                <w:rStyle w:val="IndexLink"/>
              </w:rPr>
              <w:t>333</w:t>
            </w:r>
          </w:hyperlink>
        </w:p>
        <w:p>
          <w:pPr>
            <w:pStyle w:val="Contents6"/>
            <w:tabs>
              <w:tab w:val="clear" w:pos="7609"/>
              <w:tab w:val="right" w:pos="9026" w:leader="dot"/>
            </w:tabs>
            <w:rPr/>
          </w:pPr>
          <w:hyperlink w:anchor="__RefHeading___Toc6963787_73709187">
            <w:r>
              <w:rPr>
                <w:webHidden/>
                <w:rStyle w:val="IndexLink"/>
                <w:rtl w:val="true"/>
              </w:rPr>
              <w:t>عائشة وتحريف القرآن</w:t>
            </w:r>
            <w:r>
              <w:rPr>
                <w:rStyle w:val="IndexLink"/>
                <w:rtl w:val="true"/>
              </w:rPr>
              <w:tab/>
            </w:r>
            <w:r>
              <w:rPr>
                <w:rStyle w:val="IndexLink"/>
              </w:rPr>
              <w:t>335</w:t>
            </w:r>
          </w:hyperlink>
        </w:p>
        <w:p>
          <w:pPr>
            <w:pStyle w:val="Contents6"/>
            <w:tabs>
              <w:tab w:val="clear" w:pos="7609"/>
              <w:tab w:val="right" w:pos="9026" w:leader="dot"/>
            </w:tabs>
            <w:rPr/>
          </w:pPr>
          <w:hyperlink w:anchor="__RefHeading___Toc6963789_73709187">
            <w:r>
              <w:rPr>
                <w:webHidden/>
                <w:rStyle w:val="IndexLink"/>
                <w:rtl w:val="true"/>
              </w:rPr>
              <w:t>عمر بن الخطاب والقول بنقص القرآن</w:t>
            </w:r>
            <w:r>
              <w:rPr>
                <w:rStyle w:val="IndexLink"/>
                <w:rtl w:val="true"/>
              </w:rPr>
              <w:tab/>
            </w:r>
            <w:r>
              <w:rPr>
                <w:rStyle w:val="IndexLink"/>
              </w:rPr>
              <w:t>336</w:t>
            </w:r>
          </w:hyperlink>
        </w:p>
        <w:p>
          <w:pPr>
            <w:pStyle w:val="Contents6"/>
            <w:tabs>
              <w:tab w:val="clear" w:pos="7609"/>
              <w:tab w:val="right" w:pos="9026" w:leader="dot"/>
            </w:tabs>
            <w:rPr/>
          </w:pPr>
          <w:hyperlink w:anchor="__RefHeading___Toc6963791_73709187">
            <w:r>
              <w:rPr>
                <w:webHidden/>
                <w:rStyle w:val="IndexLink"/>
              </w:rPr>
              <w:t>1</w:t>
            </w:r>
            <w:r>
              <w:rPr>
                <w:rStyle w:val="IndexLink"/>
                <w:rtl w:val="true"/>
              </w:rPr>
              <w:t xml:space="preserve">. </w:t>
            </w:r>
            <w:r>
              <w:rPr>
                <w:rStyle w:val="IndexLink"/>
                <w:rtl w:val="true"/>
              </w:rPr>
              <w:t>آية الشيخ والشيخة</w:t>
            </w:r>
            <w:r>
              <w:rPr>
                <w:rStyle w:val="IndexLink"/>
                <w:rtl w:val="true"/>
              </w:rPr>
              <w:tab/>
            </w:r>
            <w:r>
              <w:rPr>
                <w:rStyle w:val="IndexLink"/>
              </w:rPr>
              <w:t>336</w:t>
            </w:r>
          </w:hyperlink>
        </w:p>
        <w:p>
          <w:pPr>
            <w:pStyle w:val="Contents6"/>
            <w:tabs>
              <w:tab w:val="clear" w:pos="7609"/>
              <w:tab w:val="right" w:pos="9026" w:leader="dot"/>
            </w:tabs>
            <w:rPr/>
          </w:pPr>
          <w:hyperlink w:anchor="__RefHeading___Toc6963793_73709187">
            <w:r>
              <w:rPr>
                <w:webHidden/>
                <w:rStyle w:val="IndexLink"/>
              </w:rPr>
              <w:t>2</w:t>
            </w:r>
            <w:r>
              <w:rPr>
                <w:rStyle w:val="IndexLink"/>
                <w:rtl w:val="true"/>
              </w:rPr>
              <w:t xml:space="preserve">. </w:t>
            </w:r>
            <w:r>
              <w:rPr>
                <w:rStyle w:val="IndexLink"/>
                <w:rtl w:val="true"/>
              </w:rPr>
              <w:t>آية الرغبة</w:t>
            </w:r>
            <w:r>
              <w:rPr>
                <w:rStyle w:val="IndexLink"/>
                <w:rtl w:val="true"/>
              </w:rPr>
              <w:tab/>
            </w:r>
            <w:r>
              <w:rPr>
                <w:rStyle w:val="IndexLink"/>
              </w:rPr>
              <w:t>337</w:t>
            </w:r>
          </w:hyperlink>
        </w:p>
        <w:p>
          <w:pPr>
            <w:pStyle w:val="Contents6"/>
            <w:tabs>
              <w:tab w:val="clear" w:pos="7609"/>
              <w:tab w:val="right" w:pos="9026" w:leader="dot"/>
            </w:tabs>
            <w:rPr/>
          </w:pPr>
          <w:hyperlink w:anchor="__RefHeading___Toc6963795_73709187">
            <w:r>
              <w:rPr>
                <w:webHidden/>
                <w:rStyle w:val="IndexLink"/>
              </w:rPr>
              <w:t>3</w:t>
            </w:r>
            <w:r>
              <w:rPr>
                <w:rStyle w:val="IndexLink"/>
                <w:rtl w:val="true"/>
              </w:rPr>
              <w:t xml:space="preserve">. </w:t>
            </w:r>
            <w:r>
              <w:rPr>
                <w:rStyle w:val="IndexLink"/>
                <w:rtl w:val="true"/>
              </w:rPr>
              <w:t>آية الجهاد</w:t>
            </w:r>
            <w:r>
              <w:rPr>
                <w:rStyle w:val="IndexLink"/>
                <w:rtl w:val="true"/>
              </w:rPr>
              <w:tab/>
            </w:r>
            <w:r>
              <w:rPr>
                <w:rStyle w:val="IndexLink"/>
              </w:rPr>
              <w:t>337</w:t>
            </w:r>
          </w:hyperlink>
        </w:p>
        <w:p>
          <w:pPr>
            <w:pStyle w:val="Contents6"/>
            <w:tabs>
              <w:tab w:val="clear" w:pos="7609"/>
              <w:tab w:val="right" w:pos="9026" w:leader="dot"/>
            </w:tabs>
            <w:rPr/>
          </w:pPr>
          <w:hyperlink w:anchor="__RefHeading___Toc6963797_73709187">
            <w:r>
              <w:rPr>
                <w:webHidden/>
                <w:rStyle w:val="IndexLink"/>
              </w:rPr>
              <w:t>4</w:t>
            </w:r>
            <w:r>
              <w:rPr>
                <w:rStyle w:val="IndexLink"/>
                <w:rtl w:val="true"/>
              </w:rPr>
              <w:t xml:space="preserve">. </w:t>
            </w:r>
            <w:r>
              <w:rPr>
                <w:rStyle w:val="IndexLink"/>
                <w:rtl w:val="true"/>
              </w:rPr>
              <w:t>آية الفراش</w:t>
            </w:r>
            <w:r>
              <w:rPr>
                <w:rStyle w:val="IndexLink"/>
                <w:rtl w:val="true"/>
              </w:rPr>
              <w:tab/>
            </w:r>
            <w:r>
              <w:rPr>
                <w:rStyle w:val="IndexLink"/>
              </w:rPr>
              <w:t>338</w:t>
            </w:r>
          </w:hyperlink>
        </w:p>
        <w:p>
          <w:pPr>
            <w:pStyle w:val="Contents6"/>
            <w:tabs>
              <w:tab w:val="clear" w:pos="7609"/>
              <w:tab w:val="right" w:pos="9026" w:leader="dot"/>
            </w:tabs>
            <w:rPr/>
          </w:pPr>
          <w:hyperlink w:anchor="__RefHeading___Toc6963799_73709187">
            <w:r>
              <w:rPr>
                <w:webHidden/>
                <w:rStyle w:val="IndexLink"/>
                <w:rtl w:val="true"/>
              </w:rPr>
              <w:t>أُبيّ بن كعب والقول بنقص سورة الأحزاب</w:t>
            </w:r>
            <w:r>
              <w:rPr>
                <w:rStyle w:val="IndexLink"/>
                <w:rtl w:val="true"/>
              </w:rPr>
              <w:tab/>
            </w:r>
            <w:r>
              <w:rPr>
                <w:rStyle w:val="IndexLink"/>
              </w:rPr>
              <w:t>338</w:t>
            </w:r>
          </w:hyperlink>
        </w:p>
        <w:p>
          <w:pPr>
            <w:pStyle w:val="Contents6"/>
            <w:tabs>
              <w:tab w:val="clear" w:pos="7609"/>
              <w:tab w:val="right" w:pos="9026" w:leader="dot"/>
            </w:tabs>
            <w:rPr/>
          </w:pPr>
          <w:hyperlink w:anchor="__RefHeading___Toc6963801_73709187">
            <w:r>
              <w:rPr>
                <w:webHidden/>
                <w:rStyle w:val="IndexLink"/>
                <w:rtl w:val="true"/>
              </w:rPr>
              <w:t>تبرير القول بالتحريف بالقول بنسخ التلاوة</w:t>
            </w:r>
            <w:r>
              <w:rPr>
                <w:rStyle w:val="IndexLink"/>
                <w:rtl w:val="true"/>
              </w:rPr>
              <w:tab/>
            </w:r>
            <w:r>
              <w:rPr>
                <w:rStyle w:val="IndexLink"/>
              </w:rPr>
              <w:t>339</w:t>
            </w:r>
          </w:hyperlink>
        </w:p>
        <w:p>
          <w:pPr>
            <w:pStyle w:val="Contents6"/>
            <w:tabs>
              <w:tab w:val="clear" w:pos="7609"/>
              <w:tab w:val="right" w:pos="9026" w:leader="dot"/>
            </w:tabs>
            <w:rPr/>
          </w:pPr>
          <w:hyperlink w:anchor="__RefHeading___Toc6963803_73709187">
            <w:r>
              <w:rPr>
                <w:webHidden/>
                <w:rStyle w:val="IndexLink"/>
                <w:rtl w:val="true"/>
              </w:rPr>
              <w:t>المظهر الثاني</w:t>
            </w:r>
            <w:r>
              <w:rPr>
                <w:rStyle w:val="IndexLink"/>
                <w:rtl w:val="true"/>
              </w:rPr>
              <w:t xml:space="preserve">: </w:t>
            </w:r>
            <w:r>
              <w:rPr>
                <w:rStyle w:val="IndexLink"/>
                <w:rtl w:val="true"/>
              </w:rPr>
              <w:t>مدحهم وثناؤهم على القائل بتحريف القرآن</w:t>
            </w:r>
            <w:r>
              <w:rPr>
                <w:rStyle w:val="IndexLink"/>
                <w:rtl w:val="true"/>
              </w:rPr>
              <w:tab/>
            </w:r>
            <w:r>
              <w:rPr>
                <w:rStyle w:val="IndexLink"/>
              </w:rPr>
              <w:t>340</w:t>
            </w:r>
          </w:hyperlink>
        </w:p>
        <w:p>
          <w:pPr>
            <w:pStyle w:val="Contents6"/>
            <w:tabs>
              <w:tab w:val="clear" w:pos="7609"/>
              <w:tab w:val="right" w:pos="9026" w:leader="dot"/>
            </w:tabs>
            <w:rPr/>
          </w:pPr>
          <w:hyperlink w:anchor="__RefHeading___Toc6963805_73709187">
            <w:r>
              <w:rPr>
                <w:webHidden/>
                <w:rStyle w:val="IndexLink"/>
                <w:rtl w:val="true"/>
              </w:rPr>
              <w:t>وشهد شاهد من أهلها</w:t>
            </w:r>
            <w:r>
              <w:rPr>
                <w:rStyle w:val="IndexLink"/>
                <w:rtl w:val="true"/>
              </w:rPr>
              <w:tab/>
            </w:r>
            <w:r>
              <w:rPr>
                <w:rStyle w:val="IndexLink"/>
              </w:rPr>
              <w:t>344</w:t>
            </w:r>
          </w:hyperlink>
        </w:p>
        <w:p>
          <w:pPr>
            <w:pStyle w:val="Contents6"/>
            <w:tabs>
              <w:tab w:val="clear" w:pos="7609"/>
              <w:tab w:val="right" w:pos="9026" w:leader="dot"/>
            </w:tabs>
            <w:rPr/>
          </w:pPr>
          <w:hyperlink w:anchor="__RefHeading___Toc6963807_73709187">
            <w:r>
              <w:rPr>
                <w:webHidden/>
                <w:rStyle w:val="IndexLink"/>
                <w:rtl w:val="true"/>
              </w:rPr>
              <w:t>المظهر الثالث</w:t>
            </w:r>
            <w:r>
              <w:rPr>
                <w:rStyle w:val="IndexLink"/>
                <w:rtl w:val="true"/>
              </w:rPr>
              <w:t xml:space="preserve">: </w:t>
            </w:r>
            <w:r>
              <w:rPr>
                <w:rStyle w:val="IndexLink"/>
                <w:rtl w:val="true"/>
              </w:rPr>
              <w:t>الإعراض عن دراسة القرآن في الحوزات الشيعية</w:t>
            </w:r>
            <w:r>
              <w:rPr>
                <w:rStyle w:val="IndexLink"/>
                <w:rtl w:val="true"/>
              </w:rPr>
              <w:tab/>
            </w:r>
            <w:r>
              <w:rPr>
                <w:rStyle w:val="IndexLink"/>
              </w:rPr>
              <w:t>344</w:t>
            </w:r>
          </w:hyperlink>
        </w:p>
        <w:p>
          <w:pPr>
            <w:pStyle w:val="Contents4"/>
            <w:tabs>
              <w:tab w:val="clear" w:pos="8176"/>
              <w:tab w:val="right" w:pos="9026" w:leader="dot"/>
            </w:tabs>
            <w:rPr/>
          </w:pPr>
          <w:hyperlink w:anchor="__RefHeading___Toc6963809_73709187">
            <w:r>
              <w:rPr>
                <w:webHidden/>
                <w:rStyle w:val="IndexLink"/>
                <w:rtl w:val="true"/>
              </w:rPr>
              <w:t>مناقشة الرسالة الثانية</w:t>
            </w:r>
            <w:r>
              <w:rPr>
                <w:rStyle w:val="IndexLink"/>
                <w:rtl w:val="true"/>
              </w:rPr>
              <w:tab/>
            </w:r>
            <w:r>
              <w:rPr>
                <w:rStyle w:val="IndexLink"/>
              </w:rPr>
              <w:t>348</w:t>
            </w:r>
          </w:hyperlink>
        </w:p>
        <w:p>
          <w:pPr>
            <w:pStyle w:val="Contents5"/>
            <w:tabs>
              <w:tab w:val="clear" w:pos="7892"/>
              <w:tab w:val="right" w:pos="9026" w:leader="dot"/>
            </w:tabs>
            <w:rPr/>
          </w:pPr>
          <w:hyperlink w:anchor="__RefHeading___Toc6963811_73709187">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6963813_73709187">
            <w:r>
              <w:rPr>
                <w:webHidden/>
                <w:rStyle w:val="IndexLink"/>
                <w:rtl w:val="true"/>
              </w:rPr>
              <w:t>الرواية الأُولى</w:t>
            </w:r>
            <w:r>
              <w:rPr>
                <w:rStyle w:val="IndexLink"/>
                <w:rtl w:val="true"/>
              </w:rPr>
              <w:tab/>
            </w:r>
            <w:r>
              <w:rPr>
                <w:rStyle w:val="IndexLink"/>
              </w:rPr>
              <w:t>349</w:t>
            </w:r>
          </w:hyperlink>
        </w:p>
        <w:p>
          <w:pPr>
            <w:pStyle w:val="Contents6"/>
            <w:tabs>
              <w:tab w:val="clear" w:pos="7609"/>
              <w:tab w:val="right" w:pos="9026" w:leader="dot"/>
            </w:tabs>
            <w:rPr/>
          </w:pPr>
          <w:hyperlink w:anchor="__RefHeading___Toc6963815_73709187">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6963817_73709187">
            <w:r>
              <w:rPr>
                <w:webHidden/>
                <w:rStyle w:val="IndexLink"/>
                <w:rtl w:val="true"/>
              </w:rPr>
              <w:t>مناقشة الكاتب للرواية</w:t>
            </w:r>
            <w:r>
              <w:rPr>
                <w:rStyle w:val="IndexLink"/>
                <w:rtl w:val="true"/>
              </w:rPr>
              <w:t>:</w:t>
              <w:tab/>
            </w:r>
            <w:r>
              <w:rPr>
                <w:rStyle w:val="IndexLink"/>
              </w:rPr>
              <w:t>350</w:t>
            </w:r>
          </w:hyperlink>
        </w:p>
        <w:p>
          <w:pPr>
            <w:pStyle w:val="Contents6"/>
            <w:tabs>
              <w:tab w:val="clear" w:pos="7609"/>
              <w:tab w:val="right" w:pos="9026" w:leader="dot"/>
            </w:tabs>
            <w:rPr/>
          </w:pPr>
          <w:hyperlink w:anchor="__RefHeading___Toc6963819_73709187">
            <w:r>
              <w:rPr>
                <w:webHidden/>
                <w:rStyle w:val="IndexLink"/>
                <w:rtl w:val="true"/>
              </w:rPr>
              <w:t>مناقشة الكاتب للمضمون</w:t>
            </w:r>
            <w:r>
              <w:rPr>
                <w:rStyle w:val="IndexLink"/>
                <w:rtl w:val="true"/>
              </w:rPr>
              <w:tab/>
            </w:r>
            <w:r>
              <w:rPr>
                <w:rStyle w:val="IndexLink"/>
              </w:rPr>
              <w:t>352</w:t>
            </w:r>
          </w:hyperlink>
        </w:p>
        <w:p>
          <w:pPr>
            <w:pStyle w:val="Contents5"/>
            <w:tabs>
              <w:tab w:val="clear" w:pos="7892"/>
              <w:tab w:val="right" w:pos="9026" w:leader="dot"/>
            </w:tabs>
            <w:rPr/>
          </w:pPr>
          <w:hyperlink w:anchor="__RefHeading___Toc6963821_73709187">
            <w:r>
              <w:rPr>
                <w:webHidden/>
                <w:rStyle w:val="IndexLink"/>
                <w:rtl w:val="true"/>
              </w:rPr>
              <w:t>الرواية الثانية</w:t>
            </w:r>
            <w:r>
              <w:rPr>
                <w:rStyle w:val="IndexLink"/>
                <w:rtl w:val="true"/>
              </w:rPr>
              <w:tab/>
            </w:r>
            <w:r>
              <w:rPr>
                <w:rStyle w:val="IndexLink"/>
              </w:rPr>
              <w:t>354</w:t>
            </w:r>
          </w:hyperlink>
        </w:p>
        <w:p>
          <w:pPr>
            <w:pStyle w:val="Contents6"/>
            <w:tabs>
              <w:tab w:val="clear" w:pos="7609"/>
              <w:tab w:val="right" w:pos="9026" w:leader="dot"/>
            </w:tabs>
            <w:rPr/>
          </w:pPr>
          <w:hyperlink w:anchor="__RefHeading___Toc6963823_73709187">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6963825_73709187">
            <w:r>
              <w:rPr>
                <w:webHidden/>
                <w:rStyle w:val="IndexLink"/>
                <w:rtl w:val="true"/>
              </w:rPr>
              <w:t>مناقشة المؤلّف للسند</w:t>
            </w:r>
            <w:r>
              <w:rPr>
                <w:rStyle w:val="IndexLink"/>
                <w:rtl w:val="true"/>
              </w:rPr>
              <w:tab/>
            </w:r>
            <w:r>
              <w:rPr>
                <w:rStyle w:val="IndexLink"/>
              </w:rPr>
              <w:t>355</w:t>
            </w:r>
          </w:hyperlink>
        </w:p>
        <w:p>
          <w:pPr>
            <w:pStyle w:val="Contents6"/>
            <w:tabs>
              <w:tab w:val="clear" w:pos="7609"/>
              <w:tab w:val="right" w:pos="9026" w:leader="dot"/>
            </w:tabs>
            <w:rPr/>
          </w:pPr>
          <w:hyperlink w:anchor="__RefHeading___Toc6963827_73709187">
            <w:r>
              <w:rPr>
                <w:webHidden/>
                <w:rStyle w:val="IndexLink"/>
                <w:rtl w:val="true"/>
              </w:rPr>
              <w:t>الآن حصص الحق</w:t>
            </w:r>
            <w:r>
              <w:rPr>
                <w:rStyle w:val="IndexLink"/>
                <w:rtl w:val="true"/>
              </w:rPr>
              <w:tab/>
            </w:r>
            <w:r>
              <w:rPr>
                <w:rStyle w:val="IndexLink"/>
              </w:rPr>
              <w:t>358</w:t>
            </w:r>
          </w:hyperlink>
        </w:p>
        <w:p>
          <w:pPr>
            <w:pStyle w:val="Contents3"/>
            <w:tabs>
              <w:tab w:val="clear" w:pos="8459"/>
              <w:tab w:val="right" w:pos="9026" w:leader="dot"/>
            </w:tabs>
            <w:rPr/>
          </w:pPr>
          <w:hyperlink w:anchor="__RefHeading___Toc6963829_73709187">
            <w:r>
              <w:rPr>
                <w:webHidden/>
                <w:rStyle w:val="IndexLink"/>
              </w:rPr>
              <w:t>7</w:t>
            </w:r>
            <w:r>
              <w:rPr>
                <w:rStyle w:val="IndexLink"/>
                <w:rtl w:val="true"/>
              </w:rPr>
              <w:t xml:space="preserve"> </w:t>
            </w:r>
            <w:r>
              <w:rPr>
                <w:rStyle w:val="IndexLink"/>
                <w:rtl w:val="true"/>
              </w:rPr>
              <w:t>الإعجاز البياني للقرآن الكريم</w:t>
            </w:r>
            <w:r>
              <w:rPr>
                <w:rStyle w:val="IndexLink"/>
                <w:rtl w:val="true"/>
              </w:rPr>
              <w:tab/>
            </w:r>
            <w:r>
              <w:rPr>
                <w:rStyle w:val="IndexLink"/>
              </w:rPr>
              <w:t>361</w:t>
            </w:r>
          </w:hyperlink>
        </w:p>
        <w:p>
          <w:pPr>
            <w:pStyle w:val="Contents4"/>
            <w:tabs>
              <w:tab w:val="clear" w:pos="8176"/>
              <w:tab w:val="right" w:pos="9026" w:leader="dot"/>
            </w:tabs>
            <w:rPr/>
          </w:pPr>
          <w:hyperlink w:anchor="__RefHeading___Toc6963831_73709187">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6963833_73709187">
            <w:r>
              <w:rPr>
                <w:webHidden/>
                <w:rStyle w:val="IndexLink"/>
                <w:rtl w:val="true"/>
              </w:rPr>
              <w:t>تعريف الفصاحة</w:t>
            </w:r>
            <w:r>
              <w:rPr>
                <w:rStyle w:val="IndexLink"/>
                <w:rtl w:val="true"/>
              </w:rPr>
              <w:tab/>
            </w:r>
            <w:r>
              <w:rPr>
                <w:rStyle w:val="IndexLink"/>
              </w:rPr>
              <w:t>366</w:t>
            </w:r>
          </w:hyperlink>
        </w:p>
        <w:p>
          <w:pPr>
            <w:pStyle w:val="Contents4"/>
            <w:tabs>
              <w:tab w:val="clear" w:pos="8176"/>
              <w:tab w:val="right" w:pos="9026" w:leader="dot"/>
            </w:tabs>
            <w:rPr/>
          </w:pPr>
          <w:hyperlink w:anchor="__RefHeading___Toc6963835_73709187">
            <w:r>
              <w:rPr>
                <w:webHidden/>
                <w:rStyle w:val="IndexLink"/>
                <w:rtl w:val="true"/>
              </w:rPr>
              <w:t>تعريف البلاغة</w:t>
            </w:r>
            <w:r>
              <w:rPr>
                <w:rStyle w:val="IndexLink"/>
                <w:rtl w:val="true"/>
              </w:rPr>
              <w:tab/>
            </w:r>
            <w:r>
              <w:rPr>
                <w:rStyle w:val="IndexLink"/>
              </w:rPr>
              <w:t>367</w:t>
            </w:r>
          </w:hyperlink>
        </w:p>
        <w:p>
          <w:pPr>
            <w:pStyle w:val="Contents4"/>
            <w:tabs>
              <w:tab w:val="clear" w:pos="8176"/>
              <w:tab w:val="right" w:pos="9026" w:leader="dot"/>
            </w:tabs>
            <w:rPr/>
          </w:pPr>
          <w:hyperlink w:anchor="__RefHeading___Toc6963837_73709187">
            <w:r>
              <w:rPr>
                <w:webHidden/>
                <w:rStyle w:val="IndexLink"/>
                <w:rtl w:val="true"/>
              </w:rPr>
              <w:t>تقدّم الشيعة في علم البيان والمعاني والبديع</w:t>
            </w:r>
            <w:r>
              <w:rPr>
                <w:rStyle w:val="IndexLink"/>
                <w:rtl w:val="true"/>
              </w:rPr>
              <w:tab/>
            </w:r>
            <w:r>
              <w:rPr>
                <w:rStyle w:val="IndexLink"/>
              </w:rPr>
              <w:t>369</w:t>
            </w:r>
          </w:hyperlink>
        </w:p>
        <w:p>
          <w:pPr>
            <w:pStyle w:val="Contents3"/>
            <w:tabs>
              <w:tab w:val="clear" w:pos="8459"/>
              <w:tab w:val="right" w:pos="9026" w:leader="dot"/>
            </w:tabs>
            <w:rPr/>
          </w:pPr>
          <w:hyperlink w:anchor="__RefHeading___Toc6963839_73709187">
            <w:r>
              <w:rPr>
                <w:webHidden/>
                <w:rStyle w:val="IndexLink"/>
              </w:rPr>
              <w:t>8</w:t>
            </w:r>
            <w:r>
              <w:rPr>
                <w:rStyle w:val="IndexLink"/>
                <w:rtl w:val="true"/>
              </w:rPr>
              <w:t xml:space="preserve"> </w:t>
            </w:r>
            <w:r>
              <w:rPr>
                <w:rStyle w:val="IndexLink"/>
                <w:rtl w:val="true"/>
              </w:rPr>
              <w:t>تفسير سورة القيامة</w:t>
            </w:r>
            <w:r>
              <w:rPr>
                <w:rStyle w:val="IndexLink"/>
                <w:rtl w:val="true"/>
              </w:rPr>
              <w:tab/>
            </w:r>
            <w:r>
              <w:rPr>
                <w:rStyle w:val="IndexLink"/>
              </w:rPr>
              <w:t>374</w:t>
            </w:r>
          </w:hyperlink>
        </w:p>
        <w:p>
          <w:pPr>
            <w:pStyle w:val="Contents4"/>
            <w:tabs>
              <w:tab w:val="clear" w:pos="8176"/>
              <w:tab w:val="right" w:pos="9026" w:leader="dot"/>
            </w:tabs>
            <w:rPr/>
          </w:pPr>
          <w:hyperlink w:anchor="__RefHeading___Toc6963841_73709187">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6963843_73709187">
            <w:r>
              <w:rPr>
                <w:webHidden/>
                <w:rStyle w:val="IndexLink"/>
                <w:rtl w:val="true"/>
              </w:rPr>
              <w:t>تمهيد</w:t>
            </w:r>
            <w:r>
              <w:rPr>
                <w:rStyle w:val="IndexLink"/>
                <w:rtl w:val="true"/>
              </w:rPr>
              <w:t>:</w:t>
              <w:tab/>
            </w:r>
            <w:r>
              <w:rPr>
                <w:rStyle w:val="IndexLink"/>
              </w:rPr>
              <w:t>374</w:t>
            </w:r>
          </w:hyperlink>
        </w:p>
        <w:p>
          <w:pPr>
            <w:pStyle w:val="Contents4"/>
            <w:tabs>
              <w:tab w:val="clear" w:pos="8176"/>
              <w:tab w:val="right" w:pos="9026" w:leader="dot"/>
            </w:tabs>
            <w:rPr/>
          </w:pPr>
          <w:hyperlink w:anchor="__RefHeading___Toc6963845_73709187">
            <w:r>
              <w:rPr>
                <w:webHidden/>
                <w:rStyle w:val="IndexLink"/>
                <w:rtl w:val="true"/>
              </w:rPr>
              <w:t>الآية الأُولى والثانية</w:t>
            </w:r>
            <w:r>
              <w:rPr>
                <w:rStyle w:val="IndexLink"/>
                <w:rtl w:val="true"/>
              </w:rPr>
              <w:t>:</w:t>
              <w:tab/>
            </w:r>
            <w:r>
              <w:rPr>
                <w:rStyle w:val="IndexLink"/>
              </w:rPr>
              <w:t>375</w:t>
            </w:r>
          </w:hyperlink>
        </w:p>
        <w:p>
          <w:pPr>
            <w:pStyle w:val="Contents5"/>
            <w:tabs>
              <w:tab w:val="clear" w:pos="7892"/>
              <w:tab w:val="right" w:pos="9026" w:leader="dot"/>
            </w:tabs>
            <w:rPr/>
          </w:pPr>
          <w:hyperlink w:anchor="__RefHeading___Toc6963847_73709187">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6963849_73709187">
            <w:r>
              <w:rPr>
                <w:webHidden/>
                <w:rStyle w:val="IndexLink"/>
                <w:rtl w:val="true"/>
              </w:rPr>
              <w:t>المفردات</w:t>
            </w:r>
            <w:r>
              <w:rPr>
                <w:rStyle w:val="IndexLink"/>
                <w:rtl w:val="true"/>
              </w:rPr>
              <w:t>:</w:t>
              <w:tab/>
            </w:r>
            <w:r>
              <w:rPr>
                <w:rStyle w:val="IndexLink"/>
              </w:rPr>
              <w:t>375</w:t>
            </w:r>
          </w:hyperlink>
        </w:p>
        <w:p>
          <w:pPr>
            <w:pStyle w:val="Contents5"/>
            <w:tabs>
              <w:tab w:val="clear" w:pos="7892"/>
              <w:tab w:val="right" w:pos="9026" w:leader="dot"/>
            </w:tabs>
            <w:rPr/>
          </w:pPr>
          <w:hyperlink w:anchor="__RefHeading___Toc6963851_73709187">
            <w:r>
              <w:rPr>
                <w:webHidden/>
                <w:rStyle w:val="IndexLink"/>
                <w:rtl w:val="true"/>
              </w:rPr>
              <w:t>التفسير</w:t>
            </w:r>
            <w:r>
              <w:rPr>
                <w:rStyle w:val="IndexLink"/>
                <w:rtl w:val="true"/>
              </w:rPr>
              <w:t>:</w:t>
              <w:tab/>
            </w:r>
            <w:r>
              <w:rPr>
                <w:rStyle w:val="IndexLink"/>
              </w:rPr>
              <w:t>376</w:t>
            </w:r>
          </w:hyperlink>
        </w:p>
        <w:p>
          <w:pPr>
            <w:pStyle w:val="Contents5"/>
            <w:tabs>
              <w:tab w:val="clear" w:pos="7892"/>
              <w:tab w:val="right" w:pos="9026" w:leader="dot"/>
            </w:tabs>
            <w:rPr/>
          </w:pPr>
          <w:hyperlink w:anchor="__RefHeading___Toc6963853_73709187">
            <w:r>
              <w:rPr>
                <w:webHidden/>
                <w:rStyle w:val="IndexLink"/>
                <w:rtl w:val="true"/>
              </w:rPr>
              <w:t>نظرية الماديّين والإلهيّين حول الروح</w:t>
            </w:r>
            <w:r>
              <w:rPr>
                <w:rStyle w:val="IndexLink"/>
                <w:rtl w:val="true"/>
              </w:rPr>
              <w:tab/>
            </w:r>
            <w:r>
              <w:rPr>
                <w:rStyle w:val="IndexLink"/>
              </w:rPr>
              <w:t>384</w:t>
            </w:r>
          </w:hyperlink>
        </w:p>
        <w:p>
          <w:pPr>
            <w:pStyle w:val="Contents5"/>
            <w:tabs>
              <w:tab w:val="clear" w:pos="7892"/>
              <w:tab w:val="right" w:pos="9026" w:leader="dot"/>
            </w:tabs>
            <w:rPr/>
          </w:pPr>
          <w:hyperlink w:anchor="__RefHeading___Toc6963855_73709187">
            <w:r>
              <w:rPr>
                <w:webHidden/>
                <w:rStyle w:val="IndexLink"/>
                <w:rtl w:val="true"/>
              </w:rPr>
              <w:t>مراتب النفس</w:t>
            </w:r>
            <w:r>
              <w:rPr>
                <w:rStyle w:val="IndexLink"/>
                <w:rtl w:val="true"/>
              </w:rPr>
              <w:tab/>
            </w:r>
            <w:r>
              <w:rPr>
                <w:rStyle w:val="IndexLink"/>
              </w:rPr>
              <w:t>385</w:t>
            </w:r>
          </w:hyperlink>
        </w:p>
        <w:p>
          <w:pPr>
            <w:pStyle w:val="Contents6"/>
            <w:tabs>
              <w:tab w:val="clear" w:pos="7609"/>
              <w:tab w:val="right" w:pos="9026" w:leader="dot"/>
            </w:tabs>
            <w:rPr/>
          </w:pPr>
          <w:hyperlink w:anchor="__RefHeading___Toc6963857_73709187">
            <w:r>
              <w:rPr>
                <w:webHidden/>
                <w:rStyle w:val="IndexLink"/>
                <w:rtl w:val="true"/>
              </w:rPr>
              <w:t>اشارة</w:t>
            </w:r>
            <w:r>
              <w:rPr>
                <w:rStyle w:val="IndexLink"/>
                <w:rtl w:val="true"/>
              </w:rPr>
              <w:tab/>
            </w:r>
            <w:r>
              <w:rPr>
                <w:rStyle w:val="IndexLink"/>
              </w:rPr>
              <w:t>385</w:t>
            </w:r>
          </w:hyperlink>
        </w:p>
        <w:p>
          <w:pPr>
            <w:pStyle w:val="Contents6"/>
            <w:tabs>
              <w:tab w:val="clear" w:pos="7609"/>
              <w:tab w:val="right" w:pos="9026" w:leader="dot"/>
            </w:tabs>
            <w:rPr/>
          </w:pPr>
          <w:hyperlink w:anchor="__RefHeading___Toc6963859_73709187">
            <w:r>
              <w:rPr>
                <w:webHidden/>
                <w:rStyle w:val="IndexLink"/>
              </w:rPr>
              <w:t>1</w:t>
            </w:r>
            <w:r>
              <w:rPr>
                <w:rStyle w:val="IndexLink"/>
                <w:rtl w:val="true"/>
              </w:rPr>
              <w:t xml:space="preserve">. </w:t>
            </w:r>
            <w:r>
              <w:rPr>
                <w:rStyle w:val="IndexLink"/>
                <w:rtl w:val="true"/>
              </w:rPr>
              <w:t>النفس الملهمة</w:t>
            </w:r>
            <w:r>
              <w:rPr>
                <w:rStyle w:val="IndexLink"/>
                <w:rtl w:val="true"/>
              </w:rPr>
              <w:t>:</w:t>
              <w:tab/>
            </w:r>
            <w:r>
              <w:rPr>
                <w:rStyle w:val="IndexLink"/>
              </w:rPr>
              <w:t>386</w:t>
            </w:r>
          </w:hyperlink>
        </w:p>
        <w:p>
          <w:pPr>
            <w:pStyle w:val="Contents6"/>
            <w:tabs>
              <w:tab w:val="clear" w:pos="7609"/>
              <w:tab w:val="right" w:pos="9026" w:leader="dot"/>
            </w:tabs>
            <w:rPr/>
          </w:pPr>
          <w:hyperlink w:anchor="__RefHeading___Toc6963861_73709187">
            <w:r>
              <w:rPr>
                <w:webHidden/>
                <w:rStyle w:val="IndexLink"/>
              </w:rPr>
              <w:t>2</w:t>
            </w:r>
            <w:r>
              <w:rPr>
                <w:rStyle w:val="IndexLink"/>
                <w:rtl w:val="true"/>
              </w:rPr>
              <w:t xml:space="preserve">. </w:t>
            </w:r>
            <w:r>
              <w:rPr>
                <w:rStyle w:val="IndexLink"/>
                <w:rtl w:val="true"/>
              </w:rPr>
              <w:t>النفس الأمّارة</w:t>
            </w:r>
            <w:r>
              <w:rPr>
                <w:rStyle w:val="IndexLink"/>
                <w:rtl w:val="true"/>
              </w:rPr>
              <w:tab/>
            </w:r>
            <w:r>
              <w:rPr>
                <w:rStyle w:val="IndexLink"/>
              </w:rPr>
              <w:t>387</w:t>
            </w:r>
          </w:hyperlink>
        </w:p>
        <w:p>
          <w:pPr>
            <w:pStyle w:val="Contents6"/>
            <w:tabs>
              <w:tab w:val="clear" w:pos="7609"/>
              <w:tab w:val="right" w:pos="9026" w:leader="dot"/>
            </w:tabs>
            <w:rPr/>
          </w:pPr>
          <w:hyperlink w:anchor="__RefHeading___Toc6963863_73709187">
            <w:r>
              <w:rPr>
                <w:webHidden/>
                <w:rStyle w:val="IndexLink"/>
              </w:rPr>
              <w:t>3</w:t>
            </w:r>
            <w:r>
              <w:rPr>
                <w:rStyle w:val="IndexLink"/>
                <w:rtl w:val="true"/>
              </w:rPr>
              <w:t xml:space="preserve">. </w:t>
            </w:r>
            <w:r>
              <w:rPr>
                <w:rStyle w:val="IndexLink"/>
                <w:rtl w:val="true"/>
              </w:rPr>
              <w:t>النفس اللوامة</w:t>
            </w:r>
            <w:r>
              <w:rPr>
                <w:rStyle w:val="IndexLink"/>
                <w:rtl w:val="true"/>
              </w:rPr>
              <w:tab/>
            </w:r>
            <w:r>
              <w:rPr>
                <w:rStyle w:val="IndexLink"/>
              </w:rPr>
              <w:t>388</w:t>
            </w:r>
          </w:hyperlink>
        </w:p>
        <w:p>
          <w:pPr>
            <w:pStyle w:val="Contents6"/>
            <w:tabs>
              <w:tab w:val="clear" w:pos="7609"/>
              <w:tab w:val="right" w:pos="9026" w:leader="dot"/>
            </w:tabs>
            <w:rPr/>
          </w:pPr>
          <w:hyperlink w:anchor="__RefHeading___Toc6963865_73709187">
            <w:r>
              <w:rPr>
                <w:webHidden/>
                <w:rStyle w:val="IndexLink"/>
                <w:rtl w:val="true"/>
              </w:rPr>
              <w:t>ما هي الصلة بين المقسم به وجواب القسم‌؟</w:t>
            </w:r>
            <w:r>
              <w:rPr>
                <w:rStyle w:val="IndexLink"/>
                <w:rtl w:val="true"/>
              </w:rPr>
              <w:tab/>
            </w:r>
            <w:r>
              <w:rPr>
                <w:rStyle w:val="IndexLink"/>
              </w:rPr>
              <w:t>391</w:t>
            </w:r>
          </w:hyperlink>
        </w:p>
        <w:p>
          <w:pPr>
            <w:pStyle w:val="Contents6"/>
            <w:tabs>
              <w:tab w:val="clear" w:pos="7609"/>
              <w:tab w:val="right" w:pos="9026" w:leader="dot"/>
            </w:tabs>
            <w:rPr/>
          </w:pPr>
          <w:hyperlink w:anchor="__RefHeading___Toc6963867_73709187">
            <w:r>
              <w:rPr>
                <w:webHidden/>
                <w:rStyle w:val="IndexLink"/>
              </w:rPr>
              <w:t>4</w:t>
            </w:r>
            <w:r>
              <w:rPr>
                <w:rStyle w:val="IndexLink"/>
                <w:rtl w:val="true"/>
              </w:rPr>
              <w:t xml:space="preserve">. </w:t>
            </w:r>
            <w:r>
              <w:rPr>
                <w:rStyle w:val="IndexLink"/>
                <w:rtl w:val="true"/>
              </w:rPr>
              <w:t>النفس المطمئنّة</w:t>
            </w:r>
            <w:r>
              <w:rPr>
                <w:rStyle w:val="IndexLink"/>
                <w:rtl w:val="true"/>
              </w:rPr>
              <w:tab/>
            </w:r>
            <w:r>
              <w:rPr>
                <w:rStyle w:val="IndexLink"/>
              </w:rPr>
              <w:t>392</w:t>
            </w:r>
          </w:hyperlink>
        </w:p>
        <w:p>
          <w:pPr>
            <w:pStyle w:val="Contents5"/>
            <w:tabs>
              <w:tab w:val="clear" w:pos="7892"/>
              <w:tab w:val="right" w:pos="9026" w:leader="dot"/>
            </w:tabs>
            <w:rPr/>
          </w:pPr>
          <w:hyperlink w:anchor="__RefHeading___Toc6963869_73709187">
            <w:r>
              <w:rPr>
                <w:webHidden/>
                <w:rStyle w:val="IndexLink"/>
                <w:rtl w:val="true"/>
              </w:rPr>
              <w:t>كلام حول مرضاة اللّه تعالى</w:t>
            </w:r>
            <w:r>
              <w:rPr>
                <w:rStyle w:val="IndexLink"/>
                <w:rtl w:val="true"/>
              </w:rPr>
              <w:tab/>
            </w:r>
            <w:r>
              <w:rPr>
                <w:rStyle w:val="IndexLink"/>
              </w:rPr>
              <w:t>394</w:t>
            </w:r>
          </w:hyperlink>
        </w:p>
        <w:p>
          <w:pPr>
            <w:pStyle w:val="Contents4"/>
            <w:tabs>
              <w:tab w:val="clear" w:pos="8176"/>
              <w:tab w:val="right" w:pos="9026" w:leader="dot"/>
            </w:tabs>
            <w:rPr/>
          </w:pPr>
          <w:hyperlink w:anchor="__RefHeading___Toc6963871_73709187">
            <w:r>
              <w:rPr>
                <w:webHidden/>
                <w:rStyle w:val="IndexLink"/>
                <w:rtl w:val="true"/>
              </w:rPr>
              <w:t>الآيات الثالثة والرابعة والخامسة</w:t>
            </w:r>
            <w:r>
              <w:rPr>
                <w:rStyle w:val="IndexLink"/>
                <w:rtl w:val="true"/>
              </w:rPr>
              <w:t>:</w:t>
              <w:tab/>
            </w:r>
            <w:r>
              <w:rPr>
                <w:rStyle w:val="IndexLink"/>
              </w:rPr>
              <w:t>395</w:t>
            </w:r>
          </w:hyperlink>
        </w:p>
        <w:p>
          <w:pPr>
            <w:pStyle w:val="Contents5"/>
            <w:tabs>
              <w:tab w:val="clear" w:pos="7892"/>
              <w:tab w:val="right" w:pos="9026" w:leader="dot"/>
            </w:tabs>
            <w:rPr/>
          </w:pPr>
          <w:hyperlink w:anchor="__RefHeading___Toc6963873_73709187">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6963875_73709187">
            <w:r>
              <w:rPr>
                <w:webHidden/>
                <w:rStyle w:val="IndexLink"/>
                <w:rtl w:val="true"/>
              </w:rPr>
              <w:t>المفردات</w:t>
            </w:r>
            <w:r>
              <w:rPr>
                <w:rStyle w:val="IndexLink"/>
                <w:rtl w:val="true"/>
              </w:rPr>
              <w:t>:</w:t>
              <w:tab/>
            </w:r>
            <w:r>
              <w:rPr>
                <w:rStyle w:val="IndexLink"/>
              </w:rPr>
              <w:t>395</w:t>
            </w:r>
          </w:hyperlink>
        </w:p>
        <w:p>
          <w:pPr>
            <w:pStyle w:val="Contents5"/>
            <w:tabs>
              <w:tab w:val="clear" w:pos="7892"/>
              <w:tab w:val="right" w:pos="9026" w:leader="dot"/>
            </w:tabs>
            <w:rPr/>
          </w:pPr>
          <w:hyperlink w:anchor="__RefHeading___Toc6963877_73709187">
            <w:r>
              <w:rPr>
                <w:webHidden/>
                <w:rStyle w:val="IndexLink"/>
                <w:rtl w:val="true"/>
              </w:rPr>
              <w:t>التفسير</w:t>
            </w:r>
            <w:r>
              <w:rPr>
                <w:rStyle w:val="IndexLink"/>
                <w:rtl w:val="true"/>
              </w:rPr>
              <w:t>:</w:t>
              <w:tab/>
            </w:r>
            <w:r>
              <w:rPr>
                <w:rStyle w:val="IndexLink"/>
              </w:rPr>
              <w:t>396</w:t>
            </w:r>
          </w:hyperlink>
        </w:p>
        <w:p>
          <w:pPr>
            <w:pStyle w:val="Contents4"/>
            <w:tabs>
              <w:tab w:val="clear" w:pos="8176"/>
              <w:tab w:val="right" w:pos="9026" w:leader="dot"/>
            </w:tabs>
            <w:rPr/>
          </w:pPr>
          <w:hyperlink w:anchor="__RefHeading___Toc6963879_73709187">
            <w:r>
              <w:rPr>
                <w:webHidden/>
                <w:rStyle w:val="IndexLink"/>
                <w:rtl w:val="true"/>
              </w:rPr>
              <w:t>الآية السادسة</w:t>
            </w:r>
            <w:r>
              <w:rPr>
                <w:rStyle w:val="IndexLink"/>
                <w:rtl w:val="true"/>
              </w:rPr>
              <w:t>:</w:t>
              <w:tab/>
            </w:r>
            <w:r>
              <w:rPr>
                <w:rStyle w:val="IndexLink"/>
              </w:rPr>
              <w:t>401</w:t>
            </w:r>
          </w:hyperlink>
        </w:p>
        <w:p>
          <w:pPr>
            <w:pStyle w:val="Contents5"/>
            <w:tabs>
              <w:tab w:val="clear" w:pos="7892"/>
              <w:tab w:val="right" w:pos="9026" w:leader="dot"/>
            </w:tabs>
            <w:rPr/>
          </w:pPr>
          <w:hyperlink w:anchor="__RefHeading___Toc6963881_73709187">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6963883_73709187">
            <w:r>
              <w:rPr>
                <w:webHidden/>
                <w:rStyle w:val="IndexLink"/>
                <w:rtl w:val="true"/>
              </w:rPr>
              <w:t>المفردات</w:t>
            </w:r>
            <w:r>
              <w:rPr>
                <w:rStyle w:val="IndexLink"/>
                <w:rtl w:val="true"/>
              </w:rPr>
              <w:t>:</w:t>
              <w:tab/>
            </w:r>
            <w:r>
              <w:rPr>
                <w:rStyle w:val="IndexLink"/>
              </w:rPr>
              <w:t>401</w:t>
            </w:r>
          </w:hyperlink>
        </w:p>
        <w:p>
          <w:pPr>
            <w:pStyle w:val="Contents5"/>
            <w:tabs>
              <w:tab w:val="clear" w:pos="7892"/>
              <w:tab w:val="right" w:pos="9026" w:leader="dot"/>
            </w:tabs>
            <w:rPr/>
          </w:pPr>
          <w:hyperlink w:anchor="__RefHeading___Toc6963885_73709187">
            <w:r>
              <w:rPr>
                <w:webHidden/>
                <w:rStyle w:val="IndexLink"/>
                <w:rtl w:val="true"/>
              </w:rPr>
              <w:t>التفسير</w:t>
            </w:r>
            <w:r>
              <w:rPr>
                <w:rStyle w:val="IndexLink"/>
                <w:rtl w:val="true"/>
              </w:rPr>
              <w:t>:</w:t>
              <w:tab/>
            </w:r>
            <w:r>
              <w:rPr>
                <w:rStyle w:val="IndexLink"/>
              </w:rPr>
              <w:t>401</w:t>
            </w:r>
          </w:hyperlink>
        </w:p>
        <w:p>
          <w:pPr>
            <w:pStyle w:val="Contents4"/>
            <w:tabs>
              <w:tab w:val="clear" w:pos="8176"/>
              <w:tab w:val="right" w:pos="9026" w:leader="dot"/>
            </w:tabs>
            <w:rPr/>
          </w:pPr>
          <w:hyperlink w:anchor="__RefHeading___Toc6963887_73709187">
            <w:r>
              <w:rPr>
                <w:webHidden/>
                <w:rStyle w:val="IndexLink"/>
                <w:rtl w:val="true"/>
              </w:rPr>
              <w:t>الآيات السابعة إلى الثالثة عشرة</w:t>
            </w:r>
            <w:r>
              <w:rPr>
                <w:rStyle w:val="IndexLink"/>
                <w:rtl w:val="true"/>
              </w:rPr>
              <w:tab/>
            </w:r>
            <w:r>
              <w:rPr>
                <w:rStyle w:val="IndexLink"/>
              </w:rPr>
              <w:t>402</w:t>
            </w:r>
          </w:hyperlink>
        </w:p>
        <w:p>
          <w:pPr>
            <w:pStyle w:val="Contents5"/>
            <w:tabs>
              <w:tab w:val="clear" w:pos="7892"/>
              <w:tab w:val="right" w:pos="9026" w:leader="dot"/>
            </w:tabs>
            <w:rPr/>
          </w:pPr>
          <w:hyperlink w:anchor="__RefHeading___Toc6963889_73709187">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6963891_73709187">
            <w:r>
              <w:rPr>
                <w:webHidden/>
                <w:rStyle w:val="IndexLink"/>
                <w:rtl w:val="true"/>
              </w:rPr>
              <w:t>المفردات</w:t>
            </w:r>
            <w:r>
              <w:rPr>
                <w:rStyle w:val="IndexLink"/>
                <w:rtl w:val="true"/>
              </w:rPr>
              <w:t>:</w:t>
              <w:tab/>
            </w:r>
            <w:r>
              <w:rPr>
                <w:rStyle w:val="IndexLink"/>
              </w:rPr>
              <w:t>402</w:t>
            </w:r>
          </w:hyperlink>
        </w:p>
        <w:p>
          <w:pPr>
            <w:pStyle w:val="Contents5"/>
            <w:tabs>
              <w:tab w:val="clear" w:pos="7892"/>
              <w:tab w:val="right" w:pos="9026" w:leader="dot"/>
            </w:tabs>
            <w:rPr/>
          </w:pPr>
          <w:hyperlink w:anchor="__RefHeading___Toc6963893_73709187">
            <w:r>
              <w:rPr>
                <w:webHidden/>
                <w:rStyle w:val="IndexLink"/>
                <w:rtl w:val="true"/>
              </w:rPr>
              <w:t>التفسير</w:t>
            </w:r>
            <w:r>
              <w:rPr>
                <w:rStyle w:val="IndexLink"/>
                <w:rtl w:val="true"/>
              </w:rPr>
              <w:t>:</w:t>
              <w:tab/>
            </w:r>
            <w:r>
              <w:rPr>
                <w:rStyle w:val="IndexLink"/>
              </w:rPr>
              <w:t>403</w:t>
            </w:r>
          </w:hyperlink>
        </w:p>
        <w:p>
          <w:pPr>
            <w:pStyle w:val="Contents4"/>
            <w:tabs>
              <w:tab w:val="clear" w:pos="8176"/>
              <w:tab w:val="right" w:pos="9026" w:leader="dot"/>
            </w:tabs>
            <w:rPr/>
          </w:pPr>
          <w:hyperlink w:anchor="__RefHeading___Toc6963895_73709187">
            <w:r>
              <w:rPr>
                <w:webHidden/>
                <w:rStyle w:val="IndexLink"/>
                <w:rtl w:val="true"/>
              </w:rPr>
              <w:t>الآيتان الرابعة عشرة والخامسة عشرة</w:t>
            </w:r>
            <w:r>
              <w:rPr>
                <w:rStyle w:val="IndexLink"/>
                <w:rtl w:val="true"/>
              </w:rPr>
              <w:t>:</w:t>
              <w:tab/>
            </w:r>
            <w:r>
              <w:rPr>
                <w:rStyle w:val="IndexLink"/>
              </w:rPr>
              <w:t>408</w:t>
            </w:r>
          </w:hyperlink>
        </w:p>
        <w:p>
          <w:pPr>
            <w:pStyle w:val="Contents5"/>
            <w:tabs>
              <w:tab w:val="clear" w:pos="7892"/>
              <w:tab w:val="right" w:pos="9026" w:leader="dot"/>
            </w:tabs>
            <w:rPr/>
          </w:pPr>
          <w:hyperlink w:anchor="__RefHeading___Toc6963897_73709187">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6963899_73709187">
            <w:r>
              <w:rPr>
                <w:webHidden/>
                <w:rStyle w:val="IndexLink"/>
                <w:rtl w:val="true"/>
              </w:rPr>
              <w:t>المفردات</w:t>
            </w:r>
            <w:r>
              <w:rPr>
                <w:rStyle w:val="IndexLink"/>
                <w:rtl w:val="true"/>
              </w:rPr>
              <w:t>:</w:t>
              <w:tab/>
            </w:r>
            <w:r>
              <w:rPr>
                <w:rStyle w:val="IndexLink"/>
              </w:rPr>
              <w:t>408</w:t>
            </w:r>
          </w:hyperlink>
        </w:p>
        <w:p>
          <w:pPr>
            <w:pStyle w:val="Contents5"/>
            <w:tabs>
              <w:tab w:val="clear" w:pos="7892"/>
              <w:tab w:val="right" w:pos="9026" w:leader="dot"/>
            </w:tabs>
            <w:rPr/>
          </w:pPr>
          <w:hyperlink w:anchor="__RefHeading___Toc6963901_73709187">
            <w:r>
              <w:rPr>
                <w:webHidden/>
                <w:rStyle w:val="IndexLink"/>
                <w:rtl w:val="true"/>
              </w:rPr>
              <w:t>التفسير</w:t>
            </w:r>
            <w:r>
              <w:rPr>
                <w:rStyle w:val="IndexLink"/>
                <w:rtl w:val="true"/>
              </w:rPr>
              <w:t>:</w:t>
              <w:tab/>
            </w:r>
            <w:r>
              <w:rPr>
                <w:rStyle w:val="IndexLink"/>
              </w:rPr>
              <w:t>408</w:t>
            </w:r>
          </w:hyperlink>
        </w:p>
        <w:p>
          <w:pPr>
            <w:pStyle w:val="Contents4"/>
            <w:tabs>
              <w:tab w:val="clear" w:pos="8176"/>
              <w:tab w:val="right" w:pos="9026" w:leader="dot"/>
            </w:tabs>
            <w:rPr/>
          </w:pPr>
          <w:hyperlink w:anchor="__RefHeading___Toc6963903_73709187">
            <w:r>
              <w:rPr>
                <w:webHidden/>
                <w:rStyle w:val="IndexLink"/>
                <w:rtl w:val="true"/>
              </w:rPr>
              <w:t>الآيات السادسة عشرة إلى التاسعة عشرة</w:t>
            </w:r>
            <w:r>
              <w:rPr>
                <w:rStyle w:val="IndexLink"/>
                <w:rtl w:val="true"/>
              </w:rPr>
              <w:t>:</w:t>
              <w:tab/>
            </w:r>
            <w:r>
              <w:rPr>
                <w:rStyle w:val="IndexLink"/>
              </w:rPr>
              <w:t>410</w:t>
            </w:r>
          </w:hyperlink>
        </w:p>
        <w:p>
          <w:pPr>
            <w:pStyle w:val="Contents5"/>
            <w:tabs>
              <w:tab w:val="clear" w:pos="7892"/>
              <w:tab w:val="right" w:pos="9026" w:leader="dot"/>
            </w:tabs>
            <w:rPr/>
          </w:pPr>
          <w:hyperlink w:anchor="__RefHeading___Toc6963905_73709187">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6963907_73709187">
            <w:r>
              <w:rPr>
                <w:webHidden/>
                <w:rStyle w:val="IndexLink"/>
                <w:rtl w:val="true"/>
              </w:rPr>
              <w:t>المفردات</w:t>
            </w:r>
            <w:r>
              <w:rPr>
                <w:rStyle w:val="IndexLink"/>
                <w:rtl w:val="true"/>
              </w:rPr>
              <w:t>:</w:t>
              <w:tab/>
            </w:r>
            <w:r>
              <w:rPr>
                <w:rStyle w:val="IndexLink"/>
              </w:rPr>
              <w:t>410</w:t>
            </w:r>
          </w:hyperlink>
        </w:p>
        <w:p>
          <w:pPr>
            <w:pStyle w:val="Contents5"/>
            <w:tabs>
              <w:tab w:val="clear" w:pos="7892"/>
              <w:tab w:val="right" w:pos="9026" w:leader="dot"/>
            </w:tabs>
            <w:rPr/>
          </w:pPr>
          <w:hyperlink w:anchor="__RefHeading___Toc6963909_73709187">
            <w:r>
              <w:rPr>
                <w:webHidden/>
                <w:rStyle w:val="IndexLink"/>
                <w:rtl w:val="true"/>
              </w:rPr>
              <w:t>التفسير</w:t>
            </w:r>
            <w:r>
              <w:rPr>
                <w:rStyle w:val="IndexLink"/>
                <w:rtl w:val="true"/>
              </w:rPr>
              <w:t>:</w:t>
              <w:tab/>
            </w:r>
            <w:r>
              <w:rPr>
                <w:rStyle w:val="IndexLink"/>
              </w:rPr>
              <w:t>410</w:t>
            </w:r>
          </w:hyperlink>
        </w:p>
        <w:p>
          <w:pPr>
            <w:pStyle w:val="Contents5"/>
            <w:tabs>
              <w:tab w:val="clear" w:pos="7892"/>
              <w:tab w:val="right" w:pos="9026" w:leader="dot"/>
            </w:tabs>
            <w:rPr/>
          </w:pPr>
          <w:hyperlink w:anchor="__RefHeading___Toc6963911_73709187">
            <w:r>
              <w:rPr>
                <w:webHidden/>
                <w:rStyle w:val="IndexLink"/>
                <w:rtl w:val="true"/>
              </w:rPr>
              <w:t>فما هو وجه الحلّ في هذه الموارد الثلاثة‌؟</w:t>
            </w:r>
            <w:r>
              <w:rPr>
                <w:rStyle w:val="IndexLink"/>
                <w:rtl w:val="true"/>
              </w:rPr>
              <w:tab/>
            </w:r>
            <w:r>
              <w:rPr>
                <w:rStyle w:val="IndexLink"/>
              </w:rPr>
              <w:t>412</w:t>
            </w:r>
          </w:hyperlink>
        </w:p>
        <w:p>
          <w:pPr>
            <w:pStyle w:val="Contents4"/>
            <w:tabs>
              <w:tab w:val="clear" w:pos="8176"/>
              <w:tab w:val="right" w:pos="9026" w:leader="dot"/>
            </w:tabs>
            <w:rPr/>
          </w:pPr>
          <w:hyperlink w:anchor="__RefHeading___Toc6963913_73709187">
            <w:r>
              <w:rPr>
                <w:webHidden/>
                <w:rStyle w:val="IndexLink"/>
                <w:rtl w:val="true"/>
              </w:rPr>
              <w:t>الآيتان العشرون والحادية والعشرون</w:t>
            </w:r>
            <w:r>
              <w:rPr>
                <w:rStyle w:val="IndexLink"/>
                <w:rtl w:val="true"/>
              </w:rPr>
              <w:tab/>
            </w:r>
            <w:r>
              <w:rPr>
                <w:rStyle w:val="IndexLink"/>
              </w:rPr>
              <w:t>416</w:t>
            </w:r>
          </w:hyperlink>
        </w:p>
        <w:p>
          <w:pPr>
            <w:pStyle w:val="Contents5"/>
            <w:tabs>
              <w:tab w:val="clear" w:pos="7892"/>
              <w:tab w:val="right" w:pos="9026" w:leader="dot"/>
            </w:tabs>
            <w:rPr/>
          </w:pPr>
          <w:hyperlink w:anchor="__RefHeading___Toc6963915_73709187">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6963917_73709187">
            <w:r>
              <w:rPr>
                <w:webHidden/>
                <w:rStyle w:val="IndexLink"/>
                <w:rtl w:val="true"/>
              </w:rPr>
              <w:t>المفردات</w:t>
            </w:r>
            <w:r>
              <w:rPr>
                <w:rStyle w:val="IndexLink"/>
                <w:rtl w:val="true"/>
              </w:rPr>
              <w:t>:</w:t>
              <w:tab/>
            </w:r>
            <w:r>
              <w:rPr>
                <w:rStyle w:val="IndexLink"/>
              </w:rPr>
              <w:t>416</w:t>
            </w:r>
          </w:hyperlink>
        </w:p>
        <w:p>
          <w:pPr>
            <w:pStyle w:val="Contents5"/>
            <w:tabs>
              <w:tab w:val="clear" w:pos="7892"/>
              <w:tab w:val="right" w:pos="9026" w:leader="dot"/>
            </w:tabs>
            <w:rPr/>
          </w:pPr>
          <w:hyperlink w:anchor="__RefHeading___Toc6963919_73709187">
            <w:r>
              <w:rPr>
                <w:webHidden/>
                <w:rStyle w:val="IndexLink"/>
                <w:rtl w:val="true"/>
              </w:rPr>
              <w:t>التفسير</w:t>
            </w:r>
            <w:r>
              <w:rPr>
                <w:rStyle w:val="IndexLink"/>
                <w:rtl w:val="true"/>
              </w:rPr>
              <w:t>:</w:t>
              <w:tab/>
            </w:r>
            <w:r>
              <w:rPr>
                <w:rStyle w:val="IndexLink"/>
              </w:rPr>
              <w:t>416</w:t>
            </w:r>
          </w:hyperlink>
        </w:p>
        <w:p>
          <w:pPr>
            <w:pStyle w:val="Contents4"/>
            <w:tabs>
              <w:tab w:val="clear" w:pos="8176"/>
              <w:tab w:val="right" w:pos="9026" w:leader="dot"/>
            </w:tabs>
            <w:rPr/>
          </w:pPr>
          <w:hyperlink w:anchor="__RefHeading___Toc6963921_73709187">
            <w:r>
              <w:rPr>
                <w:webHidden/>
                <w:rStyle w:val="IndexLink"/>
                <w:rtl w:val="true"/>
              </w:rPr>
              <w:t>الآيات الثانية والعشرون إلى الخامسة والعشرين</w:t>
            </w:r>
            <w:r>
              <w:rPr>
                <w:rStyle w:val="IndexLink"/>
                <w:rtl w:val="true"/>
              </w:rPr>
              <w:tab/>
            </w:r>
            <w:r>
              <w:rPr>
                <w:rStyle w:val="IndexLink"/>
              </w:rPr>
              <w:t>417</w:t>
            </w:r>
          </w:hyperlink>
        </w:p>
        <w:p>
          <w:pPr>
            <w:pStyle w:val="Contents5"/>
            <w:tabs>
              <w:tab w:val="clear" w:pos="7892"/>
              <w:tab w:val="right" w:pos="9026" w:leader="dot"/>
            </w:tabs>
            <w:rPr/>
          </w:pPr>
          <w:hyperlink w:anchor="__RefHeading___Toc6963923_73709187">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6963925_73709187">
            <w:r>
              <w:rPr>
                <w:webHidden/>
                <w:rStyle w:val="IndexLink"/>
                <w:rtl w:val="true"/>
              </w:rPr>
              <w:t>المفردات</w:t>
            </w:r>
            <w:r>
              <w:rPr>
                <w:rStyle w:val="IndexLink"/>
                <w:rtl w:val="true"/>
              </w:rPr>
              <w:t>:</w:t>
              <w:tab/>
            </w:r>
            <w:r>
              <w:rPr>
                <w:rStyle w:val="IndexLink"/>
              </w:rPr>
              <w:t>417</w:t>
            </w:r>
          </w:hyperlink>
        </w:p>
        <w:p>
          <w:pPr>
            <w:pStyle w:val="Contents5"/>
            <w:tabs>
              <w:tab w:val="clear" w:pos="7892"/>
              <w:tab w:val="right" w:pos="9026" w:leader="dot"/>
            </w:tabs>
            <w:rPr/>
          </w:pPr>
          <w:hyperlink w:anchor="__RefHeading___Toc6963927_73709187">
            <w:r>
              <w:rPr>
                <w:webHidden/>
                <w:rStyle w:val="IndexLink"/>
                <w:rtl w:val="true"/>
              </w:rPr>
              <w:t>التفسير</w:t>
            </w:r>
            <w:r>
              <w:rPr>
                <w:rStyle w:val="IndexLink"/>
                <w:rtl w:val="true"/>
              </w:rPr>
              <w:t>:</w:t>
              <w:tab/>
            </w:r>
            <w:r>
              <w:rPr>
                <w:rStyle w:val="IndexLink"/>
              </w:rPr>
              <w:t>418</w:t>
            </w:r>
          </w:hyperlink>
        </w:p>
        <w:p>
          <w:pPr>
            <w:pStyle w:val="Contents5"/>
            <w:tabs>
              <w:tab w:val="clear" w:pos="7892"/>
              <w:tab w:val="right" w:pos="9026" w:leader="dot"/>
            </w:tabs>
            <w:rPr/>
          </w:pPr>
          <w:hyperlink w:anchor="__RefHeading___Toc6963929_73709187">
            <w:r>
              <w:rPr>
                <w:webHidden/>
                <w:rStyle w:val="IndexLink"/>
                <w:rtl w:val="true"/>
              </w:rPr>
              <w:t>بيان آخر لرفع الإبهام عن قوله</w:t>
            </w:r>
            <w:r>
              <w:rPr>
                <w:rStyle w:val="IndexLink"/>
                <w:rtl w:val="true"/>
              </w:rPr>
              <w:t>: (</w:t>
            </w:r>
            <w:r>
              <w:rPr>
                <w:rStyle w:val="IndexLink"/>
                <w:rtl w:val="true"/>
              </w:rPr>
              <w:t>ناظِرَةٌ‌</w:t>
            </w:r>
            <w:r>
              <w:rPr>
                <w:rStyle w:val="IndexLink"/>
                <w:rtl w:val="true"/>
              </w:rPr>
              <w:t>)</w:t>
              <w:tab/>
            </w:r>
            <w:r>
              <w:rPr>
                <w:rStyle w:val="IndexLink"/>
              </w:rPr>
              <w:t>421</w:t>
            </w:r>
          </w:hyperlink>
        </w:p>
        <w:p>
          <w:pPr>
            <w:pStyle w:val="Contents4"/>
            <w:tabs>
              <w:tab w:val="clear" w:pos="8176"/>
              <w:tab w:val="right" w:pos="9026" w:leader="dot"/>
            </w:tabs>
            <w:rPr/>
          </w:pPr>
          <w:hyperlink w:anchor="__RefHeading___Toc6963931_73709187">
            <w:r>
              <w:rPr>
                <w:webHidden/>
                <w:rStyle w:val="IndexLink"/>
                <w:rtl w:val="true"/>
              </w:rPr>
              <w:t>الآيات السادسة والعشرون إلى الثلاثين</w:t>
            </w:r>
            <w:r>
              <w:rPr>
                <w:rStyle w:val="IndexLink"/>
                <w:rtl w:val="true"/>
              </w:rPr>
              <w:tab/>
            </w:r>
            <w:r>
              <w:rPr>
                <w:rStyle w:val="IndexLink"/>
              </w:rPr>
              <w:t>426</w:t>
            </w:r>
          </w:hyperlink>
        </w:p>
        <w:p>
          <w:pPr>
            <w:pStyle w:val="Contents5"/>
            <w:tabs>
              <w:tab w:val="clear" w:pos="7892"/>
              <w:tab w:val="right" w:pos="9026" w:leader="dot"/>
            </w:tabs>
            <w:rPr/>
          </w:pPr>
          <w:hyperlink w:anchor="__RefHeading___Toc6963933_73709187">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6963935_73709187">
            <w:r>
              <w:rPr>
                <w:webHidden/>
                <w:rStyle w:val="IndexLink"/>
                <w:rtl w:val="true"/>
              </w:rPr>
              <w:t>المفردات</w:t>
            </w:r>
            <w:r>
              <w:rPr>
                <w:rStyle w:val="IndexLink"/>
                <w:rtl w:val="true"/>
              </w:rPr>
              <w:t>:</w:t>
              <w:tab/>
            </w:r>
            <w:r>
              <w:rPr>
                <w:rStyle w:val="IndexLink"/>
              </w:rPr>
              <w:t>426</w:t>
            </w:r>
          </w:hyperlink>
        </w:p>
        <w:p>
          <w:pPr>
            <w:pStyle w:val="Contents5"/>
            <w:tabs>
              <w:tab w:val="clear" w:pos="7892"/>
              <w:tab w:val="right" w:pos="9026" w:leader="dot"/>
            </w:tabs>
            <w:rPr/>
          </w:pPr>
          <w:hyperlink w:anchor="__RefHeading___Toc6963937_73709187">
            <w:r>
              <w:rPr>
                <w:webHidden/>
                <w:rStyle w:val="IndexLink"/>
                <w:rtl w:val="true"/>
              </w:rPr>
              <w:t>التفسير</w:t>
            </w:r>
            <w:r>
              <w:rPr>
                <w:rStyle w:val="IndexLink"/>
                <w:rtl w:val="true"/>
              </w:rPr>
              <w:t>:</w:t>
              <w:tab/>
            </w:r>
            <w:r>
              <w:rPr>
                <w:rStyle w:val="IndexLink"/>
              </w:rPr>
              <w:t>426</w:t>
            </w:r>
          </w:hyperlink>
        </w:p>
        <w:p>
          <w:pPr>
            <w:pStyle w:val="Contents5"/>
            <w:tabs>
              <w:tab w:val="clear" w:pos="7892"/>
              <w:tab w:val="right" w:pos="9026" w:leader="dot"/>
            </w:tabs>
            <w:rPr/>
          </w:pPr>
          <w:hyperlink w:anchor="__RefHeading___Toc6963939_73709187">
            <w:r>
              <w:rPr>
                <w:webHidden/>
                <w:rStyle w:val="IndexLink"/>
                <w:rtl w:val="true"/>
              </w:rPr>
              <w:t>الروح حقيقة وراء البدن</w:t>
            </w:r>
            <w:r>
              <w:rPr>
                <w:rStyle w:val="IndexLink"/>
                <w:rtl w:val="true"/>
              </w:rPr>
              <w:tab/>
            </w:r>
            <w:r>
              <w:rPr>
                <w:rStyle w:val="IndexLink"/>
              </w:rPr>
              <w:t>428</w:t>
            </w:r>
          </w:hyperlink>
        </w:p>
        <w:p>
          <w:pPr>
            <w:pStyle w:val="Contents6"/>
            <w:tabs>
              <w:tab w:val="clear" w:pos="7609"/>
              <w:tab w:val="right" w:pos="9026" w:leader="dot"/>
            </w:tabs>
            <w:rPr/>
          </w:pPr>
          <w:hyperlink w:anchor="__RefHeading___Toc6963941_73709187">
            <w:r>
              <w:rPr>
                <w:webHidden/>
                <w:rStyle w:val="IndexLink"/>
                <w:rtl w:val="true"/>
              </w:rPr>
              <w:t>اشارة</w:t>
            </w:r>
            <w:r>
              <w:rPr>
                <w:rStyle w:val="IndexLink"/>
                <w:rtl w:val="true"/>
              </w:rPr>
              <w:tab/>
            </w:r>
            <w:r>
              <w:rPr>
                <w:rStyle w:val="IndexLink"/>
              </w:rPr>
              <w:t>428</w:t>
            </w:r>
          </w:hyperlink>
        </w:p>
        <w:p>
          <w:pPr>
            <w:pStyle w:val="Contents6"/>
            <w:tabs>
              <w:tab w:val="clear" w:pos="7609"/>
              <w:tab w:val="right" w:pos="9026" w:leader="dot"/>
            </w:tabs>
            <w:rPr/>
          </w:pPr>
          <w:hyperlink w:anchor="__RefHeading___Toc6963943_73709187">
            <w:r>
              <w:rPr>
                <w:webHidden/>
                <w:rStyle w:val="IndexLink"/>
              </w:rPr>
              <w:t>1</w:t>
            </w:r>
            <w:r>
              <w:rPr>
                <w:rStyle w:val="IndexLink"/>
                <w:rtl w:val="true"/>
              </w:rPr>
              <w:t xml:space="preserve">. </w:t>
            </w:r>
            <w:r>
              <w:rPr>
                <w:rStyle w:val="IndexLink"/>
                <w:rtl w:val="true"/>
              </w:rPr>
              <w:t>آية التوفّي والإمساك والإرسال</w:t>
            </w:r>
            <w:r>
              <w:rPr>
                <w:rStyle w:val="IndexLink"/>
                <w:rtl w:val="true"/>
              </w:rPr>
              <w:tab/>
            </w:r>
            <w:r>
              <w:rPr>
                <w:rStyle w:val="IndexLink"/>
              </w:rPr>
              <w:t>429</w:t>
            </w:r>
          </w:hyperlink>
        </w:p>
        <w:p>
          <w:pPr>
            <w:pStyle w:val="Contents6"/>
            <w:tabs>
              <w:tab w:val="clear" w:pos="7609"/>
              <w:tab w:val="right" w:pos="9026" w:leader="dot"/>
            </w:tabs>
            <w:rPr/>
          </w:pPr>
          <w:hyperlink w:anchor="__RefHeading___Toc6963945_73709187">
            <w:r>
              <w:rPr>
                <w:webHidden/>
                <w:rStyle w:val="IndexLink"/>
              </w:rPr>
              <w:t>2</w:t>
            </w:r>
            <w:r>
              <w:rPr>
                <w:rStyle w:val="IndexLink"/>
                <w:rtl w:val="true"/>
              </w:rPr>
              <w:t xml:space="preserve">. </w:t>
            </w:r>
            <w:r>
              <w:rPr>
                <w:rStyle w:val="IndexLink"/>
                <w:rtl w:val="true"/>
              </w:rPr>
              <w:t>آية حياة الشهداء</w:t>
            </w:r>
            <w:r>
              <w:rPr>
                <w:rStyle w:val="IndexLink"/>
                <w:rtl w:val="true"/>
              </w:rPr>
              <w:tab/>
            </w:r>
            <w:r>
              <w:rPr>
                <w:rStyle w:val="IndexLink"/>
              </w:rPr>
              <w:t>429</w:t>
            </w:r>
          </w:hyperlink>
        </w:p>
        <w:p>
          <w:pPr>
            <w:pStyle w:val="Contents6"/>
            <w:tabs>
              <w:tab w:val="clear" w:pos="7609"/>
              <w:tab w:val="right" w:pos="9026" w:leader="dot"/>
            </w:tabs>
            <w:rPr/>
          </w:pPr>
          <w:hyperlink w:anchor="__RefHeading___Toc6963947_73709187">
            <w:r>
              <w:rPr>
                <w:webHidden/>
                <w:rStyle w:val="IndexLink"/>
              </w:rPr>
              <w:t>3</w:t>
            </w:r>
            <w:r>
              <w:rPr>
                <w:rStyle w:val="IndexLink"/>
                <w:rtl w:val="true"/>
              </w:rPr>
              <w:t xml:space="preserve">. </w:t>
            </w:r>
            <w:r>
              <w:rPr>
                <w:rStyle w:val="IndexLink"/>
                <w:rtl w:val="true"/>
              </w:rPr>
              <w:t>عرض آل فرعون على النار</w:t>
            </w:r>
            <w:r>
              <w:rPr>
                <w:rStyle w:val="IndexLink"/>
                <w:rtl w:val="true"/>
              </w:rPr>
              <w:tab/>
            </w:r>
            <w:r>
              <w:rPr>
                <w:rStyle w:val="IndexLink"/>
              </w:rPr>
              <w:t>430</w:t>
            </w:r>
          </w:hyperlink>
        </w:p>
        <w:p>
          <w:pPr>
            <w:pStyle w:val="Contents6"/>
            <w:tabs>
              <w:tab w:val="clear" w:pos="7609"/>
              <w:tab w:val="right" w:pos="9026" w:leader="dot"/>
            </w:tabs>
            <w:rPr/>
          </w:pPr>
          <w:hyperlink w:anchor="__RefHeading___Toc6963949_73709187">
            <w:r>
              <w:rPr>
                <w:webHidden/>
                <w:rStyle w:val="IndexLink"/>
              </w:rPr>
              <w:t>4</w:t>
            </w:r>
            <w:r>
              <w:rPr>
                <w:rStyle w:val="IndexLink"/>
                <w:rtl w:val="true"/>
              </w:rPr>
              <w:t xml:space="preserve">. </w:t>
            </w:r>
            <w:r>
              <w:rPr>
                <w:rStyle w:val="IndexLink"/>
                <w:rtl w:val="true"/>
              </w:rPr>
              <w:t>ما يأخذه ملك الموت</w:t>
            </w:r>
            <w:r>
              <w:rPr>
                <w:rStyle w:val="IndexLink"/>
                <w:rtl w:val="true"/>
              </w:rPr>
              <w:tab/>
            </w:r>
            <w:r>
              <w:rPr>
                <w:rStyle w:val="IndexLink"/>
              </w:rPr>
              <w:t>430</w:t>
            </w:r>
          </w:hyperlink>
        </w:p>
        <w:p>
          <w:pPr>
            <w:pStyle w:val="Contents6"/>
            <w:tabs>
              <w:tab w:val="clear" w:pos="7609"/>
              <w:tab w:val="right" w:pos="9026" w:leader="dot"/>
            </w:tabs>
            <w:rPr/>
          </w:pPr>
          <w:hyperlink w:anchor="__RefHeading___Toc6963951_73709187">
            <w:r>
              <w:rPr>
                <w:webHidden/>
                <w:rStyle w:val="IndexLink"/>
              </w:rPr>
              <w:t>5</w:t>
            </w:r>
            <w:r>
              <w:rPr>
                <w:rStyle w:val="IndexLink"/>
                <w:rtl w:val="true"/>
              </w:rPr>
              <w:t xml:space="preserve">. </w:t>
            </w:r>
            <w:r>
              <w:rPr>
                <w:rStyle w:val="IndexLink"/>
                <w:rtl w:val="true"/>
              </w:rPr>
              <w:t>الأمر بإخراج الأنفس</w:t>
            </w:r>
            <w:r>
              <w:rPr>
                <w:rStyle w:val="IndexLink"/>
                <w:rtl w:val="true"/>
              </w:rPr>
              <w:tab/>
            </w:r>
            <w:r>
              <w:rPr>
                <w:rStyle w:val="IndexLink"/>
              </w:rPr>
              <w:t>432</w:t>
            </w:r>
          </w:hyperlink>
        </w:p>
        <w:p>
          <w:pPr>
            <w:pStyle w:val="Contents6"/>
            <w:tabs>
              <w:tab w:val="clear" w:pos="7609"/>
              <w:tab w:val="right" w:pos="9026" w:leader="dot"/>
            </w:tabs>
            <w:rPr/>
          </w:pPr>
          <w:hyperlink w:anchor="__RefHeading___Toc6963953_73709187">
            <w:r>
              <w:rPr>
                <w:webHidden/>
                <w:rStyle w:val="IndexLink"/>
              </w:rPr>
              <w:t>6</w:t>
            </w:r>
            <w:r>
              <w:rPr>
                <w:rStyle w:val="IndexLink"/>
                <w:rtl w:val="true"/>
              </w:rPr>
              <w:t xml:space="preserve">. </w:t>
            </w:r>
            <w:r>
              <w:rPr>
                <w:rStyle w:val="IndexLink"/>
                <w:rtl w:val="true"/>
              </w:rPr>
              <w:t>الأمر بدخول الجنة حين الموت</w:t>
            </w:r>
            <w:r>
              <w:rPr>
                <w:rStyle w:val="IndexLink"/>
                <w:rtl w:val="true"/>
              </w:rPr>
              <w:tab/>
            </w:r>
            <w:r>
              <w:rPr>
                <w:rStyle w:val="IndexLink"/>
              </w:rPr>
              <w:t>432</w:t>
            </w:r>
          </w:hyperlink>
        </w:p>
        <w:p>
          <w:pPr>
            <w:pStyle w:val="Contents6"/>
            <w:tabs>
              <w:tab w:val="clear" w:pos="7609"/>
              <w:tab w:val="right" w:pos="9026" w:leader="dot"/>
            </w:tabs>
            <w:rPr/>
          </w:pPr>
          <w:hyperlink w:anchor="__RefHeading___Toc6963955_73709187">
            <w:r>
              <w:rPr>
                <w:webHidden/>
                <w:rStyle w:val="IndexLink"/>
              </w:rPr>
              <w:t>7</w:t>
            </w:r>
            <w:r>
              <w:rPr>
                <w:rStyle w:val="IndexLink"/>
                <w:rtl w:val="true"/>
              </w:rPr>
              <w:t xml:space="preserve">. </w:t>
            </w:r>
            <w:r>
              <w:rPr>
                <w:rStyle w:val="IndexLink"/>
                <w:rtl w:val="true"/>
              </w:rPr>
              <w:t>إنشاء خلق آخر</w:t>
            </w:r>
            <w:r>
              <w:rPr>
                <w:rStyle w:val="IndexLink"/>
                <w:rtl w:val="true"/>
              </w:rPr>
              <w:tab/>
            </w:r>
            <w:r>
              <w:rPr>
                <w:rStyle w:val="IndexLink"/>
              </w:rPr>
              <w:t>433</w:t>
            </w:r>
          </w:hyperlink>
        </w:p>
        <w:p>
          <w:pPr>
            <w:pStyle w:val="Contents6"/>
            <w:tabs>
              <w:tab w:val="clear" w:pos="7609"/>
              <w:tab w:val="right" w:pos="9026" w:leader="dot"/>
            </w:tabs>
            <w:rPr/>
          </w:pPr>
          <w:hyperlink w:anchor="__RefHeading___Toc6963957_73709187">
            <w:r>
              <w:rPr>
                <w:webHidden/>
                <w:rStyle w:val="IndexLink"/>
                <w:rtl w:val="true"/>
              </w:rPr>
              <w:t>والدلالة من وجوه</w:t>
            </w:r>
            <w:r>
              <w:rPr>
                <w:rStyle w:val="IndexLink"/>
                <w:rtl w:val="true"/>
              </w:rPr>
              <w:t>:</w:t>
              <w:tab/>
            </w:r>
            <w:r>
              <w:rPr>
                <w:rStyle w:val="IndexLink"/>
              </w:rPr>
              <w:t>434</w:t>
            </w:r>
          </w:hyperlink>
        </w:p>
        <w:p>
          <w:pPr>
            <w:pStyle w:val="Contents6"/>
            <w:tabs>
              <w:tab w:val="clear" w:pos="7609"/>
              <w:tab w:val="right" w:pos="9026" w:leader="dot"/>
            </w:tabs>
            <w:rPr/>
          </w:pPr>
          <w:hyperlink w:anchor="__RefHeading___Toc6963959_73709187">
            <w:r>
              <w:rPr>
                <w:webHidden/>
                <w:rStyle w:val="IndexLink"/>
              </w:rPr>
              <w:t>8</w:t>
            </w:r>
            <w:r>
              <w:rPr>
                <w:rStyle w:val="IndexLink"/>
                <w:rtl w:val="true"/>
              </w:rPr>
              <w:t xml:space="preserve">. </w:t>
            </w:r>
            <w:r>
              <w:rPr>
                <w:rStyle w:val="IndexLink"/>
                <w:rtl w:val="true"/>
              </w:rPr>
              <w:t>التركيز على إنجاء البدن</w:t>
            </w:r>
            <w:r>
              <w:rPr>
                <w:rStyle w:val="IndexLink"/>
                <w:rtl w:val="true"/>
              </w:rPr>
              <w:tab/>
            </w:r>
            <w:r>
              <w:rPr>
                <w:rStyle w:val="IndexLink"/>
              </w:rPr>
              <w:t>434</w:t>
            </w:r>
          </w:hyperlink>
        </w:p>
        <w:p>
          <w:pPr>
            <w:pStyle w:val="Contents6"/>
            <w:tabs>
              <w:tab w:val="clear" w:pos="7609"/>
              <w:tab w:val="right" w:pos="9026" w:leader="dot"/>
            </w:tabs>
            <w:rPr/>
          </w:pPr>
          <w:hyperlink w:anchor="__RefHeading___Toc6963961_73709187">
            <w:r>
              <w:rPr>
                <w:webHidden/>
                <w:rStyle w:val="IndexLink"/>
                <w:rtl w:val="true"/>
              </w:rPr>
              <w:t>وجه الدلالة</w:t>
            </w:r>
            <w:r>
              <w:rPr>
                <w:rStyle w:val="IndexLink"/>
                <w:rtl w:val="true"/>
              </w:rPr>
              <w:t>:</w:t>
              <w:tab/>
            </w:r>
            <w:r>
              <w:rPr>
                <w:rStyle w:val="IndexLink"/>
              </w:rPr>
              <w:t>434</w:t>
            </w:r>
          </w:hyperlink>
        </w:p>
        <w:p>
          <w:pPr>
            <w:pStyle w:val="Contents4"/>
            <w:tabs>
              <w:tab w:val="clear" w:pos="8176"/>
              <w:tab w:val="right" w:pos="9026" w:leader="dot"/>
            </w:tabs>
            <w:rPr/>
          </w:pPr>
          <w:hyperlink w:anchor="__RefHeading___Toc6963963_73709187">
            <w:r>
              <w:rPr>
                <w:webHidden/>
                <w:rStyle w:val="IndexLink"/>
                <w:rtl w:val="true"/>
              </w:rPr>
              <w:t>الآيات الحادية والثلاثون إلى الخامسة والثلاثين</w:t>
            </w:r>
            <w:r>
              <w:rPr>
                <w:rStyle w:val="IndexLink"/>
                <w:rtl w:val="true"/>
              </w:rPr>
              <w:t>:</w:t>
              <w:tab/>
            </w:r>
            <w:r>
              <w:rPr>
                <w:rStyle w:val="IndexLink"/>
              </w:rPr>
              <w:t>435</w:t>
            </w:r>
          </w:hyperlink>
        </w:p>
        <w:p>
          <w:pPr>
            <w:pStyle w:val="Contents5"/>
            <w:tabs>
              <w:tab w:val="clear" w:pos="7892"/>
              <w:tab w:val="right" w:pos="9026" w:leader="dot"/>
            </w:tabs>
            <w:rPr/>
          </w:pPr>
          <w:hyperlink w:anchor="__RefHeading___Toc6963965_73709187">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6963967_73709187">
            <w:r>
              <w:rPr>
                <w:webHidden/>
                <w:rStyle w:val="IndexLink"/>
                <w:rtl w:val="true"/>
              </w:rPr>
              <w:t>المفردات</w:t>
            </w:r>
            <w:r>
              <w:rPr>
                <w:rStyle w:val="IndexLink"/>
                <w:rtl w:val="true"/>
              </w:rPr>
              <w:t>:</w:t>
              <w:tab/>
            </w:r>
            <w:r>
              <w:rPr>
                <w:rStyle w:val="IndexLink"/>
              </w:rPr>
              <w:t>435</w:t>
            </w:r>
          </w:hyperlink>
        </w:p>
        <w:p>
          <w:pPr>
            <w:pStyle w:val="Contents5"/>
            <w:tabs>
              <w:tab w:val="clear" w:pos="7892"/>
              <w:tab w:val="right" w:pos="9026" w:leader="dot"/>
            </w:tabs>
            <w:rPr/>
          </w:pPr>
          <w:hyperlink w:anchor="__RefHeading___Toc6963969_73709187">
            <w:r>
              <w:rPr>
                <w:webHidden/>
                <w:rStyle w:val="IndexLink"/>
                <w:rtl w:val="true"/>
              </w:rPr>
              <w:t>التفسير</w:t>
            </w:r>
            <w:r>
              <w:rPr>
                <w:rStyle w:val="IndexLink"/>
                <w:rtl w:val="true"/>
              </w:rPr>
              <w:t>:</w:t>
              <w:tab/>
            </w:r>
            <w:r>
              <w:rPr>
                <w:rStyle w:val="IndexLink"/>
              </w:rPr>
              <w:t>436</w:t>
            </w:r>
          </w:hyperlink>
        </w:p>
        <w:p>
          <w:pPr>
            <w:pStyle w:val="Contents4"/>
            <w:tabs>
              <w:tab w:val="clear" w:pos="8176"/>
              <w:tab w:val="right" w:pos="9026" w:leader="dot"/>
            </w:tabs>
            <w:rPr/>
          </w:pPr>
          <w:hyperlink w:anchor="__RefHeading___Toc6963971_73709187">
            <w:r>
              <w:rPr>
                <w:webHidden/>
                <w:rStyle w:val="IndexLink"/>
                <w:rtl w:val="true"/>
              </w:rPr>
              <w:t>الآيات السادسة والثلاثون إلى الأربعين</w:t>
            </w:r>
            <w:r>
              <w:rPr>
                <w:rStyle w:val="IndexLink"/>
                <w:rtl w:val="true"/>
              </w:rPr>
              <w:t>:</w:t>
              <w:tab/>
            </w:r>
            <w:r>
              <w:rPr>
                <w:rStyle w:val="IndexLink"/>
              </w:rPr>
              <w:t>438</w:t>
            </w:r>
          </w:hyperlink>
        </w:p>
        <w:p>
          <w:pPr>
            <w:pStyle w:val="Contents5"/>
            <w:tabs>
              <w:tab w:val="clear" w:pos="7892"/>
              <w:tab w:val="right" w:pos="9026" w:leader="dot"/>
            </w:tabs>
            <w:rPr/>
          </w:pPr>
          <w:hyperlink w:anchor="__RefHeading___Toc6963973_73709187">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6963975_73709187">
            <w:r>
              <w:rPr>
                <w:webHidden/>
                <w:rStyle w:val="IndexLink"/>
                <w:rtl w:val="true"/>
              </w:rPr>
              <w:t>المفردات</w:t>
            </w:r>
            <w:r>
              <w:rPr>
                <w:rStyle w:val="IndexLink"/>
                <w:rtl w:val="true"/>
              </w:rPr>
              <w:t>:</w:t>
              <w:tab/>
            </w:r>
            <w:r>
              <w:rPr>
                <w:rStyle w:val="IndexLink"/>
              </w:rPr>
              <w:t>438</w:t>
            </w:r>
          </w:hyperlink>
        </w:p>
        <w:p>
          <w:pPr>
            <w:pStyle w:val="Contents5"/>
            <w:tabs>
              <w:tab w:val="clear" w:pos="7892"/>
              <w:tab w:val="right" w:pos="9026" w:leader="dot"/>
            </w:tabs>
            <w:rPr/>
          </w:pPr>
          <w:hyperlink w:anchor="__RefHeading___Toc6963977_73709187">
            <w:r>
              <w:rPr>
                <w:webHidden/>
                <w:rStyle w:val="IndexLink"/>
                <w:rtl w:val="true"/>
              </w:rPr>
              <w:t>التفسير</w:t>
            </w:r>
            <w:r>
              <w:rPr>
                <w:rStyle w:val="IndexLink"/>
                <w:rtl w:val="true"/>
              </w:rPr>
              <w:t>:</w:t>
              <w:tab/>
            </w:r>
            <w:r>
              <w:rPr>
                <w:rStyle w:val="IndexLink"/>
              </w:rPr>
              <w:t>438</w:t>
            </w:r>
          </w:hyperlink>
        </w:p>
        <w:p>
          <w:pPr>
            <w:pStyle w:val="Contents2"/>
            <w:tabs>
              <w:tab w:val="clear" w:pos="8743"/>
              <w:tab w:val="right" w:pos="9026" w:leader="dot"/>
            </w:tabs>
            <w:rPr/>
          </w:pPr>
          <w:hyperlink w:anchor="__RefHeading___Toc6963979_73709187">
            <w:r>
              <w:rPr>
                <w:webHidden/>
                <w:rStyle w:val="IndexLink"/>
                <w:rtl w:val="true"/>
              </w:rPr>
              <w:t>الفصل الرابع</w:t>
            </w:r>
            <w:r>
              <w:rPr>
                <w:rStyle w:val="IndexLink"/>
                <w:rtl w:val="true"/>
              </w:rPr>
              <w:t xml:space="preserve">: </w:t>
            </w:r>
            <w:r>
              <w:rPr>
                <w:rStyle w:val="IndexLink"/>
                <w:rtl w:val="true"/>
              </w:rPr>
              <w:t>رسائل وتقاريظ</w:t>
            </w:r>
            <w:r>
              <w:rPr>
                <w:rStyle w:val="IndexLink"/>
                <w:rtl w:val="true"/>
              </w:rPr>
              <w:tab/>
            </w:r>
            <w:r>
              <w:rPr>
                <w:rStyle w:val="IndexLink"/>
              </w:rPr>
              <w:t>442</w:t>
            </w:r>
          </w:hyperlink>
        </w:p>
        <w:p>
          <w:pPr>
            <w:pStyle w:val="Contents3"/>
            <w:tabs>
              <w:tab w:val="clear" w:pos="8459"/>
              <w:tab w:val="right" w:pos="9026" w:leader="dot"/>
            </w:tabs>
            <w:rPr/>
          </w:pPr>
          <w:hyperlink w:anchor="__RefHeading___Toc6963981_73709187">
            <w:r>
              <w:rPr>
                <w:webHidden/>
                <w:rStyle w:val="IndexLink"/>
                <w:rtl w:val="true"/>
              </w:rPr>
              <w:t>اشارة</w:t>
            </w:r>
            <w:r>
              <w:rPr>
                <w:rStyle w:val="IndexLink"/>
                <w:rtl w:val="true"/>
              </w:rPr>
              <w:tab/>
            </w:r>
            <w:r>
              <w:rPr>
                <w:rStyle w:val="IndexLink"/>
              </w:rPr>
              <w:t>442</w:t>
            </w:r>
          </w:hyperlink>
        </w:p>
        <w:p>
          <w:pPr>
            <w:pStyle w:val="Contents3"/>
            <w:tabs>
              <w:tab w:val="clear" w:pos="8459"/>
              <w:tab w:val="right" w:pos="9026" w:leader="dot"/>
            </w:tabs>
            <w:rPr/>
          </w:pPr>
          <w:hyperlink w:anchor="__RefHeading___Toc6963983_73709187">
            <w:r>
              <w:rPr>
                <w:webHidden/>
                <w:rStyle w:val="IndexLink"/>
              </w:rPr>
              <w:t>1</w:t>
            </w:r>
            <w:r>
              <w:rPr>
                <w:rStyle w:val="IndexLink"/>
                <w:rtl w:val="true"/>
              </w:rPr>
              <w:t xml:space="preserve"> </w:t>
            </w:r>
            <w:r>
              <w:rPr>
                <w:rStyle w:val="IndexLink"/>
                <w:rtl w:val="true"/>
              </w:rPr>
              <w:t>الحسن والقبح العقليان</w:t>
            </w:r>
            <w:r>
              <w:rPr>
                <w:rStyle w:val="IndexLink"/>
                <w:rtl w:val="true"/>
              </w:rPr>
              <w:tab/>
            </w:r>
            <w:r>
              <w:rPr>
                <w:rStyle w:val="IndexLink"/>
              </w:rPr>
              <w:t>443</w:t>
            </w:r>
          </w:hyperlink>
        </w:p>
        <w:p>
          <w:pPr>
            <w:pStyle w:val="Contents4"/>
            <w:tabs>
              <w:tab w:val="clear" w:pos="8176"/>
              <w:tab w:val="right" w:pos="9026" w:leader="dot"/>
            </w:tabs>
            <w:rPr/>
          </w:pPr>
          <w:hyperlink w:anchor="__RefHeading___Toc6963985_73709187">
            <w:r>
              <w:rPr>
                <w:webHidden/>
                <w:rStyle w:val="IndexLink"/>
                <w:rtl w:val="true"/>
              </w:rPr>
              <w:t>اشارة</w:t>
            </w:r>
            <w:r>
              <w:rPr>
                <w:rStyle w:val="IndexLink"/>
                <w:rtl w:val="true"/>
              </w:rPr>
              <w:tab/>
            </w:r>
            <w:r>
              <w:rPr>
                <w:rStyle w:val="IndexLink"/>
              </w:rPr>
              <w:t>443</w:t>
            </w:r>
          </w:hyperlink>
        </w:p>
        <w:p>
          <w:pPr>
            <w:pStyle w:val="Contents4"/>
            <w:tabs>
              <w:tab w:val="clear" w:pos="8176"/>
              <w:tab w:val="right" w:pos="9026" w:leader="dot"/>
            </w:tabs>
            <w:rPr/>
          </w:pPr>
          <w:hyperlink w:anchor="__RefHeading___Toc6963987_73709187">
            <w:r>
              <w:rPr>
                <w:webHidden/>
                <w:rStyle w:val="IndexLink"/>
                <w:rtl w:val="true"/>
              </w:rPr>
              <w:t>وقفة حول التحسين والتقبيح العقليين</w:t>
            </w:r>
            <w:r>
              <w:rPr>
                <w:rStyle w:val="IndexLink"/>
                <w:rtl w:val="true"/>
              </w:rPr>
              <w:tab/>
            </w:r>
            <w:r>
              <w:rPr>
                <w:rStyle w:val="IndexLink"/>
              </w:rPr>
              <w:t>444</w:t>
            </w:r>
          </w:hyperlink>
        </w:p>
        <w:p>
          <w:pPr>
            <w:pStyle w:val="Contents4"/>
            <w:tabs>
              <w:tab w:val="clear" w:pos="8176"/>
              <w:tab w:val="right" w:pos="9026" w:leader="dot"/>
            </w:tabs>
            <w:rPr/>
          </w:pPr>
          <w:hyperlink w:anchor="__RefHeading___Toc6963989_73709187">
            <w:r>
              <w:rPr>
                <w:webHidden/>
                <w:rStyle w:val="IndexLink"/>
                <w:rtl w:val="true"/>
              </w:rPr>
              <w:t>سلبيات إنكار التحسين والتقبيح العقليين</w:t>
            </w:r>
            <w:r>
              <w:rPr>
                <w:rStyle w:val="IndexLink"/>
                <w:rtl w:val="true"/>
              </w:rPr>
              <w:tab/>
            </w:r>
            <w:r>
              <w:rPr>
                <w:rStyle w:val="IndexLink"/>
              </w:rPr>
              <w:t>449</w:t>
            </w:r>
          </w:hyperlink>
        </w:p>
        <w:p>
          <w:pPr>
            <w:pStyle w:val="Contents4"/>
            <w:tabs>
              <w:tab w:val="clear" w:pos="8176"/>
              <w:tab w:val="right" w:pos="9026" w:leader="dot"/>
            </w:tabs>
            <w:rPr/>
          </w:pPr>
          <w:hyperlink w:anchor="__RefHeading___Toc6963991_73709187">
            <w:r>
              <w:rPr>
                <w:webHidden/>
                <w:rStyle w:val="IndexLink"/>
                <w:rtl w:val="true"/>
              </w:rPr>
              <w:t>سؤال وجواب</w:t>
            </w:r>
            <w:r>
              <w:rPr>
                <w:rStyle w:val="IndexLink"/>
                <w:rtl w:val="true"/>
              </w:rPr>
              <w:tab/>
            </w:r>
            <w:r>
              <w:rPr>
                <w:rStyle w:val="IndexLink"/>
              </w:rPr>
              <w:t>450</w:t>
            </w:r>
          </w:hyperlink>
        </w:p>
        <w:p>
          <w:pPr>
            <w:pStyle w:val="Contents4"/>
            <w:tabs>
              <w:tab w:val="clear" w:pos="8176"/>
              <w:tab w:val="right" w:pos="9026" w:leader="dot"/>
            </w:tabs>
            <w:rPr/>
          </w:pPr>
          <w:hyperlink w:anchor="__RefHeading___Toc6963993_73709187">
            <w:r>
              <w:rPr>
                <w:webHidden/>
                <w:rStyle w:val="IndexLink"/>
                <w:rtl w:val="true"/>
              </w:rPr>
              <w:t>وقفة أُخرى حول آية الوضوء</w:t>
            </w:r>
            <w:r>
              <w:rPr>
                <w:rStyle w:val="IndexLink"/>
                <w:rtl w:val="true"/>
              </w:rPr>
              <w:tab/>
            </w:r>
            <w:r>
              <w:rPr>
                <w:rStyle w:val="IndexLink"/>
              </w:rPr>
              <w:t>452</w:t>
            </w:r>
          </w:hyperlink>
        </w:p>
        <w:p>
          <w:pPr>
            <w:pStyle w:val="Contents3"/>
            <w:tabs>
              <w:tab w:val="clear" w:pos="8459"/>
              <w:tab w:val="right" w:pos="9026" w:leader="dot"/>
            </w:tabs>
            <w:rPr/>
          </w:pPr>
          <w:hyperlink w:anchor="__RefHeading___Toc6963995_73709187">
            <w:r>
              <w:rPr>
                <w:webHidden/>
                <w:rStyle w:val="IndexLink"/>
              </w:rPr>
              <w:t>2</w:t>
            </w:r>
            <w:r>
              <w:rPr>
                <w:rStyle w:val="IndexLink"/>
                <w:rtl w:val="true"/>
              </w:rPr>
              <w:t xml:space="preserve"> </w:t>
            </w:r>
            <w:r>
              <w:rPr>
                <w:rStyle w:val="IndexLink"/>
                <w:rtl w:val="true"/>
              </w:rPr>
              <w:t>تفسير كلام الإمام علي عليه السلام في توحيده سبحانه</w:t>
            </w:r>
            <w:r>
              <w:rPr>
                <w:rStyle w:val="IndexLink"/>
                <w:rtl w:val="true"/>
              </w:rPr>
              <w:tab/>
            </w:r>
            <w:r>
              <w:rPr>
                <w:rStyle w:val="IndexLink"/>
              </w:rPr>
              <w:t>457</w:t>
            </w:r>
          </w:hyperlink>
        </w:p>
        <w:p>
          <w:pPr>
            <w:pStyle w:val="Contents3"/>
            <w:tabs>
              <w:tab w:val="clear" w:pos="8459"/>
              <w:tab w:val="right" w:pos="9026" w:leader="dot"/>
            </w:tabs>
            <w:rPr/>
          </w:pPr>
          <w:hyperlink w:anchor="__RefHeading___Toc6963997_73709187">
            <w:r>
              <w:rPr>
                <w:webHidden/>
                <w:rStyle w:val="IndexLink"/>
              </w:rPr>
              <w:t>3</w:t>
            </w:r>
            <w:r>
              <w:rPr>
                <w:rStyle w:val="IndexLink"/>
                <w:rtl w:val="true"/>
              </w:rPr>
              <w:t xml:space="preserve"> </w:t>
            </w:r>
            <w:r>
              <w:rPr>
                <w:rStyle w:val="IndexLink"/>
                <w:rtl w:val="true"/>
              </w:rPr>
              <w:t>استنكار الاحتفال الّذي أُقيم في لندن</w:t>
            </w:r>
            <w:r>
              <w:rPr>
                <w:rStyle w:val="IndexLink"/>
                <w:rtl w:val="true"/>
              </w:rPr>
              <w:tab/>
            </w:r>
            <w:r>
              <w:rPr>
                <w:rStyle w:val="IndexLink"/>
              </w:rPr>
              <w:t>461</w:t>
            </w:r>
          </w:hyperlink>
        </w:p>
        <w:p>
          <w:pPr>
            <w:pStyle w:val="Contents3"/>
            <w:tabs>
              <w:tab w:val="clear" w:pos="8459"/>
              <w:tab w:val="right" w:pos="9026" w:leader="dot"/>
            </w:tabs>
            <w:rPr/>
          </w:pPr>
          <w:hyperlink w:anchor="__RefHeading___Toc6963999_73709187">
            <w:r>
              <w:rPr>
                <w:webHidden/>
                <w:rStyle w:val="IndexLink"/>
              </w:rPr>
              <w:t>4</w:t>
            </w:r>
            <w:r>
              <w:rPr>
                <w:rStyle w:val="IndexLink"/>
                <w:rtl w:val="true"/>
              </w:rPr>
              <w:t xml:space="preserve"> </w:t>
            </w:r>
            <w:r>
              <w:rPr>
                <w:rStyle w:val="IndexLink"/>
                <w:rtl w:val="true"/>
              </w:rPr>
              <w:t>بيان إلى طالبات الحوزة المهدوية في المدينة المنوّرة</w:t>
            </w:r>
            <w:r>
              <w:rPr>
                <w:rStyle w:val="IndexLink"/>
                <w:rtl w:val="true"/>
              </w:rPr>
              <w:tab/>
            </w:r>
            <w:r>
              <w:rPr>
                <w:rStyle w:val="IndexLink"/>
              </w:rPr>
              <w:t>463</w:t>
            </w:r>
          </w:hyperlink>
        </w:p>
        <w:p>
          <w:pPr>
            <w:pStyle w:val="Contents3"/>
            <w:tabs>
              <w:tab w:val="clear" w:pos="8459"/>
              <w:tab w:val="right" w:pos="9026" w:leader="dot"/>
            </w:tabs>
            <w:rPr/>
          </w:pPr>
          <w:hyperlink w:anchor="__RefHeading___Toc6964001_73709187">
            <w:r>
              <w:rPr>
                <w:webHidden/>
                <w:rStyle w:val="IndexLink"/>
              </w:rPr>
              <w:t>5</w:t>
            </w:r>
            <w:r>
              <w:rPr>
                <w:rStyle w:val="IndexLink"/>
                <w:rtl w:val="true"/>
              </w:rPr>
              <w:t xml:space="preserve"> </w:t>
            </w:r>
            <w:r>
              <w:rPr>
                <w:rStyle w:val="IndexLink"/>
                <w:rtl w:val="true"/>
              </w:rPr>
              <w:t>بحار الأنوار دائرة معارف إسلامية</w:t>
            </w:r>
            <w:r>
              <w:rPr>
                <w:rStyle w:val="IndexLink"/>
                <w:rtl w:val="true"/>
              </w:rPr>
              <w:tab/>
            </w:r>
            <w:r>
              <w:rPr>
                <w:rStyle w:val="IndexLink"/>
              </w:rPr>
              <w:t>467</w:t>
            </w:r>
          </w:hyperlink>
        </w:p>
        <w:p>
          <w:pPr>
            <w:pStyle w:val="Contents3"/>
            <w:tabs>
              <w:tab w:val="clear" w:pos="8459"/>
              <w:tab w:val="right" w:pos="9026" w:leader="dot"/>
            </w:tabs>
            <w:rPr/>
          </w:pPr>
          <w:hyperlink w:anchor="__RefHeading___Toc6964003_73709187">
            <w:r>
              <w:rPr>
                <w:webHidden/>
                <w:rStyle w:val="IndexLink"/>
              </w:rPr>
              <w:t>6</w:t>
            </w:r>
            <w:r>
              <w:rPr>
                <w:rStyle w:val="IndexLink"/>
                <w:rtl w:val="true"/>
              </w:rPr>
              <w:t xml:space="preserve"> </w:t>
            </w:r>
            <w:r>
              <w:rPr>
                <w:rStyle w:val="IndexLink"/>
                <w:rtl w:val="true"/>
              </w:rPr>
              <w:t>خصوصيات التشريع الإسلامي والمسائل المستحدثة</w:t>
            </w:r>
            <w:r>
              <w:rPr>
                <w:rStyle w:val="IndexLink"/>
                <w:rtl w:val="true"/>
              </w:rPr>
              <w:tab/>
            </w:r>
            <w:r>
              <w:rPr>
                <w:rStyle w:val="IndexLink"/>
              </w:rPr>
              <w:t>470</w:t>
            </w:r>
          </w:hyperlink>
        </w:p>
        <w:p>
          <w:pPr>
            <w:pStyle w:val="Contents2"/>
            <w:tabs>
              <w:tab w:val="clear" w:pos="8743"/>
              <w:tab w:val="right" w:pos="9026" w:leader="dot"/>
            </w:tabs>
            <w:rPr/>
          </w:pPr>
          <w:hyperlink w:anchor="__RefHeading___Toc6964005_73709187">
            <w:r>
              <w:rPr>
                <w:webHidden/>
                <w:rStyle w:val="IndexLink"/>
                <w:rtl w:val="true"/>
              </w:rPr>
              <w:t>فهرس المحتويات</w:t>
            </w:r>
            <w:r>
              <w:rPr>
                <w:rStyle w:val="IndexLink"/>
                <w:rtl w:val="true"/>
              </w:rPr>
              <w:tab/>
            </w:r>
            <w:r>
              <w:rPr>
                <w:rStyle w:val="IndexLink"/>
              </w:rPr>
              <w:t>473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72_194293"/>
      <w:bookmarkStart w:id="1" w:name="pg16772_194293"/>
      <w:bookmarkEnd w:id="1"/>
    </w:p>
    <w:p>
      <w:pPr>
        <w:pStyle w:val="Heading2"/>
        <w:numPr>
          <w:ilvl w:val="1"/>
          <w:numId w:val="1"/>
        </w:numPr>
        <w:rPr/>
      </w:pPr>
      <w:bookmarkStart w:id="2" w:name="pg16772_194293"/>
      <w:bookmarkStart w:id="3" w:name="__RefHeading___Toc6963365_7370918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تبريزي، جعفر،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و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تبحث في مواضيع فقهيه، اصوليه، كلاميه، تراجم، و مكاتبات و حورات مع بعض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جعفر السبحاني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نويسي بر اساس جلد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ر</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۱۰۵۳۰۷۶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63367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رسائل ومقالات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رسائل ومقالات</w:t>
      </w:r>
    </w:p>
    <w:p>
      <w:pPr>
        <w:pStyle w:val="BookText"/>
        <w:rPr/>
      </w:pPr>
      <w:r>
        <w:rPr>
          <w:rFonts w:ascii="Amiri" w:hAnsi="Amiri" w:eastAsia="Amiri" w:cs="Amiri"/>
          <w:color w:val="111111"/>
          <w:sz w:val="28"/>
          <w:sz w:val="28"/>
          <w:szCs w:val="28"/>
          <w:rtl w:val="true"/>
          <w:lang w:bidi="ar-SA"/>
        </w:rPr>
        <w:t>تبحث في مسائل كلامية، عقائدية، فقهية، أُصولية، تراجم،</w:t>
      </w:r>
    </w:p>
    <w:p>
      <w:pPr>
        <w:pStyle w:val="BookText"/>
        <w:rPr/>
      </w:pPr>
      <w:r>
        <w:rPr>
          <w:rFonts w:ascii="Amiri" w:hAnsi="Amiri" w:eastAsia="Amiri" w:cs="Amiri"/>
          <w:color w:val="111111"/>
          <w:sz w:val="28"/>
          <w:sz w:val="28"/>
          <w:szCs w:val="28"/>
          <w:rtl w:val="true"/>
          <w:lang w:bidi="ar-SA"/>
        </w:rPr>
        <w:t>وحوارات مع بعض الأعلام، وفيها إرشادات</w:t>
      </w:r>
    </w:p>
    <w:p>
      <w:pPr>
        <w:pStyle w:val="BookText"/>
        <w:rPr/>
      </w:pPr>
      <w:r>
        <w:rPr>
          <w:rFonts w:ascii="Amiri" w:hAnsi="Amiri" w:eastAsia="Amiri" w:cs="Amiri"/>
          <w:color w:val="111111"/>
          <w:sz w:val="28"/>
          <w:sz w:val="28"/>
          <w:szCs w:val="28"/>
          <w:rtl w:val="true"/>
          <w:lang w:bidi="ar-SA"/>
        </w:rPr>
        <w:t>ودعوة إلى التقريب بين المذاهب</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الفقيه المحقّق</w:t>
      </w:r>
    </w:p>
    <w:p>
      <w:pPr>
        <w:pStyle w:val="BookText"/>
        <w:rPr/>
      </w:pPr>
      <w:r>
        <w:rPr>
          <w:rFonts w:ascii="Amiri" w:hAnsi="Amiri" w:eastAsia="Amiri" w:cs="Amiri"/>
          <w:color w:val="111111"/>
          <w:sz w:val="28"/>
          <w:sz w:val="28"/>
          <w:szCs w:val="28"/>
          <w:rtl w:val="true"/>
          <w:lang w:bidi="ar-SA"/>
        </w:rPr>
        <w:t>آية اللّه العظمى الشيخ جعفر السبحاني</w:t>
      </w:r>
    </w:p>
    <w:p>
      <w:pPr>
        <w:pStyle w:val="BookText"/>
        <w:rPr/>
      </w:pPr>
      <w:r>
        <w:rPr>
          <w:rFonts w:ascii="IRNazanin" w:hAnsi="IRNazanin" w:eastAsia="IRNazanin"/>
          <w:color w:val="111111"/>
          <w:sz w:val="28"/>
          <w:sz w:val="28"/>
          <w:szCs w:val="28"/>
          <w:rtl w:val="true"/>
          <w:lang w:bidi="fa-IR"/>
        </w:rPr>
        <w:t>الجزء الثامن</w:t>
      </w:r>
    </w:p>
    <w:p>
      <w:pPr>
        <w:pStyle w:val="BookText"/>
        <w:rPr/>
      </w:pPr>
      <w:r>
        <w:rPr>
          <w:rFonts w:ascii="IRNazanin" w:hAnsi="IRNazanin" w:eastAsia="IRNazanin"/>
          <w:color w:val="111111"/>
          <w:sz w:val="28"/>
          <w:sz w:val="28"/>
          <w:szCs w:val="28"/>
          <w:rtl w:val="true"/>
          <w:lang w:bidi="fa-IR"/>
        </w:rPr>
        <w:t>منشورات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 xml:space="preserve">آية اللّه العظمى جعفر السبحاني،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رسائل ومقالات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تبحث في مسائل كلامية، عقائدية، فقهية، أُصولية، تراجم، وحوارات مع بعض الأعلام، وفيها إرشادات ودعوة إلى التقريب بين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جعفر السبحاني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Vol</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8-503-357-964-978: ISBN</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Vol.SET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9-465-357-964-978: ISBN</w:t>
      </w:r>
    </w:p>
    <w:p>
      <w:pPr>
        <w:pStyle w:val="BookText"/>
        <w:rPr/>
      </w:pPr>
      <w:r>
        <w:rPr>
          <w:rFonts w:ascii="Amiri" w:hAnsi="Amiri" w:eastAsia="Amiri" w:cs="Amiri"/>
          <w:color w:val="111111"/>
          <w:sz w:val="28"/>
          <w:sz w:val="28"/>
          <w:szCs w:val="28"/>
          <w:rtl w:val="true"/>
          <w:lang w:bidi="ar-SA"/>
        </w:rPr>
        <w:t>أُنجزت الفهرسة طبقاً لمعلومات فيبا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وخطابات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ومقالات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تبحث في مسائل كلامية، عقائدية، فقهية، أُصولية، تراجم، وحوارات مع بعض الأعلام، وفيها إرشادات ودعوة إلى التقريب بين المذاهب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BP 297/08</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ومقالات</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جعفر السبحاني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عدد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التنضيد والإخراج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البطاط</w:t>
      </w:r>
    </w:p>
    <w:p>
      <w:pPr>
        <w:pStyle w:val="BookText"/>
        <w:rPr/>
      </w:pPr>
      <w:r>
        <w:rPr>
          <w:rFonts w:ascii="Amiri" w:hAnsi="Amiri" w:eastAsia="Amiri" w:cs="Amiri"/>
          <w:color w:val="111111"/>
          <w:sz w:val="28"/>
          <w:sz w:val="28"/>
          <w:szCs w:val="28"/>
          <w:rtl w:val="true"/>
          <w:lang w:bidi="ar-SA"/>
        </w:rPr>
        <w:t>تسلسل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تسلسل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توزيع</w:t>
      </w:r>
    </w:p>
    <w:p>
      <w:pPr>
        <w:pStyle w:val="BookText"/>
        <w:rPr/>
      </w:pPr>
      <w:r>
        <w:rPr>
          <w:rFonts w:ascii="Amiri" w:hAnsi="Amiri" w:eastAsia="Amiri" w:cs="Amiri"/>
          <w:color w:val="111111"/>
          <w:sz w:val="28"/>
          <w:sz w:val="28"/>
          <w:szCs w:val="28"/>
          <w:rtl w:val="true"/>
          <w:lang w:bidi="ar-SA"/>
        </w:rPr>
        <w:t>مكتبة التوحيد</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ساحة الشهداء</w:t>
      </w:r>
    </w:p>
    <w:p>
      <w:pPr>
        <w:pStyle w:val="BookText"/>
        <w:rPr/>
      </w:pPr>
      <w:r>
        <w:rPr>
          <w:rFonts w:eastAsia="IRNazanin" w:cs="IRNazanin"/>
          <w:color w:val="111111"/>
          <w:sz w:val="28"/>
          <w:szCs w:val="28"/>
          <w:lang w:bidi="fa-IR"/>
        </w:rPr>
        <w:t>7745457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09121519271</w:t>
      </w:r>
    </w:p>
    <w:p>
      <w:pPr>
        <w:pStyle w:val="BookText"/>
        <w:rPr/>
      </w:pPr>
      <w:r>
        <w:rPr>
          <w:rFonts w:eastAsia="Times New Roman" w:cs="Times New Roman" w:ascii="Times New Roman" w:hAnsi="Times New Roman"/>
          <w:color w:val="111111"/>
          <w:sz w:val="28"/>
          <w:szCs w:val="28"/>
          <w:lang w:val="en-US" w:bidi="en-US"/>
        </w:rPr>
        <w:t>http://www.imamsadiq.org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www.shia.ir</w:t>
      </w:r>
      <w:bookmarkStart w:id="7" w:name="pg16772_194299"/>
    </w:p>
    <w:p>
      <w:pPr>
        <w:pStyle w:val="Heading2"/>
        <w:numPr>
          <w:ilvl w:val="1"/>
          <w:numId w:val="1"/>
        </w:numPr>
        <w:rPr/>
      </w:pPr>
      <w:bookmarkStart w:id="8" w:name="__RefHeading___Toc6963369_73709187"/>
      <w:bookmarkStart w:id="9" w:name="_Toc3"/>
      <w:bookmarkEnd w:id="7"/>
      <w:bookmarkEnd w:id="8"/>
      <w:r>
        <w:rPr>
          <w:rtl w:val="true"/>
        </w:rPr>
        <w:t>مقدمة المؤلف</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والصلاة والسلام على خاتم أنبيائه وأفضل بريته، محمد وعلى آله، موضع سرّه، وملجأ أمره، وعيبة علمه، وموئل حكمه، وكهوف كتبه، وجبال دينه، الذين أذهب ربهم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وقفت 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حديث مرويّ عن رسول اللّه صلى الله عليه و آله و سلم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إذا مات وترك ورقة واحدة عليها علم، تكون تلك الورقة ستراً فيما بينه وبين النار</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الحديث وما ورد في معناه ومضمونه في الجوامع الحديثية، مضافاً إلى 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فعلى العالم أن يظهر علمه، فإن لم يفعل سلب نور الإيمان</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كان حافزاً لي للإجابة عن الأسئلة والشبهات الّتي تطرح بكثرة في هذه الأيام عن الإسلام والتشيّع</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قمت بتحرير مجموعة من المقالات والرسائل في مناسبات مختلفة لغاية الدفاع عن الإسلام، والذبّ عن حياضه، وإماطة اللثام عن وجه الحقيقة؛ وقد تناولت مواضيع متفرّقة، وبحوث متعدّدة في الكلام والفقه وعلوم القرآن، وغيرها من الكلمات الّتي ألقيناها في بعض المؤتمرات واللقاءات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p>
    <w:p>
      <w:pPr>
        <w:pStyle w:val="BookText"/>
        <w:rPr/>
      </w:pPr>
      <w:r>
        <w:rPr>
          <w:rFonts w:ascii="Amiri" w:hAnsi="Amiri" w:eastAsia="Amiri" w:cs="Amiri"/>
          <w:color w:val="111111"/>
          <w:sz w:val="28"/>
          <w:sz w:val="28"/>
          <w:szCs w:val="28"/>
          <w:rtl w:val="true"/>
          <w:lang w:bidi="ar-SA"/>
        </w:rPr>
        <w:t xml:space="preserve">قمنا بإدراج هذه المقالات والرسائل في هذا الجزء، وهو الجزء الثامن من موسوعتنا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ومقالات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يزفّه الطبع للقرّاء الكرام راجين أن يقع موقع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اشتمل هذا الجزء على فصول أربعة،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ويحتوي على سبع مقالات في الفقه والكلام والتراجم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وردود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ويشتمل على أربع مقالات كلامية تجيب عن شبهات القوم حول التقية، والبداء، وقاعدة اللطف والاختبار، وإتقان الاستدلال بآية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ويشتمل على ثمان مقالات في علوم القرآن وتفسيره،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في القرآن، الوحي لغةً واصطلاحاً، نزول القرآن في شهر رمضان، فرية انقطاع الوحي، غار حراء وذكريات النبي صلى الله عليه و آله و سلم فيه، صيانة القرآن من التحريف، الإعجاز البياني للقرآن، وتفسير سورة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وتقاريظ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ويشتمل على ست رسائل،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والقبح العقليان، تفسير كلام الإمام علي عليه السلام في توحيده تعالى، استنكار الاحتفال الذي أُقيم في لندن، بياننا إلى طالبات الحوزة المهدوية في المدينة المنوّرة، بحار الأنوار دائرة معارف إسلامية، وخصوصيات التشريع الإسلامي والمسائل المستحدثة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أشكر اللّه سبحانه على نعمه الوافرة وأستغفره من جميع الذنوب والآثام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وأُصلي وأُسلم على نبيه وآله الأطهار</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السبحاني</w:t>
      </w:r>
      <w:bookmarkStart w:id="10" w:name="pg16772_194301"/>
    </w:p>
    <w:p>
      <w:pPr>
        <w:pStyle w:val="Heading2"/>
        <w:numPr>
          <w:ilvl w:val="1"/>
          <w:numId w:val="1"/>
        </w:numPr>
        <w:rPr/>
      </w:pPr>
      <w:bookmarkStart w:id="11" w:name="__RefHeading___Toc6963371_73709187"/>
      <w:bookmarkStart w:id="12" w:name="_Toc4"/>
      <w:bookmarkEnd w:id="10"/>
      <w:bookmarkEnd w:id="11"/>
      <w:r>
        <w:rPr>
          <w:rtl w:val="true"/>
        </w:rPr>
        <w:t>الفصل الأوّل</w:t>
      </w:r>
      <w:r>
        <w:rPr>
          <w:rtl w:val="true"/>
        </w:rPr>
        <w:t xml:space="preserve">: </w:t>
      </w:r>
      <w:r>
        <w:rPr>
          <w:rtl w:val="true"/>
        </w:rPr>
        <w:t>المقالات</w:t>
      </w:r>
      <w:bookmarkEnd w:id="12"/>
    </w:p>
    <w:p>
      <w:pPr>
        <w:pStyle w:val="Heading3"/>
        <w:numPr>
          <w:ilvl w:val="2"/>
          <w:numId w:val="1"/>
        </w:numPr>
        <w:rPr/>
      </w:pPr>
      <w:bookmarkStart w:id="13" w:name="__RefHeading___Toc6963373_73709187"/>
      <w:bookmarkStart w:id="14" w:name="_Toc5"/>
      <w:bookmarkEnd w:id="13"/>
      <w:r>
        <w:rPr>
          <w:rtl w:val="true"/>
        </w:rPr>
        <w:t>اشارة</w:t>
      </w:r>
      <w:bookmarkEnd w:id="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الحدوث والقدم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تطوّر العلوم سر بلوغ القمّة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مخاضات التأصيل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حج رسول اللّه صلى الله عليه و آله و سلم في حديث الإمام الباقر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تغيير الجنس في الشريعة الإسلامية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شدّ الرحال لزيارة قبر النبي صلى الله عليه و آله و سلم وآله الأطهار عليهم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مليئة بالعطاء والأحداث</w:t>
      </w:r>
      <w:bookmarkStart w:id="15" w:name="pg16772_194303"/>
    </w:p>
    <w:p>
      <w:pPr>
        <w:pStyle w:val="Heading3"/>
        <w:numPr>
          <w:ilvl w:val="2"/>
          <w:numId w:val="1"/>
        </w:numPr>
        <w:rPr/>
      </w:pPr>
      <w:bookmarkStart w:id="16" w:name="__RefHeading___Toc6963375_73709187"/>
      <w:bookmarkStart w:id="17" w:name="_Toc6"/>
      <w:bookmarkEnd w:id="15"/>
      <w:bookmarkEnd w:id="16"/>
      <w:r>
        <w:rPr/>
        <w:t>1</w:t>
      </w:r>
      <w:r>
        <w:rPr>
          <w:rtl w:val="true"/>
        </w:rPr>
        <w:t xml:space="preserve"> </w:t>
      </w:r>
      <w:r>
        <w:rPr>
          <w:rtl w:val="true"/>
        </w:rPr>
        <w:t>الحدوث والقدم</w:t>
      </w:r>
      <w:bookmarkEnd w:id="17"/>
    </w:p>
    <w:p>
      <w:pPr>
        <w:pStyle w:val="Heading4"/>
        <w:numPr>
          <w:ilvl w:val="3"/>
          <w:numId w:val="1"/>
        </w:numPr>
        <w:rPr/>
      </w:pPr>
      <w:bookmarkStart w:id="18" w:name="__RefHeading___Toc6963377_73709187"/>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الحدوث لغة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بعد أن لم يكن، عرضاً كان ذلك أو جوهراً، وإحداثه إيجاده، والمُحدَث ما أُوجِدَ بعد أن لم يكن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ومحدثاتِ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عن الأُمور التي ليست في الكتاب والسنّة ولا في سيرة النبي صلى الله عليه و آله، 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أحدثَ في أمرنا هذا ما ليس منه، فهو ردّ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وأُريد أنّ من أدخل في الدين ما ليس منه فهو مردود باطل</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وعلى هذا فالحدوث نقيض القِدم، والحديث نقيض القديم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غير أنّ العرف يتسامح في استعمال الحادث والقديم، فكلّ ظاهرة طال عمرها يقال عنها قديمة، وما قصر عمرها فهي 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البحث عن حدوث العالم أو قدمه، له جذور في الفلسفة الإغريقية وقد نُقلت عن أفلاطون وأرسطو أُمور لها صلة بهذا البحث، وهذا يعرب عن أنّ المسألة كانت مطروحة بين الفلاسفة منذ زمن قديم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الحدوث والقدم تارة يبحث عنهما في إطار واسع يعبّر عنه بمعرفة</w:t>
      </w:r>
    </w:p>
    <w:p>
      <w:pPr>
        <w:pStyle w:val="BookText"/>
        <w:rPr/>
      </w:pPr>
      <w:r>
        <w:rPr>
          <w:rFonts w:ascii="Amiri" w:hAnsi="Amiri" w:eastAsia="Amiri" w:cs="Amiri"/>
          <w:color w:val="111111"/>
          <w:sz w:val="28"/>
          <w:sz w:val="28"/>
          <w:szCs w:val="28"/>
          <w:rtl w:val="true"/>
          <w:lang w:bidi="ar-SA"/>
        </w:rPr>
        <w:t>الوجود، فيكون الوجود بما هو وجود موضوعاً للبحث فينقسم إلى قديم وحادث، فاللّه سبحانه هو القديم وغيره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أُخرى يبحث عنهما في إطار ضيق وهو معرفة العالم، وأنّه هل هو حادث أو قديم‌؟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الوجود الإمكاني، فيبحث عن حدوثه وقدمه بمعانٍ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عنهما في الإطار الواسع فمحلّه هو الأُمور العامة التي يبحث فيها عن الموجود بما هو موجود فيصحّ تقسيم الوجود إلى قديم وحادث، وقد عُرّفت الأُمور العامة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نعوت كلية تعرض للموجود من حيث هوهو من دون أن يكون مقيّداً بقيد رياضي أو طبيعي</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أو يبحث عن أُمور لا تختص بموجود خاص كالجوهر والعرض</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فالمحمول في الأُمور العامة يعرض على الموجود بما هو موجود 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الموجود إمّا واجب أو ممكن، والممكن إمّا مجرد أو مادّي، إلى غير ذلك من العوارض كالعلية والمعلولية والحدوث والقدم التي تعرض على ذات الموجود بما هو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المحمول في الأُمور العامة كالوجوب والإمكان والعلّة والمعلول والحدوث والقدم والتجرّد والمادة، يعرض على ذات الموجود، لا الموجود بقيد كونه رياضياً أو طبيعياً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يتميّز البحث الفلسفي عن البحوث العلمية فالموضوع في الأوّل</w:t>
      </w:r>
      <w:bookmarkStart w:id="20" w:name="pg16772_194305"/>
    </w:p>
    <w:p>
      <w:pPr>
        <w:pStyle w:val="BookText"/>
        <w:rPr/>
      </w:pPr>
      <w:bookmarkEnd w:id="20"/>
      <w:r>
        <w:rPr>
          <w:rFonts w:ascii="Amiri" w:hAnsi="Amiri" w:eastAsia="Amiri" w:cs="Amiri"/>
          <w:color w:val="111111"/>
          <w:sz w:val="28"/>
          <w:sz w:val="28"/>
          <w:szCs w:val="28"/>
          <w:rtl w:val="true"/>
          <w:lang w:bidi="ar-SA"/>
        </w:rPr>
        <w:t>هو الموجود أو الوجود بما هوهو، ولكن الموضوع في العلوم، هو الموجود المتخصّص بالطبيعية أو الرياضية، فالبحث عن عوارض الجسم الطبيعي بحث علمي طبيعي، كما أنّ البحث عن عوارض الكم المنفصل والمتصل بحث علمي رياضي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 المراد من عروض هذه المحمولات على الوجود هو العروض في الذهن، يعني أنّ الذهن يتصوّر الوجود أوّلاً ويصفه ثانياً بالوجوب والإمكان، وأمّا في الخارج فالمحمولات عين الوجود بمعنى أنّ الوجود يتحقّق في ضمن هذه القوالب والخصوصيات، فالوجوب قالب والإمكان قالب آخر، والقدم والحدوث قالب ثالث ورابع بمعنى ظهور الوجود بهذه الخصوصيات والتعيّنات، وليست هذه الخصوصيات إلّانفس الشيء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هذه المباحث ترجع إلى الأُمور العامة ولا صلة لها بمقالنا هذا، وإنّما نركّز فيه على الحدوث والقدم في إطار العالم الإمكاني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درس علماء اليونان هذه المسألة فخرجوا بنتائج لم تصلنا على وجه التفصيل، لكن لمّا ترجمت الكتب اليونانية إلى العربية خاض فلاسفة الإسلام في حدوث العالم وقدمه وجاءوا بنتائج مهمة نذكرها تباعاً، ولكن قبل أن نستعرض آراءهم نركّز على أمرين</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6963379_73709187"/>
      <w:bookmarkStart w:id="22" w:name="_Toc8"/>
      <w:bookmarkEnd w:id="21"/>
      <w:r>
        <w:rPr>
          <w:rtl w:val="true"/>
        </w:rPr>
        <w:t>أ</w:t>
      </w:r>
      <w:r>
        <w:rPr>
          <w:rtl w:val="true"/>
        </w:rPr>
        <w:t xml:space="preserve">. </w:t>
      </w:r>
      <w:r>
        <w:rPr>
          <w:rtl w:val="true"/>
        </w:rPr>
        <w:t>اتّفاق أصحاب الشرائع على حدوث العالم زماناً</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أتباع الشرائع السماوية على حدوث العالم زماناً، وقد ذاع فيهم</w:t>
      </w:r>
      <w:bookmarkStart w:id="23" w:name="pg16772_194306"/>
    </w:p>
    <w:p>
      <w:pPr>
        <w:pStyle w:val="BookText"/>
        <w:rPr/>
      </w:pPr>
      <w:bookmarkEnd w:id="23"/>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ولم يكن معه شيء</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وقد شاع تفسير هذه الكلمة القدسية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زمان ولم يكن للعالم أثر ولا خبر، فالزمان المتصوّر قبل هذا العالم يُعدّ مهداً متضمّناً لعدم هذا العالم، ثم انقلب العدم في برهة من هذا الزمان إلى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الشيخ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الشرائع السماوية على حدوث العالم زماناً بهذا المعنى</w:t>
      </w:r>
      <w:r>
        <w:rPr>
          <w:rFonts w:eastAsia="Amiri" w:cs="Amiri" w:ascii="Amiri" w:hAnsi="Amiri"/>
          <w:color w:val="111111"/>
          <w:sz w:val="28"/>
          <w:szCs w:val="28"/>
          <w:rtl w:val="true"/>
          <w:lang w:bidi="ar-SA"/>
        </w:rPr>
        <w:t>.</w:t>
      </w:r>
      <w:r>
        <w:rPr>
          <w:rStyle w:val="FootnoteAnchor"/>
          <w:rtl w:val="true"/>
        </w:rPr>
        <w:footnoteReference w:id="10"/>
      </w:r>
    </w:p>
    <w:p>
      <w:pPr>
        <w:pStyle w:val="Heading4"/>
        <w:numPr>
          <w:ilvl w:val="3"/>
          <w:numId w:val="1"/>
        </w:numPr>
        <w:rPr/>
      </w:pPr>
      <w:bookmarkStart w:id="24" w:name="__RefHeading___Toc6963381_73709187"/>
      <w:bookmarkStart w:id="25" w:name="_Toc9"/>
      <w:bookmarkEnd w:id="24"/>
      <w:r>
        <w:rPr>
          <w:rtl w:val="true"/>
        </w:rPr>
        <w:t>ب</w:t>
      </w:r>
      <w:r>
        <w:rPr>
          <w:rtl w:val="true"/>
        </w:rPr>
        <w:t xml:space="preserve">. </w:t>
      </w:r>
      <w:r>
        <w:rPr>
          <w:rtl w:val="true"/>
        </w:rPr>
        <w:t>التفسير الخاطئ لما نقل عن أفلاطون وأرسطو</w:t>
      </w:r>
      <w:bookmarkEnd w:id="25"/>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أفلاطون عن قدم العالم وحدوثه،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النظم حادث والمادة قديمة،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أرسطو نفس هذا السؤال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والزمان لابداية لهما، لأنّ تصوّر الحدوث لهما يلازم وجود زمان لم يكن فيه حركة ولا زمان ثم حدثا، فكيف يمكن تصوير ذلك مع أنّ الزمان مقدار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قبل العالم أفلاك متحركة توجد الزمان، والمفروض أنّه لا أفلاك قبلها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وقد انتزع بعض من ليس له قَدمٌ في المسائل الفلسفية أنّ العلمين لا يعتقدان بوجود واجب أوجد العالم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صحّت هذه النسبة، لا يصحّ نسبة الإلحاد إليهما، بل غاية ما تدلّ عليه أنّ المادة قديمة زماناً لا قديمة ذاتاً، والقدم الزماني غير غني عن الواجب</w:t>
      </w:r>
      <w:r>
        <w:rPr>
          <w:rFonts w:eastAsia="Amiri" w:cs="Amiri" w:ascii="Amiri" w:hAnsi="Amiri"/>
          <w:color w:val="111111"/>
          <w:sz w:val="28"/>
          <w:szCs w:val="28"/>
          <w:rtl w:val="true"/>
          <w:lang w:bidi="ar-SA"/>
        </w:rPr>
        <w:t>.</w:t>
      </w:r>
      <w:bookmarkStart w:id="26" w:name="pg16772_194307"/>
    </w:p>
    <w:p>
      <w:pPr>
        <w:pStyle w:val="BookText"/>
        <w:rPr/>
      </w:pPr>
      <w:bookmarkEnd w:id="26"/>
      <w:r>
        <w:rPr>
          <w:rFonts w:ascii="Amiri" w:hAnsi="Amiri" w:eastAsia="Amiri" w:cs="Amiri"/>
          <w:color w:val="111111"/>
          <w:sz w:val="28"/>
          <w:sz w:val="28"/>
          <w:szCs w:val="28"/>
          <w:rtl w:val="true"/>
          <w:lang w:bidi="ar-SA"/>
        </w:rPr>
        <w:t>ويمكن تفسير كلام العلمين بأنّ العالم حادث ذاتاً لا زماناً، لأنّ لازم كونه حادثاً زماناً تصوير وجود زمان قبل العالم خالياً عن وجوده، فحدث فيه، مع أنّ الزمان هو جزء من هذا العالم وليس خارجاً عنه، فهذا ما دعا الفيلسوفان إلى القول بحدوث النظم زماناً وقدم المادة زماناً لا ذاتاً، فالعالم الإمكاني بنظامه ومواده موجود إمكاني قائم باللّه سبحانه مخلوق له وإن لم يكن هنا فاصل زماني بينه سبحانه وبين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يمكن به تفسير كلامهما، والعلم عند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فلنرجع إلى بيان أقسام الحدوث والقدم والمتمثّلة بالعناوين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الحدوث الزماني للعالم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الحدوث الذاتي للعالم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الحدوث الدهري للعالم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حدوث المادة حسب العلوم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الحدوث الاسمي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نحن نشرح آراء وعقائد القائلين بهذه الأقسام، من دون انحياز منّا إلى واحد منها، وسيوافيك ما هو المختار في آخر المقال</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6963383_73709187"/>
      <w:bookmarkStart w:id="28" w:name="_Toc10"/>
      <w:bookmarkEnd w:id="27"/>
      <w:r>
        <w:rPr/>
        <w:t>1</w:t>
      </w:r>
      <w:r>
        <w:rPr>
          <w:rtl w:val="true"/>
        </w:rPr>
        <w:t xml:space="preserve">. </w:t>
      </w:r>
      <w:r>
        <w:rPr>
          <w:rtl w:val="true"/>
        </w:rPr>
        <w:t>الحدوث الزماني للعالم</w:t>
      </w:r>
      <w:bookmarkEnd w:id="2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 w:name="__RefHeading___Toc6963385_73709187"/>
      <w:bookmarkStart w:id="30" w:name="_Toc11"/>
      <w:bookmarkEnd w:id="29"/>
      <w:r>
        <w:rPr>
          <w:rtl w:val="true"/>
        </w:rPr>
        <w:t>اشارة</w:t>
      </w:r>
      <w:bookmarkStart w:id="31" w:name="pg16772_194308"/>
      <w:bookmarkEnd w:id="30"/>
    </w:p>
    <w:p>
      <w:pPr>
        <w:pStyle w:val="BookText"/>
        <w:rPr/>
      </w:pPr>
      <w:bookmarkEnd w:id="31"/>
      <w:r>
        <w:rPr>
          <w:rFonts w:ascii="Amiri" w:hAnsi="Amiri" w:eastAsia="Amiri" w:cs="Amiri"/>
          <w:color w:val="111111"/>
          <w:sz w:val="28"/>
          <w:sz w:val="28"/>
          <w:szCs w:val="28"/>
          <w:rtl w:val="true"/>
          <w:lang w:bidi="ar-SA"/>
        </w:rPr>
        <w:t xml:space="preserve">الحدوث الزماني عبارة عن سبق زمان على وجود الشيء لم يكن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ولا أثر، وكأنّ الزمان السابق على الوجود وعاء عدم الشيء، ثم حدث وتحقّق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العدم السابق المتحقّق في وعاء الزمان عدم مقابل لا يجتمع مع الوجود، فلا يوصف هذا العدم بالعدم المجامع مع وجود الشيء بل بالعدم المقابل،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زيد موجوداً في عصر كذا، ثم ولد ووجد وحدث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الإنسان يواجه حوادث كثيرة لم يكن لها أثر في الزمان السابق ثم حدثت، فما نشاهده من آلاف الظواهر في يومنا هذا كانت مسبوقة بالعدم في الأمس، وهكذا ظواهر الأمس الدابر كانت مسبوقة بالعدم قبل الأمس، وهكذا فصاعداً، وكلّ حادث في زمان كان معدوماً في الزمان السابق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فالعالم بإجزائه المتسلسلة حادث زماني كلّ جزء منه مسبوق بالعدم في الزمان السابق، وما هذا إلّالأنّ وجود الحركة في العالم تعكس عدم الحوادث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اتّفق اتّباع الشرائع السماوية على حدوث العالم زماناً فلم يكن العالم موجوداً في برهة، ثم حدث</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6963387_73709187"/>
      <w:bookmarkStart w:id="33" w:name="_Toc12"/>
      <w:bookmarkEnd w:id="32"/>
      <w:r>
        <w:rPr>
          <w:rtl w:val="true"/>
        </w:rPr>
        <w:t>تقييم النظرية</w:t>
      </w:r>
      <w:bookmarkEnd w:id="3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أنّا إذا نظرنا إلى كلّ جزء من أجزاء العالم الذي نحن فيه وإلى كلّ جزء ممّا سبق، نجد أنّ كلّ ظاهرة كانت غير متحقّقة ثم حدثت، فكلّ ظاهرة مسبوقة بالعدم قبل وجودها، وهكذا إذا نظرنا إلى ملايين الظواهر المتسلسلة في العالم فكلّ قطعة مسبوقة بالعدم في القطعة المتقدمة وكأنّ كلّ قطعة متقدّمة،</w:t>
      </w:r>
    </w:p>
    <w:p>
      <w:pPr>
        <w:pStyle w:val="BookText"/>
        <w:rPr/>
      </w:pPr>
      <w:r>
        <w:rPr>
          <w:rFonts w:ascii="Amiri" w:hAnsi="Amiri" w:eastAsia="Amiri" w:cs="Amiri"/>
          <w:color w:val="111111"/>
          <w:sz w:val="28"/>
          <w:sz w:val="28"/>
          <w:szCs w:val="28"/>
          <w:rtl w:val="true"/>
          <w:lang w:bidi="ar-SA"/>
        </w:rPr>
        <w:t>مهد لعدم القطعة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إذا نظرنا إلى العالم نظرة كلّية فاحصة عنه بكلّه، فهل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مسبوقاً بزمان حقيقي حاضن لعدم العالم، ثم تبدّل العدم في ذلك إلى الوجود مع أنّ الزمان الذي صار مهداً لعدم العالم هو جزء من هذا العالم وليس أمراً منفصلاً عنه، فكيف يمكن أن يتقدّم قبل العالم ويصير مهداً لعدم العالم، وعلى فرض صحّة ذلك ينتقل الكلام إلى هذا الزمان الذي صاراً عاكساً لعدم هذا العالم، فهل هو حادث زماني، بمعنى أنّه كان في صفحة الوجود زمان لم يكن عن هذا الزمان فيه أثر ثم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صحّ هذا ينتقل الكلام إلى كيفية هذا الزمان الثاني، فيلزم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ترى أنّ الحكيم السبزواري يسمّي الزمان الذي يعكس عدم هذا العالم بالزمان الموهوم لا الزمان الحقيقي</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وهناك من يتجاسر ويريد أن يثبت عدم هذا العالم في ظرف من الظروف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وجوده سبحانه بما أنّه موجود قديم كافٍ لانتزاع عدم العالم منه، وكأنّ وجوده سبحانه حاضن لعدم هذا العالم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وأظن أنّ هذا التصوير غير لائق بالطرح والإجابة؛ لأنّ وجوده سبحانه أرفع من أن يكون منشأً لانتزاع الزمان الحقيقي، لأنّ الزمان مقدار الحركة، والموجود المنزّه عن التحوّل والتغيّر والتبدّل لا يتصوّر فيه الزمان الحقيقي</w:t>
      </w:r>
      <w:r>
        <w:rPr>
          <w:rFonts w:eastAsia="Amiri" w:cs="Amiri" w:ascii="Amiri" w:hAnsi="Amiri"/>
          <w:color w:val="111111"/>
          <w:sz w:val="28"/>
          <w:szCs w:val="28"/>
          <w:rtl w:val="true"/>
          <w:lang w:bidi="ar-SA"/>
        </w:rPr>
        <w:t>.</w:t>
      </w:r>
      <w:r>
        <w:rPr>
          <w:rStyle w:val="FootnoteAnchor"/>
          <w:rtl w:val="true"/>
        </w:rPr>
        <w:footnoteReference w:id="13"/>
      </w:r>
      <w:bookmarkStart w:id="34" w:name="pg16772_194310"/>
    </w:p>
    <w:p>
      <w:pPr>
        <w:pStyle w:val="Heading5"/>
        <w:numPr>
          <w:ilvl w:val="4"/>
          <w:numId w:val="1"/>
        </w:numPr>
        <w:rPr/>
      </w:pPr>
      <w:bookmarkStart w:id="35" w:name="__RefHeading___Toc6963389_73709187"/>
      <w:bookmarkStart w:id="36" w:name="_Toc13"/>
      <w:bookmarkEnd w:id="34"/>
      <w:bookmarkEnd w:id="35"/>
      <w:r>
        <w:rPr>
          <w:rtl w:val="true"/>
        </w:rPr>
        <w:t>ما هي المصلحة في إمساك الفيض‌؟</w:t>
      </w:r>
      <w:bookmarkEnd w:id="36"/>
    </w:p>
    <w:p>
      <w:pPr>
        <w:pStyle w:val="BookText"/>
        <w:rPr/>
      </w:pPr>
      <w:r>
        <w:rPr>
          <w:rFonts w:ascii="Amiri" w:hAnsi="Amiri" w:eastAsia="Amiri" w:cs="Amiri"/>
          <w:color w:val="111111"/>
          <w:sz w:val="28"/>
          <w:sz w:val="28"/>
          <w:szCs w:val="28"/>
          <w:rtl w:val="true"/>
          <w:lang w:bidi="ar-SA"/>
        </w:rPr>
        <w:t>لمّا كان لازم القول بالحدوث الزماني للعالم كلّه أن يكون هناك فاصل زماني بين وجوده سبحانه وإيجاده العالم فيتوجه للقائلين بذلك،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مصلحة في إمساك الفيض مدّة، ثم إحداث العالم‌؟</w:t>
      </w:r>
    </w:p>
    <w:p>
      <w:pPr>
        <w:pStyle w:val="BookText"/>
        <w:rPr/>
      </w:pPr>
      <w:r>
        <w:rPr>
          <w:rFonts w:ascii="Amiri" w:hAnsi="Amiri" w:eastAsia="Amiri" w:cs="Amiri"/>
          <w:color w:val="111111"/>
          <w:sz w:val="28"/>
          <w:sz w:val="28"/>
          <w:szCs w:val="28"/>
          <w:rtl w:val="true"/>
          <w:lang w:bidi="ar-SA"/>
        </w:rPr>
        <w:t>ولكن هذا السؤال في غير محلّه، إذ يمكن أن تكون في إمساك الفيض مصلحة لا ندركها بعقولنا القاصرة فهي لا تحيط بعامة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اعترض الشيخ الرئيس على إمساك الفيض بوجه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العدم الصريح لا يتميز فيه حال يكون فيها إمساك الفاعل عن الفاعلية أولى بالقياس إليه، أو يكون لا صدور الفعل أولى بالقياس إلى الفعل من حال أُخرى يصير فيها فاعليته أولى به، أو صدور الفعل أولى بالفعل</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وما ذكرناه إيضاح من المحقّق الطوسي لعبارة الشيخ في الإشارات حيث يقول 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يتميز في العدم الصريح حال الأولى به فيها أن لا يوجد شيئاً أو بالأشياء أن لا توجد عنه أصلاً وحال بخلافها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العدم الفاصل بين ذاته سبحانه وفعله عدم مطلق، وباطل محض، وظلمة بحتة لا نور فيها فلا يتصوّر فيها النفي والإثبات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الإمساك أفضل من الإفاضة أو بالعكس</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هذه المفاهيم إنّما تتصوّر فيما إذا كان هناك فصل حقيقي وزمان واقعي حتى يقاس الإمساك إلى الإفاضة ويحكم على الأوّل بالأصلحية</w:t>
      </w:r>
      <w:r>
        <w:rPr>
          <w:rFonts w:eastAsia="Amiri" w:cs="Amiri" w:ascii="Amiri" w:hAnsi="Amiri"/>
          <w:color w:val="111111"/>
          <w:sz w:val="28"/>
          <w:szCs w:val="28"/>
          <w:rtl w:val="true"/>
          <w:lang w:bidi="ar-SA"/>
        </w:rPr>
        <w:t>.</w:t>
      </w:r>
      <w:bookmarkStart w:id="37" w:name="pg16772_194311"/>
    </w:p>
    <w:p>
      <w:pPr>
        <w:pStyle w:val="Heading4"/>
        <w:numPr>
          <w:ilvl w:val="3"/>
          <w:numId w:val="1"/>
        </w:numPr>
        <w:rPr/>
      </w:pPr>
      <w:bookmarkStart w:id="38" w:name="__RefHeading___Toc6963391_73709187"/>
      <w:bookmarkStart w:id="39" w:name="_Toc14"/>
      <w:bookmarkEnd w:id="37"/>
      <w:bookmarkEnd w:id="38"/>
      <w:r>
        <w:rPr/>
        <w:t>2</w:t>
      </w:r>
      <w:r>
        <w:rPr>
          <w:rtl w:val="true"/>
        </w:rPr>
        <w:t xml:space="preserve">. </w:t>
      </w:r>
      <w:r>
        <w:rPr>
          <w:rtl w:val="true"/>
        </w:rPr>
        <w:t>الحدوث الذاتي للعالم</w:t>
      </w:r>
      <w:bookmarkEnd w:id="39"/>
    </w:p>
    <w:p>
      <w:pPr>
        <w:pStyle w:val="Heading5"/>
        <w:numPr>
          <w:ilvl w:val="4"/>
          <w:numId w:val="1"/>
        </w:numPr>
        <w:rPr/>
      </w:pPr>
      <w:bookmarkStart w:id="40" w:name="__RefHeading___Toc6963393_73709187"/>
      <w:bookmarkStart w:id="41" w:name="_Toc15"/>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إنّ الكون بتمام أجزائه حادث ذاتاً ويراد به أنّ كلّ جزء منه في حدّ ذاته فاقد للوجود والتحقّق، وإنّما يعرض له الوجود في مرتبة متأخّرة بعد الانتساب إلى العلّة، وهذا النوع من الفقدان أمر ذاتي له لا ينفك عنه حتى بعد الوجود ولذلك يوصف بالعدم المجامع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الممكن المتحقّق فاقد للوجود في حدّ ذاته، واجد له بعد الانتساب إلى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 الشيخ الرئيس الحدوث الذاتي بالتعبير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 تعلم أنّ حال الشيء الذي يكون للشيء باعتبار ذاته متخلّياً عن غيره قبل حاله من غيره قبليّة بالذات، وكلّ موجود عن غيره يستحقّ العدم لو انفرد، أو لا يكون له وجود لو انفرد، بل إنّما يكون له الوجود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لا يكون له وجود قبل أن يكون له وجود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الحدوث الذاتي</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 قول الشيخ الرئيس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موجود عن غيره يستحق العدم لو 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الاعتراض، من قِبل شراح كلامه، فقال الرازي في شرحه على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لا يستحق الوجود من ذاته ولا يلزم منه أنّه يستحقّ اللاوجود، فإنّ المستحق للّاوجود هو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وجوده مسبوق بلا استحقاق الوجود لا بالعدم، أو باللّا وجود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قول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يستحق العدم لو انفرد، أو لا يكون له وجود لو 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مغالطة؛ لأنّه إن أراد بالانفراد اعتبار ذاته من حيث هي هي، فهو في</w:t>
      </w:r>
    </w:p>
    <w:p>
      <w:pPr>
        <w:pStyle w:val="BookText"/>
        <w:rPr/>
      </w:pPr>
      <w:r>
        <w:rPr>
          <w:rFonts w:ascii="Amiri" w:hAnsi="Amiri" w:eastAsia="Amiri" w:cs="Amiri"/>
          <w:color w:val="111111"/>
          <w:sz w:val="28"/>
          <w:sz w:val="28"/>
          <w:szCs w:val="28"/>
          <w:rtl w:val="true"/>
          <w:lang w:bidi="ar-SA"/>
        </w:rPr>
        <w:t>هذه الحالة لا يستحقّ العدم أو اللّاوجود، وإلّا لكان ممتنعاً لا ممكناً، وإن أراد به اعتبار ذاته مع عدم علّته فلا يكون الانفراد انفراداً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وما اعترض به الرازي على كلام الشيخ الرئيس ربما يورد على القول المعروف في تعريف الماهية،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الماهية من حيث ذاتها أن تكون ليس، ومن جانب علّتها أن تكون أيس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فيتوهم أنّ المراد أنّ الماهية بحدّ ذاتها تقتضي العدم كما هو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الطوسي أجاب عن الإشكال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له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 يكون له وجود لو 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بمعنى العدول حتى يكون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يثبت له أن لا يكون له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بمعنى السلب، وتقدير الكلام كلّ موجود عن غيره فليس له معنى الوجود لو انفردت ماهيته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لا يكون لها الوجود لو انفردت، على نحو المعدولة فتكون الماهية في حدّ ذاتها موصوفة بأن لا يكون لها الوجود لو انفردت، فتكون مقتضية للعدم وتتساوى مع ممتنع الوجود، وبين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الماهية مقتضية للوجود لو انفردت، إذ معناه عدم الاقتضاء لا اقتضاء العدم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اتّصاف الماهية بالعدم سابق لاتّصافها بالوجود</w:t>
      </w:r>
      <w:r>
        <w:rPr>
          <w:rFonts w:eastAsia="Amiri" w:cs="Amiri" w:ascii="Amiri" w:hAnsi="Amiri"/>
          <w:color w:val="111111"/>
          <w:sz w:val="28"/>
          <w:szCs w:val="28"/>
          <w:rtl w:val="true"/>
          <w:lang w:bidi="ar-SA"/>
        </w:rPr>
        <w:t>.</w:t>
      </w:r>
      <w:r>
        <w:rPr>
          <w:rStyle w:val="FootnoteAnchor"/>
          <w:rtl w:val="true"/>
        </w:rPr>
        <w:footnoteReference w:id="19"/>
      </w:r>
      <w:bookmarkStart w:id="42" w:name="pg16772_194313"/>
    </w:p>
    <w:p>
      <w:pPr>
        <w:pStyle w:val="Heading5"/>
        <w:numPr>
          <w:ilvl w:val="4"/>
          <w:numId w:val="1"/>
        </w:numPr>
        <w:rPr/>
      </w:pPr>
      <w:bookmarkStart w:id="43" w:name="__RefHeading___Toc6963395_73709187"/>
      <w:bookmarkStart w:id="44" w:name="_Toc16"/>
      <w:bookmarkEnd w:id="42"/>
      <w:bookmarkEnd w:id="43"/>
      <w:r>
        <w:rPr>
          <w:rtl w:val="true"/>
        </w:rPr>
        <w:t>المحقّق الداماد ونقد الحدوث الذاتي</w:t>
      </w:r>
      <w:bookmarkEnd w:id="44"/>
    </w:p>
    <w:p>
      <w:pPr>
        <w:pStyle w:val="BookText"/>
        <w:rPr/>
      </w:pPr>
      <w:r>
        <w:rPr>
          <w:rFonts w:ascii="Amiri" w:hAnsi="Amiri" w:eastAsia="Amiri" w:cs="Amiri"/>
          <w:color w:val="111111"/>
          <w:sz w:val="28"/>
          <w:sz w:val="28"/>
          <w:szCs w:val="28"/>
          <w:rtl w:val="true"/>
          <w:lang w:bidi="ar-SA"/>
        </w:rPr>
        <w:t>الحدوث الذاتي وإن كان أمراً صحيحاً لكنّه لم يكن مقنعاً للسيد المحقّق الداماد، ولذلك حاول أن يثبت للعالم حدوثاً آخر أسماه الحدوث الدهري، وإليك نصّ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تعرّفت أنّ سبق العدم بحسب الحدوث الذاتي سبقاً بالذات ليس سبيله مسبوقية الوجود بالعدم المقابل له، إذ سلب الوجود في مرتبة نفس الماهية من حيث هي هي لا يقابل الوجود الحاصل في حاقّ الواقع من تلقاء العلّة الفاعلة بل يجامعه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نحن بصدده هو إثبات سبق العدم على وجود الممكن، سبقاً مقابلاً غير مجامع، وأمّا الحدوث الذاتي فلا يُثبت عدماً سابقاً على الوجود، بل العدم فيه مجامع مع الوجود وليس هناك تقابل بينهما، فالعدم في مرتبة الماهية من حيث هي هي، مع الوجود في مرتبة وجود العلّة الفاعلة، متجامعان يتعانقان ولا يتقابلان</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6963397_73709187"/>
      <w:bookmarkStart w:id="46" w:name="_Toc17"/>
      <w:bookmarkEnd w:id="45"/>
      <w:r>
        <w:rPr>
          <w:rtl w:val="true"/>
        </w:rPr>
        <w:t>المحقّق الداماد والحدوث الزماني</w:t>
      </w:r>
      <w:bookmarkEnd w:id="4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المحقق الداماد كما اعترض على الحدوث الذاتي بأنّه على فرض ثبوته غير مطلوب لنا، كذلك اعترض على الحدوث الزماني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سبق العدم بحسب الحدوث الزماني، سبقاً بالزمان، ليس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الوجود الحادث مسبوقاً بعدم يقابله في امتداد الزمان، فإنّ قبليّة العدم السابق ممايزة</w:t>
      </w:r>
      <w:bookmarkStart w:id="47" w:name="pg16772_194314"/>
    </w:p>
    <w:p>
      <w:pPr>
        <w:pStyle w:val="BookText"/>
        <w:rPr/>
      </w:pPr>
      <w:bookmarkEnd w:id="47"/>
      <w:r>
        <w:rPr>
          <w:rFonts w:ascii="Amiri" w:hAnsi="Amiri" w:eastAsia="Amiri" w:cs="Amiri"/>
          <w:color w:val="111111"/>
          <w:sz w:val="28"/>
          <w:sz w:val="28"/>
          <w:szCs w:val="28"/>
          <w:rtl w:val="true"/>
          <w:lang w:bidi="ar-SA"/>
        </w:rPr>
        <w:t>لبعديّة الوجود اللاحق بحسب تمايز زمانيهما في الوجود، لكونهما زمانيين، وحدّ العدم القبل غير حدّ الوجود البعد، والحدّان غير مجتمعين في امتداد الزمان الغير القارّ، بل إنّما هما معاً بحسب الوجود في متن الدّهر، معيّة دهريّة غير متكممة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الوحدات المعتبرة في التقابل بين الإيجاب والسلب الزمانيين، وحدة الزمان البتّة وفي هذا النوع من الحدوث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كالحدوث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تقابل بين القبل والبعد ألبتة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العدم السابق على الوجود بما أنّهما في مرحلتين من الزمان وإن كانا غير مجتمعين لكنّهما ليسا بمتناقضين، إذ يشترط في التناقض عدة وحدات منها الوحدة في الزمان، ومن المعلوم أنّ العدم السابق العارض للماهية في برهة من الزمان لا يعدّ نقيضاً لوجود الماهية المتحقّق في برهة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هذين الاعتراضين المتوجّه أحدهما على الحدوث الذاتي والآخر على الحدوث الزماني، صارا سبباً لتصوّر حدوث آخر للعالم باسم الحدوث الدهري، وسيوافيك بيانه في موضعه</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6963399_73709187"/>
      <w:bookmarkStart w:id="49" w:name="_Toc18"/>
      <w:bookmarkEnd w:id="48"/>
      <w:r>
        <w:rPr>
          <w:rtl w:val="true"/>
        </w:rPr>
        <w:t>نظريتنا في الاعتراض</w:t>
      </w:r>
      <w:bookmarkEnd w:id="4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وأظن أنّ كلا الاعتراضين لا يضرّان القول بالحدوث الذاتي أو الزماني، لأنّ الحدوث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واقعي لا يمكن لأحد إنكاره، وأنّ كلّ ممكن معدوم في حدّ ذاته ثم يعرض له الوجود، وأمّا الإشكال عليه بأنّ‌</w:t>
      </w:r>
    </w:p>
    <w:p>
      <w:pPr>
        <w:pStyle w:val="BookText"/>
        <w:rPr/>
      </w:pPr>
      <w:r>
        <w:rPr>
          <w:rFonts w:ascii="Amiri" w:hAnsi="Amiri" w:eastAsia="Amiri" w:cs="Amiri"/>
          <w:color w:val="111111"/>
          <w:sz w:val="28"/>
          <w:sz w:val="28"/>
          <w:szCs w:val="28"/>
          <w:rtl w:val="true"/>
          <w:lang w:bidi="ar-SA"/>
        </w:rPr>
        <w:t>هذا العدم مجامع للوجود غير مقابل له لا يضر، إذ ليس القائل بصدد بيان إثبات العدم المقابل للوجود، بل هو بصدد توضيح ما اتّفق عليه أصحاب الشرائع السماوية بأنّ العالم حادث، حتى يتحقّق تلاؤم بين الفلسفة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روى الصدوق عن الإمام الباقر عليه السلام حديثاً يكشف عن صحّة النظرية وأنّ العالم حادث ذاتاً، قال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كان ولا شيء غيره، نوراً لا ظلام فيه، وصادقاً لا كذب فيه، وعالماً لا جهل معه، وحيّاً لا موت فيه، وكذلك هو اليوم، وكذلك لا يزال أبداً</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هو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عامّة الصفات وأنّه تعالى حتى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شيء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فعندئذٍ نسأل كيف يكون سبحانه بعد أن خلق العالم بكلّ ما فيه ومع ذلك يوصف سبحانه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شيء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معه عامّة الأشياء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ولا يصحّ تفسير ما أُثر عن باقر علم النبيين عليه السلام إلّابما جاء به الشيخ الرئيس؛ لأنّ ما يُعد غيراً فهو في حدّ ذاته معدوم وفاقد للوجود،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ولم يكن معه شيء في ذلك الحدّ حتى اليوم، وأمّا بعد التنزّل عنه فالأشياء كلّها مشهودة معلومة قائمة معه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الاعتراض على الحدوث الزماني، فلا يضرّ؛ لأنّ القائل به يريد أن يثبت للأشياء عدماً متقدّماً على وجودها، فكون عدمها في فترة ووجودها في فترة أُخرى وإن كان خارجاً عن التناقض المصطلح ولكن القائل ليس بصدد إثبات العدم والوجود المتناقضين الواقعي في فترة واحدة، بل هو بصدد أمر آخر</w:t>
      </w:r>
      <w:bookmarkStart w:id="50" w:name="pg16772_194316"/>
    </w:p>
    <w:p>
      <w:pPr>
        <w:pStyle w:val="BookText"/>
        <w:rPr/>
      </w:pPr>
      <w:bookmarkEnd w:id="50"/>
      <w:r>
        <w:rPr>
          <w:rFonts w:ascii="Amiri" w:hAnsi="Amiri" w:eastAsia="Amiri" w:cs="Amiri"/>
          <w:color w:val="111111"/>
          <w:sz w:val="28"/>
          <w:sz w:val="28"/>
          <w:szCs w:val="28"/>
          <w:rtl w:val="true"/>
          <w:lang w:bidi="ar-SA"/>
        </w:rPr>
        <w:t>وهو سبق العدم الزماني على الوجود</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6963401_73709187"/>
      <w:bookmarkStart w:id="52" w:name="_Toc19"/>
      <w:bookmarkEnd w:id="51"/>
      <w:r>
        <w:rPr>
          <w:rtl w:val="true"/>
        </w:rPr>
        <w:t>الشيخ الرئيس وحدوث العالم</w:t>
      </w:r>
      <w:bookmarkEnd w:id="52"/>
    </w:p>
    <w:p>
      <w:pPr>
        <w:pStyle w:val="BookText"/>
        <w:rPr/>
      </w:pPr>
      <w:r>
        <w:rPr>
          <w:rFonts w:ascii="Amiri" w:hAnsi="Amiri" w:eastAsia="Amiri" w:cs="Amiri"/>
          <w:color w:val="111111"/>
          <w:sz w:val="28"/>
          <w:sz w:val="28"/>
          <w:szCs w:val="28"/>
          <w:rtl w:val="true"/>
          <w:lang w:bidi="ar-SA"/>
        </w:rPr>
        <w:t xml:space="preserve">إنّ الموضوع للحدوث عند الشيخ هو الوجود وهو يعتقد بأنّ لوجود العلّة تقدّماً ذاتياً على المعلول، وللمعلول تأخّراً ذاتياً عن العلّة، وإن اجتمعا وجوداً في زمان واحد، وهو يوضح ذلك بالمثال المعروف، حرّك زيد يده فتحرّك المفتاح، فإنّ حركة المفتاح وإن كانت متزامنة مع حركة اليد، غير أنّه 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مفاضة من حركة اليد فيكون لها تقدّماً ذاتياً، ولحركة المفتاح تأخّراً كذلك وإن كانتا متزامنتين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فبما أنّ الواجب سبب تام لوجود العالم الإمكاني فيكون للسبب تقدّماً ذاتياً وللمسبب تأخّراً كذلك، وهذا هو المراد من حدوث العالم، هذا ما يريده الشيخ، وإليك نصّ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وجود كلّ معلول واجب مع وجود علّته، ووجود علّته واجب عنه وجود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معاً في الزمان أو الدهر أو غير ذلك، ولكن ليسا معاً في القياس إلى حصول الوجود؛ وذلك لأنّ وجود ذلك لم يحصل من هذا، فذلك له حصول وجود ليس من حصول وجود هذا، ولهذا حصول وجود هو من حصول وجود ذلك، فذلك أقدم بالقياس إلى حصول الوجود</w:t>
      </w:r>
      <w:r>
        <w:rPr>
          <w:rFonts w:eastAsia="Amiri" w:cs="Amiri" w:ascii="Amiri" w:hAnsi="Amiri"/>
          <w:color w:val="111111"/>
          <w:sz w:val="28"/>
          <w:szCs w:val="28"/>
          <w:rtl w:val="true"/>
          <w:lang w:bidi="ar-SA"/>
        </w:rPr>
        <w:t>.</w:t>
      </w:r>
      <w:r>
        <w:rPr>
          <w:rStyle w:val="FootnoteAnchor"/>
          <w:rtl w:val="true"/>
        </w:rPr>
        <w:footnoteReference w:id="24"/>
      </w:r>
    </w:p>
    <w:p>
      <w:pPr>
        <w:pStyle w:val="Heading4"/>
        <w:numPr>
          <w:ilvl w:val="3"/>
          <w:numId w:val="1"/>
        </w:numPr>
        <w:rPr/>
      </w:pPr>
      <w:bookmarkStart w:id="53" w:name="__RefHeading___Toc6963403_73709187"/>
      <w:bookmarkStart w:id="54" w:name="_Toc20"/>
      <w:bookmarkEnd w:id="53"/>
      <w:r>
        <w:rPr/>
        <w:t>3</w:t>
      </w:r>
      <w:r>
        <w:rPr>
          <w:rtl w:val="true"/>
        </w:rPr>
        <w:t xml:space="preserve">. </w:t>
      </w:r>
      <w:r>
        <w:rPr>
          <w:rtl w:val="true"/>
        </w:rPr>
        <w:t>الحدوث الدهري للعالم</w:t>
      </w:r>
      <w:bookmarkEnd w:id="5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5" w:name="__RefHeading___Toc6963405_73709187"/>
      <w:bookmarkStart w:id="56" w:name="_Toc21"/>
      <w:bookmarkEnd w:id="55"/>
      <w:r>
        <w:rPr>
          <w:rtl w:val="true"/>
        </w:rPr>
        <w:t>اشارة</w:t>
      </w:r>
      <w:bookmarkStart w:id="57" w:name="pg16772_194317"/>
      <w:bookmarkEnd w:id="56"/>
    </w:p>
    <w:p>
      <w:pPr>
        <w:pStyle w:val="BookText"/>
        <w:rPr/>
      </w:pPr>
      <w:bookmarkEnd w:id="57"/>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المحقّق الداماد لم يقتنع بالحدوث الذاتي ولا بالحدوث الزماني، فحاول طرح نظرية جديدة فراراً عن الإشكالين اللّذين وجّههما عليهما، وقد بيّن نظريته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الغرض المهم من تأليفه هو توضيح هذه النظرية ولذلك لا محيص لنا إلّاتلخيصها، وقد سبقنا في هذا المضمار المحقّق السبزواري في شرحه على المنظومة، والشيخ محمد تقي الآملي في شرحه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النظرية مبنية على تقسيم مراتب الوجود إلى أقسام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الماديات، التي يعبر عنها بعالم الملك وتشمل كلّ موجود طبيعي يقع في أُفق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المجرّدات والمفارقات عن المادة وآثارها، ويعبر عنها بعالم الملكوت، وهو عالم العقول والنفوس الكلّية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الوجود الواجب المنزّه عن الإمكان والفقر، فضلاً عن الحركة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لكلّ من هذه المراتب وعاءً خاصّاً، فالموجود المادي وعاؤه الزمان، والموجود المجرد وعاؤه الدهر، والواجب تبارك وتعالى وعاؤه السرمد؛ ولا يراد من الوعاء ما يراد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في القدح، بل أنّ الظرف نفس المظروف، وهو خصوصية موجودة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هذا فلنشرح هذه المقولات الثلاث التي تعد وعاءً لما فيها</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6963407_73709187"/>
      <w:bookmarkStart w:id="59" w:name="_Toc22"/>
      <w:bookmarkEnd w:id="58"/>
      <w:r>
        <w:rPr>
          <w:rtl w:val="true"/>
        </w:rPr>
        <w:t>أ</w:t>
      </w:r>
      <w:r>
        <w:rPr>
          <w:rtl w:val="true"/>
        </w:rPr>
        <w:t xml:space="preserve">. </w:t>
      </w:r>
      <w:r>
        <w:rPr>
          <w:rtl w:val="true"/>
        </w:rPr>
        <w:t>مقولة الزمان</w:t>
      </w:r>
      <w:bookmarkEnd w:id="5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لكلّ موجود وعاءً خاصّاً به، فالظواهر السيّالة المتحركة، ظرفها الزمان</w:t>
      </w:r>
    </w:p>
    <w:p>
      <w:pPr>
        <w:pStyle w:val="BookText"/>
        <w:rPr/>
      </w:pPr>
      <w:r>
        <w:rPr>
          <w:rFonts w:ascii="Amiri" w:hAnsi="Amiri" w:eastAsia="Amiri" w:cs="Amiri"/>
          <w:color w:val="111111"/>
          <w:sz w:val="28"/>
          <w:sz w:val="28"/>
          <w:szCs w:val="28"/>
          <w:rtl w:val="true"/>
          <w:lang w:bidi="ar-SA"/>
        </w:rPr>
        <w:t>لا بمعنى أنّ الزمان شيء والحركات والمتحرّكات شيء آخر كالماء في الكوز، بل بمعنى أنّ الزمان والزماني كالخارج والخارجي، فكما أنّ الموجود الخارجي ليس منفكّاً عن الخارج بل نوع وحدة بينهما، فهكذا الزمان والزماني فبينهما 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يدرك ثلاثة أكوان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في الزمان وهو متى الأشياء المتغيّرة التي يكون لها مبدأً ومنتهى‌، ويكون مبدأه غير منتهاه، بل يكون مقتضياً، ويكون دائماً في السيلان وفي تقضّي حال وتجدّد حال</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الحكيم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موجود فلوجوده وعاء أو ما يجري مجراه، فوعاء السيالات كالحركات والمتحرّكات هو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26"/>
      </w:r>
      <w:bookmarkStart w:id="60" w:name="pg16772_194319"/>
    </w:p>
    <w:p>
      <w:pPr>
        <w:pStyle w:val="Heading5"/>
        <w:numPr>
          <w:ilvl w:val="4"/>
          <w:numId w:val="1"/>
        </w:numPr>
        <w:rPr/>
      </w:pPr>
      <w:bookmarkStart w:id="61" w:name="__RefHeading___Toc6963409_73709187"/>
      <w:bookmarkStart w:id="62" w:name="_Toc23"/>
      <w:bookmarkEnd w:id="60"/>
      <w:bookmarkEnd w:id="61"/>
      <w:r>
        <w:rPr>
          <w:rtl w:val="true"/>
        </w:rPr>
        <w:t>ب</w:t>
      </w:r>
      <w:r>
        <w:rPr>
          <w:rtl w:val="true"/>
        </w:rPr>
        <w:t xml:space="preserve">. </w:t>
      </w:r>
      <w:r>
        <w:rPr>
          <w:rtl w:val="true"/>
        </w:rPr>
        <w:t>مقولة الدهر</w:t>
      </w:r>
      <w:bookmarkEnd w:id="62"/>
    </w:p>
    <w:p>
      <w:pPr>
        <w:pStyle w:val="BookText"/>
        <w:rPr/>
      </w:pPr>
      <w:r>
        <w:rPr>
          <w:rFonts w:ascii="Amiri" w:hAnsi="Amiri" w:eastAsia="Amiri" w:cs="Amiri"/>
          <w:color w:val="111111"/>
          <w:sz w:val="28"/>
          <w:sz w:val="28"/>
          <w:szCs w:val="28"/>
          <w:rtl w:val="true"/>
          <w:lang w:bidi="ar-SA"/>
        </w:rPr>
        <w:t>يقول السيد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المجرّدات أو المفارقات النورية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كالعقول متحقّقة في عالم الدهر، والدهر كالعقول منزّه عن المادة وعوارضها كالاتصال والسيلان، ونسبة عالم الدهر إلى الزمان نسبة الروح إلى الجسد، فإنّ ما في وعاء الزمان يقبل التبدّل والتغيّر، وما في عالم الدهر منزّه عن ذلك، وما ذلك إلّا لأنّ الدهر محيط، والزمان والزمانيات محاطان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وعاء الزمان بمعنى أنّه محيط والزمان محاط به، والزمان ضعيف الوجود لكونه سيالاً غير ثابت</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يقول الحكيم محمد تقي الآملي في توضيح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ونسبته إلى الزمان نسبة الروح إلى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ما في الدهر من الموجودات مبادئ وجود الزمان وما فيه من الزمانيات بأنواعها، والعلّة مرتبة كمال المعلول كما أنّ المعلول مرتبة ضعف العلّة، فتكون نسبة الدهر إلى الزمان كنسبة الروح إلى الجسد في كون الروح علّة</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 أنّ نسبة الدهر إلى المفارقات كنسبة الزمان إلى السيالات،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التعدد في التعبير، وإلّا ففي الحقيقة الدهر نفس المفارقات والعقول الكلية والنفوس كذلك التي تقع في درجة العلّة لما تحتها من العوالم المادّية</w:t>
      </w:r>
      <w:r>
        <w:rPr>
          <w:rFonts w:eastAsia="Amiri" w:cs="Amiri" w:ascii="Amiri" w:hAnsi="Amiri"/>
          <w:color w:val="111111"/>
          <w:sz w:val="28"/>
          <w:szCs w:val="28"/>
          <w:rtl w:val="true"/>
          <w:lang w:bidi="ar-SA"/>
        </w:rPr>
        <w:t>.</w:t>
      </w:r>
      <w:bookmarkStart w:id="63" w:name="pg16772_194320"/>
    </w:p>
    <w:p>
      <w:pPr>
        <w:pStyle w:val="Heading5"/>
        <w:numPr>
          <w:ilvl w:val="4"/>
          <w:numId w:val="1"/>
        </w:numPr>
        <w:rPr/>
      </w:pPr>
      <w:bookmarkStart w:id="64" w:name="__RefHeading___Toc6963411_73709187"/>
      <w:bookmarkStart w:id="65" w:name="_Toc24"/>
      <w:bookmarkEnd w:id="63"/>
      <w:bookmarkEnd w:id="64"/>
      <w:r>
        <w:rPr>
          <w:rtl w:val="true"/>
        </w:rPr>
        <w:t>ج</w:t>
      </w:r>
      <w:r>
        <w:rPr>
          <w:rtl w:val="true"/>
        </w:rPr>
        <w:t xml:space="preserve">. </w:t>
      </w:r>
      <w:r>
        <w:rPr>
          <w:rtl w:val="true"/>
        </w:rPr>
        <w:t>مقولة السرمد</w:t>
      </w:r>
      <w:bookmarkEnd w:id="65"/>
    </w:p>
    <w:p>
      <w:pPr>
        <w:pStyle w:val="BookText"/>
        <w:rPr/>
      </w:pPr>
      <w:r>
        <w:rPr>
          <w:rFonts w:ascii="Amiri" w:hAnsi="Amiri" w:eastAsia="Amiri" w:cs="Amiri"/>
          <w:color w:val="111111"/>
          <w:sz w:val="28"/>
          <w:sz w:val="28"/>
          <w:szCs w:val="28"/>
          <w:rtl w:val="true"/>
          <w:lang w:bidi="ar-SA"/>
        </w:rPr>
        <w:t>ويراد من السرمد الوجود الذي لا بداية له ولا نهاية، وليس هو إلّااللّه تبارك وتعالى وأسماءه وصفاته، فهو محيط بالدهر كإحاطة الدهر بالزمان، ونسبة السرمد إلى الدهر نسبة الروح إلى الجسد، وما ذلك إلّالأنّ السرمد في مرتبة العلّة، والعقول والنفوس في مرتبة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كون الثابت مع الثابت ويسمّى السرمد وهو محيط بالدهر</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يقول الحكيم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يجري مجرى الوعاء للحق وصفاته وأسمائه هو السرمد</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إلى هنا تمّ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مراتب الوجود إلى مراتب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ما هو الوعاء لكلّ من هذه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فلنشرح نفس النظرية التي تبتني على بيان الأمرين المذكورين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موجود زماني راسم لعدم موجود زماني آخر، وإنّما لم نقل مصداق لعدم موجود زماني آخر؛ لأنّ الوجود بما هو وجود لا يعقل أن يكون مصداقاً للعدم، ولذلك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موجود زماني يعكس ويرسم عدم وجود زماني آخر، وبذلك يمكن بيان الحدوث الدهري بالبيانين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عالم الدهر يرسم ويعكس عدم عالم الطبيعة؛ لأنّ عالم الدهر بما أنّه سابق على عالم الطبيعة فيحتضن الدهرُ عدَمَ الموجود المتأخّر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المادة بتمام صورها مسبوق بالعدم في عالم الدهر، وهذا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الملكوت يحتضن عدم عالم الملك لسبق الملكوت في مرتبة الوجود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لك بيان هذا بتعبير آخر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الحدوث الدهري عبارة عن كون الماهية الموجودة المعلولة مسبوقة بعدمها المتقرّر في مرتبة علّتها بما أنّها يُنتزع عدمها بحدّها عن علّتها وإن كانت علّتها واجدة لكمال وجودها بنحو أعلى وأشرف</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توضيح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عالم الدهر علّة لعالم الملك، فبما أنّ كلّ علّة جامعة لكمال معلولها ومع ذلك كلّه فعدم المادة بحدّه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 على وجوده، وهذا 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الحدوث الدهري، أي سبق عدم عالم المادة على وجوده في مرتبة علّتها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الحدوث الدهري ليس إلّاسبق عدم الماديات على وجودها، وليس لهذا النوع من العدم محلٌ إلّاعالم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الحدوث هو سبق عدمه على الوجود فهذه العوالم المحسوسة سبقت عدمها على وجودها لأنّ علّتها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تعكس عدمها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بياناً أوضح فاستمع إلى بيان الشيخ الآملي على شرح المنظومة</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 الملك مسبوق الوجود بالعدم الدهري، ووجه كونه</w:t>
      </w:r>
      <w:bookmarkStart w:id="66" w:name="pg16772_194322"/>
    </w:p>
    <w:p>
      <w:pPr>
        <w:pStyle w:val="BookText"/>
        <w:rPr/>
      </w:pPr>
      <w:bookmarkEnd w:id="66"/>
      <w:r>
        <w:rPr>
          <w:rFonts w:ascii="Amiri" w:hAnsi="Amiri" w:eastAsia="Amiri" w:cs="Amiri"/>
          <w:color w:val="111111"/>
          <w:sz w:val="28"/>
          <w:sz w:val="28"/>
          <w:szCs w:val="28"/>
          <w:rtl w:val="true"/>
          <w:lang w:bidi="ar-SA"/>
        </w:rPr>
        <w:t>مسبوق الوجود بالعدم الدهري هو أنّ وجود عالم الملك وهو عالم الناسوت والشهادة متأخّر عن وجود عالم الملكوت، وأنّ العدم الدهري يكون في رتبة الوجود الدهري، فعالم الملك حادث دهري، أي وجوده مسبوق بعدمه الواقعي الفكّي الواقع في عالم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دعا المحقّق الداماد إلى القول بالحدوث الدهري الأمران التاليان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العدم في الحدوث الذاتي لم يكن منفكّاً عن الوجود، بل كان عدماً مجامعاً معه، ولكن العدم في الحدوث الدهري منفكّ عن الوجود، فوجود الحادث في عالم الناسوت وعدمه في عالم الدهر، فيكون منفكّاً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العدم في الحدوث الزماني لم يكن متزامناً مع الوجود، بل كان العدم في فترة والوجود في فترة أُخرى، بخلاف العدم في الحدوث الدهري فإنّه متزامن مع الوجود، فالحادث المادّي في فترة معيّنة له الوجود وفي الوقت نفسه عدمه متحقّق في عالم الدهر</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6963413_73709187"/>
      <w:bookmarkStart w:id="68" w:name="_Toc25"/>
      <w:bookmarkEnd w:id="67"/>
      <w:r>
        <w:rPr>
          <w:rtl w:val="true"/>
        </w:rPr>
        <w:t>صدر المتألّهين والحركة الجوهرية</w:t>
      </w:r>
      <w:bookmarkEnd w:id="6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كلمة الفلاسفة قبل صدر المتألّهين على جواز الحركة في الأعراض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الكيف، والكم، والوضع، والأين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إمكان وقوعها في غير ذلك من الأعراض الخمسة، وفي الوقت نفسه اتّفقوا على عدم جوازها في الجواهر، غير أنّ صدر المتألّهين أثبت أنّ العالم بوجوده من الجواهر والأعراض في حال الحركة والتغيّر والتبدّل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صدر المتألّهين توصّل بالبراهين العقلية إلى أنّ التغيّر والحدوث المتجدّد لا يختصّ بصفات المادة وعوارضها، بل يتطرّق هذا التغيّر إلى ذات المادة بمعنى أنّ الكون بجميع ذراته في تحوّل وتغيّر مستمر، وإنّ ما يتراءى للناظر من الثبات والاستقرار والجمود في مادة الكائنات الطبيعية ليس إلّامن خطأ الحواس، إذ الحقيقة هي غير ذلك، فكلّ ذرّة من ذرّات المادّة خاضعة للتغيّر والتبدّل والسيلان والصيرورة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وبفضل هذا الكشف تبيّن تعدّي التغيّر من سطوح الطبيعة إلى أعماقها، ومن ظواهرها إلى بواطنها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أقام مكتشف نظرية الحركة الجوهرية براهين رصينة على ما تبنّاه، ثمّ إنّه رتّب على نظريته الحدوث الزماني للعالم بأوضح الوجوه، وحاصل ما أفاد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كلّ قطعة من المادة السيّالة وكلّ درجة متعانقة مع الزمان، منها لمّا لم يكن من القطعة اللاحقة أثر ولا عين فيها، صحّ توصيف القطعة اللاحقة بالحدوث الزماني، وهو أنّه لم تكن القطعة اللاحقة في ظرف القطعة السابقة، وهكذا الحال إذا وضعنا البنان على كلّ جزء جزء من تلك المادة السيّالة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يثبت الحدوث الزماني للطبيعة من دون أي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الصدد يقول الحكيم صدر الدين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وتحقّق أنّ الأجسام كلّها متجدّدة الوجود في ذاتها، وأنّ صورتها صورة التغيّر والاستحالة، وكلّ منها حادث الوجود مسبوق بالعدم الزماني كائن فاسد لا استمرار لهوياتها الوجودية، ولا لطبائعها المرسلة، والطبيعة المرسلة وجودها عين شخصياتها، وهي متكثّرة، وكلّ منها حادث ولا جمعية لها في الخارج حتّى يوصف بأنّها حادث أو قديم</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الطبائع المادّية كلّها متحرّكة في ذاتها وجوهرها مسبوقة بالعدم الزماني، فلها بحسب كلّ وجود معيّن مسبوقية بعدم زماني غير منقطع في الأزل</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النظرية وإن كانت لها قيمة علمية عالية حيث إنّها كشفت عن البعد الرابع لعالم الطبيعة وهو الزمان وراء الأبعاد الثلاثة التي اتّفق عليها العلماء، ولكنّها لا تقنع المتشرّعين في تفسير الحدوث الزماني للعالم، وذلك لما ذكرناه عند بيان الإشكال على الحدوث الزماني، وهو أنّ الحدوث الزماني بهذا المعنى يصحّ في حالة النظرة التجزيئية فإنّ كلّ قطعة من عالم المادة مسبوقة بالعدم في القطعة المتقدّمة، وأمّا إذا نظرنا إلى العالم نظرة جملية لا تشذ عنه قطعة، فعندها لا يصحّ توصيف العالم بالحدوث الزماني، لأنّ الزمان وليد حركة المادّة، والمفروض أنّ الزمان جزء من العالم فكيف يمكن أن يتقدّم عليه ويحتضن عدم العالم‌؟ ومع ذلك كلّه، فلهذه النظرية نتائج مفيدة أُخرى يقف عليها من له إلمام بالفلسفة الإسلامية</w:t>
      </w:r>
      <w:r>
        <w:rPr>
          <w:rFonts w:eastAsia="Amiri" w:cs="Amiri" w:ascii="Amiri" w:hAnsi="Amiri"/>
          <w:color w:val="111111"/>
          <w:sz w:val="28"/>
          <w:szCs w:val="28"/>
          <w:rtl w:val="true"/>
          <w:lang w:bidi="ar-SA"/>
        </w:rPr>
        <w:t>.</w:t>
      </w:r>
      <w:bookmarkStart w:id="69" w:name="pg16772_194325"/>
    </w:p>
    <w:p>
      <w:pPr>
        <w:pStyle w:val="Heading5"/>
        <w:numPr>
          <w:ilvl w:val="4"/>
          <w:numId w:val="1"/>
        </w:numPr>
        <w:rPr/>
      </w:pPr>
      <w:bookmarkStart w:id="70" w:name="__RefHeading___Toc6963415_73709187"/>
      <w:bookmarkStart w:id="71" w:name="_Toc26"/>
      <w:bookmarkEnd w:id="69"/>
      <w:bookmarkEnd w:id="70"/>
      <w:r>
        <w:rPr>
          <w:rtl w:val="true"/>
        </w:rPr>
        <w:t>حدوث المادة والعلوم التجريبية</w:t>
      </w:r>
      <w:bookmarkEnd w:id="71"/>
    </w:p>
    <w:p>
      <w:pPr>
        <w:pStyle w:val="BookText"/>
        <w:rPr/>
      </w:pPr>
      <w:r>
        <w:rPr>
          <w:rFonts w:ascii="Amiri" w:hAnsi="Amiri" w:eastAsia="Amiri" w:cs="Amiri"/>
          <w:color w:val="111111"/>
          <w:sz w:val="28"/>
          <w:sz w:val="28"/>
          <w:szCs w:val="28"/>
          <w:rtl w:val="true"/>
          <w:lang w:bidi="ar-SA"/>
        </w:rPr>
        <w:t>إنّ إثبات حدوث المادة يمكن بطريقين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الفلسفي الذي يعتمد على البراهين العقلية والفلسفية، ومنها القول بالحركة الجوهرية حيث تثبت حدوث المادة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العلمي الذي يستند إلى معطيات الفيزياء الحديثة، وها نحن ندرس هذا الطريق بإيجاز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أثبتت العلوم الطبيعية الحديثة أنّ الكون يسير باتّجاه موت حراري وشيخوخة يصطلح عليها في الفيزياء بالانتروبي، فقد 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نيوتن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تحقيقاته إلى أنّ العالم يتّجه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التفكّك والتحلّل، والبرود والاهتراء، وسيأتي اليوم الّذي تتساوى فيه كلّ الأجسام في حرارتها، وتغدو كالماء الذي استقر في الأواني المستطرقة بصورة متساوية السطوح، وحينئذٍ ستتوقف كلّ حركة، ويترك الصخب والضجيج مكانهما للجمود والسكوت، وتترك الحياة مكانها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أثبت من خلال دراسته للحرارة أنّه في جميع التغيّرات الحاصلة في الحرارة يتحول قسم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الطاقة ذات الوجود الحراري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طاقة غير ذات وجود حراري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العكس أي أن تنتقل الطاقة غير ذات الوجود الحراري إلى الطاقة ذات الوجود الحراري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ويسمّى هذا القانون بالقانون الثاني للديناميكا الحرارية الّذي يسمّى قانون الطاقة المتاحة أيضاً</w:t>
      </w:r>
      <w:r>
        <w:rPr>
          <w:rFonts w:eastAsia="Amiri" w:cs="Amiri" w:ascii="Amiri" w:hAnsi="Amiri"/>
          <w:color w:val="111111"/>
          <w:sz w:val="28"/>
          <w:szCs w:val="28"/>
          <w:rtl w:val="true"/>
          <w:lang w:bidi="ar-SA"/>
        </w:rPr>
        <w:t>.</w:t>
      </w:r>
      <w:bookmarkStart w:id="72" w:name="pg16772_194326"/>
    </w:p>
    <w:p>
      <w:pPr>
        <w:pStyle w:val="BookText"/>
        <w:rPr/>
      </w:pPr>
      <w:bookmarkEnd w:id="72"/>
      <w:r>
        <w:rPr>
          <w:rFonts w:ascii="Amiri" w:hAnsi="Amiri" w:eastAsia="Amiri" w:cs="Amiri"/>
          <w:color w:val="111111"/>
          <w:sz w:val="28"/>
          <w:sz w:val="28"/>
          <w:szCs w:val="28"/>
          <w:rtl w:val="true"/>
          <w:lang w:bidi="ar-SA"/>
        </w:rPr>
        <w:t>فهذا الكشف يثبت أنّ الحرارة تنتقل بصورة تدريجية من وجود حراري إلى عدم حراري والعكس غير ممكن، وهو أن تنتقل هذه الحرارة من عدم حراري إلى وجود حراري أكثر، ويعني هذا أن يأتي وقت تتساوى فيه حرارة جميع الموجودات، وحينذاك لا تبقى أيّة طاقة مفيدة للحياة والعمل والتحرك، ويترتّب على ذلك انتهاء العمليات الكيمياوية والطبيعية وتنتهي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 وجود الحركة والحياة في هذا الكون إنّما هو نتيجة التفاوت والاختلاف الموجود بين أجزائه في الحرارة، فإذا انتقلت الحرارة من الأجسام الحرارية إلى الأجسام الأُخرى وتساوت الحرارة في الجميع وحلّت البرودة مكان الحرارة لم يبق مجال للتفاعل الّذي هو نتيجة الاصطكاك بين الأجزاء المتفاوتة والفعل وردة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الأصل العلمي الّذي اتّفقت عليه كلمة علماء الفيزياء الحديثة، ونحن نستنتج من هذا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بالبيان التالي</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6963417_73709187"/>
      <w:bookmarkStart w:id="74" w:name="_Toc27"/>
      <w:bookmarkEnd w:id="73"/>
      <w:r>
        <w:rPr>
          <w:rtl w:val="true"/>
        </w:rPr>
        <w:t>الاستنتاج الفلسفي من القانون الحراري</w:t>
      </w:r>
      <w:bookmarkEnd w:id="74"/>
    </w:p>
    <w:p>
      <w:pPr>
        <w:pStyle w:val="BookText"/>
        <w:rPr/>
      </w:pPr>
      <w:r>
        <w:rPr>
          <w:rFonts w:ascii="Amiri" w:hAnsi="Amiri" w:eastAsia="Amiri" w:cs="Amiri"/>
          <w:color w:val="111111"/>
          <w:sz w:val="28"/>
          <w:sz w:val="28"/>
          <w:szCs w:val="28"/>
          <w:rtl w:val="true"/>
          <w:lang w:bidi="ar-SA"/>
        </w:rPr>
        <w:t>إنّ الكشف المذكور يعدّ دليلاً قوياً على حدوث الكون، إذ لو كان هذا العالم المادي أزلياً لزم أن تبرد فيه الحرارة منذ زمن بعيد، وأن تنعدم فيه الحياة منذ وقت طويل، لأنّ العالم محدود في طاقاته، فكيف يمكن أن يكون هذا العالم موجوداً منذ الأزل إلى الآن وهو يفقد كلّ يوم هذه الكمية الهائلة من حرارته نتيجة الانفجارات المتلاحقة في ذراته‌؟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لو كان أزلياً لكان ينبغي أن تنعدم الحياة والحركة</w:t>
      </w:r>
    </w:p>
    <w:p>
      <w:pPr>
        <w:pStyle w:val="BookText"/>
        <w:rPr/>
      </w:pPr>
      <w:r>
        <w:rPr>
          <w:rFonts w:ascii="Amiri" w:hAnsi="Amiri" w:eastAsia="Amiri" w:cs="Amiri"/>
          <w:color w:val="111111"/>
          <w:sz w:val="28"/>
          <w:sz w:val="28"/>
          <w:szCs w:val="28"/>
          <w:rtl w:val="true"/>
          <w:lang w:bidi="ar-SA"/>
        </w:rPr>
        <w:t>فيه منذ أقدم العصور نتيجة فقدان أجزائه للحرارة، وانتقال طاقاتها المتاحة إلى طاقة غير متاحة، وتوقّف العمليات الطبيعية والكيمياوية، وللزم أن لا نجد على الأرض أيّ أثر للحياة والأحياء، وأن لا تبقى إلى الآن أيّة حرارة للشمس لحصول الموت الحراري الّذي أشار إليه الكشف المذكور منذ زمن بعيد، نظراً للكمية المحدودة للحرارة في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فنستنتج من ذلك أنّ لهذا الكون بداية وأنّه حادث، وليس أزلياً، فالكون يشبه السراج النفطي الّذي يفقد أجزاء من وقوده عند الاشتعال باستمرار، فلا يمكن أن يكون مشتعلاً منذ الأزل، إذ يلزم من ذلك أن ينتهي نفطه ووقوده منذ وقت طويل، لأنّ الوقود المحدود لا يمكن أن يبقى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وجدناه لا يزال مشتعلاً استنتجنا من ذلك كونه حادثاً، وعرفنا أنّ اشتعاله وإضاءته لم تكن من الأزل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نظامنا الشمسي بل مجرّتنا الّتي يعتبر هذا النظام الشمسي جزءاً صغيراً منها أشبه ما يكون بالسراج النفطي المذكور الّذي تتناهى طاقاته، لأنّ هذه المجرة تملك طاقات محدودة، فلو كانت هذه المجرة قديمة في وجودها وانفجاراتها لزم أن يكون قد انتهى كلّ ما فيها من الطاقات، وللزم أن لا نرى الآن أي أثر للعمليات والتفاعلات الطبيعية، والحال أنّنا نشاهد استمرار هذه العمليات والتفاعلات، ونلاحظ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مظاهر الحياة التابعة لذلك، وهذا يكشف بجلاء عن وجود بداية لهذا الكون، ويبطل القول بأزليته وقدمه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بقيت في المقام نظرية أُخرى وهي نظرية الحدوث الإسمي التي طرحها</w:t>
      </w:r>
      <w:bookmarkStart w:id="75" w:name="pg16772_194328"/>
    </w:p>
    <w:p>
      <w:pPr>
        <w:pStyle w:val="BookText"/>
        <w:rPr/>
      </w:pPr>
      <w:bookmarkEnd w:id="75"/>
      <w:r>
        <w:rPr>
          <w:rFonts w:ascii="Amiri" w:hAnsi="Amiri" w:eastAsia="Amiri" w:cs="Amiri"/>
          <w:color w:val="111111"/>
          <w:sz w:val="28"/>
          <w:sz w:val="28"/>
          <w:szCs w:val="28"/>
          <w:rtl w:val="true"/>
          <w:lang w:bidi="ar-SA"/>
        </w:rPr>
        <w:t>الحكيم السبزواري في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المنظومة</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6963419_73709187"/>
      <w:bookmarkStart w:id="77" w:name="_Toc28"/>
      <w:bookmarkEnd w:id="76"/>
      <w:r>
        <w:rPr>
          <w:rtl w:val="true"/>
        </w:rPr>
        <w:t>الحدوث الإسمي للعالم</w:t>
      </w:r>
      <w:bookmarkEnd w:id="77"/>
    </w:p>
    <w:p>
      <w:pPr>
        <w:pStyle w:val="BookText"/>
        <w:rPr/>
      </w:pPr>
      <w:r>
        <w:rPr>
          <w:rFonts w:ascii="Amiri" w:hAnsi="Amiri" w:eastAsia="Amiri" w:cs="Amiri"/>
          <w:color w:val="111111"/>
          <w:sz w:val="28"/>
          <w:sz w:val="28"/>
          <w:szCs w:val="28"/>
          <w:rtl w:val="true"/>
          <w:lang w:bidi="ar-SA"/>
        </w:rPr>
        <w:t>يقول الحكيم السبزواري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والحادث الإسمي الذي مصطلحي إن رسمٌ‌، إسم جاء، حديث منمحي</w:t>
      </w:r>
    </w:p>
    <w:p>
      <w:pPr>
        <w:pStyle w:val="BookText"/>
        <w:rPr/>
      </w:pPr>
      <w:r>
        <w:rPr>
          <w:rFonts w:ascii="Amiri" w:hAnsi="Amiri" w:eastAsia="Amiri" w:cs="Amiri"/>
          <w:color w:val="111111"/>
          <w:sz w:val="28"/>
          <w:sz w:val="28"/>
          <w:szCs w:val="28"/>
          <w:rtl w:val="true"/>
          <w:lang w:bidi="ar-SA"/>
        </w:rPr>
        <w:t>والنظرية مبنية على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ممكن فهو زوج تركيبي له ماهية ووجود، فالوجود الإمكاني لا يخلو عن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والتحقّق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في مراتب الوجود، فيحدّد بكونه عرضاً أوجوهراً، جسماً أو نفساً أو عقلاً، فلا ينفكّ الوجود الإمكاني عن حدّ يحدّده، به تتعيّن هوية الشيء وتتشخّص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أُخذ الحدّ ولم يبق إلّاالوجود لا يتميّز شيء عن شيء، وهذه الحدود هي التي توجب تميّز الوجود وتشخّصه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العالم بمعنى المفاهيم والمعاني المعبّر عنها بالأسماء والصفات التي تنتزع عن حدود الوجود المنبسط كلّه مسبوق بالعدم في المرتبة الأحدية، فهو برمّته من العقول والنفوس والصور والأجسام أسماء حدثت بعد تجلّي الذات للعوالم الممكنة باسمه المبدع، كما أنّه ينمحي عند تجلّيه باسمه القهّار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فالحدوث الاسمي عبارة عن حدوث هذه الحدود بعد تجلّيه سبحانه باسم المبدع، حيث إنّ الوجود الإمكاني يتحدّد بهذه المفاهيم</w:t>
      </w:r>
      <w:r>
        <w:rPr>
          <w:rFonts w:eastAsia="Amiri" w:cs="Amiri" w:ascii="Amiri" w:hAnsi="Amiri"/>
          <w:color w:val="111111"/>
          <w:sz w:val="28"/>
          <w:szCs w:val="28"/>
          <w:rtl w:val="true"/>
          <w:lang w:bidi="ar-SA"/>
        </w:rPr>
        <w:t>.</w:t>
      </w:r>
      <w:bookmarkStart w:id="78" w:name="pg16772_194329"/>
    </w:p>
    <w:p>
      <w:pPr>
        <w:pStyle w:val="BookText"/>
        <w:rPr/>
      </w:pPr>
      <w:bookmarkEnd w:id="78"/>
      <w:r>
        <w:rPr>
          <w:rFonts w:ascii="Amiri" w:hAnsi="Amiri" w:eastAsia="Amiri" w:cs="Amiri"/>
          <w:color w:val="111111"/>
          <w:sz w:val="28"/>
          <w:sz w:val="28"/>
          <w:szCs w:val="28"/>
          <w:rtl w:val="true"/>
          <w:lang w:bidi="ar-SA"/>
        </w:rPr>
        <w:t>إذا علمت هذين الأمرين فاعلم أنّ الماهيات لمكان كونها اعتبارية كسراب بقيعة يحسبه الضمآن ماءً ليس لها حقيقة ولا أثر فليست إلّاأسماء سميّتموها ما أنزل اللّه بها من سلطان، بل النازل من صقعه ليس إلّاالوجود، فالماهية ليست شيئاً حتى يبحث عن قدمها أو حدوثها، وأمّا الوجودات فهي وإن كانت متحقّقات إلّاأنّها ليست خارجة عن الصقع الربوبي لأنّها تنزلات وجود الحق وتجلّياته ورشحاته وأظلاله، وهي قائمة بوجوده سبحانه لا بإيجاده، فالفرق بينهما بالتشكيك لا بالتباين، وإلى هذا يومي المروي عن مولى الموالي عليه السلام من أنّ البينونة وصفية لا عزلية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بأنّ هذا النوع من الحدوث أشبه بالسالبة بانتفاء الموضوع، لأنّ موضوعه هو العالم وهو مركّب من الماهيات التي ليست بشيء حتّى يبحث عن حدوثها أو قدمها والوجود ليس إلّاظلال وجوده سبحانه وتجلّياته قائم بوجوده لا بإيجاده فلم يبق شيء يبحث عن حدوثه إلّاأن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يتمركز الحدوث في تجلّيه،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طرح النظريات العلمية والفلسفية التي جاءت بها أفكار المتألّهين حسب التخصّصات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نذكر ما هو مختارنا في الموضوع</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6963421_73709187"/>
      <w:bookmarkStart w:id="80" w:name="_Toc29"/>
      <w:bookmarkEnd w:id="79"/>
      <w:r>
        <w:rPr>
          <w:rtl w:val="true"/>
        </w:rPr>
        <w:t>نظريتنا في الحدوث الزماني</w:t>
      </w:r>
      <w:bookmarkEnd w:id="80"/>
    </w:p>
    <w:p>
      <w:pPr>
        <w:pStyle w:val="Heading6"/>
        <w:numPr>
          <w:ilvl w:val="5"/>
          <w:numId w:val="1"/>
        </w:numPr>
        <w:rPr/>
      </w:pPr>
      <w:bookmarkStart w:id="81" w:name="__RefHeading___Toc6963423_73709187"/>
      <w:bookmarkStart w:id="82" w:name="_Toc30"/>
      <w:bookmarkEnd w:id="81"/>
      <w:r>
        <w:rPr>
          <w:rtl w:val="true"/>
        </w:rPr>
        <w:t>اشارة</w:t>
      </w:r>
      <w:bookmarkEnd w:id="8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عرفت أنّ ما قام به الحكماء من تفسير الحدوث الزماني للعالم وإن</w:t>
      </w:r>
      <w:bookmarkStart w:id="83" w:name="pg16772_194330"/>
    </w:p>
    <w:p>
      <w:pPr>
        <w:pStyle w:val="BookText"/>
        <w:rPr/>
      </w:pPr>
      <w:bookmarkEnd w:id="83"/>
      <w:r>
        <w:rPr>
          <w:rFonts w:ascii="Amiri" w:hAnsi="Amiri" w:eastAsia="Amiri" w:cs="Amiri"/>
          <w:color w:val="111111"/>
          <w:sz w:val="28"/>
          <w:sz w:val="28"/>
          <w:szCs w:val="28"/>
          <w:rtl w:val="true"/>
          <w:lang w:bidi="ar-SA"/>
        </w:rPr>
        <w:t>كان ناجحاً في بعض الصور، أي في النظرة التجزيئية إلى العالم، ولكنّه غير ناجح في النظرة الجملية، وعلى هذا فيجب أن يفسّر بشكل لا يكون مخالفاً لما أجمعت عليه الشرائع السماوية، وما نذكره مبني على أمرين</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6963425_73709187"/>
      <w:bookmarkStart w:id="85" w:name="_Toc31"/>
      <w:bookmarkEnd w:id="84"/>
      <w:r>
        <w:rPr/>
        <w:t>1</w:t>
      </w:r>
      <w:r>
        <w:rPr>
          <w:rtl w:val="true"/>
        </w:rPr>
        <w:t xml:space="preserve">. </w:t>
      </w:r>
      <w:r>
        <w:rPr>
          <w:rtl w:val="true"/>
        </w:rPr>
        <w:t>وجود عوالم قبل هذا العالم</w:t>
      </w:r>
      <w:bookmarkEnd w:id="85"/>
    </w:p>
    <w:p>
      <w:pPr>
        <w:pStyle w:val="BookText"/>
        <w:rPr/>
      </w:pPr>
      <w:r>
        <w:rPr>
          <w:rFonts w:ascii="Amiri" w:hAnsi="Amiri" w:eastAsia="Amiri" w:cs="Amiri"/>
          <w:color w:val="111111"/>
          <w:sz w:val="28"/>
          <w:sz w:val="28"/>
          <w:szCs w:val="28"/>
          <w:rtl w:val="true"/>
          <w:lang w:bidi="ar-SA"/>
        </w:rPr>
        <w:t>ربما يتصوّر الإنسان أنّ هذا العالم الذي نعيش فيه هو أوّل عالم خلقه اللّه سبحانه، ولكن المرويّ عن الإمام الصادق عليه السلام أنّ للّه عز وجلّ اثنتي عشر ألف عالم كلّ عالم منهم أكبر من سبع سماوات وسبع أرضين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ويدلّ عليه أيضاً ما رواه الصدوق، من جواب الإمام عليه السلام، حيث بعد أن أجاب عن سؤاله على وجه التفصيل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سيدي بالحمد معروفاً ولم يزل سيدي بالجود موصوفاً</w:t>
      </w:r>
    </w:p>
    <w:p>
      <w:pPr>
        <w:pStyle w:val="BookText"/>
        <w:rPr/>
      </w:pPr>
      <w:r>
        <w:rPr>
          <w:rFonts w:ascii="Amiri" w:hAnsi="Amiri" w:eastAsia="Amiri" w:cs="Amiri"/>
          <w:color w:val="111111"/>
          <w:sz w:val="28"/>
          <w:sz w:val="28"/>
          <w:szCs w:val="28"/>
          <w:rtl w:val="true"/>
          <w:lang w:bidi="ar-SA"/>
        </w:rPr>
        <w:t>فلعل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سيدي بالجود موصوفاً إشارة إلى تعاقب العوالم واحداً بعد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عالم متأخر مسبوق بالعدم الزماني بعالم آخر متقدّم عليه، وليس هذا العدم عدماً موهوماً بل عدماً واقعياً حيث إنّ كلّ العالم متقدّم يحضن عدم عالم متأخّر،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العالم في زمان لم يكن منه عين ولا أثر</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6963427_73709187"/>
      <w:bookmarkStart w:id="87" w:name="_Toc32"/>
      <w:bookmarkEnd w:id="86"/>
      <w:r>
        <w:rPr/>
        <w:t>2</w:t>
      </w:r>
      <w:r>
        <w:rPr>
          <w:rtl w:val="true"/>
        </w:rPr>
        <w:t xml:space="preserve">. </w:t>
      </w:r>
      <w:r>
        <w:rPr>
          <w:rtl w:val="true"/>
        </w:rPr>
        <w:t>تفسير حدوث ما سوى اللّه</w:t>
      </w:r>
      <w:bookmarkEnd w:id="8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المراد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سوى اللّه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يراد به هذا العالم المشهود</w:t>
      </w:r>
    </w:p>
    <w:p>
      <w:pPr>
        <w:pStyle w:val="BookText"/>
        <w:rPr/>
      </w:pPr>
      <w:r>
        <w:rPr>
          <w:rFonts w:ascii="Amiri" w:hAnsi="Amiri" w:eastAsia="Amiri" w:cs="Amiri"/>
          <w:color w:val="111111"/>
          <w:sz w:val="28"/>
          <w:sz w:val="28"/>
          <w:szCs w:val="28"/>
          <w:rtl w:val="true"/>
          <w:lang w:bidi="ar-SA"/>
        </w:rPr>
        <w:t>لنا من السماء والسماويات والعنصر والعنصريات، وإمّا أن يراد به مطلق ما سوى اللّه ممّا يتصوّر وراء هذا العالم المشهود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فهذا المحسوس حادث زماني، أي مسبوق العدم، أي مسبوقاً بالعدم الزماني ويكون وعاء عدمه زماناً منتزعاً من عالم قبله، وهو العالم الذي خلق قبله فهو أيضاً حادث زماني مسبوق بعدمه الواقع في عالم ثالث قبل ذاك العالم الثاني،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وجود الحركة والزمان في العوالم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أراد أصحاب الشرائع السماوية من قولهم كون العالم حادثاً زمانياً، هذا المعنى فهو موافق للحديث والعقل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الحديث والعقل فقد عرفت، وأمّا العلم فإنّ العلوم العصرية نطقت بأنّ الأمر كذلك، فإنّ المنظومة الشمسية مسبوقة بعدم واقعي متأخّر عن عالم متقدّم متألف من منظومة أُخرى مع ما حولها من السيارات، وهكذا سائر المنظومات الشمسية فهي بشمسها وكواكبها متأخّرة الوجود عمّا تقدّمها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يصحّ ما أجمع عليه أصحاب الشرائع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أُريد الثاني أي مطلق العوالم وجملة ما سوى اللّه سبحانه، فالحق أنّ حدوثه بهذا المعنى شيء لم يتّفق عليه الإلهيون، ولم يثبت له حدوث بهذا المعنى في شرعنا المقدّس، وقد عرفت ما يدلّ على وجود عوالم قبل عالمنا هذا، ويلائم هذا كونه تعالى دائم الفضل على البرية وباسط اليدين بالعطية ولا إمساك له عن الفيض</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يصبح النزاع في حدوث العالم وقدمه واقعاً على أمر غير معيّن، فلو قال الحكماء بقدم هذا العالم الذي نعيش فيه زماناً فهم خاطئون لما</w:t>
      </w:r>
    </w:p>
    <w:p>
      <w:pPr>
        <w:pStyle w:val="BookText"/>
        <w:rPr/>
      </w:pPr>
      <w:r>
        <w:rPr>
          <w:rFonts w:ascii="Amiri" w:hAnsi="Amiri" w:eastAsia="Amiri" w:cs="Amiri"/>
          <w:color w:val="111111"/>
          <w:sz w:val="28"/>
          <w:sz w:val="28"/>
          <w:szCs w:val="28"/>
          <w:rtl w:val="true"/>
          <w:lang w:bidi="ar-SA"/>
        </w:rPr>
        <w:t>عرفت من حدوثه الزماني بصورة واضحة، وإن أرادوا مجموع ما سوى اللّه، فالعالم بهذا المعنى ليس مصب الإجماع ولا إشكال في وصفه بالقدم الزماني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توصّلنا إليه بفضل ما استفدناه من أساتذتنا وعلمائنا، ولعلّ العلم في المستقبل يكشف لنا حقائق أُخرى حول حدوث العالم، واللّه العالم بحقائق الأشياء</w:t>
      </w:r>
      <w:r>
        <w:rPr>
          <w:rFonts w:eastAsia="Amiri" w:cs="Amiri" w:ascii="Amiri" w:hAnsi="Amiri"/>
          <w:color w:val="111111"/>
          <w:sz w:val="28"/>
          <w:szCs w:val="28"/>
          <w:rtl w:val="true"/>
          <w:lang w:bidi="ar-SA"/>
        </w:rPr>
        <w:t>.</w:t>
      </w:r>
      <w:bookmarkStart w:id="88" w:name="pg16772_194333"/>
    </w:p>
    <w:p>
      <w:pPr>
        <w:pStyle w:val="Heading3"/>
        <w:numPr>
          <w:ilvl w:val="2"/>
          <w:numId w:val="1"/>
        </w:numPr>
        <w:rPr/>
      </w:pPr>
      <w:bookmarkStart w:id="89" w:name="__RefHeading___Toc6963429_73709187"/>
      <w:bookmarkStart w:id="90" w:name="_Toc33"/>
      <w:bookmarkEnd w:id="88"/>
      <w:bookmarkEnd w:id="89"/>
      <w:r>
        <w:rPr/>
        <w:t>2</w:t>
      </w:r>
      <w:r>
        <w:rPr>
          <w:rtl w:val="true"/>
        </w:rPr>
        <w:t xml:space="preserve"> </w:t>
      </w:r>
      <w:r>
        <w:rPr>
          <w:rtl w:val="true"/>
        </w:rPr>
        <w:t>تطوّر العلوم سرّ بلوغ القمّة</w:t>
      </w:r>
      <w:bookmarkEnd w:id="90"/>
    </w:p>
    <w:p>
      <w:pPr>
        <w:pStyle w:val="Heading4"/>
        <w:numPr>
          <w:ilvl w:val="3"/>
          <w:numId w:val="1"/>
        </w:numPr>
        <w:rPr/>
      </w:pPr>
      <w:bookmarkStart w:id="91" w:name="__RefHeading___Toc6963431_73709187"/>
      <w:bookmarkStart w:id="92" w:name="_Toc34"/>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العلوم الإنسانية، بل كلّ علم يبحث فيه الإنسان في البداية عبارة عن مسائل قليلة وربّما كان مسألة واحدة، لكن تكثّرت مسائله وتكاملت فروعه عبر الزمان إلى أن بلغ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من الضابطة أمر واضح لا يحتاج إلى ذكر شواهد، ورغم ذلك نذكر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ارسطاطاليس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علم المنطق، حسب ما ذكره الشيخ الرئيس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حاكياً عن المعلم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ما ورثنا عمّن تقدّمنا في الأقيسة إلّاضوابط غير مفصّلة، وأمّا تفصيلها وإفراد كلّ قياس بشروطه وضروبه وتمييز المنتج عن العقيم إلى غير ذلك من الأحكام فهو أمر قد كددنا فيه أنفسنا وأسهرنا أعيننا حتّى استقام على هذا الأمر، فإن وقع لأحدٍ ممّن يأتي بعدنا فيه زيادة أو إصلاح فليُصلحه أو خلل فليسده </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علم الأُصول، فقد كتب غير واحد من أصحاب الأئمة عليهم السلام صحائف مختصرة فيه، إلى أن وصلت النوبة إلى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لخّصه تلميذه الكراجكي</w:t>
      </w:r>
    </w:p>
    <w:p>
      <w:pPr>
        <w:pStyle w:val="BookText"/>
        <w:rPr/>
      </w:pPr>
      <w:r>
        <w:rPr>
          <w:rFonts w:ascii="Amiri" w:hAnsi="Amiri" w:eastAsia="Amiri" w:cs="Amiri"/>
          <w:color w:val="111111"/>
          <w:sz w:val="28"/>
          <w:sz w:val="28"/>
          <w:szCs w:val="28"/>
          <w:rtl w:val="true"/>
          <w:lang w:bidi="ar-SA"/>
        </w:rPr>
        <w:t xml:space="preserve">وأدرجه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ما وصل إلينا منه إلّارسالة صغيرة، وأين هذا ممّا بلغه المتأخّرون خصوصاً من عصر الشيخ الأنصاري إلى يومنا هذا، وقس على علم الأُصول، بقية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سيدنا الأُستاذ العلّامة الطباطبائي في مقاله الّذي قدّمه إلى مؤتمر تكريم صدر المتألهين، أنّ عدد المسائل الفلسفية يوم ترجمت من الإغريقية إلى العربية كان حوالي مائتي مسألة، وقد تكاملت بفضل جهود حكماء الإسلام وفلاسفتهم فبلغت سبعمائة مسألة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حثّ بعض الآيات القرآنية على طلب زيادة العلم من اللّه تعالى، وهذا دليل على أهمية زيادة العلم وتطوّره، وأنّ ذلك هدف بحدّ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يأمر اللّه سبحانه نبيّه الأكرم صلى الله عليه و آله و سلم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زِدْنِي عِلْماً</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بعض الأحاديث أنّه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بارك اللّه لي في يوم لم ازدد فيه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عن المعصومين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استوى يوماه فهو مغبون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 على أنّ طلب الزيادة وبلوغ القمم له أهمّية خاصّة في الإسلام</w:t>
      </w:r>
      <w:r>
        <w:rPr>
          <w:rFonts w:eastAsia="Amiri" w:cs="Amiri" w:ascii="Amiri" w:hAnsi="Amiri"/>
          <w:color w:val="111111"/>
          <w:sz w:val="28"/>
          <w:szCs w:val="28"/>
          <w:rtl w:val="true"/>
          <w:lang w:bidi="ar-SA"/>
        </w:rPr>
        <w:t>.</w:t>
      </w:r>
      <w:bookmarkStart w:id="93" w:name="pg16772_194335"/>
    </w:p>
    <w:p>
      <w:pPr>
        <w:pStyle w:val="Heading4"/>
        <w:numPr>
          <w:ilvl w:val="3"/>
          <w:numId w:val="1"/>
        </w:numPr>
        <w:rPr/>
      </w:pPr>
      <w:bookmarkStart w:id="94" w:name="__RefHeading___Toc6963433_73709187"/>
      <w:bookmarkStart w:id="95" w:name="_Toc35"/>
      <w:bookmarkEnd w:id="93"/>
      <w:bookmarkEnd w:id="94"/>
      <w:r>
        <w:rPr>
          <w:rtl w:val="true"/>
        </w:rPr>
        <w:t>معنى التطوّر في العلوم الشرعية</w:t>
      </w:r>
      <w:bookmarkEnd w:id="95"/>
    </w:p>
    <w:p>
      <w:pPr>
        <w:pStyle w:val="BookText"/>
        <w:rPr/>
      </w:pPr>
      <w:r>
        <w:rPr>
          <w:rFonts w:ascii="Amiri" w:hAnsi="Amiri" w:eastAsia="Amiri" w:cs="Amiri"/>
          <w:color w:val="111111"/>
          <w:sz w:val="28"/>
          <w:sz w:val="28"/>
          <w:szCs w:val="28"/>
          <w:rtl w:val="true"/>
          <w:lang w:bidi="ar-SA"/>
        </w:rPr>
        <w:t>إذا أردنا أن نعرّف التطوّر في هذه العلوم فإنّ تعريفه يتلخّص في جملتين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آفاق جديدة وموضوعات مستجدة لها دور هام في حياة المجتمع، ودراستها على ضوء الكتاب والسنّة والإجماع والعقل الحصيف، فإنّ المجتمع الإسلامي لم يزل يتطوّر في مختلف جوانبه، فتواجهه أُمور مستجدّة لم يكن لها نظير في الأعصار السابقة، فلا يمكن للفقيه غضّ النظر عن هذا النوع من التطوّر وإهماله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يجب أن يواكب الفقه حاجات العصر ومقتضيات الزمان مواكبة لا تشذّ عن الأُصول الثابتة في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تقييم نظريات من تقدّم من الفقهاء والأُصوليين تقييماً علمياً خالياً عن سائر النزعات، فيتبع ما وافق الأُصول ويترك ما خالفها</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6963435_73709187"/>
      <w:bookmarkStart w:id="97" w:name="_Toc36"/>
      <w:bookmarkEnd w:id="96"/>
      <w:r>
        <w:rPr>
          <w:rtl w:val="true"/>
        </w:rPr>
        <w:t>منهجية التطور</w:t>
      </w:r>
      <w:bookmarkEnd w:id="97"/>
    </w:p>
    <w:p>
      <w:pPr>
        <w:pStyle w:val="BookText"/>
        <w:rPr/>
      </w:pPr>
      <w:r>
        <w:rPr>
          <w:rFonts w:ascii="Amiri" w:hAnsi="Amiri" w:eastAsia="Amiri" w:cs="Amiri"/>
          <w:color w:val="111111"/>
          <w:sz w:val="28"/>
          <w:sz w:val="28"/>
          <w:szCs w:val="28"/>
          <w:rtl w:val="true"/>
          <w:lang w:bidi="ar-SA"/>
        </w:rPr>
        <w:t>إنّ المهم في المقام التعرّف على منهجية يصحّ معها التطوّر؟ فهي تتلخّص في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الأُصول الأساسية في حقل العقائد والفقه والأخلاق، وهي الأُصول غير الخاضعة للتغيير والتبدّل، فكلّ تطوير يجب أن يحترم تلك الأُصول ولا يتجاوزها، وأنّ تلك الأُصول خطوط حمراء لعلماء الإسلام لا يحقّ لهم المساس بها، مثلاً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توحيد العبادة كسائر أقسام التوحيد من الأُصول المسلّمة، وكأنّ‌</w:t>
      </w:r>
    </w:p>
    <w:p>
      <w:pPr>
        <w:pStyle w:val="BookText"/>
        <w:rPr/>
      </w:pPr>
      <w:r>
        <w:rPr>
          <w:rFonts w:ascii="Amiri" w:hAnsi="Amiri" w:eastAsia="Amiri" w:cs="Amiri"/>
          <w:color w:val="111111"/>
          <w:sz w:val="28"/>
          <w:sz w:val="28"/>
          <w:szCs w:val="28"/>
          <w:rtl w:val="true"/>
          <w:lang w:bidi="ar-SA"/>
        </w:rPr>
        <w:t>التوحيد فيها هو الهدف لإرسال الرسل وإنزال الكتب،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بَعَثْنا فِي كُلِّ أُمَّةٍ رَسُولاً أَنِ اعْبُدُوا اللّهَ وَ اجْتَنِبُوا الطّاغُوتَ‌</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فتكريم الأنبياء والأولياء، يجب أن لا يصل إلى حدّ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الخاتمية في النبوة والرسالة أمر ضروريّ ومسلّم وإجماعي لا يخضع للنقد والخدشة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خلود الشريعة الإسلامية كخلود النبوة هو أمر ثابت لا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عمّا حكم اللّه فيه بحكم، نابع عن كفر العادل وظلمه وفسقه،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فلابد أن يكون التطوّر على ضوء هذه الأُصول ولا يتجاوزها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عن الابتداع وحصر التشريع في اللّه سبحانه، حتّى لا تحصل زيادة في الدين أو نقيصة منه، فإنّ البدعة في الدين من أكبر المعاصي وأعظم المحرّمات،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آللّهُ أَذِنَ لَكُمْ أَمْ عَلَى اللّهِ تَفْتَرُونَ‌</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التطوير منطلقاً عن نظام علمي في البحث والدراسة، حتّى ينتج في ظل ذلك النظام، الفكر الجديد الذي يواكب سائر</w:t>
      </w:r>
      <w:bookmarkStart w:id="98" w:name="pg16772_194337"/>
    </w:p>
    <w:p>
      <w:pPr>
        <w:pStyle w:val="BookText"/>
        <w:rPr/>
      </w:pPr>
      <w:bookmarkEnd w:id="98"/>
      <w:r>
        <w:rPr>
          <w:rFonts w:ascii="Amiri" w:hAnsi="Amiri" w:eastAsia="Amiri" w:cs="Amiri"/>
          <w:color w:val="111111"/>
          <w:sz w:val="28"/>
          <w:sz w:val="28"/>
          <w:szCs w:val="28"/>
          <w:rtl w:val="true"/>
          <w:lang w:bidi="ar-SA"/>
        </w:rPr>
        <w:t>الأُصول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نرى بعض المحدثين يصرّ على إنكار حكم المرتدّ الّذي أطبق عليه فقه الفريقين أو أنّ بعضهم يريد أن يفسّر آية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توجب اختصاص هذا الحكم بزمان النبي صلى الله عليه و آله و سلم دون بقية القرون، كلّ ذلك ناتج عن البحث في تطوّر الفقه الإسلامي بنحو مجرّد عن التخطيط العلمي المدروس</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6963437_73709187"/>
      <w:bookmarkStart w:id="100" w:name="_Toc37"/>
      <w:bookmarkEnd w:id="99"/>
      <w:r>
        <w:rPr>
          <w:rtl w:val="true"/>
        </w:rPr>
        <w:t>دور الزمان والمكان في الاستنباط</w:t>
      </w:r>
      <w:bookmarkEnd w:id="100"/>
    </w:p>
    <w:p>
      <w:pPr>
        <w:pStyle w:val="BookText"/>
        <w:rPr/>
      </w:pPr>
      <w:r>
        <w:rPr>
          <w:rFonts w:ascii="Amiri" w:hAnsi="Amiri" w:eastAsia="Amiri" w:cs="Amiri"/>
          <w:color w:val="111111"/>
          <w:sz w:val="28"/>
          <w:sz w:val="28"/>
          <w:szCs w:val="28"/>
          <w:rtl w:val="true"/>
          <w:lang w:bidi="ar-SA"/>
        </w:rPr>
        <w:t>ولأجل إيضاح الفكرة نذكر مثالاً للموضوع، وهو دور الزمان والمكان في استنباط الأحكام الشرعية، ونبيّن أنّ إبداء النظرية الجديدة كيف لا يزاحم الأُصول الثابتة والخطوط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يطلق الزمان والمكان ويراد منهما المعنى الفلسفي، فيفسّر الأوّل بمقدار الحركة، والثاني بالبعد الذي يملأه الجسم، وهذا المعنى للزمان والمكان ليس مقصودنا هنا، وإنّما الذي نعنيه هو المعنى الكنائي لهما، وهو تغيّر أساليب الحياة والظروف الاجتماعية حسب تقدّم العلم وتطوّر وسائل التواصل والانتاج والبحث العلمي، وهذا يستدعي بعد استعراض الروايات الواردة في هذا المجال تبيين دورهما في غير واحد من أبواب الفقه، ضمن حفظ الشروط المذكورة آنفاً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لاشكّ أنّ لهذين الأمرين تأثيراً في تفسير أُمور وقعت موضوعات</w:t>
      </w:r>
    </w:p>
    <w:p>
      <w:pPr>
        <w:pStyle w:val="BookText"/>
        <w:rPr/>
      </w:pPr>
      <w:r>
        <w:rPr>
          <w:rFonts w:ascii="Amiri" w:hAnsi="Amiri" w:eastAsia="Amiri" w:cs="Amiri"/>
          <w:color w:val="111111"/>
          <w:sz w:val="28"/>
          <w:sz w:val="28"/>
          <w:szCs w:val="28"/>
          <w:rtl w:val="true"/>
          <w:lang w:bidi="ar-SA"/>
        </w:rPr>
        <w:t>للأحكام الشرعية، وهنا نذكر نماذج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مفاهيم مثل الاستطاعة في وجوب الحج، والفقر في مستحق الزكاة، والغنى في عدم الاستحقاق لها، وبذل النفقة للزوجة، وإمساك الزوجة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الاستطاعة والفقر وما بعدها في عصر صدر الإسلام ونزول الشريعة غيرها في عصرنا هذا، فرب فقير اليوم كان يعدّ غنيّاً في العصور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المثليّ والقيميّ والمكيل والموزون، الّتي تغيّرت مصاديقها بفضل التطوّر الصناعي الجديد، فكم من 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مثليّاً في أيامنا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للزمان والمكان دوراً في تغيير الحكم بتغيير مناطه، كحرمة بيع الدم لأجل عدم منفعة محلّلة له في السابق، وحليته الآن لوجود منفعة حياتية كإنقاذ الجرحى والمرضى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للزمان والمكان دوراً في كشف مصاديق جديدة للموضوع، مثلاً السبق والرماية من التدريبات العسكرية المهمة حيث يكتسب بها المهارة اللازمة للدفاع عن النفس والنفيس، وظاهر الروايات اختصاصها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 والحافر والنصل</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الحصر ناظر إلى السبق فيما يُعد لهواً كاللعب بالحمام، وأمّا السبق بالمعدّات الحربية كالمدرّعات والدبابات والطائرات المقاتلة فهو خارج عن حدّ الحصر، لوجود الملاك الموجود في الثلاثة في هذه الأُمور بنحو أوضح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المشهور إلى تخصيص الاحتكار بأجناس معدودة، روى غياث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الحكرة إلّافي الحنطة والشعير والتمر والزبيب والسمن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فلاشكّ أنّ تخصيص الاحتكار بهذه الأجناس الأربعة كان نتيجة كونها من ضرورات الحياة والحاجات العامّة يومذاك، وأمّا اليوم فلا شكّ أنّه قد اتّسعت الحاجات وتغيّرت فعاد ما لم يكن ضرورياً في الماضي أمراً ضرورياً في عصرنا، ولذلك ذهب غير واحد من فقهاء عصرنا إلى القول بتحقّق الاحتكار في كلّ ما يحتاج إليه أهل البلد كالأُرز والذرة والدواء للمرضى والجرحى، إلى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نقل الفريقان أن من أحيا أرضاً فهي له، كما ورد في أحاديثنا أنّ أئمة أهل البيت عليهم السلام أحلّوا الأنفال لشيعتهم، ومن المعلوم أنّ تطبيق هذا الحكم في العصور السابقة لا يحتاج إلى نظام خاصّ يراقب المحيي، ويحدّد مقدار الأرض التي يريد إحياءها أو الانتفاع بها من الأنفال كالغابات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التطوّر الصناعي والعلمي ألزم الحكومات الإسلامية إلى تنظيم قوانين في تطبيق هذا الحكم الشرعي بأن تحدّد مساحة الأرض الّتي يحقّ لكلّ فرد أن يقوم بإحيائها، لكي لا تقع أقطاع كبيرة بيد مجموعة قليلة من التجّار وأصحاب رؤوس الأموال، فيكون الحرمان هو النصيب الأوفر لأبناء الشعب الفقراء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الفقهاء على أنّ الغنائم الحربية تقسّم بين المقاتلين على نسق خاص بعد إخراج خمسها لأصحابها، لكن الغنائم الحربية في عصر صدور الروايات كانت تدور حول السيف والرمح والسهم والفرس وغير ذلك، ومن</w:t>
      </w:r>
    </w:p>
    <w:p>
      <w:pPr>
        <w:pStyle w:val="BookText"/>
        <w:rPr/>
      </w:pPr>
      <w:r>
        <w:rPr>
          <w:rFonts w:ascii="Amiri" w:hAnsi="Amiri" w:eastAsia="Amiri" w:cs="Amiri"/>
          <w:color w:val="111111"/>
          <w:sz w:val="28"/>
          <w:sz w:val="28"/>
          <w:szCs w:val="28"/>
          <w:rtl w:val="true"/>
          <w:lang w:bidi="ar-SA"/>
        </w:rPr>
        <w:t>المعلوم أنّ تقسيمها بين المقاتلين كان أمراً يسيراً آنذاك، وأمّا اليوم وفي ظل التقدّم العلمي الهائل فقد أصبحت الغنائم الحربية هي الدبابات والمدرّعات والحافلات والطائرات المقاتلة والبوارج البحرية ومن الواضح عدم إمكان تقسيمها بين المقاتلين، بل هو أمر متعسّر، فعلى الفقيه أن يتّخذ أُسلوباً في كيفية تطبيق الحكم على صعيد واحد ليجمع فيها بين العمل بأصل الحكم والابتعاد عن المضاعفات الناجمة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أفتى القدماء بأنّ الإنسان يملك المعادن المركوزة في أرضه تبعاً لها دون أيّ قيد أو شرط، وكان الداعي من وراء تلك الفتوى هو بساطة الوسائل المستخدمة لذلك، ولم يكن بمقدور الإنسان إلّاالانتفاع بمقدار ما يعدّ تبعاً لأرضه، ولكن مع تطوّر الوسائل المستخدمة للاستخراج، استطاع أن يتسلّط على أوسع ممّا يعدّ تبعاً لأرضه، فعلى ضوئه لا مجال للإفتاء بأنّ صاحب الأرض يملك المعدن المركوز تبعاً لأرضه بلا قيد أو شرط، بل يحدّد بما يعدّ تبعاً لها عُرفاً، وأمّا الخارج عنها فهو إمّا من الأنفال أو من المباحات الّتي يتوقّف تملّكها على إجازة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روح القضاء الإسلامي هو حماية الحقوق وصيانتها وكان الأُسلوب المتبع في العصور السابقة هو أُسلوب القاضي المفرد، وقضاؤه في مرحلة واحدة قطعية، وكان هذا النوع من القضاء يلبّي حاجيات المجتمع ويحقّق أغراض نظام المحاكم، ولكن اليوم دبّ الفساد في المحاكم، وقلّ الورع فاقتضى الزمان أن يتبدّل أُسلوب القضاء إلى أُسلوب آخر، وهو اجتماع القضاة والتشاور وصدور الحكم الجماعي وتعدّد مراحل صدور الحكم حسب المصلحة الزمانية</w:t>
      </w:r>
      <w:bookmarkStart w:id="101" w:name="pg16772_194341"/>
    </w:p>
    <w:p>
      <w:pPr>
        <w:pStyle w:val="BookText"/>
        <w:rPr/>
      </w:pPr>
      <w:bookmarkEnd w:id="101"/>
      <w:r>
        <w:rPr>
          <w:rFonts w:ascii="Amiri" w:hAnsi="Amiri" w:eastAsia="Amiri" w:cs="Amiri"/>
          <w:color w:val="111111"/>
          <w:sz w:val="28"/>
          <w:sz w:val="28"/>
          <w:szCs w:val="28"/>
          <w:rtl w:val="true"/>
          <w:lang w:bidi="ar-SA"/>
        </w:rPr>
        <w:t>الّتي أصبحت تقتضي زيادة الاحتياط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الدفاع عن بيضة الإسلام، حكم ثابت لا يتغيّر، وإليه يرشد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أَعِدُّوا لَهُمْ مَا اسْتَطَعْتُمْ مِنْ قُوَّةٍ وَ مِنْ رِباطِ الْخَيْلِ تُرْهِبُونَ بِهِ عَدُوَّ اللّهِ وَ عَدُوَّكُمْ‌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الدفاع كان سابقاً بالسهم والنصل والسيف وما شابهها من الآلات الحربية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اليوم وفي ظل التقدّم العلمي والتطوّر الصناعي، فقد أصبحت المعدّات الحربية تتمثل بالدبابات والمدرّعات والحافلات والطائرات المقاتلة والبوارج البحرية والصواريخ العابرة للقارات وغيرها من الأسلحة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للمسائل الّتي يتّضح فيها دور الزمان والمكان وتأثيرهما، ولأجل أن نعرض مسائل مستجدة تحتاج إلى دراسة ميدانية، نأتي برؤوس هذه المسائل</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6963439_73709187"/>
      <w:bookmarkStart w:id="103" w:name="_Toc38"/>
      <w:bookmarkEnd w:id="102"/>
      <w:r>
        <w:rPr>
          <w:rtl w:val="true"/>
        </w:rPr>
        <w:t>مسائل مستحدثة بحاجة إلى دراسة</w:t>
      </w:r>
      <w:bookmarkEnd w:id="103"/>
    </w:p>
    <w:p>
      <w:pPr>
        <w:pStyle w:val="BookText"/>
        <w:rPr/>
      </w:pPr>
      <w:r>
        <w:rPr>
          <w:rFonts w:ascii="Amiri" w:hAnsi="Amiri" w:eastAsia="Amiri" w:cs="Amiri"/>
          <w:color w:val="111111"/>
          <w:sz w:val="28"/>
          <w:sz w:val="28"/>
          <w:szCs w:val="28"/>
          <w:rtl w:val="true"/>
          <w:lang w:bidi="ar-SA"/>
        </w:rPr>
        <w:t>هناك مسائل مستجدة تحتاج إلى دراسة ميدانية للباحثين، وهي بين عقائدية وفقهية نأتي بها لعلّ بين القرّاء من تتولّد لديه رغبة بدراستها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هي صيغة الاقتصاد الإسلامي على وجه التفصيل، وما هي الحلول الإسلامية للأزمات الراهنة في هذا الصعيد؟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صيغة الدولة الإسلامية بين الصيغ المختلفة وأنواع أنظمة الحكم‌؟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الدين الإسلامي ديناً جامعاً، فما هي صيغة سياسته الخارجية‌؟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ظهر في ميدان التجارة العالمية شركات عملاقة باعتبارات مختلفة ذكرها الفقه الوضعي وليس لها في الفقه الإسلامي أي أثر، وفي الوقت نفسه تطلب حلولاً من منظار فقهي يعبّر عن موقف الإسلام تجاهها، كشركة التضامن، شركة التوصية البسيطة، شركة التوصية بالأسهم، شركة المحاصّة، شركة المساهمة الخاصّة، وشركة المساهمة العامّة، والشركة ذات المسؤولية المحدودة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ألّف الأُستاذ عبدالرزاق السنهوري المصري كتاباً في الفقه الوضعي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في شرح القانون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اعتمد على القوانين الغربية، ونحن نرى من الواجب أن يدرس هذا الكتاب من منظار 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من المسائل الفقهية، وهناك مسائل جديدة على صعيد العقيدة والفكر نشير إلى نماذج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المعرفة البشرية تتجاوز حدّ الحس والمادة أو 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الدين يوافق الحرية الفكرية، أو أنّه يعارضها ويقضي عليها أو يعرقل حركتها؟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الدين ظاهرة مادية حدثت في المجتمع غبّ عوامل كالجهل بالعلل الطبيعية، أو لسيطرة الإقطاعيّين والرأسماليّين على الفلاحين والعمال، أو</w:t>
      </w:r>
      <w:bookmarkStart w:id="104" w:name="pg16772_194343"/>
    </w:p>
    <w:p>
      <w:pPr>
        <w:pStyle w:val="BookText"/>
        <w:rPr/>
      </w:pPr>
      <w:bookmarkEnd w:id="104"/>
      <w:r>
        <w:rPr>
          <w:rFonts w:ascii="Amiri" w:hAnsi="Amiri" w:eastAsia="Amiri" w:cs="Amiri"/>
          <w:color w:val="111111"/>
          <w:sz w:val="28"/>
          <w:sz w:val="28"/>
          <w:szCs w:val="28"/>
          <w:rtl w:val="true"/>
          <w:lang w:bidi="ar-SA"/>
        </w:rPr>
        <w:t>لعوامل أُخرى كالجنس والخوف وغيرهما من الأُمور المذكورة في كتب الماديين‌؟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الدين أمر باطني شهودي لا يخضع للبرهان، أو أنّه أمر عقلي برهاني خاضع 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دور علماء الإسلام في مجال تعارض العلم مع الدين، إذ قد تتعارض الفروض العلمية مع التعاليم الدينية في بعض الحالات‌؟</w:t>
      </w:r>
    </w:p>
    <w:p>
      <w:pPr>
        <w:pStyle w:val="Heading4"/>
        <w:numPr>
          <w:ilvl w:val="3"/>
          <w:numId w:val="1"/>
        </w:numPr>
        <w:rPr/>
      </w:pPr>
      <w:bookmarkStart w:id="105" w:name="__RefHeading___Toc6963441_73709187"/>
      <w:bookmarkStart w:id="106" w:name="_Toc39"/>
      <w:bookmarkEnd w:id="105"/>
      <w:r>
        <w:rPr>
          <w:rtl w:val="true"/>
        </w:rPr>
        <w:t>توصيات عملية</w:t>
      </w:r>
      <w:bookmarkEnd w:id="106"/>
    </w:p>
    <w:p>
      <w:pPr>
        <w:pStyle w:val="BookText"/>
        <w:rPr/>
      </w:pPr>
      <w:r>
        <w:rPr>
          <w:rFonts w:ascii="Amiri" w:hAnsi="Amiri" w:eastAsia="Amiri" w:cs="Amiri"/>
          <w:color w:val="111111"/>
          <w:sz w:val="28"/>
          <w:sz w:val="28"/>
          <w:szCs w:val="28"/>
          <w:rtl w:val="true"/>
          <w:lang w:bidi="ar-SA"/>
        </w:rPr>
        <w:t>في الختام نحبَّ الإشارة إلى أمرين هامين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المسائل المستجدّة لا تنفك عن بذل الجهد والطاقة في معرفتها ومعرفة أحكامها، وبما أنّها لم تدرس في العصور السابقة، يكون طريق الوصول إلى حلّها غير معبّد، ولأجل تذليل الصعاب نقترح أن تكون الدراسة جماعية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 الخطأ في الفكر الفردي أكثر منه في الفكر الجماعي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نترحّم على العلّامة المجلسي، فهذا الرجل العملاق هو أوّل من ابتكر العمل الجماعي وعرض فوائده أمام المحقّقين والمؤلّفين، فقد استعان رحمه الله في تأليف دائرة معارفه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بأكثر من مائتي باحث لهم تخصّصات مختلفة حتّى أتمّ تأليف موسوعته الكبرى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الأبحاث والدراسات الّتي اتّفقت عليها آراء الباحثين على</w:t>
      </w:r>
    </w:p>
    <w:p>
      <w:pPr>
        <w:pStyle w:val="BookText"/>
        <w:rPr/>
      </w:pPr>
      <w:r>
        <w:rPr>
          <w:rFonts w:ascii="Amiri" w:hAnsi="Amiri" w:eastAsia="Amiri" w:cs="Amiri"/>
          <w:color w:val="111111"/>
          <w:sz w:val="28"/>
          <w:sz w:val="28"/>
          <w:szCs w:val="28"/>
          <w:rtl w:val="true"/>
          <w:lang w:bidi="ar-SA"/>
        </w:rPr>
        <w:t>الأساتذة الكبار والمجتهدين لتقييمها وسدّ الثغرات فيها، وهذا فرعُ أن تؤسّس في الحوزة دائرة خاصّة يجتمع فيها أكابر العلماء لدراسة البحوث الجديدة المؤلّفة في كافة العلوم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المقال أرجو من الأساتذة الكرام الذين لهم دور في تطوير العلوم في الحوزة العلمية أن يقوموا بدراسة هذه الموضوعات العشرة الّتي أشرنا إليها وأن يقتفوا الخطوط العريضة الّتي ذكرتها في مقالتي هذه، حتّى تصير الحوزة العلمية نبراساً وهّاجاً يشع منه العلم والخير والتطوّر، كما كانت كذلك في العصور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من وراء القصد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عام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07" w:name="pg16772_194345"/>
    </w:p>
    <w:p>
      <w:pPr>
        <w:pStyle w:val="Heading3"/>
        <w:numPr>
          <w:ilvl w:val="2"/>
          <w:numId w:val="1"/>
        </w:numPr>
        <w:rPr/>
      </w:pPr>
      <w:bookmarkStart w:id="108" w:name="__RefHeading___Toc6963443_73709187"/>
      <w:bookmarkStart w:id="109" w:name="_Toc40"/>
      <w:bookmarkEnd w:id="107"/>
      <w:bookmarkEnd w:id="108"/>
      <w:r>
        <w:rPr/>
        <w:t>3</w:t>
      </w:r>
      <w:r>
        <w:rPr>
          <w:rtl w:val="true"/>
        </w:rPr>
        <w:t xml:space="preserve"> </w:t>
      </w:r>
      <w:r>
        <w:rPr>
          <w:rtl w:val="true"/>
        </w:rPr>
        <w:t>فلسفة الفقه</w:t>
      </w:r>
      <w:r>
        <w:rPr>
          <w:rtl w:val="true"/>
        </w:rPr>
        <w:t xml:space="preserve">: </w:t>
      </w:r>
      <w:r>
        <w:rPr>
          <w:rtl w:val="true"/>
        </w:rPr>
        <w:t>مخاضات التأصيل</w:t>
      </w:r>
      <w:bookmarkEnd w:id="109"/>
    </w:p>
    <w:p>
      <w:pPr>
        <w:pStyle w:val="Heading4"/>
        <w:numPr>
          <w:ilvl w:val="3"/>
          <w:numId w:val="1"/>
        </w:numPr>
        <w:rPr/>
      </w:pPr>
      <w:bookmarkStart w:id="110" w:name="__RefHeading___Toc6963445_73709187"/>
      <w:bookmarkStart w:id="111" w:name="_Toc41"/>
      <w:bookmarkEnd w:id="110"/>
      <w:r>
        <w:rPr>
          <w:rtl w:val="true"/>
        </w:rPr>
        <w:t>اشارة</w:t>
      </w:r>
      <w:bookmarkEnd w:id="11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مخاضات التأصيل</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تعني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ترد دون 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أُضيفت إلى لفظة أُخرى، كما لو أُلحقت بها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فإنّها تكتسب معنى آخر يتناسب مع ما يعكسه المركّب الجديد؛ فالتاريخ هو العلم الذي يبحث في أحداث ووقائع العالم وعللها ونتائجها بشكل مقاطع، في حين تهتم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بالسنن العامّة الّتي يسير التاريخ وفقاً لها، فعندما ينظر المؤرّخ إلى التاريخ نظرة تجزيئية مرحلية، ينظر باحثو فلسفة التاريخ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عامّة، ترمي إلى مناقشة قوانينه واستكشاف سننه، وكنموذج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في السبب الذي أدّى إلى انتصار المسلمين وهزيمة المشركين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بحثٌ تاريخي، بينما البحث في كون التاريخ خاضعاً لقوانين وسنن، بحثٌ مختصٌّ بفلسفة التاريخ؛ أو أنّ البحث في العامل الموجِّه للتاريخ، هل هو واحد، كأن يكون الاقتصاد مثلاً، أو أنّها عوامل متعدّدة‌؟ يُعدّ من بحوث فلسفة التاريخ</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ينطبق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فالفقه يبحث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فعل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ويقنّن الحلال والحرام، ويرسم حدود حركة الإنسان، بينما يجري البحث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المبادئ التصورية والتصديقية</w:t>
      </w:r>
      <w:bookmarkStart w:id="112" w:name="pg16772_194346"/>
    </w:p>
    <w:p>
      <w:pPr>
        <w:pStyle w:val="BookText"/>
        <w:rPr/>
      </w:pPr>
      <w:bookmarkEnd w:id="112"/>
      <w:r>
        <w:rPr>
          <w:rFonts w:ascii="Amiri" w:hAnsi="Amiri" w:eastAsia="Amiri" w:cs="Amiri"/>
          <w:color w:val="111111"/>
          <w:sz w:val="28"/>
          <w:sz w:val="28"/>
          <w:szCs w:val="28"/>
          <w:rtl w:val="true"/>
          <w:lang w:bidi="ar-SA"/>
        </w:rPr>
        <w:t>للأحكام وخصائصها وأهدافها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يبحث الفقيه في تفريعات المسائل ويدرسها واحدة واحدة، يُلقي باحث فلسفة الفقه نظرة شمولية تتناول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أحكام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ككل، فيصنّف أحكامه إلى واقعية وثانوية، وتكليفية ووضعية، ويحدّد نطاق الثابت منها ونطاق المتغيّر، كما ويبيّن واقعية وظاهرية، أولوية وثانوية، علاقة الفقه بالعلوم الأُخرى، وهو ما قد نجد بعضه مبثوثاً في علم الأُصول، أو في غيره من العلوم، لكن فلسفة الفقه كعلم،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علم حديث الظهور، لذا ينبغي إعارته اهتماماً أكبر وإدخاله وتدريسه في الجامعات العلمية، ولي هنا مناقشة نقدية لبعض الأفكار الّتي تطرحها البحوث ذات العلاقة بالموضوع</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6963447_73709187"/>
      <w:bookmarkStart w:id="114" w:name="_Toc42"/>
      <w:bookmarkEnd w:id="113"/>
      <w:r>
        <w:rPr>
          <w:rtl w:val="true"/>
        </w:rPr>
        <w:t>بشرية علم الفقه</w:t>
      </w:r>
      <w:r>
        <w:rPr>
          <w:rtl w:val="true"/>
        </w:rPr>
        <w:t>!</w:t>
      </w:r>
      <w:bookmarkEnd w:id="114"/>
    </w:p>
    <w:p>
      <w:pPr>
        <w:pStyle w:val="BookText"/>
        <w:rPr/>
      </w:pPr>
      <w:r>
        <w:rPr>
          <w:rFonts w:ascii="Amiri" w:hAnsi="Amiri" w:eastAsia="Amiri" w:cs="Amiri"/>
          <w:color w:val="111111"/>
          <w:sz w:val="28"/>
          <w:sz w:val="28"/>
          <w:szCs w:val="28"/>
          <w:rtl w:val="true"/>
          <w:lang w:bidi="ar-SA"/>
        </w:rPr>
        <w:t>يطرح بعض الباحثين الفكرة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الفقه علم بشري، فإنّه يبقى ناقصاً وقابلاً للتكامل، ولا يختص ذلك بنفس مسائل الفقه، بل بإمكان تطوّرات علم الأُصول في أن تُحدث نقلات نوعية في علم الفقه، لذا لا وجه لادّعاء تكامله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الفكرة تثير 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 علم 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 علم غير كامل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المقصود من الفقه الذي اعتبره هؤلاء الباحثين علماً بشرياً،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شك أنّ كتب الفقه عبارة عن عصارة تدبّر الفقهاء الأعلام</w:t>
      </w:r>
    </w:p>
    <w:p>
      <w:pPr>
        <w:pStyle w:val="BookText"/>
        <w:rPr/>
      </w:pPr>
      <w:r>
        <w:rPr>
          <w:rFonts w:ascii="Amiri" w:hAnsi="Amiri" w:eastAsia="Amiri" w:cs="Amiri"/>
          <w:color w:val="111111"/>
          <w:sz w:val="28"/>
          <w:sz w:val="28"/>
          <w:szCs w:val="28"/>
          <w:rtl w:val="true"/>
          <w:lang w:bidi="ar-SA"/>
        </w:rPr>
        <w:t>في الكتاب والسنّة وسواهما من مصادر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المقصود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شك أو أنّ الكتاب والسنّة، كمصدرين للفقه، لا علاقة لهما بالعلم البشري؛ لأنّ منشأهما الوحي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بنقص أو كمال الفقه فله معنيان أيضاً، فإمّا أن يُقصد به أنّ الفقه بشكله الراهن لا يستوعب مستحدثات المسائل، فهذا قول مَن يرى أنّ باب الاجتهاد مسدود؛ وتوقّف الاجتهاد يجعل الفقه عاجزاً حقّاً عن رفد ما يستحدث من المسائل بالأحكام اللازمة، لكنّ هناك مَن يعتقد ببقاء باب الاجتهاد مفتوحاً، وهؤلاء يرون أنّ الفقه قادر على تلبية كلّ متطلّبات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معنى للنقص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من الفقه الحالي بفكره المحدود عاجز عن تقديم إجابات لأسئلة سيأتي بها القرن القادم وذلك لعدم توفّره على علم مسبق بالموضوعات الّتي سيطرحها القرن القادم، فهذا قول صائب، لكنّ هذا ليس عيباً في الفقه، لأنّ الفقه قادر على مواكبة قضايا القرن القادم في ضوء ما يتمتع به الكتاب والسنّة من عمق وسعة، كما كان حاله في هذا القرن والقرون الّتي قبله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ندّعي كمال الدين ولا ندّعي كمال الفقه، وكمال الدين بإمكانه في كلّ عصر أن يرتقي بالفقه إلى حدّ الكمال، فلو عجز فقه عصر ما عن الإجابة؛ لعدم اطّلاعه على مستحدثات المسائل، فسيكون فقه العصر اللاحق قادراً على ذلك باستناده إلى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له معرفة بالفقه الإسلامي، يعلم أنّ الشيخ الطوسي رغم أنّه كان أعظم فقهاء عصره، إلّاأنّ أهم كتبه الفقهية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bookmarkStart w:id="115" w:name="pg16772_194348"/>
    </w:p>
    <w:p>
      <w:pPr>
        <w:pStyle w:val="BookText"/>
        <w:rPr/>
      </w:pPr>
      <w:bookmarkEnd w:id="115"/>
      <w:r>
        <w:rPr>
          <w:rFonts w:ascii="Amiri" w:hAnsi="Amiri" w:eastAsia="Amiri" w:cs="Amiri"/>
          <w:color w:val="111111"/>
          <w:sz w:val="28"/>
          <w:sz w:val="28"/>
          <w:szCs w:val="28"/>
          <w:rtl w:val="true"/>
          <w:lang w:bidi="ar-SA"/>
        </w:rPr>
        <w:t xml:space="preserve">لا يناهز مستواه مستوى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بالرغم من أنّ صاحب الجواهر كان يرى نفسه تلميذاً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 قد شهد مع مرور الزمن تطوراً من خلال التدبّر والتعمّق في الكتاب والسنّة</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6963449_73709187"/>
      <w:bookmarkStart w:id="117" w:name="_Toc43"/>
      <w:bookmarkEnd w:id="116"/>
      <w:r>
        <w:rPr>
          <w:rtl w:val="true"/>
        </w:rPr>
        <w:t>تبعية علم الفقه</w:t>
      </w:r>
      <w:bookmarkEnd w:id="117"/>
    </w:p>
    <w:p>
      <w:pPr>
        <w:pStyle w:val="BookText"/>
        <w:rPr/>
      </w:pPr>
      <w:r>
        <w:rPr>
          <w:rFonts w:ascii="Amiri" w:hAnsi="Amiri" w:eastAsia="Amiri" w:cs="Amiri"/>
          <w:color w:val="111111"/>
          <w:sz w:val="28"/>
          <w:sz w:val="28"/>
          <w:szCs w:val="28"/>
          <w:rtl w:val="true"/>
          <w:lang w:bidi="ar-SA"/>
        </w:rPr>
        <w:t>قد يقول بعض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 علمٌ تابع، أي أنّه ليس واضعاً لبرنامج، ولا دخل له بصياغة المجتمع، فأحكامه إنّما تصدر بعد أن يأخذ المجتمع شكله ويكتسب طابعه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فالفقهاء لم يبتكروا التأمين، ولا الانتخابات، ولا تقسيم سلطات الدولة، كما لم يلغوا الرق، ولا نظام الإقطاع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العكس، فقد اتّخذوا مواقف سلبية من جميع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خضعوا لها بالتدريج رغماً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 هذا القول إلى نقطتين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الفقه تابع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 ليس واضعاً لبرنامج، ولا دخل له بصياغة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النقطة الأُولى فهي صحيحة إذا قصد منها أنّ وظيفة الفقه هي بيان حكم ما يظهر في الحياة من 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 لا دخل له بصناعة الموضوعات؛ لأنّ المجتمع والطبيعة هما اللّذان يفرزان الموضوعات، ثم يأتي الفقه في المرحلة اللاحقة لظهور الموضوعات، ليصدر الأحكام بشأنها، ولا يدّعي الفقه الإسلامي أكثر من ذلك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يكن موجوداً من قبل عندما ظهر في المجتمع،</w:t>
      </w:r>
    </w:p>
    <w:p>
      <w:pPr>
        <w:pStyle w:val="BookText"/>
        <w:rPr/>
      </w:pPr>
      <w:r>
        <w:rPr>
          <w:rFonts w:ascii="Amiri" w:hAnsi="Amiri" w:eastAsia="Amiri" w:cs="Amiri"/>
          <w:color w:val="111111"/>
          <w:sz w:val="28"/>
          <w:sz w:val="28"/>
          <w:szCs w:val="28"/>
          <w:rtl w:val="true"/>
          <w:lang w:bidi="ar-SA"/>
        </w:rPr>
        <w:t>انبرى الفقيه ليفتي بحكمه في ضوء الاجتهاد والتعمّق في مصادر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وشراء الأسهم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يبيّن الفقه حكمه قبل وجوده؛ لكنّه فعل ذلك عندما ظهر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ليس مدعاة للانتقاص من الفقه، بل هو دليل على طاقته الذاتية الكامنة في رفد موضوعات الحياة بالأحكام دون تلكّؤ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الفقه ليس واضعاً لبرنامج فهو غير دقيق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بهذا اقتصر في نظره على مسائل الحلال والحرام، ولم يلتفت إلى السنن والمستحبات المبثوثة في مختلف أبواب الفقه، والّتي هي جميعاً مؤسسة، أي أنّها تعطي نموذجاً لما ينبغي أن تكون الحياة عليه، فالقسم الأعظم من روايات كتاب المعاشرة تحمل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توقّعنا وضع الفقه لبرنامج للمجتمع، يشبه توقّعنا حلّ المشاكل الفيزيائية من قبل علم الكيمياء، وهو توقّع ليس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لم يأتِ ليجمّد جميع الأفكار والتطلّعات، وينفرد في ميدان الحياة يحدّد لكلّ شيء مهمّته، بل لقد دعا الإسلام المجتمع إلى التفكّر والتدبّر والتخطيط والسعي والتشاور في شؤون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دور الفقه في صيانة التخطيط بفرز الجائز من غير الجائز، وهذا هو سر خاتمية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اكتفى في دعوته بالعموميات، وأوكل التفاصيل إلى مقتضيات الزمان، ولو أنّه كان قد وضع برنامجاً عامّاً منذ اليوم الأوّل، لما انسجم تخطيطه مع جميع صيغ الحياة بلا شك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نسبه صاحب المقال إلى الفقهاء من المواقف السلبية إزاء تحرير العبيد وإلغاء نظام الإقطاع، كلام لا أساس له؛ لأنّ إحدى موارد صرف الزكاة الّتي عيّنها الإسلام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رقبة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فضلاً عن أنّه جعل عتق الرقبة كفّارة</w:t>
      </w:r>
    </w:p>
    <w:p>
      <w:pPr>
        <w:pStyle w:val="BookText"/>
        <w:rPr/>
      </w:pPr>
      <w:r>
        <w:rPr>
          <w:rFonts w:ascii="Amiri" w:hAnsi="Amiri" w:eastAsia="Amiri" w:cs="Amiri"/>
          <w:color w:val="111111"/>
          <w:sz w:val="28"/>
          <w:sz w:val="28"/>
          <w:szCs w:val="28"/>
          <w:rtl w:val="true"/>
          <w:lang w:bidi="ar-SA"/>
        </w:rPr>
        <w:t>للذنوب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بدر من فقهاء الإسلام في بعض الموارد، عندما تصدّوا لبعض الدعوات الّتي ظاهرها الإصلاح، فذلك لاطّلاعهم على أنّ حقيقة الأمر تخالف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فتقسيم الأراضي في إيران مثلاً، كان الهدف منه توجيه ضربة إلى الزراعة كي يصبح البلد تابعاً للغرب 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حدث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ألغيت الإدارات التقليدية السابقة، دون تقديم البديل لها، ممّا أوجد ظاهرة الهجرة من الريف إلى المدينة، الّتي شكّلت بداية مرحلة التخلّي عن 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 عنك نهباً صيحَ في حجراته ولكنْ حديثاً ما حديثُ الرواحل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عام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عندما بدأ الحديث عن استصلاح الأراضي، وتصدى له المرحوم آية اللّه البروجردي، سمعت من الإمام الخميني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الشاه يريد تدمير زراعة البلد، ولا شأن له باستصلاحها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فالفقهاء كانوا على طول التاريخ مخالفين للظلم والحرام، ومدافعين عن أوامر اللّه وفرائضه</w:t>
      </w:r>
      <w:r>
        <w:rPr>
          <w:rFonts w:eastAsia="Amiri" w:cs="Amiri" w:ascii="Amiri" w:hAnsi="Amiri"/>
          <w:color w:val="111111"/>
          <w:sz w:val="28"/>
          <w:szCs w:val="28"/>
          <w:rtl w:val="true"/>
          <w:lang w:bidi="ar-SA"/>
        </w:rPr>
        <w:t>.</w:t>
      </w:r>
      <w:bookmarkStart w:id="118" w:name="pg16772_194351"/>
    </w:p>
    <w:p>
      <w:pPr>
        <w:pStyle w:val="Heading4"/>
        <w:numPr>
          <w:ilvl w:val="3"/>
          <w:numId w:val="1"/>
        </w:numPr>
        <w:rPr/>
      </w:pPr>
      <w:bookmarkStart w:id="119" w:name="__RefHeading___Toc6963451_73709187"/>
      <w:bookmarkStart w:id="120" w:name="_Toc44"/>
      <w:bookmarkEnd w:id="118"/>
      <w:bookmarkEnd w:id="119"/>
      <w:r>
        <w:rPr>
          <w:rtl w:val="true"/>
        </w:rPr>
        <w:t>دنيوية علم الفقه</w:t>
      </w:r>
      <w:bookmarkEnd w:id="120"/>
    </w:p>
    <w:p>
      <w:pPr>
        <w:pStyle w:val="BookText"/>
        <w:rPr/>
      </w:pPr>
      <w:r>
        <w:rPr>
          <w:rFonts w:ascii="Amiri" w:hAnsi="Amiri" w:eastAsia="Amiri" w:cs="Amiri"/>
          <w:color w:val="111111"/>
          <w:sz w:val="28"/>
          <w:sz w:val="28"/>
          <w:szCs w:val="28"/>
          <w:rtl w:val="true"/>
          <w:lang w:bidi="ar-SA"/>
        </w:rPr>
        <w:t>يذكر بعض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 علم متحايل، شأنه في ذلك شأن علم القانون، وهي صفة تُنبئ عن طابع دنيوي لا مجال للمواربة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الخصوصية تعود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 علم 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 متحايل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المقصود من الخصوصية الأُولى، أنّ مهمة الفقه تنظيم حياة البشر في هذا العالم والإشراف عليها، فلا شكّ أنّ للفقه خصوصية كهذه، وهي إحدى أهم مميّزاته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لولا تحلّيه بها لتحوّل الإسلام إلى رهبانية لا صلاحية له إلّافي نطاق الأديرة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أُريد منها أنّ الفقه مقتصر باهتمامه على دنيا البشر، ولا شأن له بالأبعاد النفسية والتربوية والأخلاقية للشخصية الإنسانية، فهو قول خاطئ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فالفقه ينقسم إلى أربعة أقسام أحدها العبادات، الّتي يشترط في صحّتها القربة والقيام للّه والابتعاد عن مراءاة الناس</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أن يكون دافع المسلم لأداء الوضوء والغُسل والصلاة والزكاة والجهاد والحج القرب من اللّه، فكيف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الفقه لا يُعنى بغير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النوافل الليلية وكثير من المستحبات الواردة في الفقه كلّها ذات طابع أُخروي ومعنوي، وهذه الآية الكريمة تصوغ لنا أساس الفقه،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مَثْنى وَ فُرادى‌</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الفقهاء متّفقون جميعاً على اعتبار أنّ قصد القربة يمثّل روح العبادة في كافة الأعمال العبادية، وإلّا فالعمل بدونها لغو لا طائل منه، وهو ما سنفصّل الحديث بصدده في مناقشتنا للسؤال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فيما يتعلّق بالخصوصية الثانية، فننوّه أوّلاً إلى أنّه قد ساوى في هذا الشأن الفقه الشيعي بفقه بعض المذاهب، إذ تذكر المصادر الفقهية أنّ أبا حنيفة قد أوجد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الذرائع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يرفضه فقهاء الشيعة بالإضافة إلى جمع من فقهاء السنّة؛ لأنّه مبدأ يرمي إلى تحويل بعض الحرام إلى حلال وبالعكس، وذلك باللجوء إلى حيل شرعية الظاهر، في حين أنّ فقهاء آخرين يعتقدون بمبدأ آخر 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الذرائع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الفقه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التهرّب من الحكم يكون مقبولاً متى ما عيّنه الشرع نفسه،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 أن يصوم إذا كان في حضر، ثم يأذن الشارع نفسه بالإفطار للمكلّف المسافر، مخيّراً له بين إقامته وسفره، وهذا اللون من التحايل من الشرع نفسه لا من الفقه، بل الصواب أن لا نسمّي حالة كهذه حيلة شرعية؛ لأنّ الحاضر والمسافر موضوعان يباين أحدهما الآخر، ولكلّ منهما حكمه الخاص</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احتراف التحايل من خصائص اليهود، الذين عرفوا بتنصّلهم عن تنفيذ الأحكام بحيل متعدّدة، وقد تطرّق القرآن الكريم إلى ماضيهم؛ فقد حرم اللّه عليهم الصيد في يوم السبت امتحاناً لهم، في الوقت الذي كانت أمواج البحر لا</w:t>
      </w:r>
      <w:bookmarkStart w:id="121" w:name="pg16772_194353"/>
    </w:p>
    <w:p>
      <w:pPr>
        <w:pStyle w:val="BookText"/>
        <w:rPr/>
      </w:pPr>
      <w:bookmarkEnd w:id="121"/>
      <w:r>
        <w:rPr>
          <w:rFonts w:ascii="Amiri" w:hAnsi="Amiri" w:eastAsia="Amiri" w:cs="Amiri"/>
          <w:color w:val="111111"/>
          <w:sz w:val="28"/>
          <w:sz w:val="28"/>
          <w:szCs w:val="28"/>
          <w:rtl w:val="true"/>
          <w:lang w:bidi="ar-SA"/>
        </w:rPr>
        <w:t>تأتي بالحيتان إلى الساحل إلّافي يوم السبت بالذات، ففكّروا بحيلة للالتفاف على الحكم، فحفروا جداول تتّصل بالبحر بحيث تمتلئ بالماء إذا كان البحر مدّاً، فإذا حلّ يوم السبت وملأت المياه الجداول، دخلتها الحيتان مع المد فلا يصطادون منها شيئاً، ولكن يعمدون إلى نهايات الجداول فيغلقونها، فإذا صار البحر جزراً، وجاء يوم الأحد اصطادوا، فكان ذلك سبباً لإنزال العذاب عليهم، وقال لهم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قِرَدَةً خاسِئِينَ‌</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سْئَلْهُمْ عَنِ الْقَرْيَةِ الَّتِي كانَتْ حاضِرَةَ الْبَحْرِ إِذْ يَعْدُونَ فِي السَّبْتِ إِذْ تَأْتِيهِمْ حِيتانُهُمْ يَوْمَ سَبْتِهِمْ شُرَّعاً وَ يَوْمَ لا يَسْبِتُونَ لا تَأْتِيهِمْ كَذلِكَ نَبْلُوهُمْ بِما كانُوا يَفْسُقُونَ‌</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يرى الإمام الخميني أنّ كلّ الحيل الشرعية باطلة ولا قيمة لها، والآن كيف أمكن أن ينسبوا إلى الفقه حكماً كهذا، إنّه شيء يدعو إلى العجب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أعاد بعض الفقهاء النظر في بعض المسائل، ولكن ليس ذلك بهدف ابتكار حيلة، بل سعياً منهم لحل ما بدأت تخلقه تبعية اقتصاد البلد للغرب من مشاكل يومية للناس، وذلك بزيادة بعض الشروط وتقليص بعضها الآخر، وإدخال الموضوع تحت 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حصل اليوم مع موضوع المضاربة، إذ أمكن بواسطتها حلّ بعض المسائل المتعلّقة بالربا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التزام الطرفين بالشروط بشكل دقيق يميز بين الربا والمضاربة، حيث أحلّ اللّه المضاربة وحرّم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فليس واضحاً بأي معيار أفتى صاحب المقال بحكم كهذا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2" w:name="__RefHeading___Toc6963453_73709187"/>
      <w:bookmarkStart w:id="123" w:name="_Toc45"/>
      <w:bookmarkEnd w:id="122"/>
      <w:r>
        <w:rPr>
          <w:rtl w:val="true"/>
        </w:rPr>
        <w:t>الفقه يُعنى بالظواهر</w:t>
      </w:r>
      <w:r>
        <w:rPr>
          <w:rtl w:val="true"/>
        </w:rPr>
        <w:t>!</w:t>
      </w:r>
      <w:bookmarkEnd w:id="123"/>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 علمٌ يُعنى بالظواهر، أي أنّه يُعنى بظواهر الأعمال، حتّى لقد عُدّ الإسلام بقوة السيف إسلاماً، وعليه فالمجتمع الفقهي لا يلزم اعتباره مجتمعاً دينياً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وأُشير هنا إلى 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 يكتفي في قبوله لإسلام الفرد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 يُعنى بظواهر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نشير فيما يتعلّق بالأمر الأوّل، إلى أنّ الفقه عندما يكتفي في قبوله لإسلام الفرد بالإقرار والاعتراف، فذلك لأنّه لا سبيل إلى معرفة الباطن مطلقاً، لذا لو اتّفق أن انكشف نفاق شخص من خلال طول المعاشرة، فإنّه يخرج من جماعة المسلمين ويعدّ واحداً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صاحب المقال يتوقّع من الإسلام أن يأمر بتفتيش القلوب، وكشف مكنونات الضمائر، وهو ما لا سبيل له، فضلاً عمّا يفضي إليه من مفاسد لا عدّ لها ولا 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 الفقه يُعنى بظواهر الأعمال، فإنّه تكرار للفكرة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دنيوية علم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الجدير هنا 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الكاشاني، وكذلك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للغزالي، فقد حوى الكتابان أبواباً بعناوين متنوعة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المقربات، والمبعدات، والطاعات، والمعاصي، وهي أُمور مستلة جميعاً من الفقه الإسلامي، ولا يمكن اعتبارها ناظرة إلى ظواهر الأعمال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لكلّ علم موضوعه الخاص الّذي يصدر أحكامه بشأنه، ولا ينبغي أن يتوقع من ذلك العلم ما هو خارج عن واجبه الخاصّ به، وما نعتقد به هو أنّ الدين الإسلامي كامل، والفقه يمثل جزءاً من الإسلام، لا الإسلام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للفقه دوراً أساسياً في تهذيب الظواهر، أمّا تهذيب النفس فلابد لأجله من مراجعة</w:t>
      </w:r>
      <w:bookmarkStart w:id="124" w:name="pg16772_194355"/>
    </w:p>
    <w:p>
      <w:pPr>
        <w:pStyle w:val="BookText"/>
        <w:rPr/>
      </w:pPr>
      <w:bookmarkEnd w:id="124"/>
      <w:r>
        <w:rPr>
          <w:rFonts w:ascii="Amiri" w:hAnsi="Amiri" w:eastAsia="Amiri" w:cs="Amiri"/>
          <w:color w:val="111111"/>
          <w:sz w:val="28"/>
          <w:sz w:val="28"/>
          <w:szCs w:val="28"/>
          <w:rtl w:val="true"/>
          <w:lang w:bidi="ar-SA"/>
        </w:rPr>
        <w:t>علمي الأخلاق والعرفان الإسلامي، اللّذين يتعاونا مع الفقه على إيصال الإنسان إلى كماله؛ لكنّنا نجد أنّ النقد الموجّه في هذا السؤال قائم على تصوّر أنّ الفقه متكفّل بتسكين جميع الآلام، في حين ينبغي أخذ مجموع الدعوة الإسلامية بنظر الاعتبار، عندها يكون التقييم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عبّر علماء الإسلام عن الدين الإسلامي بأنّه دين يرتقي بالإنسان إلى حقيقته، لما يتمتّع به من إحاطة بجميع أبعاد حياة الإنسان المادّية والمعنوية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الدين مؤلّف من أجزاء منها الفقه ومنها الأخلاق والعرفان الإسلامي، وهي أجزاء منسجمة مع بعضها ولا تعارض فيما بينها إطلاقاً</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6963455_73709187"/>
      <w:bookmarkStart w:id="126" w:name="_Toc46"/>
      <w:bookmarkEnd w:id="125"/>
      <w:r>
        <w:rPr>
          <w:rtl w:val="true"/>
        </w:rPr>
        <w:t>المجتمع الفقهي ليس متقدّماً</w:t>
      </w:r>
      <w:r>
        <w:rPr>
          <w:rtl w:val="true"/>
        </w:rPr>
        <w:t>!</w:t>
      </w:r>
      <w:bookmarkEnd w:id="126"/>
    </w:p>
    <w:p>
      <w:pPr>
        <w:pStyle w:val="BookText"/>
        <w:rPr/>
      </w:pPr>
      <w:r>
        <w:rPr>
          <w:rFonts w:ascii="Amiri" w:hAnsi="Amiri" w:eastAsia="Amiri" w:cs="Amiri"/>
          <w:color w:val="111111"/>
          <w:sz w:val="28"/>
          <w:sz w:val="28"/>
          <w:szCs w:val="28"/>
          <w:rtl w:val="true"/>
          <w:lang w:bidi="ar-SA"/>
        </w:rPr>
        <w:t>ويطرح الباحثون هذه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 علم يلائم مجتمعاً ذا مستوى متخلّف في الأخلاق والفن والعلم، إلى جانب مستوى معيشي واطئ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والمجتمع الفقهي لا يكون بالضرورة مجتمعاً متقدّماً وحداثوياً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الفكرة غامضة، إذ لا يتّضح مرادها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المتخلّفة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 المتخلّف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 المعيشي الواطئ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احتمالان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الفكرة تقصد أنّ الفقه بما يتمتع به من مرونة قادرة على إدارة المجتمعات البشرية على اختلاف مستوياتها، أي أنّه قادر على إدارة حتّى أدنى المجتمعات من الناحية الفكرية والمعيشية، فهذا بلا شك يعبّر عن كمال الفقه؛ لأنّ بإمكانه أن يتلاءم في ضوء مرونته مع كلا المستويين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مقصودها هو أنّ أحكام الفقه لا تلائم سوى المجتمعات ذات المستويات الواطئة من حيث</w:t>
      </w:r>
      <w:bookmarkStart w:id="127" w:name="pg16772_194356"/>
    </w:p>
    <w:p>
      <w:pPr>
        <w:pStyle w:val="BookText"/>
        <w:rPr/>
      </w:pPr>
      <w:bookmarkEnd w:id="127"/>
      <w:r>
        <w:rPr>
          <w:rFonts w:ascii="Amiri" w:hAnsi="Amiri" w:eastAsia="Amiri" w:cs="Amiri"/>
          <w:color w:val="111111"/>
          <w:sz w:val="28"/>
          <w:sz w:val="28"/>
          <w:szCs w:val="28"/>
          <w:rtl w:val="true"/>
          <w:lang w:bidi="ar-SA"/>
        </w:rPr>
        <w:t>الأخلاق والفن والعلم والمستوى المعيشي، فهذا تفسير خاطئ للفقه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الفقه الإسلامي قادراً على إدارة مجتمع المسلمين في العصر الّذي كانوا فيه روّاد العالم في الأخلاق والفن والعلم والمعيشة، وكان مجتمعهم الأرقى في جميع ذلك، بل إنّ المستوى الّذي بلغته الإمبراطورية الإسلامية العظمى في العصر العباسي وما بعده، لدليل على قدرة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استطاع في ضوء قوانينه أن يربّي في أحضانه حضارة كهذه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 صاحب هذه الفكرة يقصد شيئاً آخر، وهو أنّ الفقه الإسلامي غير قادر على إدارة المجتمعات الغربية بالخصوصيات الّتي تمتاز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عدم القدرة هذه ناشئة من كون المجتمعات الغربية لا تعير اهتماماً للقيم السامية، بل هي لا ترى حدوداً لإشباع شهواتها 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الفقه الإسلامي لا ينسجم مع 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يعادي كلّ سياسة تقوم على تجاهل حقوق المستضعفين، وكلّ عرف يقرّ الخمر والقمار والابتذال، ولا يلائمهما مطلقاً، وما أرسل الرسل إلّالتغيير البيئة الفاسدة، وليس لإدارة المجتمعات كيفما كانت، ودون المساس بوضعها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وتوسيع نطاق السلطة على حساب المبادئ، ليس هو هدف القادة الربّانيّين والفكر الإسلامي</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6963457_73709187"/>
      <w:bookmarkStart w:id="129" w:name="_Toc47"/>
      <w:bookmarkEnd w:id="128"/>
      <w:r>
        <w:rPr>
          <w:rtl w:val="true"/>
        </w:rPr>
        <w:t>الفقه علمٌ استهلاكي</w:t>
      </w:r>
      <w:r>
        <w:rPr>
          <w:rtl w:val="true"/>
        </w:rPr>
        <w:t>!</w:t>
      </w:r>
      <w:bookmarkEnd w:id="12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من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 علم استهلاكي، فهو مستهلك للعلوم الطبيعية والإنسانية واللغوية والاجتماعية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الاستهلاك لا يقتصر على علوم الدرجة الثانية، بل يطال علوم الدرجة الأُولى أيضاً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معرض الرد نعتقد أنّنا لو ألقينا نظرة عامّة على العلوم المتداولة، لوجدنا أنّ أغلب العلوم يقتبس بعضها من بعض، لكنّها في ذات الوقت منتجة، فالفيزياء مثلاً تستعين بالرياضيات وهي بالنسبة له مستهلكة، لكنّها منتجة بالنسبة إلى الميكانيك، فقانون نيوتن للجاذبية ناتج فيزيائي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قانون الثرموداينامك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التبادل الحراري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ينطبق على الفقه تماماً، فالفقه يستعين بعلوم الأدب كالصرف والنحو والبلاغة لأنّ مصادره باللغة العربية، لكنّه في نفس الوقت مصدر لإنتاج آلاف الأحكام والقوانين المستلة من الكتاب والسنّة، والفقه يستعين في باب الوقت والقبلة بعلمي الفلك والرياضيات، وبالأخير في باب الإرث، لكنّه يضع عدداً كبيراً من الأحكام في ضوئها، فأن يكون علم منتحاً ومقتبساً في آن واحد، فذلك مبلغ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فالطب في الوقت الّذي يستعين فيه بالبايولوجيا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والفسيولوجيا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وظائف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والتشريح، يعمل على بناء مجتمع سالم ويكون أساساً لبرنامج وآثار مهمة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الفقه مع فارق أنّ الطب يعتمد على مصادر طبيعية وتجريبية، بينما يستلهم الفقه أحكامه من مصادر الوحي</w:t>
      </w:r>
      <w:r>
        <w:rPr>
          <w:rFonts w:eastAsia="Amiri" w:cs="Amiri" w:ascii="Amiri" w:hAnsi="Amiri"/>
          <w:color w:val="111111"/>
          <w:sz w:val="28"/>
          <w:szCs w:val="28"/>
          <w:rtl w:val="true"/>
          <w:lang w:bidi="ar-SA"/>
        </w:rPr>
        <w:t>.</w:t>
      </w:r>
      <w:bookmarkStart w:id="130" w:name="pg16772_194358"/>
    </w:p>
    <w:p>
      <w:pPr>
        <w:pStyle w:val="Heading4"/>
        <w:numPr>
          <w:ilvl w:val="3"/>
          <w:numId w:val="1"/>
        </w:numPr>
        <w:rPr/>
      </w:pPr>
      <w:bookmarkStart w:id="131" w:name="__RefHeading___Toc6963459_73709187"/>
      <w:bookmarkStart w:id="132" w:name="_Toc48"/>
      <w:bookmarkEnd w:id="130"/>
      <w:bookmarkEnd w:id="131"/>
      <w:r>
        <w:rPr>
          <w:rtl w:val="true"/>
        </w:rPr>
        <w:t>الفقه علمٌ مختصر</w:t>
      </w:r>
      <w:r>
        <w:rPr>
          <w:rtl w:val="true"/>
        </w:rPr>
        <w:t>!</w:t>
      </w:r>
      <w:bookmarkEnd w:id="132"/>
    </w:p>
    <w:p>
      <w:pPr>
        <w:pStyle w:val="BookText"/>
        <w:rPr/>
      </w:pPr>
      <w:r>
        <w:rPr>
          <w:rFonts w:ascii="Amiri" w:hAnsi="Amiri" w:eastAsia="Amiri" w:cs="Amiri"/>
          <w:color w:val="111111"/>
          <w:sz w:val="28"/>
          <w:sz w:val="28"/>
          <w:szCs w:val="28"/>
          <w:rtl w:val="true"/>
          <w:lang w:bidi="ar-SA"/>
        </w:rPr>
        <w:t>إنّ الفقه علم مختصر، أي أنّه يقتصر على الحدّ الأدنى من الأحكام لحلّ المنازعات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يقدّم الحدّ الأكثر من التفاصيل لإدارة وتدبير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وللجواب على هذا الرأي نرى ضرورة معرفة أنّ قوانين الإسلام لا تنحصر بحل المنازعات، بل أنّ جزءاً من قوانينه الاجتماعية يختص بإرشاد الأفراد إلى واجباتهم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أكثر أُولئك الذين ليسوا متنازعين فيما بينهم، لكنّهم بحاجة إلى مَن يرشدهم إلى واجباتهم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قع خلط في هذا الرأي بين القوانين العامة والتخطيط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لأنّ‌المطلوب من دين خاتم يتواءم مع كلّ صيغ الحياة، هو أن يوضح العموميات ويترك التخطيط على عاتق المفكّرين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أعدّ التخطيط إلى جانب توضيح العموميات لما صار ديناً خاتماً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لكلّ زمان ومكان وضعهما الخاص الّذي يستلزم تخطيطاً خاصاً، لذا فملاحظة كل هذا التنوع يخلق مشاكل فضلاً عن استلزامه تعطيل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التخطيط لكلّ العصور؟ إذ قد لا ينسجم تخطيط كهذا مع كلّ صيغ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أنّ الإسلام دعا إلى النظافة، ومنع من تناول اللحوم الضارة، وأعطى للطهارة أهمية في برامجه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لا يعني أنّ البشر لم يعودوا بحاجة إلى جهد لتنفيذ هذه المبادئ؛ لأنّ تحقيق صحّة المجتمع ينبغي أن يأخذ منحى علمياً بالاستفادة من النتائج العلمية الخاصة بكلّ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ينطبق أيضاً على مجال القضاء والمحاكمات والعلاقات الدولية وغير ذلك</w:t>
      </w:r>
      <w:r>
        <w:rPr>
          <w:rFonts w:eastAsia="Amiri" w:cs="Amiri" w:ascii="Amiri" w:hAnsi="Amiri"/>
          <w:color w:val="111111"/>
          <w:sz w:val="28"/>
          <w:szCs w:val="28"/>
          <w:rtl w:val="true"/>
          <w:lang w:bidi="ar-SA"/>
        </w:rPr>
        <w:t>.</w:t>
      </w:r>
      <w:bookmarkStart w:id="133" w:name="pg16772_194359"/>
    </w:p>
    <w:p>
      <w:pPr>
        <w:pStyle w:val="Heading4"/>
        <w:numPr>
          <w:ilvl w:val="3"/>
          <w:numId w:val="1"/>
        </w:numPr>
        <w:rPr/>
      </w:pPr>
      <w:bookmarkStart w:id="134" w:name="__RefHeading___Toc6963461_73709187"/>
      <w:bookmarkStart w:id="135" w:name="_Toc49"/>
      <w:bookmarkEnd w:id="133"/>
      <w:bookmarkEnd w:id="134"/>
      <w:r>
        <w:rPr>
          <w:rtl w:val="true"/>
        </w:rPr>
        <w:t>علم الفقه متأثّر بالبنية الاجتماعية</w:t>
      </w:r>
      <w:r>
        <w:rPr>
          <w:rtl w:val="true"/>
        </w:rPr>
        <w:t>!</w:t>
      </w:r>
      <w:bookmarkEnd w:id="135"/>
    </w:p>
    <w:p>
      <w:pPr>
        <w:pStyle w:val="BookText"/>
        <w:rPr/>
      </w:pPr>
      <w:r>
        <w:rPr>
          <w:rFonts w:ascii="Amiri" w:hAnsi="Amiri" w:eastAsia="Amiri" w:cs="Amiri"/>
          <w:color w:val="111111"/>
          <w:sz w:val="28"/>
          <w:sz w:val="28"/>
          <w:szCs w:val="28"/>
          <w:rtl w:val="true"/>
          <w:lang w:bidi="ar-SA"/>
        </w:rPr>
        <w:t>إنّ الفقه علم سياسي 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فهو تابع لمتطلّبات المجتمع والسياسة ومتناسب معها، وليس العكس، وبمرافقتها يتحرّك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والتاريخ ليسا صنيعة الفقه والفقهاء، بل العالم والتاريخ في تحول دائم، والفقه يتابعهما كي يجعل حياة الإنسان في هذا العالم المتغيّر وفي إطار العلاقات الجديدة أكثر ملائمة وأقل تشنّجاً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ونشير حيال هذه الفكرة إلى بعض النقاط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علم الفقه مختص بتنظيم علاقات الإنسان باللّه وعلاقة الإنسان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المرحلة الأُولى فلا دخل للمجتمع فيها؛ لأنّه ليس طرفاً فيها، فموضوع هذه العلاقة هو الإنسان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فتقييد الفقه بالتأثّر بالبنية الاجتماعية يمثل إهمالاً لرسالة الفقه الواسعة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الفقه في مجال تنظيمه لعلاقة الإنسان بالإنسان لا يتأثّر بالبنية الاجتماعية في كلّ تفاصيله، ذلك أنّ الأحكام الفقهية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ثابتة وقرارات متغيّرة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وحركة الفقه ومرونته تابعة لقراراته لا لقوانينه، ولا يخفى على أهل الاختصاص ما بين الاثنين من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فالمعايير العامّة في الإسلام قوانين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مستمدّة من فطرة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تابعة للبنية الاجتماعية بأي وجه كان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فهي جارية عليه ما دام الإنسان إنساناً، ولا فرق هنا بين الإنسان الغربي والشرقي؛ لأنّ الفطرة واحدة في الجميع، فتحريم الظلم والكذب والخيانة والغش قانون ثابت، وكذلك المطالبة بالعدل وصيانة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وأفضلية الإسلام على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يتغير منها، فهو شكلها وصياغتها الّتي بالإمكان تغيرها تبعاً</w:t>
      </w:r>
      <w:bookmarkStart w:id="136" w:name="pg16772_194360"/>
    </w:p>
    <w:p>
      <w:pPr>
        <w:pStyle w:val="BookText"/>
        <w:rPr/>
      </w:pPr>
      <w:bookmarkEnd w:id="136"/>
      <w:r>
        <w:rPr>
          <w:rFonts w:ascii="IRNazanin" w:hAnsi="IRNazanin" w:eastAsia="IRNazanin"/>
          <w:color w:val="111111"/>
          <w:sz w:val="28"/>
          <w:sz w:val="28"/>
          <w:szCs w:val="28"/>
          <w:rtl w:val="true"/>
          <w:lang w:bidi="fa-IR"/>
        </w:rPr>
        <w:t>للزمان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للفقه بالإضافة إلى تنظيمه لهاتين العلاقتين، واجب آخر، وهو أنّ عليه بما يمتلك من رصانة أن يقدّم الأحكام لما يطرأ في المجتمع من تغيرات بعيداً عن التأثر بالبنية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الخصوصيات الثلاث دالة على كمال الفقه لا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يتأثر بالمجتمع في تنظيمه لعلاقة الإنسان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على فطرة الإنسان الثابتة في سنّه للقوانين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رصين في تعامله مع تغيّرات الحياة إلى الحد الذي يصدر أحكامه بشأنها غير ملتفت للبنية الاجتماعية لاستناده إلى الكتاب والسنّة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يستعين الفقه بالبنية الاجتماعية إلّافي نطاق القرارات ذات الطابع الشرعي</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6963463_73709187"/>
      <w:bookmarkStart w:id="138" w:name="_Toc50"/>
      <w:bookmarkEnd w:id="137"/>
      <w:r>
        <w:rPr>
          <w:rtl w:val="true"/>
        </w:rPr>
        <w:t>لا شأن للفقه بالحقوق</w:t>
      </w:r>
      <w:r>
        <w:rPr>
          <w:rtl w:val="true"/>
        </w:rPr>
        <w:t>!</w:t>
      </w:r>
      <w:bookmarkEnd w:id="138"/>
    </w:p>
    <w:p>
      <w:pPr>
        <w:pStyle w:val="BookText"/>
        <w:rPr/>
      </w:pPr>
      <w:r>
        <w:rPr>
          <w:rFonts w:ascii="Amiri" w:hAnsi="Amiri" w:eastAsia="Amiri" w:cs="Amiri"/>
          <w:color w:val="111111"/>
          <w:sz w:val="28"/>
          <w:sz w:val="28"/>
          <w:szCs w:val="28"/>
          <w:rtl w:val="true"/>
          <w:lang w:bidi="ar-SA"/>
        </w:rPr>
        <w:t>إنّ علم الفقه الحالي يدور حول الواجبات ولا شأن له بالحقوق، هذه هي خلاصة الفكرة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عليها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تمييز بين الواجبات والحقوق، فكما لدينا باب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لدينا أيضاً باب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لدى الفقهاء باباً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الأحكام والحقوق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كتب البعض في ذلك رسائل مستقلة، ومع هذا الوصف كيف حدّد الفقه بالأحكام، وأخرج الحقوق من دائرته‌؟ إنّ الحق والواجب مفهومان متغايران، ولكلّ منهما أحكامه الخاصّة، وقد</w:t>
      </w:r>
      <w:bookmarkStart w:id="139" w:name="pg16772_194361"/>
    </w:p>
    <w:p>
      <w:pPr>
        <w:pStyle w:val="BookText"/>
        <w:rPr/>
      </w:pPr>
      <w:bookmarkEnd w:id="139"/>
      <w:r>
        <w:rPr>
          <w:rFonts w:ascii="Amiri" w:hAnsi="Amiri" w:eastAsia="Amiri" w:cs="Amiri"/>
          <w:color w:val="111111"/>
          <w:sz w:val="28"/>
          <w:sz w:val="28"/>
          <w:szCs w:val="28"/>
          <w:rtl w:val="true"/>
          <w:lang w:bidi="ar-SA"/>
        </w:rPr>
        <w:t>يتّحدان في الحكم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فوجوب الصلاة والصوم والحج والجهاد من الأحكام، في حين أنّ نفقة الزوجة حقّ في ذمّة الزوج، وليتّضح أنّ الفقه الإسلامي إلى أي حدّ هو مليء بالحقوق الاجتماعية والفردية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عدداً ممّا ورد في كتب الفقه كنماذج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الفقراء، حقّ الإمام والمأموم، حقّ الزوجة، حقّ المسلم على المسلم، حقّ الطفل، حقّ المجني عليه، حقّ المرتهن، حقّ الجوار، حق المالك، حقّ المساكين، حقّ الزوج، حقّ الوارث، حقّ المدعي، حقّ المستأجر، حقّ الغانم، حقّ البائع، حقّ المشتري، حقّ المتعاقدين، حقّ الشريك، حقّ الواهب، حقّ الغرماء، حقّ المتخاصمين، حقّ المحتال، حقّ السلطان، حقّ الزراع، حقّ العامل، حقّ المستعير، حقّ المؤجر، حقّ الموقوف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6963465_73709187"/>
      <w:bookmarkStart w:id="141" w:name="_Toc51"/>
      <w:bookmarkEnd w:id="140"/>
      <w:r>
        <w:rPr>
          <w:rtl w:val="true"/>
        </w:rPr>
        <w:t>الفقه والمصالح</w:t>
      </w:r>
      <w:bookmarkEnd w:id="141"/>
    </w:p>
    <w:p>
      <w:pPr>
        <w:pStyle w:val="BookText"/>
        <w:rPr/>
      </w:pPr>
      <w:r>
        <w:rPr>
          <w:rFonts w:ascii="Amiri" w:hAnsi="Amiri" w:eastAsia="Amiri" w:cs="Amiri"/>
          <w:color w:val="111111"/>
          <w:sz w:val="28"/>
          <w:sz w:val="28"/>
          <w:szCs w:val="28"/>
          <w:rtl w:val="true"/>
          <w:lang w:bidi="ar-SA"/>
        </w:rPr>
        <w:t>يرى علم الفقه الحالي أنّ الأحكام الاجتماعية تستند إلى مصالح خفيّة، وهذا بحدِّ ذاته أصبح سبباً في تلكّؤ 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كون استناد أحكام الإسلام إلى المصالح الخفية، يؤدّي إلى العجز عن إحداث تغيير في الفقه، ليس صحيحاً بالطبع، فأحكام الإسلام يمكن تقسيمها بحسب المصالح إلى عدّة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منها قائم على أساس الحسن والقبح العقليين، وبإمكان الإنسان اكتشاف مصالحه بمجرد مراجعته لوجدانه،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w:t>
      </w:r>
    </w:p>
    <w:p>
      <w:pPr>
        <w:pStyle w:val="BookText"/>
        <w:rPr/>
      </w:pP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آخر خاص بالعبادات التي تعود أحكامها إلى مجموعة من مصالح خفية بلا شك، ولكن عدم معرفتنا بها لا علاقة له بتلكّؤ إدارة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ثالث من أحكام الإسلام ينطوي على مصالح واضحة، ووضوحها مشروط بالبحث عنها بمنظار واقعي، مثال ذلك الاختلاف بين حقوق المرأة والرجل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هذا الاختلاف تمييزاً، بل الاختلاف في المسؤولية ناشئ من اختلاف الخلقة، فعندما يحدد إرث الرجل بضعف إرث المرأة، فذلك في مقابل تكاليف الحياة الملقاة على عاتق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الأحكام الخاصة بالعناوين الثانوية، فتحديدها بناء على الضرر والحرج، والمهم والأهم، ليس بالأمر الصعب، لذا فتشخيص ملاكات الأحكام يمنح الفقه سيولة ومرونة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قسم آخر يعرف بالأحكام الولائية، وهي الأحكام الّتي يصدرها الحاكم بعد التشاور مع أهل الخبرة لتمييز ما فيه صالح المسلمين عن سواه، نظير حكم الميرزا الشيرازي بشأن احتكار تجارة التبغ، هذا مضافاً إلى أنّ بعض الأحكام قد ذكرت مصالحها وملاكاتها بوضوح في الكتاب والسنّة، لذا فالمصالح الخفية في العبادات غالباً لا تمنع الفقهاء من تطوير الفقه فيما يرتبط بالمجتمع</w:t>
      </w:r>
      <w:r>
        <w:rPr>
          <w:rFonts w:eastAsia="Amiri" w:cs="Amiri" w:ascii="Amiri" w:hAnsi="Amiri"/>
          <w:color w:val="111111"/>
          <w:sz w:val="28"/>
          <w:szCs w:val="28"/>
          <w:rtl w:val="true"/>
          <w:lang w:bidi="ar-SA"/>
        </w:rPr>
        <w:t>.</w:t>
      </w:r>
      <w:bookmarkStart w:id="142" w:name="pg16772_194363"/>
    </w:p>
    <w:p>
      <w:pPr>
        <w:pStyle w:val="Heading3"/>
        <w:numPr>
          <w:ilvl w:val="2"/>
          <w:numId w:val="1"/>
        </w:numPr>
        <w:rPr/>
      </w:pPr>
      <w:bookmarkStart w:id="143" w:name="__RefHeading___Toc6963467_73709187"/>
      <w:bookmarkStart w:id="144" w:name="_Toc52"/>
      <w:bookmarkEnd w:id="142"/>
      <w:bookmarkEnd w:id="143"/>
      <w:r>
        <w:rPr/>
        <w:t>4</w:t>
      </w:r>
      <w:r>
        <w:rPr>
          <w:rtl w:val="true"/>
        </w:rPr>
        <w:t xml:space="preserve"> </w:t>
      </w:r>
      <w:r>
        <w:rPr>
          <w:rtl w:val="true"/>
        </w:rPr>
        <w:t>صفة حجّ رسول اللّه صلى الله عليه و آله و سلم في حديث الإمام الباقر عليه السلام حضور الصادقين عليهما السلام في الحج قلّل الاختلاف في المناسك</w:t>
      </w:r>
      <w:bookmarkEnd w:id="144"/>
    </w:p>
    <w:p>
      <w:pPr>
        <w:pStyle w:val="Heading4"/>
        <w:numPr>
          <w:ilvl w:val="3"/>
          <w:numId w:val="1"/>
        </w:numPr>
        <w:rPr/>
      </w:pPr>
      <w:bookmarkStart w:id="145" w:name="__RefHeading___Toc6963469_73709187"/>
      <w:bookmarkStart w:id="146" w:name="_Toc53"/>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الحمد للّه الذي جعل الكعبة للناس قياماً، والبيت الحرام مثابة لهم وأمناً، وجعل زيارة بيته فريضة على المسلمين رجالاً ونساءً‌، شيباً وشبّاناً، وعلى كلّ لون وجنس ممّن آمن باللّه ورسوله وكتابه وسنّته، حتى يؤدّوا تلك الفريضة العبادية السياسية على صعيد واحد، وفي أجواء روحية تسمو فيها مشاعر الوحدة والتقارب بين المسلمين، دون أن يكون بينهم تنازع وتناوش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 مع كونه من أفضل العبادات الفردية، فإنّ له أبعاداً سياسية واجتماعية عميقة، فهو بمثابة مؤتمر سنويّ موسّع، يجتمع فيه المسلمون من مختلف البلدان، فيوفّر لهم فرصة ثمينة للبحث والتشاور وتبادل الرأي، في قضايا الإسلام، وشؤون الأُمّة، في حاضرها ومستقبلها، ودراسة سُبل توحيد قواهم ورصّ صفوفهم وحلّ مشاكلهم، حتى يعودوا جبالاً راسية أمام المعتدين والمستكبرين، الذين يتربّصون بهم الشرّ، ويطمعون في نهب أموالهم وثرواتهم وسحق كرامتهم، وقتل رجالهم ونسائهم بلا هوادة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فريضة هذه طبيعتها وطابَعها تقتضي أن يكون الخلاف في أداء طقوسها وواجباتها نادراً حتى لا يشتغل المسلمون بالخلافات الفقهية في أداء المناسك ولا تصدّهم عن الأهداف السياسية والاجتماعية المُبتغاة من ذلك</w:t>
      </w:r>
    </w:p>
    <w:p>
      <w:pPr>
        <w:pStyle w:val="BookText"/>
        <w:rPr/>
      </w:pPr>
      <w:r>
        <w:rPr>
          <w:rFonts w:ascii="Amiri" w:hAnsi="Amiri" w:eastAsia="Amiri" w:cs="Amiri"/>
          <w:color w:val="111111"/>
          <w:sz w:val="28"/>
          <w:sz w:val="28"/>
          <w:szCs w:val="28"/>
          <w:rtl w:val="true"/>
          <w:lang w:bidi="ar-SA"/>
        </w:rPr>
        <w:t>المؤتمر السنوي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حسن الحظّ أنّا نجد أنّ الخلاف بين الفقهاء السنّة والشيعة في مناسك الحج، قليلاً إلى درجة لا يؤثّر معها في وحدة الكلمة ورصّ الصفوف، ولذلك أسباب وعلل أهمّها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رسول الإسلام صلى الله عليه و آله و سلم مكث سنين في المدينة ولم يحج، ثم أذّن في الناس للحج في السنة العاشرة، فلبّى كثير من المسلمين نداءه، ورافقوه في مراحل الحج ابتداءً من الإحرام في ذي الحليفة حتّى الخروج عن إحرام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الجمع الحاشد قد مارس هذه العبادة مع رسول اللّه صلى الله عليه و آله و سلم، الأمر الذي أدّى إلى تعلّم الصحابة وغيرهم فرائض الحج وسننه منه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هو الفرق بين معلم يخطب ويتكلّم ويأمر الناس بأعمال وتروك، وبين من يمارس العمل بنفسه والناس يتبعونه في أفعاله وتروكه، لا شكّ في أنّ ما يقوم به الثاني يكون أرسخ في القلوب، وأوفر حظّاً في انتقاله إلى الأجيال اللاحقة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العامل الآخر لتقليل الخلاف حضور الإمامين العظيمين محمد الباقر وجعفر الصادق عليهما السلام في مواسم الحجّ عاماً بعد عام، ورجوع الناس إليهم في بعض الفترات التي خفّ فيها نوعاً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الضغطُ على أئمة أهل البيت عليهم السلام لا سيّما في الفترة الممتدّة بين أواخر العصر الأُموي وأوائل العصر العباسي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انصبّ اهتمام الإمامين على تعليم فريضة الحجّ ونشرها بين الناس طوال سنين، فهذا هو زرارة بن أعين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w:t>
      </w:r>
      <w:bookmarkStart w:id="147" w:name="pg16772_194365"/>
    </w:p>
    <w:p>
      <w:pPr>
        <w:pStyle w:val="BookText"/>
        <w:rPr/>
      </w:pPr>
      <w:bookmarkEnd w:id="147"/>
      <w:r>
        <w:rPr>
          <w:rFonts w:ascii="Amiri" w:hAnsi="Amiri" w:eastAsia="Amiri" w:cs="Amiri"/>
          <w:color w:val="111111"/>
          <w:sz w:val="28"/>
          <w:sz w:val="28"/>
          <w:szCs w:val="28"/>
          <w:rtl w:val="true"/>
          <w:lang w:bidi="ar-SA"/>
        </w:rPr>
        <w:t>فداك أسألك في الحجّ منذ أربعين عاماً فتفتيني‌؟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يحج إليه قبل آدم بألفي عام تريد أن تفنى مسائله في أربعين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والحديث يعرب أنّه كان للإمام الصادق عليه السلام دور عظيم في تبيين وتعليم مناسك الحجّ‌، حيث كان يفتي فيها أربعين سنة، وقد أخذ بزمام الإمامة عام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وتوفّي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وعلى هذا فإنّه كان يفتي أيضاً في حياة أبيه</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6963471_73709187"/>
      <w:bookmarkStart w:id="149" w:name="_Toc54"/>
      <w:bookmarkEnd w:id="148"/>
      <w:r>
        <w:rPr>
          <w:rtl w:val="true"/>
        </w:rPr>
        <w:t>الإمام الباقر عليه السلام يصف حج رسول اللّه صلى الله عليه و آله و سلم</w:t>
      </w:r>
      <w:bookmarkEnd w:id="149"/>
    </w:p>
    <w:p>
      <w:pPr>
        <w:pStyle w:val="BookText"/>
        <w:rPr/>
      </w:pPr>
      <w:r>
        <w:rPr>
          <w:rFonts w:ascii="Amiri" w:hAnsi="Amiri" w:eastAsia="Amiri" w:cs="Amiri"/>
          <w:color w:val="111111"/>
          <w:sz w:val="28"/>
          <w:sz w:val="28"/>
          <w:szCs w:val="28"/>
          <w:rtl w:val="true"/>
          <w:lang w:bidi="ar-SA"/>
        </w:rPr>
        <w:t xml:space="preserve">واجهت الدولة الأموية انتفاضات شعبية واسعة في أكثر البلاد الإسلامية شغلتها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درجة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أئمة أهل البيت عليهم السلام فقام الإمام الباقر عليه السلام ببيان أحكام الحجّ فرائضه وسننه بوجه دقيق، وقد روى مسلم في صحيحه،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جابر بن عبد اللّه، فسأل عن القوم حتّى انتهى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الحسين، فأهوى بيده إلى رأسي فنزع زرّي الأعلى ثمّ نزع زرّي الأسفل، ثمّ وضع كفّه بين ثديَيّ وأنا يومئذٍ غلام شابٌّ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بك يا ابن أخي سل عمّا شئت، فسألته وهو أعمى، وحضر وقت الصلاة، فقام في نساجة ملتحفاً بها كلّما وضعها على منكبه رجع طرفاها إليه من صغرها ورداؤه إلى جنبه على المشجب، فصلّى بنا،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حجّة رسول اللّه صلى الله عليه و آله و سلم فقال بيده فعقد تسعاً فقال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 آله و سلم مكث تسع سنين لم يحجّ ثمّ أذّن في الناس في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حاجٌّ‌، فقدم المدينة بشر كثير كلُّهم يلتمس أن يأتمّ‌</w:t>
      </w:r>
    </w:p>
    <w:p>
      <w:pPr>
        <w:pStyle w:val="BookText"/>
        <w:rPr/>
      </w:pPr>
      <w:r>
        <w:rPr>
          <w:rFonts w:ascii="Amiri" w:hAnsi="Amiri" w:eastAsia="Amiri" w:cs="Amiri"/>
          <w:color w:val="111111"/>
          <w:sz w:val="28"/>
          <w:sz w:val="28"/>
          <w:szCs w:val="28"/>
          <w:rtl w:val="true"/>
          <w:lang w:bidi="ar-SA"/>
        </w:rPr>
        <w:t>برسول اللّه صلى الله عليه و آله و سلم ويعمل مثل عمله، فخرجنا معه حتى أتينا ذا الحليفة فولدت أسماء بنت عُميس محمّد بن أبي بكر، فأرسلَتْ إلى رسول اللّه صلى الله عليه و آله و سلم 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اغتسلي واستثفري بثوب وأحرمي، فصلّى رسول اللّه صلى الله عليه و آله و سلم في المسجد، ثمّ ركب القصواء حتّى إذا استوت به ناقته على البيداء، نظرتُ إلى مدّ بصري بين يديه من راكب وماش، وعن يمينه مثل ذلك، وعن يساره مثل ذلك، ومن خلفه مثل ذلك ورسول اللّه صلى الله عليه و آله و سلم بين أظهرنا وعليه ينزل القرآن وهو يعرف تأويله وما عمل به من شيء عملنا به، فأهلّ بالتوحيد، لبّيك اللّهمّ لَبّيك لبّيك لا شريك لك لَبّيك إنّ الحمد والنِّعمة لك والمُلك لا شَريك لك، وأهلَّ النّاس بهذا الّذي يُهلّون به، فلم يردّ رسول اللّه صلى الله عليه و آله و سلم عليهم شيئاً منه، ولزم رسول اللّه صلى الله عليه و آله و سلم تلبيته، قال جابر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ننوي إلّاالحجّ لسنا نعرف العمرة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أتينا البيت معه استلم الرّكن فرمل ثلاثاً ومشى أربعاً، ثمّ نفذ إلى مقام إبراهيم عليه السلام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فجعل المقام بينه وبين البيت فكان أبي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أعلمه ذكره إلّاعن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في الرّكعتين قل هو اللّه أحد، وقل يا أيّها الكافرون، ثمّ رجع إلى الرُّكن فاستلمه، ثمّ خرج من الباب إلى الصّفا، فلمّا دنا من الصّفا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أبدأُ بما بدأ اللّه به، فبدأ بالصّفا فَرَقِيَ عليه حتّى رأى البيت، فاستقبل القبلة فوحّد اللّه وكبّره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وحده لا شريك له، له الملك وله الحمد وهو على كلّ شيء قدير، لا إله إلّااللّه وحده، أنجز وعده، ونصر عبده، وهزم</w:t>
      </w:r>
    </w:p>
    <w:p>
      <w:pPr>
        <w:pStyle w:val="BookText"/>
        <w:rPr/>
      </w:pPr>
      <w:r>
        <w:rPr>
          <w:rFonts w:ascii="Amiri" w:hAnsi="Amiri" w:eastAsia="Amiri" w:cs="Amiri"/>
          <w:color w:val="111111"/>
          <w:sz w:val="28"/>
          <w:sz w:val="28"/>
          <w:szCs w:val="28"/>
          <w:rtl w:val="true"/>
          <w:lang w:bidi="ar-SA"/>
        </w:rPr>
        <w:t>الأحزاب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بين ذلك، قال مثل هذا ثلاث مرّات، ثمّ نزل إلى المروة حتّى إذا انصبّت قدماه في بطن الوادي سعى حتّى إذا صعدتا مشى حتّى أتى المروة ففعل على المروة كما فعل على الصفا، حتّى إذا كان آخر طوافه على المروة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أنّي استقبلت من أمري ما استدبرتُ لم أسُق الهدي وجعلتها عمرة، فمن كان منكم ليس معه هدي فليحلّ وليجعلها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سراقة بن مالك بن جُعشم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ألعامنا هذا أم لأبد؟ فشبَّك رسول اللّه صلى الله عليه و آله و سلم أصابعه واحدة في الأُخرى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مرّتين لا بل لأبدٍ أبدٍ، وقدم عليٌّ من اليمن ببُدن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قلتَ حين فرضت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أُهلُّ بما أهَلَّ به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معي الهدي فلا 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جماعة الهدي الّذي قدم به عليٌّ من اليمن والّذي أتى به النّبيّ صلى الله عليه و آله و سلم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الناس كلّهم وقصّروا، إلّا النبيّ صلى الله عليه و آله و سلم ومن كان معه 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التروية توجَّهوا إلى منى فأهلّوا بالحجّ وركبَ رسول اللّه صلى الله عليه و آله و سلم فصلّى بها الظُّهر والعصر والمغرب والعشاء والفجر، ثمّ مكث قليلاً حتّى طلعت الشمس وأمر بقُبّة من شعر تُضرب له بنمرة، فسار رسول اللّه صلى الله عليه و آله و سلم ولا تشكّ قريش إلّاأنّه واقف عند المشعر الحرام كما كانت قريش تصنع في الجاهلية، فأجاز رسول اللّه صلى الله عليه و آله و سلم حتّى أتى عرفةً فوجد القبّة قد ضربت له بنمرة فنزل بها حتّى إذا زاغت الشَّمس أمر بالقصواء فرحلت له، فأتى بطن الوادي فخطب الناس</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دماءكم وأموالكم حرام عليكم كحرمة يومكم هذا في شهركم</w:t>
      </w:r>
    </w:p>
    <w:p>
      <w:pPr>
        <w:pStyle w:val="BookText"/>
        <w:rPr/>
      </w:pPr>
      <w:r>
        <w:rPr>
          <w:rFonts w:ascii="Amiri" w:hAnsi="Amiri" w:eastAsia="Amiri" w:cs="Amiri"/>
          <w:color w:val="111111"/>
          <w:sz w:val="28"/>
          <w:sz w:val="28"/>
          <w:szCs w:val="28"/>
          <w:rtl w:val="true"/>
          <w:lang w:bidi="ar-SA"/>
        </w:rPr>
        <w:t xml:space="preserve">هذا، في بلدكم هذا، ألا كلُّ شيء من أمر الجاهلية تحت قدميّ موضوع ودِماء الجاهليّة موضوعة، وإنّ أوّل دم أضع من دمائنا دم ابن ربيعة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مسترضعاً في بني سعد فقتلته 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وربا الجاهليّة موضوع، وأوّل رِباً أضع ربانا ربا عبّاس بن عبد المطّلب فإنّه موضوع كلّه، فاتّقوا اللّه في النِّساء فإنّكم أخذتموهنّ بأمان اللّه واستحللتم فروجهنّ بكلمة اللّه ولكم عليهنّ أن لا يوطِئْن فرشكم أحداً تكرهونه، فإن فعلن ذلك فاضربوهنّ ضرباً غير مبرّح، ولهنّ عليكم رزقهنّ وكسوتهنّ بالمعروف، وقد تركتُ فيكم ما لن تضلُّوا بعده إن اعتصمتم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r>
        <w:rPr>
          <w:rStyle w:val="FootnoteAnchor"/>
          <w:rtl w:val="true"/>
        </w:rPr>
        <w:footnoteReference w:id="56"/>
      </w:r>
      <w:r>
        <w:rPr>
          <w:rFonts w:ascii="Amiri" w:hAnsi="Amiri" w:eastAsia="Amiri" w:cs="Amiri"/>
          <w:color w:val="111111"/>
          <w:sz w:val="28"/>
          <w:sz w:val="28"/>
          <w:szCs w:val="28"/>
          <w:rtl w:val="true"/>
          <w:lang w:bidi="ar-SA"/>
        </w:rPr>
        <w:t>، وأنتم تسألون عنّي فما أنتم قائلون‌؟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وأدّيت ونصحت، فقال بإصبعه السّبّابة يرفعها إلى السّماء وينكتها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اللّهمّ اشهد، ثلاث مرّات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أذّن، ثمّ أقام فصلّى الظُّهر، ثمّ أقام فصلّى العصر، ولم يُصلّ بينهما شيئاً، ثمّ ركب رسول اللّه صلى الله عليه و آله و سلم حتّى أتى الموقف، فجعل بطن ناقته القصواء إلى الصَّخرات وجعل حبل المشاة بين يديه واستقبل القبلة، فلم يزل واقفاً حتّى</w:t>
      </w:r>
    </w:p>
    <w:p>
      <w:pPr>
        <w:pStyle w:val="BookText"/>
        <w:rPr/>
      </w:pPr>
      <w:r>
        <w:rPr>
          <w:rFonts w:ascii="Amiri" w:hAnsi="Amiri" w:eastAsia="Amiri" w:cs="Amiri"/>
          <w:color w:val="111111"/>
          <w:sz w:val="28"/>
          <w:sz w:val="28"/>
          <w:szCs w:val="28"/>
          <w:rtl w:val="true"/>
          <w:lang w:bidi="ar-SA"/>
        </w:rPr>
        <w:t>غربت الشَّمس وذهبت الصُّفرة قليلاً حتّى غاب القُرص وأردف أُسامة خلفَه، ودفع رسول اللّه صلى الله عليه و آله و سلم وقد شنق للقصواء الزِّمام حتّى إنّ رأسها ليُصيب مورك رَحله ويقول بيده اليمنى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السَّكينة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أتى حبلاً من الحبال أرخى لها قليلاً حتّى تصعد، حتّى أتى المزدلفة فصلّى بها المغرب والعشاء بأذان واحد وإقامتين ولم يسبّح بينهما شيئاً، ثم اضطجعَ رسول اللّه صلى الله عليه و آله و سلم حتّى طلع الفجر وصلّى الفجر حين تبيّن له الصّبح بأذان وإقامة، ثمّ ركب القصواء حتّى أتى المشعر الحرام فاستقبل القبلة فدعاه وكبّره وهلّله ووحّده، فلم يزل واقفاً حتّى أسفر جِدّاً فدفع قبل أن تطلع الشَّمس</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وأردف الفضل بن عبّاس وكان رجلاً حسن الشَّعر أبيض وسيماً، فلمّا دفع رسول اللّه صلى الله عليه و آله و سلم مرّت به ظُعُنٌ يجرين، فطفق الفضل ينظر إليهنّ‌، فوضع رسول اللّه صلى الله عليه و آله و سلم يده على وجه الفضل، فحوّل الفضل وجهه إلى الشِّق الآخر 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فحوّل رسول اللّه صلى الله عليه و آله و سلم يده من الشِّقّ الآخر على وجه الفضل يصرف وجهه من الشِّقّ الآخر ينظر</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حتّى أتى بطن محسِّر فحرّك قليلاً، ثمّ سلك الطّريق الوسطى الّتي تخرج على الجمرة الكبرى حتّى أتى الجمرة التي عند الشجرة فرماها بسبع حصيات يكبِّر مع كلّ حصاة منها مثل حصى الخذف رمى من بطن الوادي، ثمّ انصرف إلى المنحر فنحر ثلاثاً وستّين بيده ثمّ أعطى عليّاً فنحر ما غبر وأشركه في هديه، ثمّ أمر من كلِّ بدنة ببضعة فجعلت في قدر فطبخت فأكلا من لحمها وشربا من مرقها، ثمّ ركب رسول اللّه صلى الله عليه و آله و سلم فأفاض إلى البيت فصلّى بمكّة</w:t>
      </w:r>
    </w:p>
    <w:p>
      <w:pPr>
        <w:pStyle w:val="BookText"/>
        <w:rPr/>
      </w:pPr>
      <w:r>
        <w:rPr>
          <w:rFonts w:ascii="Amiri" w:hAnsi="Amiri" w:eastAsia="Amiri" w:cs="Amiri"/>
          <w:color w:val="111111"/>
          <w:sz w:val="28"/>
          <w:sz w:val="28"/>
          <w:szCs w:val="28"/>
          <w:rtl w:val="true"/>
          <w:lang w:bidi="ar-SA"/>
        </w:rPr>
        <w:t>الظُّهر فأتى بني عبد المطَّلب يسقون على زمزم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أنزعوا بني عبد المطّلب فلولا أن يغلبكم النّاس على سقايتكم لنزعتُ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فناولوه دلواً فشرب منه</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نقل الإمام الباقر عليه السلام هذه المناسك عن جابر بن عبد اللّه، إنّما هو لأجل إقناع عامّة المسلمين بما يرويه، وإلّا فهو صلوات اللّه وسلامه عليه أعرف بها من هذا الصحابيّ الجليل، لكن الظروف ألجأته إلى روايتها عنه، لتقع موقع القبول عند عامّة المسلمين</w:t>
      </w:r>
      <w:r>
        <w:rPr>
          <w:rFonts w:eastAsia="Amiri" w:cs="Amiri" w:ascii="Amiri" w:hAnsi="Amiri"/>
          <w:color w:val="111111"/>
          <w:sz w:val="28"/>
          <w:szCs w:val="28"/>
          <w:rtl w:val="true"/>
          <w:lang w:bidi="ar-SA"/>
        </w:rPr>
        <w:t>.</w:t>
      </w:r>
      <w:bookmarkStart w:id="150" w:name="pg16772_194371"/>
    </w:p>
    <w:p>
      <w:pPr>
        <w:pStyle w:val="Heading4"/>
        <w:numPr>
          <w:ilvl w:val="3"/>
          <w:numId w:val="1"/>
        </w:numPr>
        <w:rPr/>
      </w:pPr>
      <w:bookmarkStart w:id="151" w:name="__RefHeading___Toc6963473_73709187"/>
      <w:bookmarkStart w:id="152" w:name="_Toc55"/>
      <w:bookmarkEnd w:id="150"/>
      <w:bookmarkEnd w:id="151"/>
      <w:r>
        <w:rPr>
          <w:rtl w:val="true"/>
        </w:rPr>
        <w:t>السيّد البروجردي يهدي هذا الحديث إلى الملك سعود</w:t>
      </w:r>
      <w:bookmarkEnd w:id="152"/>
    </w:p>
    <w:p>
      <w:pPr>
        <w:pStyle w:val="BookText"/>
        <w:rPr/>
      </w:pPr>
      <w:r>
        <w:rPr>
          <w:rFonts w:ascii="Amiri" w:hAnsi="Amiri" w:eastAsia="Amiri" w:cs="Amiri"/>
          <w:color w:val="111111"/>
          <w:sz w:val="28"/>
          <w:sz w:val="28"/>
          <w:szCs w:val="28"/>
          <w:rtl w:val="true"/>
          <w:lang w:bidi="ar-SA"/>
        </w:rPr>
        <w:t xml:space="preserve">وممّا يحسن ذكره أنّ الملك سعود بن عبد العزيز زار إيران عام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وأهدى إلى السيد المحقق البروجردي مصاحف مطبوعة بمكة وقطعاً من كسوة الكعبة وهدايا أُخرى، فكتب السيد البروجردي إلى سفير المملكة في طهران رسالة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أمر الحج في هذه السنين بيد جلالة الملك، أرسلت حديثاً طويلاً في صفة حج رسول اللّه صلى الله عليه و آله و سلم رواه مسلم في صحيحه وأبو داود في سننه ويستفاد منه أكثر أحكام الحجّ إن لم يكن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 اللّه عزّ شأنه أن يؤلف بين قلوب المسلمين ويجعلهم يداً واحدة على من سواهم ويوجههم إلى أن يعملوا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ويجتنبوا التدابر والتباغض واتباع الشهوات الموجبة لافتراق الكلمة ويلتزموا بقول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 تَبْتَغُونَ عَرَضَ الْحَياةِ الدُّنْيا</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والسلام عليكم ورحمة اللّه</w:t>
      </w:r>
    </w:p>
    <w:p>
      <w:pPr>
        <w:pStyle w:val="BookText"/>
        <w:rPr/>
      </w:pPr>
      <w:r>
        <w:rPr>
          <w:rFonts w:ascii="Amiri" w:hAnsi="Amiri" w:eastAsia="Amiri" w:cs="Amiri"/>
          <w:color w:val="111111"/>
          <w:sz w:val="28"/>
          <w:sz w:val="28"/>
          <w:szCs w:val="28"/>
          <w:rtl w:val="true"/>
          <w:lang w:bidi="ar-SA"/>
        </w:rPr>
        <w:t>حسين الطباطبائي</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هذا دور الإمام الباقر عليه السلام في نشر حج رسول اللّه وقطع دابر الاختلاف، فقد واصل الإمام الصادق عليه السلام نفس الدور بعد وفاة أبيه فكان يحضر في المواسم عاماً بعد عام والناس يصدرون عن فتاواه، وإليك بعض ما روي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الصمد بن البشير،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يلبّي حتى دخل المسجد وهو يلبّي وعليه قميص، فوثب إليه أُناس من أصحاب أبي حنيفة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قميصك وأخرجه من رجليك فإنّ عليك بدنة وعليك الحج من قابل وحجّك فاسد، فطلع أبو عبد اللّه عليه السلام فقام على باب المسجد فكبّر واستقبل الكعبة، فدنا الرجل من أبي عبد اللّه عليه السلام وهو ينتف شعره ويضرب وجهه،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يا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كلمه وكان الرجل أعجميّاً،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أعمل بيدي فاجتمعت لي نفقة فجئت أحجّ لم أسأل أحداً عن شيء، فأفتوني هؤلاء أن أشقّ قميصي وأنزعه من قبل رجلي وإنّ حجّي فاسد وإن عليّ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لبست قميصك أبعد ما لبّيت أم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من رأسك، فإنّه ليس عليك بدنة وليس عليك الحجّ من قابل، أي رجل ركب أمراً بجهالة فلا شيء عليه، طف بالبيت سبعاً وصلّ ركعتين عند مقام إبراهيم عليه السلام واسعَ بين الصفا والمروة وقصّرْ من شعرك، فإذا كان يوم التروية فاغتسلْ وأهل بالحجّ واصنع كما يصنع الناس</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وإن كنّا نسمع من المسؤولين في الحجّ شعار تيسير الحج وتسهيله ولكن التسهيل يجب أن يكون مبنيّاً على أُسس صحيحة متّخذة من القرآن والسنّة، وترى أنّ الإمام الصادق عليه السلام سهّل الأمر وأفتى بصحّة حجّه، لكنّه استدلّ بأصل فقهي متّفق عليه من أنّ أي رجل ركب أمراً بجهالة فليس عليه شيء، خصوصاً إذا كان جهله عن قصور لا عن تقصير، كما هو</w:t>
      </w:r>
    </w:p>
    <w:p>
      <w:pPr>
        <w:pStyle w:val="BookText"/>
        <w:rPr/>
      </w:pP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هلكت فأوصت بثلثها يتصدّق به عنها ويحجّ عنها ويعتق عنها، فلم يسع المال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حنيفة وسفيان الثوري، فقال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رجل قد حجّ فقُطع به فيقوّى، ورجل قد سعى في فكاك رقبته فيبقى عليه شيء فيعتق، ويتصدّق بالبقية؛ فأعجبني هذا القول وقلت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سألت لكم فتريدون أن أسأل لكم من هو أوثق من 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عبد اللّه عليه السلام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بالحج فإنّ الحجّ فريضة، فما بقي فضعه في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أباحنيفة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سألت فلاناً فقال لي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الحق، وأخذ به وألقى هذه المسألة على أصحابه، وقعدت لحاجة لي بعد انصرافه فسمعتهم يتطارحونها، فقال بعضهم بقول أبي حنيفة الأوّل فخطّأه من سمع هذا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هذا من أبي حنيفة منذ عشرين سنة</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أفتى به الإمام الصادق عليه السلام لم يكن اجتهاداً في حكم اللّه من الكتاب والسنّة وإنّما هو علم تعلّمه من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عليه السلام مراراً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حديثي حديث أبي، وحديث أبي حديث جدّي، وحديث جدّي حديث الحسين، وحديث الحسين حديث الحسن، وحديث الحسن حديث علي بن أبي طالب أمير المؤمنين، وحديث علي أمير المؤمنين حديث رسول اللّه، وحديث رسول اللّه، قول اللّه عزّوجلّ‌</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وقد عرفت الأُمّة الإسلامية علماؤها ومحدّثوها أنّ الإمام الصادق عليه السلام هو الباب المأتي منه، وفيما يلي نذكر بعض كلماتهم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أبو حنيفة يفتخر ويقول بأفصح 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السنتان لهلك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السنتين اللتين جلس فيهما لأخذ العلم عن الإمام الصادق عليه السلام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الحسن بن زياد اللؤلؤي سمعت أبا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من أفقه من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أفقه من جعفر بن محمد الصادق عليه السلام لمّا أقدمه المنصور بعث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إنّ الناس قد فتنوا بجعفر بن محمد، فهيّئ له من المسائل الشداد، فهيّأت له أربعين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إليّ أبو جعفر وهو بالحيرة فأتيته فدخلت عليه وجعفر بن محمد جالس عن يمينه، فلمّا بصرت به دخلتني من الهيبة لجعفر بن محمد الصادق ما لم يدخلني لأبي جعفر، فسلّمت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وأومأ إليّ فجلست، ثم 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هذا هو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أتانا، كأنّه كره ما يقول فيه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رأى الرجل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على أبي عبد اللّه من مسائلك، فجعلت أُلقي، فيجيبني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كذا وأهل المدينة يقولون كذا ونحن نقول كذا، فربّما تابعنا وربّما تابعهم وربّما خالفنا جميعاً، حتى أتيت على الأربعين مسألة، ما أخلّ منها بمسألة، ثم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روينا أن أعلم الناس أعلمهم باختلاف الناس</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وهذا وبعد رحيل الإمام الصادق عليه السلام واستيلاء بني العباس على العباد والبلاد وتضييق الأمر على أهل بيت النبي صلى الله عليه و آله و سلم وعلى رأسهم الإمام موسى بن جعفر عليه السلام، ومع ذلك نرى أنّ الإمام يرشد المفتين إلى وصف حجّ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دهليز يحيى بن خالد بمكّة وكان هناك أبو الحسن موسى عليه السلام وأبو يوسف، فقام إليه أبو يوسف وتربّع بين يديه، فقال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الحسن جعلت فداك المحرم يظلّل‌؟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فيستظلّ بالجدار والمحمل ويدخل البيت والخباء؟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أبو يوسف شبه المستهزئ فقال له أبوالحسن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يوسف إنّ الدين ليس بقياس كقياسك وقياس أصحابك، إنّ اللّه عزّ وجلّ أمر في كتابه بالطلاق، وأكد فيه شاهدين ولم يرض بهما إلّاعدلين، وأمر في كتابه بالتزويج وأهمله بلا شهود، فأتيتم بشاهدين فيما أبطل اللّه، وأبطلتم شاهدين فيما أكّد اللّه عزّ وجل، وأجزتم طلاق المجنون والسكران، حجّ رسول اللّه صلى الله عليه و آله و سلم فأحرم ولم يظلّل ودخل البيت والخباء، واستظلّ بالمحمل والجدار فقلنا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r>
        <w:rPr>
          <w:rStyle w:val="FootnoteAnchor"/>
          <w:rtl w:val="true"/>
        </w:rPr>
        <w:footnoteReference w:id="66"/>
      </w:r>
      <w:bookmarkStart w:id="153" w:name="pg16772_194376"/>
    </w:p>
    <w:p>
      <w:pPr>
        <w:pStyle w:val="Heading3"/>
        <w:numPr>
          <w:ilvl w:val="2"/>
          <w:numId w:val="1"/>
        </w:numPr>
        <w:rPr/>
      </w:pPr>
      <w:bookmarkStart w:id="154" w:name="__RefHeading___Toc6963475_73709187"/>
      <w:bookmarkStart w:id="155" w:name="_Toc56"/>
      <w:bookmarkEnd w:id="153"/>
      <w:bookmarkEnd w:id="154"/>
      <w:r>
        <w:rPr/>
        <w:t>5</w:t>
      </w:r>
      <w:r>
        <w:rPr>
          <w:rtl w:val="true"/>
        </w:rPr>
        <w:t xml:space="preserve"> </w:t>
      </w:r>
      <w:r>
        <w:rPr>
          <w:rtl w:val="true"/>
        </w:rPr>
        <w:t>تغيير الجنس في الشريعة الإسلامية</w:t>
      </w:r>
      <w:bookmarkEnd w:id="155"/>
    </w:p>
    <w:p>
      <w:pPr>
        <w:pStyle w:val="Heading4"/>
        <w:numPr>
          <w:ilvl w:val="3"/>
          <w:numId w:val="1"/>
        </w:numPr>
        <w:rPr/>
      </w:pPr>
      <w:bookmarkStart w:id="156" w:name="__RefHeading___Toc6963477_73709187"/>
      <w:bookmarkStart w:id="157" w:name="_Toc57"/>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 xml:space="preserve">من المسائل المستحدثة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نتائج التقدّم الحضاري والتطوّر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تغيير الجنس، ولذا صارت موضوعاً للدراسة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المسألة رهن الكلام في محورين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الموضوع وتحديده وبيان 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الفقهي على ضوء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التغيير ينقسم إلى أقسام أربعة، ندرس كلّ 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وحكماً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واحد، فنقول</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6963479_73709187"/>
      <w:bookmarkStart w:id="159" w:name="_Toc58"/>
      <w:bookmarkEnd w:id="158"/>
      <w:r>
        <w:rPr>
          <w:rtl w:val="true"/>
        </w:rPr>
        <w:t>القسم الأوّل</w:t>
      </w:r>
      <w:r>
        <w:rPr>
          <w:rtl w:val="true"/>
        </w:rPr>
        <w:t xml:space="preserve">: </w:t>
      </w:r>
      <w:r>
        <w:rPr>
          <w:rtl w:val="true"/>
        </w:rPr>
        <w:t>تغيير الجنس</w:t>
      </w:r>
      <w:bookmarkEnd w:id="15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يراد بتغيير الجنس تحول جنس كامل إلى جنس آخر كذلك، بأن يتبدّل جنس الرجل بتمامه إلى جنس المرأة بتمامها، ويخرجَ المورد من تحت العنوان الأوّل ويدخلَ تحت العنوان الثاني، فيكونَ الجهاز الحاكم على الفرد بعد التحوّل، نفس الجهاز الحاكم على العنوان الثاني، فهذا النوع من التغيير هو الذي نسمّيه تغيير الجنس، فلو تبدّل الرجل إلى الأُنثى بهذا النوع يجب أن يشتمل</w:t>
      </w:r>
      <w:bookmarkStart w:id="160" w:name="pg16772_194377"/>
    </w:p>
    <w:p>
      <w:pPr>
        <w:pStyle w:val="BookText"/>
        <w:rPr/>
      </w:pPr>
      <w:bookmarkEnd w:id="160"/>
      <w:r>
        <w:rPr>
          <w:rFonts w:ascii="Amiri" w:hAnsi="Amiri" w:eastAsia="Amiri" w:cs="Amiri"/>
          <w:color w:val="111111"/>
          <w:sz w:val="28"/>
          <w:sz w:val="28"/>
          <w:szCs w:val="28"/>
          <w:rtl w:val="true"/>
          <w:lang w:bidi="ar-SA"/>
        </w:rPr>
        <w:t>الفرد بعد التحوّل؛ على ثديين ورحم ومبيض، إلى غير ذلك من الأعضاء المختصّة بالمرأة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التغيير بهذا المعنى لم يثبت إمكانه إلى الآن حتى أنّ بعض الأخصّائيين يدّعون استحالته، وما ربما ينشر في المجلات أو يبث في وسائل الأعلام فإنّما يرجع إلى القسم الثاني والثالث، وإلّا فتبديل الرجل بكامله إلى امرأة كاملة، بعيد جداً من الناحية الفسيولوجية والعضوية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هذا القسم غير واقع نقتصر بهذا المقدار موضوعاً وحكماً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نطيل الكلام فيه</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6963481_73709187"/>
      <w:bookmarkStart w:id="162" w:name="_Toc59"/>
      <w:bookmarkEnd w:id="161"/>
      <w:r>
        <w:rPr>
          <w:rtl w:val="true"/>
        </w:rPr>
        <w:t>القسم الثاني</w:t>
      </w:r>
      <w:r>
        <w:rPr>
          <w:rtl w:val="true"/>
        </w:rPr>
        <w:t xml:space="preserve">: </w:t>
      </w:r>
      <w:r>
        <w:rPr>
          <w:rtl w:val="true"/>
        </w:rPr>
        <w:t>التغيير في الجنس</w:t>
      </w:r>
      <w:bookmarkEnd w:id="162"/>
    </w:p>
    <w:p>
      <w:pPr>
        <w:pStyle w:val="BookText"/>
        <w:rPr/>
      </w:pPr>
      <w:r>
        <w:rPr>
          <w:rFonts w:ascii="Amiri" w:hAnsi="Amiri" w:eastAsia="Amiri" w:cs="Amiri"/>
          <w:color w:val="111111"/>
          <w:sz w:val="28"/>
          <w:sz w:val="28"/>
          <w:szCs w:val="28"/>
          <w:rtl w:val="true"/>
          <w:lang w:bidi="ar-SA"/>
        </w:rPr>
        <w:t>ويراد بهذا القسم إيجاد التغيير على من له آلة الذكورية فقط أو الأُنثوية كذلك، وذلك عندما يريد الشخص اللحوق بالجنس الآخر ويتحقّق ذلك عن طريق إجراء العملية الجراحية على آلته حتى تصير آلته غير الآلة التي هو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ويحصل ذلك بقلع العضو التناسلي وتبديله بعضو تناسلي للجنس المخالف، بالترقيع حتى يلتئم الجزء ويصير جزءاً للمرقع، كما يستعان لإنجاح العملية بحقنه بالهرمونات الخاصّة بالجنس الجديد المبدّل إليه، لكي تظهر عليه بعض علائم هذا الجنس</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التبديل ليس من مقولة تبديل الجنس، بل الجنس الأصلي بكامله محفوظ، وإنّما طرأت عليه بعض التغييرات في نفس الجنس من</w:t>
      </w:r>
    </w:p>
    <w:p>
      <w:pPr>
        <w:pStyle w:val="BookText"/>
        <w:rPr/>
      </w:pPr>
      <w:r>
        <w:rPr>
          <w:rFonts w:ascii="Amiri" w:hAnsi="Amiri" w:eastAsia="Amiri" w:cs="Amiri"/>
          <w:color w:val="111111"/>
          <w:sz w:val="28"/>
          <w:sz w:val="28"/>
          <w:szCs w:val="28"/>
          <w:rtl w:val="true"/>
          <w:lang w:bidi="ar-SA"/>
        </w:rPr>
        <w:t>غير فرق بين بروزه في آلة التناسل أو بروزه في الأعضاء الأُخرى للبدن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يخضع لهذا النوع من التبديل بعض الرجال، فمع أنّه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خلقة لكنّه يميل سلوكياً إلى السلوك الأُنثوي، فترى أنّه في زينته ولباسه ومشيه يقلّد ما عليه الأُنثى ولذلك يرغب في نفسه أن يلحق بالجنس الآخر، وكأنّه غير راض عن الجنس الحاكم عليه وإنّما يرتاح إذا تحول إلى الجنس الآخر، فهل تتحقّق تلك الأُمنية‌؟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له آلة واحدة لا آلتان، وإنّما يميل إلى جنس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يلحق بما أُجري عليه من عملية جراحية أوحقنه بالأدوية، بالجنس الآخر واقعاً؟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وإنّما يوصف به كذباً لا واقعاً، وبذلك يصبح الجنس الكامل جنساً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وإن كانوا يتعاملون معه معاملة الجنس الآخر، ولكنّهم لجهلهم بالواقع يحسبونه أُنثى‌، وهو في الواقع رجل، وإنّما قلعت منه آلة التناسل الذكرية ورقع بآلة تناسلية أُنثوية، ومع ذلك فهو في عامّة الأعضاء رجل لا رحم له ولا مبيض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نصفه تغييراً في الجنس، لا تغيير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يرجع إلى بيان الموضوع وأنّه باق على جنسه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 حكمه الشرعي فهو حرام لأنّه تنقيص في الخلقة، وإن أردت التفصيل في ذكر الأدلّة فنقول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النوع من التبديل حرام للأدلّة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تغيير لخلق اللّه، وقد دلّ الذكر الحكيم على أنّه عمل شيطاني،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لَأُضِلَّنَّهُمْ وَ لَأُمَنِّيَنَّهُمْ وَ لَآمُرَنَّهُمْ فَلَيُبَتِّكُنَّ آذانَ الْأَنْعامِ وَ لَآمُرَنَّهُمْ فَلَيُغَيِّرُنَّ خَلْقَ اللّهِ وَ مَنْ يَتَّخِذِ الشَّيْطانَ وَلِيًّا مِنْ دُونِ اللّهِ فَقَدْ خَسِرَ خُسْراناً مُبِيناً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قطع عضو التناسل في الذكر وتبديله بعضو تناسل أُنثوي تغيير لخلق اللّه سبحانه، وأي تغيير أوضح من تبديل الإنسان الكامل إلى الإنسان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الآية تعدّ تغيير الخلق عملاً شيطانياً، فالآية منصرفة عن تقليم الأظافر وتقصير الشعر فإنّها ليست أعمالاً شيطانية، بل هي من الأُمور التي تتطلّبها النظافة العامة، وقد ورد جوازها في الشرائع السابقة كشريعة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سؤالين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يقال إنّ الآية فاقدة للإطلاق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الجمادات والنباتات والحيوانات ومن المعلوم أنّ الحضارة البشرية قامت على التصرّف في هذا النوع من الخلق، ومعه كيف يمكن ادّعاء الإطلاق في الآية وإخراج هذه الموارد لأنّه يستلزم 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سبحانه قبل هذه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فَلَيُبَتِّكُنَّ آذانَ الْأَنْعامِ‌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على أنّ المراد من الخلق هو ليس الجمادات والنباتات وإنّما يختصّ بالحيوانات، وعلى ذلك لايلزم منه تخصيص الأكثر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لسان الآية آب عن التخصيص حيث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فَلَيُغَيِّرُنَّ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بصورة التنديد والاستنكار، فمثل هذا اللسان لايقبل تخصيص الأقل أبداً فضلاً عن الأكثر مع اتّفاق المسلمين على تقليم الأظفار وقصّ الشعر وإخصاء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تمنع عن كلّ تغيير في خلق اللّه إذا كان بأمر الشيطان، كما يقول سبحانه حاكياً عن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لَآمُرَنَّهُمْ فَلَيُبَتِّكُنَّ آذانَ الْأَنْعامِ وَ لَآمُرَنَّهُمْ فَلَيُغَيِّرُنَّ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هذا فيختص التحريم بما إذا كان العمل مستنداً إلى الشيطان، لا ما إذا كان مستنداً إلى الرحمن، فذبح الحيوانات للأكل وبقاء الحياة، أو إخصاء ذكور الحيوانات، وغير ذلك كلّها بأمر من الرحمن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الشريعة الإسلامية حرّمت الذبح إذا كان باسم اللات والعزّى وجوّزته إذا كان باسم الرحمن، فعلى ذلك لا يمنع كون اللسان آبياً عن التخصيص عن جواز هذه الأعمال لما عرفت من أنّ الموضوع هو التغيير المنتسب إلى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إيضاح المراد من الآية نأتي ببعض كلام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لَآمُرَنَّهُمْ فَلَيُغَيِّرُنَّ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والربيع بن أنس عن أنس أنه الإخصاء، وكرهوا الإخصاء في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اختار الشيخ في نهاية الكلام معنى عامّاً يشمل الإخصاء أيضاً</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وروى الشيخ بسنده عن عثمان بن مظعون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صلى الله عليه و آله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أردت يا رسول اللّه أن أختصي،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لاتفعل يا عثمان فإنّ اختصاء أُمّتي الصيام</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وروي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إخصاء في الإسلام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وقال العلّامة الطباطبائي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تنطبق على مثل الإخصاء وأنواع المثلة واللواط والسحق</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نتيجة هذا العمل الإضرار بالنفس، ولا شكّ أنّه حرام، وأي إضرار أوضح من قلع الجهاز التناسلي الذكري وترقيع أعضاء من الجهاز الأُنثوي حتى تمضي أيام ليتحقّق فيه الالتئام والالتحام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نتيجة هذا العمل صيرورة الإنسان في بعض الصور مخنثاً، ويراد به أن الرجل يتزيّن بزينة النساء، ويلبس ملابسهن ويعاشرهن ويتعامل الرجال معه معاملة النساء إلى غير ذلك من الآداب والأعراف التي تسبب وقوع الرجل في عداد النساء، وقد نُهي عنه، وقد روي عن أبي عبداللّه وأبي إبراهيم عليهما السلام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المتشبهات من النساء بالرجال، ولعن اللّه المتشبهين من الرجال بالنساء</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عن جعفر بن محمد، عن آبائه عليهم السلام في وصية النبي صلى الله عليه و آله لعلي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خلق اللّه عزّ وجل الجنّة لبنتين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لبنة من ذهب، ولبنة من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يدخلها مدمن خمر، ولا نمّام، ولا ديّوث، ولا شرطي، ولا مخنّث</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وروى زيد بن علي، عن آبائه، عن علي عليه السلام أنّه رأى رجلاً به تأنيث في مسجد رسول اللّه صلى الله عليه و آله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من مسجد رسول اللّه، يا لعنة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المتشبهين من الرجال بالنساء، والمتشبهات من النساء بالرجال</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وعن أبي خديجة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المتشبهين من الرجال بالنساء، والمتشبهات من النساء بالرجال، وهم المخنثون، واللاتي ينكحن بعضهن بعضاً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إلى غير ذلك من الأحاديث الواردة حول التخنيث والتخنّث، وقد فسّر غير واحد من أهل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الرجل المشبه للمرأة في لينه ورقة كلامه وتكسير أعضائه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ولا شك أنّ إجراء العملية الجراحية على آلة الرجل بقطعها ووضع المهبل مكان آلته من أوضح مظاهر التخنيث والتخنّث، فيكون الرجل مستعداً لأن يوطأ من القبل أو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أفيمكن للشارع الحكيم أن يسوّغ هذا النوع من التبديل الذي سيجعل الرجل الواقعي الذي لم تتغير هويته بصورة المرأة ويعمل معه ما يعمل مع المرأة‌؟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يظهر من بعضهم تجويز هذا النوع من التبديل تحت عناوين ثانوية،</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لغرض المعالجة، كما إذا كان شخص له ميول مخصوصة بالجنس المخالف بحيث صارت تلك الميول موجبة لحدوث اختلالات في نفسه أو روحه، أو كانت مصلحة ملزمة أُخرى للتغيير هي أهم،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معالجة وضرورة المعالجة تبيح المحظورات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فلأهمية المصلحة الملزمة بالنسبة إلى حرمة الإضرار، وأنّ حرمة النظر وحرمة اللمس من الطبيب مرتفعتان بضرورة المعالجة وأهمية المصلحة الملزمة</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محط الكلام ليس في القسم الأوّل الذي يتبدّل الجنس واقعاً إلى جنس آخر، وتزول الهوية الأُولى، وتحلّ محلها هوية أُخرى، فلا إشكال فيه إلّا أنّه أمر غير واقع إلّابالإعجاز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القسم الثاني الذي يوصف التبدّل هناك بالتبدّل الكاذب والصوري، والهوية الأُولى باقية على حالها، ولو كان هناك تبديل فإنّما هو في المظاهر لا في البواطن، وقد عرفت التوالي الفاسدة المترتّبة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تجويزه بالعناوين الثانوية كالمصلحة الملزمة وغيرها، فلايخلو من إشكال من جهتين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المفسدة المترتّبة على هذا النوع من التبديل أكثر فأكثر من المصلحة التي تُرضِي صاحبها، وقد عرفت أن نتيجة هذا النوع من التبديل هو</w:t>
      </w:r>
    </w:p>
    <w:p>
      <w:pPr>
        <w:pStyle w:val="BookText"/>
        <w:rPr/>
      </w:pPr>
      <w:r>
        <w:rPr>
          <w:rFonts w:ascii="Amiri" w:hAnsi="Amiri" w:eastAsia="Amiri" w:cs="Amiri"/>
          <w:color w:val="111111"/>
          <w:sz w:val="28"/>
          <w:sz w:val="28"/>
          <w:szCs w:val="28"/>
          <w:rtl w:val="true"/>
          <w:lang w:bidi="ar-SA"/>
        </w:rPr>
        <w:t>استمتاع الرجال بعضهم ببعض، وهو فاحشة وساء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فيمكن تجويز تلك المفسدة الكبيرة بحجة أنّ فيه رفع الضرورة عن رجل له رغبة إلى التأنيث، لا أظن أنّ فقيهاً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الأطباء الذين يقومون بإجراء هذه العملية يتمسّكون بأنّ هذا الصنف من الرجال إذا لم تجر لهم هذه العملية ربما ينتحرون، وجعلوا هذا الأمر تبريراً لقيامهم بإجراء هذه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دليل ضعيف جدّاً، لأنّ حفظ النفس الخبيثة ليس بأهم من جعله بؤرة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تبيّن أنّ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الرائج 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شرعاً وقبيح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ذكرنا أنّ التغيير في الجنس بالنحو المذكور لايخرج المورد عن الجنس الأوّل أوّلاً، وأنّه حرام ثانياً، وبذلك يُعلم أنّ أكثر ما ذكره السيد الإمام الخميني قدس سره في تحرير الوسيلة من المسألة الثالثة إلى التاسعة من باب المسائل المستحدثة، فروض لا واقع لها وإنّما تنطبق هذه الفروض على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قلنا بعدم ثبوت إمكانه إلّابالإعجاز، ولأجل إيقاف القارئ على أنّ الفروض المذكورة في كلامه لا تنطبق إلّاعلى القسم الأوّل دون الثاني نذكر مسألة واحدة وليقس عليها سائر ما ذكره قدس سره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امرأة فتغيّر جنسها فصارت رجلاً، بطل التزويج من حين التغيير وعليه المهر تماماً لو دخل بها قبل التغيير، فهل عليه نصفه مع عدم الدخول أو تمامه‌؟</w:t>
      </w:r>
      <w:bookmarkStart w:id="163" w:name="pg16772_194385"/>
    </w:p>
    <w:p>
      <w:pPr>
        <w:pStyle w:val="BookText"/>
        <w:rPr/>
      </w:pPr>
      <w:bookmarkEnd w:id="163"/>
      <w:r>
        <w:rPr>
          <w:rFonts w:ascii="Amiri" w:hAnsi="Amiri" w:eastAsia="Amiri" w:cs="Amiri"/>
          <w:color w:val="111111"/>
          <w:sz w:val="28"/>
          <w:sz w:val="28"/>
          <w:szCs w:val="28"/>
          <w:rtl w:val="true"/>
          <w:lang w:bidi="ar-SA"/>
        </w:rPr>
        <w:t>فيه إشكال، والأشبه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تزوّجت امرأة برجل فغيّر جنسه بطل التزويج من حين التغيير، وعليه المهر مع الدخول، وكذا مع عدمه على الأقوى</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ولأجل إيضاح أنّ هذا النوع من التغيير لايؤثر في تبديل الجنس نأتي بمثال وهو أنّه لو فرضنا أنّ طبيباً عمل عملية جراحية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طريق حقن بعض الأدوية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لإنسان بحيث صار هذا الإنسان يمشي على أطرافه الأربعة ونبت على جسمه شعر كثيف، يشبه شعر القرد، فهل يمكن أنّ نعتبر أن هذا الإنسان قد انقلب قرداً؟ كلا ولا</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6963483_73709187"/>
      <w:bookmarkStart w:id="165" w:name="_Toc60"/>
      <w:bookmarkEnd w:id="164"/>
      <w:r>
        <w:rPr>
          <w:rtl w:val="true"/>
        </w:rPr>
        <w:t>القسم الثالث</w:t>
      </w:r>
      <w:r>
        <w:rPr>
          <w:rtl w:val="true"/>
        </w:rPr>
        <w:t xml:space="preserve">: </w:t>
      </w:r>
      <w:r>
        <w:rPr>
          <w:rtl w:val="true"/>
        </w:rPr>
        <w:t>من له آلتان لكن تترجّح إحدى الآلتين على الأُخرى</w:t>
      </w:r>
      <w:bookmarkEnd w:id="165"/>
    </w:p>
    <w:p>
      <w:pPr>
        <w:pStyle w:val="BookText"/>
        <w:rPr/>
      </w:pPr>
      <w:r>
        <w:rPr>
          <w:rFonts w:ascii="Amiri" w:hAnsi="Amiri" w:eastAsia="Amiri" w:cs="Amiri"/>
          <w:color w:val="111111"/>
          <w:sz w:val="28"/>
          <w:sz w:val="28"/>
          <w:szCs w:val="28"/>
          <w:rtl w:val="true"/>
          <w:lang w:bidi="ar-SA"/>
        </w:rPr>
        <w:t>من كان له آلتان وتترجح إحدى الآلتين على الأُخرى ولو من جهة نزول البول، أو سائر العلامات، أو دلّت الاختبارات الطبيّعية على هويته الواقعية، فالتغيير فيه ليس تغيير الجنس ولا تغييراً في الجنس، بل كشفاً عن جنسه الواقعي وهويته الحقيقية حيث إنّ إجراء العملية الجراحية يرفع الستر عن واقعه وأنّه رجل واقعاً أو امرأة كذلك، وإن عاش برهة في الإبهام، وهذا ما يسمّى في الفقه بالخنثى غير المشكلة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إجراء التبديل في هذا النوع جائز شرعاً وراجح عقلاً، حيث تجري العملية في الآلة الزائدة وليست هي إلّالحماً زائداً لاجزءاً من الجسم،</w:t>
      </w:r>
      <w:bookmarkStart w:id="166" w:name="pg16772_194386"/>
    </w:p>
    <w:p>
      <w:pPr>
        <w:pStyle w:val="BookText"/>
        <w:rPr/>
      </w:pPr>
      <w:bookmarkEnd w:id="166"/>
      <w:r>
        <w:rPr>
          <w:rFonts w:ascii="Amiri" w:hAnsi="Amiri" w:eastAsia="Amiri" w:cs="Amiri"/>
          <w:color w:val="111111"/>
          <w:sz w:val="28"/>
          <w:sz w:val="28"/>
          <w:szCs w:val="28"/>
          <w:rtl w:val="true"/>
          <w:lang w:bidi="ar-SA"/>
        </w:rPr>
        <w:t xml:space="preserve">وعلى فرض استلزام هذا العمل الحرمة بسبب النظر واللمس فهي مرفوعة بحكم الضرورة، على أنّه إذا كانت امرأة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بشكل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إجراء العقد المؤقت مع الطبيب، فيما لو كان المباشر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6963485_73709187"/>
      <w:bookmarkStart w:id="168" w:name="_Toc61"/>
      <w:bookmarkEnd w:id="167"/>
      <w:r>
        <w:rPr>
          <w:rtl w:val="true"/>
        </w:rPr>
        <w:t>القسم الرابع</w:t>
      </w:r>
      <w:r>
        <w:rPr>
          <w:rtl w:val="true"/>
        </w:rPr>
        <w:t xml:space="preserve">: </w:t>
      </w:r>
      <w:r>
        <w:rPr>
          <w:rtl w:val="true"/>
        </w:rPr>
        <w:t>من له آلتان ولم تترجّح إحدى الآلتين على الأُخرى</w:t>
      </w:r>
      <w:bookmarkEnd w:id="168"/>
    </w:p>
    <w:p>
      <w:pPr>
        <w:pStyle w:val="BookText"/>
        <w:rPr/>
      </w:pPr>
      <w:r>
        <w:rPr>
          <w:rFonts w:ascii="Amiri" w:hAnsi="Amiri" w:eastAsia="Amiri" w:cs="Amiri"/>
          <w:color w:val="111111"/>
          <w:sz w:val="28"/>
          <w:sz w:val="28"/>
          <w:szCs w:val="28"/>
          <w:rtl w:val="true"/>
          <w:lang w:bidi="ar-SA"/>
        </w:rPr>
        <w:t>من كان له آلتان ولم تترجّح إحدى آلتيه على الأُخرى لا من طريق التبوّل، ولا بواسطة الاختبارات الطبية، وهذا ما يسمّى في الفقه بالخنثى المشكل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أنّ إجراء العملية الجراحية وحقن الأدوية لاينتج ولايكشف عن واقع مستور، فإنّ ذلك لايسبب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وظائفه الشرعية فهي رهن القول بأنّها ليست طبيعة ثالثة، فهي إمّا رجل أو امرأة، ومقتضى العلم الإجمالي بأنّه محكوم بأحكام أحد الجنسين، وجوب الاحتياط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أنّها ليست طبيعة ثالثة فيستفاد من بعض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 مِنْ ذَكَرٍ أَوْ أُنْثى بَعْضُكُمْ مِنْ بَعْضٍ 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w:t>
      </w:r>
      <w:r>
        <w:rPr>
          <w:rFonts w:eastAsia="Amiri" w:cs="Amiri" w:ascii="Amiri" w:hAnsi="Amiri"/>
          <w:color w:val="111111"/>
          <w:sz w:val="28"/>
          <w:szCs w:val="28"/>
          <w:rtl w:val="true"/>
          <w:lang w:bidi="ar-SA"/>
        </w:rPr>
        <w:t>)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مِنْهُ الزَّوْجَيْنِ الذَّكَرَ وَ الْأُنْثى‌</w:t>
      </w:r>
      <w:r>
        <w:rPr>
          <w:rFonts w:eastAsia="Amiri" w:cs="Amiri" w:ascii="Amiri" w:hAnsi="Amiri"/>
          <w:color w:val="111111"/>
          <w:sz w:val="28"/>
          <w:szCs w:val="28"/>
          <w:rtl w:val="true"/>
          <w:lang w:bidi="ar-SA"/>
        </w:rPr>
        <w:t>)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ومقتضى عطف الأُنثى على الذكر، أو حصر الإنسان عليهما، هو انحصار الهوية الإنسانية فيهما ولا تتجاوزهما وإيجاب الاحتياط التام عليه، بمعنى المعاشرة مع المحارم دون غيرهم، وهو مقتضى العلم بكونه إمّا رجلاً أو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يجب على الآخرين الاحتياط، فعلى الرجال والنساء غير المحارم حرمة النظر له، وقد بسط شيخنا الأنصاري الكلام في الخنثى المشكل من حيث معاملتها مع غيرها أو معاملة الغير معها في آخر مبحث القطع، وقال في آخره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التناكح فيحرم بينه وبين غيره قطعاً، فلايجوز له تزويج امرأة، لأصالة عدم ذكوريته بمعنى عدم ترتّب أثر الذكورية من جهة النكاح ووجوب حفظ الفرج إلّا عن الزوجة وملك اليمين، ولا التزوّج برجل، لأصالة عدم كونه امرأة، كما صرّح به الشهيد</w:t>
      </w:r>
      <w:r>
        <w:rPr>
          <w:rFonts w:eastAsia="Amiri" w:cs="Amiri" w:ascii="Amiri" w:hAnsi="Amiri"/>
          <w:color w:val="111111"/>
          <w:sz w:val="28"/>
          <w:szCs w:val="28"/>
          <w:rtl w:val="true"/>
          <w:lang w:bidi="ar-SA"/>
        </w:rPr>
        <w:t>.</w:t>
      </w:r>
      <w:r>
        <w:rPr>
          <w:rStyle w:val="FootnoteAnchor"/>
          <w:rtl w:val="true"/>
        </w:rPr>
        <w:footnoteReference w:id="80"/>
      </w:r>
      <w:bookmarkStart w:id="169" w:name="pg16772_194388"/>
    </w:p>
    <w:p>
      <w:pPr>
        <w:pStyle w:val="Heading4"/>
        <w:numPr>
          <w:ilvl w:val="3"/>
          <w:numId w:val="1"/>
        </w:numPr>
        <w:rPr/>
      </w:pPr>
      <w:bookmarkStart w:id="170" w:name="__RefHeading___Toc6963487_73709187"/>
      <w:bookmarkStart w:id="171" w:name="_Toc62"/>
      <w:bookmarkEnd w:id="169"/>
      <w:bookmarkEnd w:id="170"/>
      <w:r>
        <w:rPr>
          <w:rtl w:val="true"/>
        </w:rPr>
        <w:t>فخرجنا بالنتائج التالية</w:t>
      </w:r>
      <w:r>
        <w:rPr>
          <w:rtl w:val="true"/>
        </w:rPr>
        <w:t>:</w:t>
      </w:r>
      <w:bookmarkEnd w:id="1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تغيير الجنس بمعنى تبديل جنس كامل إلى جنس آخر كذلك أمر لم يثبت إمكانه، وما ذكر من المسائل الفقهية حول هذا النوع فهي فروض فاقدة للموضوع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التغيير في الجنس بمعنى بقاء الفرد على جنسه الأوّل إنّما يسبّب التغيير في الجنس دون تبديله إلى جنس آخر، وذلك بإيجاد التغيير في الجهاز التناسلي وحقنه بالأدوية لكي تظهر فيه حالات الجنس المخالف، فهذا الفرد بعد باق تحت العنوان الأوّل، ولم يتغير موضوعه أوّلاً، وإيجاد التغيّير فيه حرام ثانياً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له آلتان ودلّت الاختبارات على أنّه من أحد الجنسين، فيكشف واقعه بالعملية الجراحية أوّلاً، وهذا جائز ثانياً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له آلتان ولم يحرز لحوقه بأحد الجنسين فإيجاد التغيير لاينتج شيئاً، وعليه الاحتياط التام، إلّاإذا أوجد الحرج، فيجب الاحتياط إلى حدّ عدم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172" w:name="pg16772_194389"/>
    </w:p>
    <w:p>
      <w:pPr>
        <w:pStyle w:val="Heading3"/>
        <w:numPr>
          <w:ilvl w:val="2"/>
          <w:numId w:val="1"/>
        </w:numPr>
        <w:rPr/>
      </w:pPr>
      <w:bookmarkStart w:id="173" w:name="__RefHeading___Toc6963489_73709187"/>
      <w:bookmarkStart w:id="174" w:name="_Toc63"/>
      <w:bookmarkEnd w:id="172"/>
      <w:bookmarkEnd w:id="173"/>
      <w:r>
        <w:rPr/>
        <w:t>6</w:t>
      </w:r>
      <w:r>
        <w:rPr>
          <w:rtl w:val="true"/>
        </w:rPr>
        <w:t xml:space="preserve"> </w:t>
      </w:r>
      <w:r>
        <w:rPr>
          <w:rtl w:val="true"/>
        </w:rPr>
        <w:t>شدّ الرحال إلى زيارة قبر النبي وآله عليهم السلام</w:t>
      </w:r>
      <w:bookmarkEnd w:id="174"/>
    </w:p>
    <w:p>
      <w:pPr>
        <w:pStyle w:val="Heading4"/>
        <w:numPr>
          <w:ilvl w:val="3"/>
          <w:numId w:val="1"/>
        </w:numPr>
        <w:rPr/>
      </w:pPr>
      <w:bookmarkStart w:id="175" w:name="__RefHeading___Toc6963491_73709187"/>
      <w:bookmarkStart w:id="176" w:name="_Toc64"/>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سألني أحد الأخوة عن السفر إلى زيارة قبر النبي الأكرم صلى الله عليه و آله و سلم والأئمة الطاهرين عليهم السلام وصلحاء الأُمّة والأقرباء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السفر إلى زيارة قبورهم‌؟ فهناك مَنْ يقول بحرمة السفر إليها، مستدلّاً بما رواه مسلم وغيره،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مسجدي هذا، والمسجد الحرام، والمسجد الأقصى‌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تحقيق المسألة رهن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مفاد الحديث، وأنّه لا صلة له بالسفر إلى زيارة القبور الّتي حثّت السنّة النبوية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المسلمين عبر القرون في السفر إلى زيارة قبر النبي صلى الله عليه و آله و سلم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الكلام في كلا المقامين</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6963493_73709187"/>
      <w:bookmarkStart w:id="178" w:name="_Toc65"/>
      <w:bookmarkEnd w:id="177"/>
      <w:r>
        <w:rPr>
          <w:rtl w:val="true"/>
        </w:rPr>
        <w:t>المقام الأوّل</w:t>
      </w:r>
      <w:r>
        <w:rPr>
          <w:rtl w:val="true"/>
        </w:rPr>
        <w:t xml:space="preserve">: </w:t>
      </w:r>
      <w:r>
        <w:rPr>
          <w:rtl w:val="true"/>
        </w:rPr>
        <w:t>تبيين مفاد الحديث</w:t>
      </w:r>
      <w:bookmarkEnd w:id="178"/>
    </w:p>
    <w:p>
      <w:pPr>
        <w:pStyle w:val="Heading5"/>
        <w:numPr>
          <w:ilvl w:val="4"/>
          <w:numId w:val="1"/>
        </w:numPr>
        <w:rPr/>
      </w:pPr>
      <w:bookmarkStart w:id="179" w:name="__RefHeading___Toc6963495_73709187"/>
      <w:bookmarkStart w:id="180" w:name="_Toc66"/>
      <w:bookmarkEnd w:id="179"/>
      <w:r>
        <w:rPr>
          <w:rtl w:val="true"/>
        </w:rPr>
        <w:t>اشارة</w:t>
      </w:r>
      <w:bookmarkEnd w:id="18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روي هذا الحديث بصورة أُخرى غير ما ذكر في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يُسافَرُ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الْكَعْبَةِ‌، وَمَسْجِدي، وَمَسْجِدِ إيليا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 بصورة ثالثة،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تُشَدُّ الرِّحال إلى ثَلاثةِ مَساجِدَ</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لا شكّ في وجود هذا الحديث في الصحاح، ولسنا الآن في مقام مناقشة سند الحديث، لكونه ورد في أصحّ الكتب، بل مقصودنا بيان مفاد الحديث، لكي يظهر أنّ ما ادّعاه القائل لا يمتّ لما ادّعاه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ولنفرض أنّ نصّ الحديث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فالصورتان الأخيرتان لا تدلّان على حصر الجواز في الثلاثة، خصوصاً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الثابت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أداة استثناء ولابدّ من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المستثنى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ويجب تحديده، وبما أنّه مفقود في النصّ فلابدّ من تقديره في الكلام، وقبل الإشارة إلى القرائن الموجودة يمكن تقدير المستثنى منه في صورتين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تُشَدُّ إِلى مَسْجِدٍ مِنَ الْمَساجِد إِلّا ثَلاثة مَساجِد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تُشَدُّ إِلى مَكان من الأمكنَةِ إِلّا ثَلاثَة مَساجد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فهم الحديث والوقوف على معناه يتوقّف على ثبوت أحد هذين التقديرين، فإن اخترنا التقدير الأوّل كان معنى الحديث عدم شدّ الرحال إلى أيّ‌</w:t>
      </w:r>
    </w:p>
    <w:p>
      <w:pPr>
        <w:pStyle w:val="BookText"/>
        <w:rPr/>
      </w:pPr>
      <w:r>
        <w:rPr>
          <w:rFonts w:ascii="Amiri" w:hAnsi="Amiri" w:eastAsia="Amiri" w:cs="Amiri"/>
          <w:color w:val="111111"/>
          <w:sz w:val="28"/>
          <w:sz w:val="28"/>
          <w:szCs w:val="28"/>
          <w:rtl w:val="true"/>
          <w:lang w:bidi="ar-SA"/>
        </w:rPr>
        <w:t>مسجد من المساجد سوى المساجد الثلاثة، ولا علاقة له بشدّ الرحال إلى أيّ مكان إذا لم يكن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يشمل النهي من يشدّ الرحال لزيارة قبور الأنبياء والأئمّة الطاهرين والصالحين؛ لأنّ موضوع البحث نفياً وإثباتاً هو شدّ الرحال إلى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المساجد الثلاثة المذكورة، وأمّا شدّ الرحال إلى زيارة المشاهد المشرّفة وقبور الصلحاء من الأُمّة فليس مشمولاً للنهي ولا داخلاً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التقدير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التقدير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المستثنى منه هو المكان، فلازمه أن تكون كافّة السفرات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السفر إلى المناطق الثلاث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محرّمة، سواء أكان السفر من أجل زيارة المسجد أو زيارة مناطق وغايات أُخرى، وهذا ما لا يقول به أحدٌ من الفقهاء،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القرائن والدلائل تدلّ على أنّ التقدير الأوّل هو الصحيح، والثاني باطل، وهي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المساجد الثلاثة هي المستثناة، والاستثناء هنا 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يكون المستثنى منه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لا 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الكلام مركّزاً على المساجد، نفياً وإثباتاً، ولا علاقة للحديث بغيرها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الهدف هو منع كافّة السفرات المعنويّة لما صحّ الحصر في هذا المقام؛ لأنّ الإنسان يشدّ الرحال في موسم الحجّ للسفر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كانت السفرات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المساجد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محرّمة،</w:t>
      </w:r>
    </w:p>
    <w:p>
      <w:pPr>
        <w:pStyle w:val="BookText"/>
        <w:rPr/>
      </w:pPr>
      <w:r>
        <w:rPr>
          <w:rFonts w:ascii="Amiri" w:hAnsi="Amiri" w:eastAsia="Amiri" w:cs="Amiri"/>
          <w:color w:val="111111"/>
          <w:sz w:val="28"/>
          <w:sz w:val="28"/>
          <w:szCs w:val="28"/>
          <w:rtl w:val="true"/>
          <w:lang w:bidi="ar-SA"/>
        </w:rPr>
        <w:t>فلماذا يُشدّ الرحال إلى هذه المناطق‌؟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أشار القرآن الكريم والأحاديث الشريفة إلى بعض الأسفار الدينية، وجاء التحريض عليها والترغيب فيها، كالسفر من أجل الجهاد في سبيل اللّه وطلب العلم وصلة الرحم وزيارة الوالدين وما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فَسِيرُوا فِي الْأَرْضِ فَانْظُروا كَيْفَ كانَ عاقِبَةُ الْمُكَذِّبِينَ‌</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فقد فسّر كبار الباحثين والمحقّقين الحديث المذكور بما أشرنا إليه، فمثلاً يقول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إحياء العلوم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 وهو أن يسافر لأجل العبادة إمّا لحجّ أو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قبور الأنبياء عليهم السلام وزيارة قبور الصحابة والتابعين وسائر العلماء والأولياء، وكلّ من يُتبرّك بمشاهدته في حياته يُتبرّك بزيارته بعد وفاته، ويجوز شدّ الرحال لهذا الغرض، ولا يمنع من هذا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مسجدي هذا، والمسجد الحرام، والمسجد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في المساجد، فانّها متماثلة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المساجد، وإلّا فلا فرق بين زيارة قبور الأنبياء والأولياء والعلماء في أصل الفضل، وإن كان يتفاوت في الدرجات</w:t>
      </w:r>
    </w:p>
    <w:p>
      <w:pPr>
        <w:pStyle w:val="BookText"/>
        <w:rPr/>
      </w:pPr>
      <w:r>
        <w:rPr>
          <w:rFonts w:ascii="Amiri" w:hAnsi="Amiri" w:eastAsia="Amiri" w:cs="Amiri"/>
          <w:color w:val="111111"/>
          <w:sz w:val="28"/>
          <w:sz w:val="28"/>
          <w:szCs w:val="28"/>
          <w:rtl w:val="true"/>
          <w:lang w:bidi="ar-SA"/>
        </w:rPr>
        <w:t>تفاوتاً عظيماً بحسب اختلاف درجاتهم عند اللّه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وعلى ضوء هذا فالمنهيّ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شدّ الرحال إلى غير المساجد الثلاثة، من المساجد الأُخرى، ولا علاقة له بالسفر للزيارة أو لأهداف معنويّة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لابدّ من الإشارة إلى أنّ النبيّ صلى الله عليه و آله و سلم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يعني أنّ شدّ الرحال إلى المساجد الأُخرى حرام، بل معناه أنّ المساجد الأُخرى لا تستحقّ شدّ الرحال إليها، وتحمّل مشاق السفر من أجل زيارتها، لأنّ المساجد الأُخرى لا تختلف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المدينة أو في القرية أو في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مع الآخر فثواب إقامة الصلاة في المسجد الجامع في أيّ بلد من البلاد واحد، فلا ملزم للسفر عندئذٍ لإقامة الصلاة في جامع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داعي إلى أن يشدّ الإنسان الرحال إليه، أمّا إذا شدّ الرحال إليه فليس عمله هذا حراماً ولا مخالفاً للسُّنّة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ما رواه أصحاب الصحاح والسُّنن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يأتي مسجد قُبا كلّ سبت راكباً وماشياً فيصلّي فيه ركعتين</w:t>
      </w:r>
      <w:r>
        <w:rPr>
          <w:rFonts w:eastAsia="Amiri" w:cs="Amiri" w:ascii="Amiri" w:hAnsi="Amiri"/>
          <w:color w:val="111111"/>
          <w:sz w:val="28"/>
          <w:szCs w:val="28"/>
          <w:rtl w:val="true"/>
          <w:lang w:bidi="ar-SA"/>
        </w:rPr>
        <w:t>».</w:t>
      </w:r>
      <w:r>
        <w:rPr>
          <w:rStyle w:val="FootnoteAnchor"/>
          <w:rtl w:val="true"/>
        </w:rPr>
        <w:footnoteReference w:id="85"/>
      </w:r>
      <w:bookmarkStart w:id="181" w:name="pg16772_194394"/>
    </w:p>
    <w:p>
      <w:pPr>
        <w:pStyle w:val="BookText"/>
        <w:rPr/>
      </w:pPr>
      <w:bookmarkEnd w:id="181"/>
      <w:r>
        <w:rPr>
          <w:rFonts w:ascii="Amiri" w:hAnsi="Amiri" w:eastAsia="Amiri" w:cs="Amiri"/>
          <w:color w:val="111111"/>
          <w:sz w:val="28"/>
          <w:sz w:val="28"/>
          <w:szCs w:val="28"/>
          <w:rtl w:val="true"/>
          <w:lang w:bidi="ar-SA"/>
        </w:rPr>
        <w:t>فعلى ضوء هذه الرواية 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يكون شدّ الرحال وقطع المسافات من أجل إقامة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من بيوته سبحانه حراماً ومنهياً عنه‌؟</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6963497_73709187"/>
      <w:bookmarkStart w:id="183" w:name="_Toc67"/>
      <w:bookmarkEnd w:id="182"/>
      <w:r>
        <w:rPr>
          <w:rtl w:val="true"/>
        </w:rPr>
        <w:t>استحباب زيارة قبر النبي صلى الله عليه و آله و سلم</w:t>
      </w:r>
      <w:bookmarkEnd w:id="183"/>
    </w:p>
    <w:p>
      <w:pPr>
        <w:pStyle w:val="BookText"/>
        <w:rPr/>
      </w:pPr>
      <w:r>
        <w:rPr>
          <w:rFonts w:ascii="Amiri" w:hAnsi="Amiri" w:eastAsia="Amiri" w:cs="Amiri"/>
          <w:color w:val="111111"/>
          <w:sz w:val="28"/>
          <w:sz w:val="28"/>
          <w:szCs w:val="28"/>
          <w:rtl w:val="true"/>
          <w:lang w:bidi="ar-SA"/>
        </w:rPr>
        <w:t xml:space="preserve">وقد روى غير واحد من أئمة الحديث قول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فقد وجبت 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عدّة من الحفّاظ وأئمة الحديث يزيد عددهم على أربعين محدّثاً وحافظاً، وها نحن نذكر بعض من رواه من قدماء المحّدثين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الدنيا، أبو بكر عبداللّه بن محمد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إسحاق، أبو بكر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بأبي خزيمة</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الحسن عليّ بن عمر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بكر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القاضي عياض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0"/>
      </w:r>
      <w:bookmarkStart w:id="184" w:name="pg16772_194395"/>
    </w:p>
    <w:p>
      <w:pPr>
        <w:pStyle w:val="BookText"/>
        <w:rPr/>
      </w:pPr>
      <w:bookmarkEnd w:id="18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أبو القاسم عليّ 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الغرام الساكن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لا تختص بمن استوطن المدينة بل هي خطاب شامل لكافة المسلمين دانيهم وقاصيهم</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6963499_73709187"/>
      <w:bookmarkStart w:id="186" w:name="_Toc68"/>
      <w:bookmarkEnd w:id="185"/>
      <w:r>
        <w:rPr>
          <w:rtl w:val="true"/>
        </w:rPr>
        <w:t>المقام الثاني</w:t>
      </w:r>
      <w:r>
        <w:rPr>
          <w:rtl w:val="true"/>
        </w:rPr>
        <w:t xml:space="preserve">: </w:t>
      </w:r>
      <w:r>
        <w:rPr>
          <w:rtl w:val="true"/>
        </w:rPr>
        <w:t>سيرة المسلمين عبر القرون في السفر لزيارة قبر النبي صلى الله عليه و آله و سلم وآله عليهم السلام وغيرهم</w:t>
      </w:r>
      <w:bookmarkEnd w:id="186"/>
    </w:p>
    <w:p>
      <w:pPr>
        <w:pStyle w:val="Heading5"/>
        <w:numPr>
          <w:ilvl w:val="4"/>
          <w:numId w:val="1"/>
        </w:numPr>
        <w:rPr/>
      </w:pPr>
      <w:bookmarkStart w:id="187" w:name="__RefHeading___Toc6963501_73709187"/>
      <w:bookmarkStart w:id="188" w:name="_Toc69"/>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 xml:space="preserve">إنّ مَنْ تتبع سيرة المسلمين عبر القرون يجد شواهد كثيرة على أنّهم كانوا يشدّون الرحال لأجل زيارة قبر النبي صلى الله عليه و آله و سلم وقبور آله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وزيارة قبور الصالحين من أقاربهم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نقتصر في المقام بذكر ما يلي</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6963503_73709187"/>
      <w:bookmarkStart w:id="190" w:name="_Toc70"/>
      <w:bookmarkEnd w:id="189"/>
      <w:r>
        <w:rPr/>
        <w:t>1</w:t>
      </w:r>
      <w:r>
        <w:rPr>
          <w:rtl w:val="true"/>
        </w:rPr>
        <w:t xml:space="preserve">. </w:t>
      </w:r>
      <w:r>
        <w:rPr>
          <w:rtl w:val="true"/>
        </w:rPr>
        <w:t>سفر السيدة فاطمة الزهراء عليها السلام لزيارة قبر حمزة سيد الشهداء في أُحد</w:t>
      </w:r>
      <w:bookmarkEnd w:id="190"/>
    </w:p>
    <w:p>
      <w:pPr>
        <w:pStyle w:val="BookText"/>
        <w:rPr/>
      </w:pPr>
      <w:r>
        <w:rPr>
          <w:rFonts w:ascii="Amiri" w:hAnsi="Amiri" w:eastAsia="Amiri" w:cs="Amiri"/>
          <w:color w:val="111111"/>
          <w:sz w:val="28"/>
          <w:sz w:val="28"/>
          <w:szCs w:val="28"/>
          <w:rtl w:val="true"/>
          <w:lang w:bidi="ar-SA"/>
        </w:rPr>
        <w:t>أخرج الحاكم في مستدركه، عن علي بن الحسين، عن أبيه، أنّ فاطمة عليها السلام بنت النبي صلى الله عليه و آله و سلم كانت تزور قبر عمّها حمزة كلّ جمعة وتبكي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بعد نقل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رواته عن آخرهم ثقات</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بين المدينة وموقع معركة أُحد مسافة شاسعة ربّما تتجاوز اثني عشر كيلومتراً، فهل للشيخ أن يتّهم سيدة نساء العالمين بأنّها لا تعلم حرمة هذا العمل، كما يدّعيه هو</w:t>
      </w:r>
      <w:r>
        <w:rPr>
          <w:rFonts w:eastAsia="Amiri" w:cs="Amiri" w:ascii="Amiri" w:hAnsi="Amiri"/>
          <w:color w:val="111111"/>
          <w:sz w:val="28"/>
          <w:szCs w:val="28"/>
          <w:rtl w:val="true"/>
          <w:lang w:bidi="ar-SA"/>
        </w:rPr>
        <w:t>.</w:t>
      </w:r>
      <w:bookmarkStart w:id="191" w:name="pg16772_194396"/>
    </w:p>
    <w:p>
      <w:pPr>
        <w:pStyle w:val="Heading5"/>
        <w:numPr>
          <w:ilvl w:val="4"/>
          <w:numId w:val="1"/>
        </w:numPr>
        <w:rPr/>
      </w:pPr>
      <w:bookmarkStart w:id="192" w:name="__RefHeading___Toc6963505_73709187"/>
      <w:bookmarkStart w:id="193" w:name="_Toc71"/>
      <w:bookmarkEnd w:id="191"/>
      <w:bookmarkEnd w:id="192"/>
      <w:r>
        <w:rPr/>
        <w:t>2</w:t>
      </w:r>
      <w:r>
        <w:rPr>
          <w:rtl w:val="true"/>
        </w:rPr>
        <w:t xml:space="preserve">. </w:t>
      </w:r>
      <w:r>
        <w:rPr>
          <w:rtl w:val="true"/>
        </w:rPr>
        <w:t>سفر عائشة إلى زيارة قبر أخيها</w:t>
      </w:r>
      <w:bookmarkEnd w:id="193"/>
    </w:p>
    <w:p>
      <w:pPr>
        <w:pStyle w:val="BookText"/>
        <w:rPr/>
      </w:pPr>
      <w:r>
        <w:rPr>
          <w:rFonts w:ascii="Amiri" w:hAnsi="Amiri" w:eastAsia="Amiri" w:cs="Amiri"/>
          <w:color w:val="111111"/>
          <w:sz w:val="28"/>
          <w:sz w:val="28"/>
          <w:szCs w:val="28"/>
          <w:rtl w:val="true"/>
          <w:lang w:bidi="ar-SA"/>
        </w:rPr>
        <w:t>أخرج الترمذي في سننه، عن عبداللّه بن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عبدالرحمن بن أبي بكر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إلى مكة فدفن فيها، فلمّا قدمتْ عائشة مكة، أتت قبر عبدالرحمن بن أبي بكر،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كندماني جذيمة حِقبةً من الدهر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يتصدعا</w:t>
      </w:r>
    </w:p>
    <w:p>
      <w:pPr>
        <w:pStyle w:val="BookText"/>
        <w:rPr/>
      </w:pPr>
      <w:r>
        <w:rPr>
          <w:rFonts w:ascii="Amiri" w:hAnsi="Amiri" w:eastAsia="Amiri" w:cs="Amiri"/>
          <w:color w:val="111111"/>
          <w:sz w:val="28"/>
          <w:sz w:val="28"/>
          <w:szCs w:val="28"/>
          <w:rtl w:val="true"/>
          <w:lang w:bidi="ar-SA"/>
        </w:rPr>
        <w:t>فلما تفرقنا كأنّي ومالكاً لطول اجتماع لم نَبتْ ليلة معا</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حضرتك ما دفنت إلّاحيث مت، ولو شهدتك ما زرتك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والمتبادر من العبارة أنّها لمّا قدمت مكة ذهبت إلى زيارة قبر أخيها لا أنّها مرّت عليه عفواً في طريقها إلى مكة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شهدتك لما زرتك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أنّي لم أُؤدّ حقّك في حال حياتك، فلذلك أزورك بعد مماتك، ولو كنت مؤدّية لحقّك لما تحمّلت عبء زيارتك</w:t>
      </w:r>
      <w:r>
        <w:rPr>
          <w:rFonts w:eastAsia="Amiri" w:cs="Amiri" w:ascii="Amiri" w:hAnsi="Amiri"/>
          <w:color w:val="111111"/>
          <w:sz w:val="28"/>
          <w:szCs w:val="28"/>
          <w:rtl w:val="true"/>
          <w:lang w:bidi="ar-SA"/>
        </w:rPr>
        <w:t>.</w:t>
      </w:r>
      <w:bookmarkStart w:id="194" w:name="pg16772_194397"/>
    </w:p>
    <w:p>
      <w:pPr>
        <w:pStyle w:val="Heading5"/>
        <w:numPr>
          <w:ilvl w:val="4"/>
          <w:numId w:val="1"/>
        </w:numPr>
        <w:rPr/>
      </w:pPr>
      <w:bookmarkStart w:id="195" w:name="__RefHeading___Toc6963507_73709187"/>
      <w:bookmarkStart w:id="196" w:name="_Toc72"/>
      <w:bookmarkEnd w:id="194"/>
      <w:bookmarkEnd w:id="195"/>
      <w:r>
        <w:rPr/>
        <w:t>3</w:t>
      </w:r>
      <w:r>
        <w:rPr>
          <w:rtl w:val="true"/>
        </w:rPr>
        <w:t xml:space="preserve">. </w:t>
      </w:r>
      <w:r>
        <w:rPr>
          <w:rtl w:val="true"/>
        </w:rPr>
        <w:t>سفر بلال إلى المدينة لزيارة قبر النبي صلى الله عليه و آله و سلم</w:t>
      </w:r>
      <w:bookmarkEnd w:id="196"/>
    </w:p>
    <w:p>
      <w:pPr>
        <w:pStyle w:val="BookText"/>
        <w:rPr/>
      </w:pPr>
      <w:r>
        <w:rPr>
          <w:rFonts w:ascii="Amiri" w:hAnsi="Amiri" w:eastAsia="Amiri" w:cs="Amiri"/>
          <w:color w:val="111111"/>
          <w:sz w:val="28"/>
          <w:sz w:val="28"/>
          <w:szCs w:val="28"/>
          <w:rtl w:val="true"/>
          <w:lang w:bidi="ar-SA"/>
        </w:rPr>
        <w:t>روى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بلالاً رأى في منامه النبي صلى الله عليه و آله و سلم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هذه الجفوة 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لك أنْ تزورني 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حزيناً وَجِلاً خائفاً، فركب راحلته وقصد المدينة، فأتى قبر النبي صلى الله عليه و آله و سلم فجعل يبكي عنده ويمرّغ وجهه عليه، فأقبل الحسن والحسين، فجعل يضمّهما ويقبّلهما</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وذكر بعد ذلك قصة أذانه بطلب من الحسن والحسين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الحافظ جمال الدين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يؤذّن لأحد، بعد النبي صلى الله عليه و آله و سلم إلّامرّة واحدة في قدَمة قدمها المدينة لزيارة قبر النبي صلى الله عليه و آله و سلم، وطلب إليه الصحابة ذلك فأذّن</w:t>
      </w:r>
      <w:r>
        <w:rPr>
          <w:rFonts w:eastAsia="Amiri" w:cs="Amiri" w:ascii="Amiri" w:hAnsi="Amiri"/>
          <w:color w:val="111111"/>
          <w:sz w:val="28"/>
          <w:szCs w:val="28"/>
          <w:rtl w:val="true"/>
          <w:lang w:bidi="ar-SA"/>
        </w:rPr>
        <w:t>.</w:t>
      </w:r>
      <w:r>
        <w:rPr>
          <w:rStyle w:val="FootnoteAnchor"/>
          <w:rtl w:val="true"/>
        </w:rPr>
        <w:footnoteReference w:id="95"/>
      </w:r>
    </w:p>
    <w:p>
      <w:pPr>
        <w:pStyle w:val="Heading5"/>
        <w:numPr>
          <w:ilvl w:val="4"/>
          <w:numId w:val="1"/>
        </w:numPr>
        <w:rPr/>
      </w:pPr>
      <w:bookmarkStart w:id="197" w:name="__RefHeading___Toc6963509_73709187"/>
      <w:bookmarkStart w:id="198" w:name="_Toc73"/>
      <w:bookmarkEnd w:id="197"/>
      <w:r>
        <w:rPr/>
        <w:t>4</w:t>
      </w:r>
      <w:r>
        <w:rPr>
          <w:rtl w:val="true"/>
        </w:rPr>
        <w:t xml:space="preserve">. </w:t>
      </w:r>
      <w:r>
        <w:rPr>
          <w:rtl w:val="true"/>
        </w:rPr>
        <w:t>إبراد عمر بن عبدالعزيز بالسلام على رسول اللّه صلى الله عليه و آله و سلم</w:t>
      </w:r>
      <w:bookmarkEnd w:id="198"/>
    </w:p>
    <w:p>
      <w:pPr>
        <w:pStyle w:val="BookText"/>
        <w:rPr/>
      </w:pPr>
      <w:r>
        <w:rPr>
          <w:rFonts w:ascii="Amiri" w:hAnsi="Amiri" w:eastAsia="Amiri" w:cs="Amiri"/>
          <w:color w:val="111111"/>
          <w:sz w:val="28"/>
          <w:sz w:val="28"/>
          <w:szCs w:val="28"/>
          <w:rtl w:val="true"/>
          <w:lang w:bidi="ar-SA"/>
        </w:rPr>
        <w:t>وقد استفاض عن عمر بن عبدالعزيز إنّه كان يبرد البريد من الشام،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 لي على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ذكر ذلك ابن الجوزي، ونقلته من 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الغرام الساكن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أيضاً الإمام أبو بكر أحمد بن عمرو بن أبي عاصم النبيل الّذي توفّي سنة سبع وثمانين ومائتين في مناسكه،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عبدالعزيز يبعث بالرسول قاصداً من الشام إلى المدينة ليُقرئ النبي صلى الله عليه و آله و سلم ثم يرجع</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فسفر بلال في زمن صدر الصحابة، ورسول عمر بن</w:t>
      </w:r>
      <w:bookmarkStart w:id="199" w:name="pg16772_194398"/>
    </w:p>
    <w:p>
      <w:pPr>
        <w:pStyle w:val="BookText"/>
        <w:rPr/>
      </w:pPr>
      <w:bookmarkEnd w:id="199"/>
      <w:r>
        <w:rPr>
          <w:rFonts w:ascii="Amiri" w:hAnsi="Amiri" w:eastAsia="Amiri" w:cs="Amiri"/>
          <w:color w:val="111111"/>
          <w:sz w:val="28"/>
          <w:sz w:val="28"/>
          <w:szCs w:val="28"/>
          <w:rtl w:val="true"/>
          <w:lang w:bidi="ar-SA"/>
        </w:rPr>
        <w:t>عبدالعزيز في زمن صدر التابعين من الشام إلى المدينة، لم يكن إلّاللزيارة والسلام على النبي صلى الله عليه و آله و سلم ولم يكن الباعث على السفر غير ذلك لا من أمر الدنيا، ولا من أمر الدين، لا من قصد المسجد، ولا من غيره، وإنّما قلنا ذلك لئلّا يقول بعض من لا علم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السفر لمجرّد الزيارة ليس بسنّة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وسنتكلّم على بطلان ذلك في موضعه</w:t>
      </w:r>
      <w:r>
        <w:rPr>
          <w:rFonts w:eastAsia="Amiri" w:cs="Amiri" w:ascii="Amiri" w:hAnsi="Amiri"/>
          <w:color w:val="111111"/>
          <w:sz w:val="28"/>
          <w:szCs w:val="28"/>
          <w:rtl w:val="true"/>
          <w:lang w:bidi="ar-SA"/>
        </w:rPr>
        <w:t>.</w:t>
      </w:r>
      <w:r>
        <w:rPr>
          <w:rStyle w:val="FootnoteAnchor"/>
          <w:rtl w:val="true"/>
        </w:rPr>
        <w:footnoteReference w:id="96"/>
      </w:r>
    </w:p>
    <w:p>
      <w:pPr>
        <w:pStyle w:val="Heading5"/>
        <w:numPr>
          <w:ilvl w:val="4"/>
          <w:numId w:val="1"/>
        </w:numPr>
        <w:rPr/>
      </w:pPr>
      <w:bookmarkStart w:id="200" w:name="__RefHeading___Toc6963511_73709187"/>
      <w:bookmarkStart w:id="201" w:name="_Toc74"/>
      <w:bookmarkEnd w:id="200"/>
      <w:r>
        <w:rPr/>
        <w:t>5</w:t>
      </w:r>
      <w:r>
        <w:rPr>
          <w:rtl w:val="true"/>
        </w:rPr>
        <w:t xml:space="preserve">. </w:t>
      </w:r>
      <w:r>
        <w:rPr>
          <w:rtl w:val="true"/>
        </w:rPr>
        <w:t>سفر كعب الأحبار إلى المدينة لزيارة قبر النبي صلى الله عليه و آله و سلم بدعوة من الخليفة</w:t>
      </w:r>
      <w:bookmarkEnd w:id="201"/>
    </w:p>
    <w:p>
      <w:pPr>
        <w:pStyle w:val="BookText"/>
        <w:rPr/>
      </w:pPr>
      <w:r>
        <w:rPr>
          <w:rFonts w:ascii="Amiri" w:hAnsi="Amiri" w:eastAsia="Amiri" w:cs="Amiri"/>
          <w:color w:val="111111"/>
          <w:sz w:val="28"/>
          <w:sz w:val="28"/>
          <w:szCs w:val="28"/>
          <w:rtl w:val="true"/>
          <w:lang w:bidi="ar-SA"/>
        </w:rPr>
        <w:t xml:space="preserve">روى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فتح مدينة حلب وقلاعها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في بيت المقدس كعب الأحبار، فدار الحديث بينه وبين الخليفة حتّى أسلم، ففرح عمر بإسلام كعب الأحبار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تسير معي إلى المدينة فنزور قبر النبي صلى الله عليه و آله و سلم وتتمتع بزيارته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أنا أفعل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عمر يريد مدينة الرسول صلى الله عليه و آله و سلم وأخذ كعب الأحبار معه</w:t>
      </w:r>
      <w:r>
        <w:rPr>
          <w:rFonts w:eastAsia="Amiri" w:cs="Amiri" w:ascii="Amiri" w:hAnsi="Amiri"/>
          <w:color w:val="111111"/>
          <w:sz w:val="28"/>
          <w:szCs w:val="28"/>
          <w:rtl w:val="true"/>
          <w:lang w:bidi="ar-SA"/>
        </w:rPr>
        <w:t>.</w:t>
      </w:r>
      <w:r>
        <w:rPr>
          <w:rStyle w:val="FootnoteAnchor"/>
          <w:rtl w:val="true"/>
        </w:rPr>
        <w:footnoteReference w:id="97"/>
      </w:r>
    </w:p>
    <w:p>
      <w:pPr>
        <w:pStyle w:val="Heading5"/>
        <w:numPr>
          <w:ilvl w:val="4"/>
          <w:numId w:val="1"/>
        </w:numPr>
        <w:rPr/>
      </w:pPr>
      <w:bookmarkStart w:id="202" w:name="__RefHeading___Toc6963513_73709187"/>
      <w:bookmarkStart w:id="203" w:name="_Toc75"/>
      <w:bookmarkEnd w:id="202"/>
      <w:r>
        <w:rPr/>
        <w:t>6</w:t>
      </w:r>
      <w:r>
        <w:rPr>
          <w:rtl w:val="true"/>
        </w:rPr>
        <w:t xml:space="preserve">. </w:t>
      </w:r>
      <w:r>
        <w:rPr>
          <w:rtl w:val="true"/>
        </w:rPr>
        <w:t>سفر أئمة الحديث لزيارة الإمام الرضا عليه السلام</w:t>
      </w:r>
      <w:bookmarkEnd w:id="20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ابن حجر في ترجمة الإمام علي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 في تاريخ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أبا بكر محمد بن المؤمل بن الحسن بن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إمام أهل الحديث أبي بكر بن خزيمة وعديله أبي علي الثقفي مع جماعة من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إذ ذاك متوافرون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زيارة قبر علي بن موسى الرضا بطوس،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من تعظيمه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البقعة</w:t>
      </w:r>
      <w:bookmarkStart w:id="204" w:name="pg16772_194399"/>
    </w:p>
    <w:p>
      <w:pPr>
        <w:pStyle w:val="BookText"/>
        <w:rPr/>
      </w:pPr>
      <w:bookmarkEnd w:id="204"/>
      <w:r>
        <w:rPr>
          <w:rFonts w:ascii="Amiri" w:hAnsi="Amiri" w:eastAsia="Amiri" w:cs="Amiri"/>
          <w:color w:val="111111"/>
          <w:sz w:val="28"/>
          <w:sz w:val="28"/>
          <w:szCs w:val="28"/>
          <w:rtl w:val="true"/>
          <w:lang w:bidi="ar-SA"/>
        </w:rPr>
        <w:t>وتواضعه لها وتضرّعه عندها ماتحيّرنا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بسناباذ خارج النوقان مشهور يُزار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بجنب قبر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زرته مراراً كثيرة، وما حلّت بي شدّة في وقت مقامي بطوس فزرت قبر علي بن موسى الرضا صلوات اللّه على جدّه وعليه، ودعوت اللّه إزالتها عني إلّااستجيب لي وزالت عني تلك الشدّة، وهذا شيء جرّبته مراراً فوجدته كذلك، أماتنا اللّه على محبة المصطفى وأهل بيته صلى اللّه عليه وعليهم أجمعين</w:t>
      </w:r>
      <w:r>
        <w:rPr>
          <w:rFonts w:eastAsia="Amiri" w:cs="Amiri" w:ascii="Amiri" w:hAnsi="Amiri"/>
          <w:color w:val="111111"/>
          <w:sz w:val="28"/>
          <w:szCs w:val="28"/>
          <w:rtl w:val="true"/>
          <w:lang w:bidi="ar-SA"/>
        </w:rPr>
        <w:t>.</w:t>
      </w:r>
      <w:r>
        <w:rPr>
          <w:rStyle w:val="FootnoteAnchor"/>
          <w:rtl w:val="true"/>
        </w:rPr>
        <w:footnoteReference w:id="99"/>
      </w:r>
    </w:p>
    <w:p>
      <w:pPr>
        <w:pStyle w:val="Heading5"/>
        <w:numPr>
          <w:ilvl w:val="4"/>
          <w:numId w:val="1"/>
        </w:numPr>
        <w:rPr/>
      </w:pPr>
      <w:bookmarkStart w:id="205" w:name="__RefHeading___Toc6963515_73709187"/>
      <w:bookmarkStart w:id="206" w:name="_Toc76"/>
      <w:bookmarkEnd w:id="205"/>
      <w:r>
        <w:rPr/>
        <w:t>7</w:t>
      </w:r>
      <w:r>
        <w:rPr>
          <w:rtl w:val="true"/>
        </w:rPr>
        <w:t xml:space="preserve">. </w:t>
      </w:r>
      <w:r>
        <w:rPr>
          <w:rtl w:val="true"/>
        </w:rPr>
        <w:t>إطباق المسلمين على جواز السفر لزيارة قبر النبي صلى الله عليه و آله و سلم</w:t>
      </w:r>
      <w:bookmarkEnd w:id="206"/>
    </w:p>
    <w:p>
      <w:pPr>
        <w:pStyle w:val="BookText"/>
        <w:rPr/>
      </w:pPr>
      <w:r>
        <w:rPr>
          <w:rFonts w:ascii="Amiri" w:hAnsi="Amiri" w:eastAsia="Amiri" w:cs="Amiri"/>
          <w:color w:val="111111"/>
          <w:sz w:val="28"/>
          <w:sz w:val="28"/>
          <w:szCs w:val="28"/>
          <w:rtl w:val="true"/>
          <w:lang w:bidi="ar-SA"/>
        </w:rPr>
        <w:t>أطبق السلف والخلف على جواز السفر لأجل زيارة قبر النبي الأكرم صلى الله عليه و آله و سلم والشاهد على ذلك أنّهم إذا قضوا الحج يتوجّهون إلى زيارته وإنّ منهم من يفعل ذلك قبل الحج</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شاهدناه، وشاهده من قبلنا وحكاه العلماء في الأعصار القديمة، وكلّهم يقصدون ذلك ويعرجون إليه وإن لم يكن طريقهم، ويقطعون فيه مسافة بعيدة، وينفقون فيه الأموال، ويبذلون فيه المهج، معتقدين أنّ ذلك قربة وطاعة، وإطباق هذا الجمع العظيم من مشارق الأرض ومغاربها على مرّ السنين وفيهم العلماء والصلحاء وغيرهم، يستحيل أن يكون خطأ، وكلّهم يفعلون ذلك على وجه التقرّب به إلى اللّه عزّوجلّ‌، ومن تأخّر فإنّما يتأخّر بعجز أو تعويق المقادير مع تأسّفه عليه، وودّ لو تيسّر له، ومن ادّعى أنّ‌</w:t>
      </w:r>
      <w:bookmarkStart w:id="207" w:name="pg16772_194400"/>
    </w:p>
    <w:p>
      <w:pPr>
        <w:pStyle w:val="BookText"/>
        <w:rPr/>
      </w:pPr>
      <w:bookmarkEnd w:id="207"/>
      <w:r>
        <w:rPr>
          <w:rFonts w:ascii="Amiri" w:hAnsi="Amiri" w:eastAsia="Amiri" w:cs="Amiri"/>
          <w:color w:val="111111"/>
          <w:sz w:val="28"/>
          <w:sz w:val="28"/>
          <w:szCs w:val="28"/>
          <w:rtl w:val="true"/>
          <w:lang w:bidi="ar-SA"/>
        </w:rPr>
        <w:t>هذا الجمع العظيم مجمع على خطأ، فهو المخطئ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ربّما يقال من أنّ سفرهم إلى المدينة لأجل قصد عبادة أُخرى وهي الصلاة في المسجد، باطل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المنازعة فيما يقصده الناس مكابرة في أمر البديهة، فمن عرف الناس أنّهم يقصدون بسفرهم الزيارة من حين يعرجون إلى طريق المدينة، ولا يخطر غير الزيارة من القربات إلّاببال قليل منهم، ولهذا قلّ القاصدون إلى بيت المقدس مع تيسّر إتيانه، وإن كان في الصلاة فيه من الفضل ما قد عرفت، فالمقصود الأعظم في المدينة، كما أنّ المقصود الأعظم في مكة، الحج أو العمرة، وصاحب هذا السؤال إن شكّ في نفسه فليسأل كلّ من توجّه إلى المدينة، ما قصد بذلك‌؟</w:t>
      </w:r>
      <w:r>
        <w:rPr>
          <w:rStyle w:val="FootnoteAnchor"/>
          <w:rtl w:val="true"/>
        </w:rPr>
        <w:footnoteReference w:id="100"/>
      </w:r>
    </w:p>
    <w:p>
      <w:pPr>
        <w:pStyle w:val="Heading4"/>
        <w:numPr>
          <w:ilvl w:val="3"/>
          <w:numId w:val="1"/>
        </w:numPr>
        <w:rPr/>
      </w:pPr>
      <w:bookmarkStart w:id="208" w:name="__RefHeading___Toc6963517_73709187"/>
      <w:bookmarkStart w:id="209" w:name="_Toc77"/>
      <w:bookmarkEnd w:id="208"/>
      <w:r>
        <w:rPr>
          <w:rtl w:val="true"/>
        </w:rPr>
        <w:t>حصيلة الكلام</w:t>
      </w:r>
      <w:bookmarkEnd w:id="20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سيدة نساء العالمين فاطمة الزهراء، تسافر إلى زيارة قبر عمها حمزة سيد الشهداء في أُحد، وهذه عائشة تقصد زيارة قبر أخيها، وهذا الصحابي الجليل بلال يشدّ الرحال إلى زيارة قبر النبي صلى الله عليه و آله و سلم، وهذا عمر بن عبدالعزيز يبرد البريد إلى المدينة للسلام على النبي صلى الله عليه و آله و سلم نيابة عنه، وأخيراً يدعو الخليفة الثاني كعب الأحبار لمرافقته في السفر من بيت المقدس إلى المدينة لأجل زيارة قبر النبي صلى الله عليه و آله و سلم، وهكذا يجد المتتبع في غضون كتب التاريخ شواهد أُخرى من سفر الصالحين والعلماء إلى المدينة لتلك الغاية، وهذا يدلّ على أنّ سيرة المسلمين والسلف الصالح مجمعة على خطأ من يقول بحرمة السفر إلى</w:t>
      </w:r>
    </w:p>
    <w:p>
      <w:pPr>
        <w:pStyle w:val="BookText"/>
        <w:rPr/>
      </w:pPr>
      <w:r>
        <w:rPr>
          <w:rFonts w:ascii="Amiri" w:hAnsi="Amiri" w:eastAsia="Amiri" w:cs="Amiri"/>
          <w:color w:val="111111"/>
          <w:sz w:val="28"/>
          <w:sz w:val="28"/>
          <w:szCs w:val="28"/>
          <w:rtl w:val="true"/>
          <w:lang w:bidi="ar-SA"/>
        </w:rPr>
        <w:t>زيارة قبور الأنبياء والأولياء عليهم السلام، وهو الأمر الذي يحاول أن يروّج له مَن يدّعي الدفاع عن التوحيد، وينظر إلى ما تسالمت عليه الأُمّة برأيه المسبق الّذي ورثه عن شيوخه ومعلميه بلا تدبّر وتمحيص، ويحق لنا أن نتمثّل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تكن للمرء عين صحيحة فلا غرو أن يرتاب والصبح مسفر</w:t>
      </w:r>
    </w:p>
    <w:p>
      <w:pPr>
        <w:pStyle w:val="BookText"/>
        <w:rPr/>
      </w:pPr>
      <w:r>
        <w:rPr>
          <w:rFonts w:ascii="Amiri" w:hAnsi="Amiri" w:eastAsia="Amiri" w:cs="Amiri"/>
          <w:color w:val="111111"/>
          <w:sz w:val="28"/>
          <w:sz w:val="28"/>
          <w:szCs w:val="28"/>
          <w:rtl w:val="true"/>
          <w:lang w:bidi="ar-SA"/>
        </w:rPr>
        <w:t>ولا يبقى بأيدينا إلّاأن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الدعوة هي نتيجة النصب والعداء للنبي وآله عليهم السلام، الّذي تحرض عليه الأصابع اليهودية الخفيّة في أوساط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اليهود أشدّ الناس بغضاً وعداءً لأنبيائهم حيث كانوا يكنّون العداء لهم ويستهزئون بهم ويتّهمونهم ثم يقتلونهم عند كلّ شجر ومدر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ورحم اللّه الشاعر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لابل مواليد النواصب جدّدت دين اليهود فأين دين محمد</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210" w:name="pg16772_194402"/>
    </w:p>
    <w:p>
      <w:pPr>
        <w:pStyle w:val="Heading3"/>
        <w:numPr>
          <w:ilvl w:val="2"/>
          <w:numId w:val="1"/>
        </w:numPr>
        <w:rPr/>
      </w:pPr>
      <w:bookmarkStart w:id="211" w:name="__RefHeading___Toc6963519_73709187"/>
      <w:bookmarkStart w:id="212" w:name="_Toc78"/>
      <w:bookmarkEnd w:id="210"/>
      <w:bookmarkEnd w:id="211"/>
      <w:r>
        <w:rPr/>
        <w:t>7</w:t>
      </w:r>
      <w:r>
        <w:rPr>
          <w:rtl w:val="true"/>
        </w:rPr>
        <w:t xml:space="preserve"> </w:t>
      </w:r>
      <w:r>
        <w:rPr>
          <w:rtl w:val="true"/>
        </w:rPr>
        <w:t>كمال الدين ميثم البحراني حياة مليئة بالعطاء والأحداث</w:t>
      </w:r>
      <w:bookmarkEnd w:id="212"/>
    </w:p>
    <w:p>
      <w:pPr>
        <w:pStyle w:val="Heading4"/>
        <w:numPr>
          <w:ilvl w:val="3"/>
          <w:numId w:val="1"/>
        </w:numPr>
        <w:rPr/>
      </w:pPr>
      <w:bookmarkStart w:id="213" w:name="__RefHeading___Toc6963521_73709187"/>
      <w:bookmarkStart w:id="214" w:name="_Toc79"/>
      <w:bookmarkEnd w:id="213"/>
      <w:r>
        <w:rPr>
          <w:rtl w:val="true"/>
        </w:rPr>
        <w:t>اشارة</w:t>
      </w:r>
      <w:bookmarkEnd w:id="21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ميثم البحراني حياة مليئة بالعطاء والأحداث</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هو الفيلسوف المحقّق، والحكيم المدقّق، قدوة المتكلّمين، وزبدة الفقهاء والمحدّثين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ميثم بن علي بن ميثم بن المعلّى، أبو الفضل البحراني،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ومَيثم بالفتح،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ميثم بالكسر إلّاميثم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فبالفتح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إحدى قرى البحرين سنة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6963523_73709187"/>
      <w:bookmarkStart w:id="216" w:name="_Toc80"/>
      <w:bookmarkEnd w:id="215"/>
      <w:r>
        <w:rPr>
          <w:rtl w:val="true"/>
        </w:rPr>
        <w:t>مكانته العلمية وثناء العلماء عليه</w:t>
      </w:r>
      <w:bookmarkEnd w:id="21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المصنّف على جانب كبير من العلم والدراية، مشبعاً بفنون المعارف المتداولة في عصره، مبجّلاً عند أساطين العلم والمعرفة، ينقلون آراءه وأقواله</w:t>
      </w:r>
      <w:bookmarkStart w:id="217" w:name="pg16772_194403"/>
    </w:p>
    <w:p>
      <w:pPr>
        <w:pStyle w:val="BookText"/>
        <w:rPr/>
      </w:pPr>
      <w:bookmarkEnd w:id="217"/>
      <w:r>
        <w:rPr>
          <w:rFonts w:ascii="Amiri" w:hAnsi="Amiri" w:eastAsia="Amiri" w:cs="Amiri"/>
          <w:color w:val="111111"/>
          <w:sz w:val="28"/>
          <w:sz w:val="28"/>
          <w:szCs w:val="28"/>
          <w:rtl w:val="true"/>
          <w:lang w:bidi="ar-SA"/>
        </w:rPr>
        <w:t>مع إجلال وتعظيم، وينظرون إلى تحقيقاته الرشيقة بإكبار وتكريم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ويكفيك دليلاً على جلالة شأنه وسطوع برهانه اتّفاق كلمة أئمة الأعصار وأساطين الفضلاء في جميع الأعصار على تسميته بالعالم الربّاني، وشهادتهم له بأنّه لم يوجد مثله في تحقيق الحقائق وتنقيح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الحكيم الفيلسوف سلطان المحقّقين وأُستاذ الحكماء والمتكلّمين نصير الملّة والدين محمد الطوسي شهد له بالتبحّر في الحكمة والكلام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شهد سيد المحقّقين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جلال قدره في أوائل فن البيان من شرح المفتاح قد نقل بعض تحقيقاته الأنيقة وتعليقاته الرشيقة، وعبّر عنه ببعض مشايخنا، ناظماً نفسه في سلك تلامذته، ومفتخراً بالانخراط في سلك المستفيدين من حضرته، المقتبسين من مشكاة 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السند الفيلسوف الأوحد مير صدر الدين محمد الشيرازي أكثر النقل عنه في حاشية شرح التجريد، لاسيّما في مباحث الجواهر والأعراض، والتقط فرائد التحقيقات الّتي أبدعها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مؤلّفاته، لم تسمح بمثله الأعصار مادار الفلك الدوّار</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6963525_73709187"/>
      <w:bookmarkStart w:id="219" w:name="_Toc81"/>
      <w:bookmarkEnd w:id="218"/>
      <w:r>
        <w:rPr>
          <w:rtl w:val="true"/>
        </w:rPr>
        <w:t>عصر المؤلّف</w:t>
      </w:r>
      <w:bookmarkEnd w:id="21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ولادة المؤلّف في أواخر عصر المستنصر باللّه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الرابعة من عمره توفّي المستنصر؛ وخلفه ابنه عبداللّه المستعصم باللّه الّذي اشتغل باللعب بالطيور، وضرب الطنبور، واللهو والفجور إلى أن انتهى</w:t>
      </w:r>
    </w:p>
    <w:p>
      <w:pPr>
        <w:pStyle w:val="BookText"/>
        <w:rPr/>
      </w:pPr>
      <w:r>
        <w:rPr>
          <w:rFonts w:ascii="Amiri" w:hAnsi="Amiri" w:eastAsia="Amiri" w:cs="Amiri"/>
          <w:color w:val="111111"/>
          <w:sz w:val="28"/>
          <w:sz w:val="28"/>
          <w:szCs w:val="28"/>
          <w:rtl w:val="true"/>
          <w:lang w:bidi="ar-SA"/>
        </w:rPr>
        <w:t xml:space="preserve">ملكه على يد المغول بقيادة هولاكو، وكان ذلك في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وبمقتله كان نهاية الدولة العباسية، وبدء حقبة سوداء مليئة بالأهوال والمآسي حيث استباح المغول بعد قتل الحاكم العباسي وابنه والمقرّبين له استباحوا بغداد أربعين يوماً، وقتلوا سائر أولاد المستعصم واسترقّوا بناته، ووقع الناس بأيدي أعداء لا يرضون إلّابالقتل والسبي حيث لم ينجو منهم إلّاالمختفون في الخفايا والآبار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 هولاكو إلى تبريز الّتي اتخذها عاصمة له بعد سنة من دخول بغداد، وترك محمد الجويني والياً عليها إلى أن توفّي في سنة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ففوض هولاكو حكومة بغداد إلى ابنه علاء الدين عطاء ملك الجويني واستوزر له أخاه شمس الدين، وكان فيهما كرم وسؤدد وخبرة بالأُمور، وعدل ورفق بالرعية وعمارة البلاد حتّى بالغ بعض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صاحب الديوان بغداد حتّى كانت أجود من أيام الخلافة، ووجد أهل بغداد به راحة</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هي الفترة الّتي اتّصل بها المصنّف بالأخوين عطاء ملك ومحمد لما شاهده فيهما من حب العلم وتقدير العلماء فألّف بعض كتبه باسمهما، وهذا ما نلاحظه في مقدّمة بعض كتبه، كشرحه الكبير على نهج البلاغة حيث قال في مقدّمته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أن قضت صروف الزمن بمفارقة الأهل والوطن، وأوجبت تقلّبات الأيام دخول دار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فوجدتها نزهة للناظر وآية للحكيم القادر، بانتهاء أحوال تدبيرها، وإلقاء مقاليد أُمورها، إلى من خصّه اللّه تعالى بأشرف الكمالات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ديوان 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الحق والدين عطاء ملك ابن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الدنيا والدين محمد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 أزره بدوام عز صنوه</w:t>
      </w:r>
      <w:bookmarkStart w:id="220" w:name="pg16772_194405"/>
    </w:p>
    <w:p>
      <w:pPr>
        <w:pStyle w:val="BookText"/>
        <w:rPr/>
      </w:pPr>
      <w:bookmarkEnd w:id="220"/>
      <w:r>
        <w:rPr>
          <w:rFonts w:ascii="Amiri" w:hAnsi="Amiri" w:eastAsia="Amiri" w:cs="Amiri"/>
          <w:color w:val="111111"/>
          <w:sz w:val="28"/>
          <w:sz w:val="28"/>
          <w:szCs w:val="28"/>
          <w:rtl w:val="true"/>
          <w:lang w:bidi="ar-SA"/>
        </w:rPr>
        <w:t>وشقيقه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ملوك العرب والعجم شمس الحق والدين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اتّفق اتصالي بخدمته وانتهيت إلى شريف 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مدة ولاية عطاء ملك الجويني على بغداد إحدى وعشرون سنة وعشرة أشهر وتوفّي في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التاريخ لم تحدثنا كتب التراجم والتاريخ عن نشاطات المؤلّف وما جرى عليه، والظاهر أنّه رجع إلى البحرين وبقي فيها إلى سنة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كانت الفترة الّتي عاش فيها المؤلّف فترة حرجة ومأساوية ومظلمة من تاريخ الإسلام انعكست على قلّة المعلومات الواصلة إلينا بحقّه، فلم تصلنا ترجمة وافية عنه، ولا عن تفاصيل حياته وأسفاره، ولا عن شيوخه وأساتذته ومن تربّى على يده ونقل عنه إلّابهذا المقدار اليسير الّذي ذكرناه، وهذا ما يعتبر خسارة عظمى للتراث الإسلامي</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6963527_73709187"/>
      <w:bookmarkStart w:id="222" w:name="_Toc82"/>
      <w:bookmarkEnd w:id="221"/>
      <w:r>
        <w:rPr>
          <w:rtl w:val="true"/>
        </w:rPr>
        <w:t>أساتذته وشيوخه</w:t>
      </w:r>
      <w:bookmarkEnd w:id="222"/>
    </w:p>
    <w:p>
      <w:pPr>
        <w:pStyle w:val="BookText"/>
        <w:rPr/>
      </w:pPr>
      <w:r>
        <w:rPr>
          <w:rFonts w:ascii="Amiri" w:hAnsi="Amiri" w:eastAsia="Amiri" w:cs="Amiri"/>
          <w:color w:val="111111"/>
          <w:sz w:val="28"/>
          <w:sz w:val="28"/>
          <w:szCs w:val="28"/>
          <w:rtl w:val="true"/>
          <w:lang w:bidi="ar-SA"/>
        </w:rPr>
        <w:t>نهل ابن ميثم العلم عن أساتذة عصره وكبار علمائه وشبّ في حوزاتهم الدراسية مكبّاً على طلب العلم والتحصيل، وذهب إلى العراق سعياً وراء الثقافة، وكان من أبرز أساتذته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الحكيم المتكلّم علي بن سليمان بن يحيى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كبار متكلّمي الإمامية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الفيلسوف الكبير الخواجة نصير الدين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يضن الدهر بمثله</w:t>
      </w:r>
      <w:r>
        <w:rPr>
          <w:rFonts w:eastAsia="Amiri" w:cs="Amiri" w:ascii="Amiri" w:hAnsi="Amiri"/>
          <w:color w:val="111111"/>
          <w:sz w:val="28"/>
          <w:szCs w:val="28"/>
          <w:rtl w:val="true"/>
          <w:lang w:bidi="ar-SA"/>
        </w:rPr>
        <w:t>.</w:t>
      </w:r>
      <w:bookmarkStart w:id="223" w:name="pg16772_194406"/>
    </w:p>
    <w:p>
      <w:pPr>
        <w:pStyle w:val="BookText"/>
        <w:rPr/>
      </w:pPr>
      <w:bookmarkEnd w:id="22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أبو السعادات أسعد بن عبدالقاهر بن أسعد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الحلّي جعفر بن الحسن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التصانيف القيمة، وعلى رأسها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النافع، والمعتبر، ونكت النهاية</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6963529_73709187"/>
      <w:bookmarkStart w:id="225" w:name="_Toc83"/>
      <w:bookmarkEnd w:id="224"/>
      <w:r>
        <w:rPr>
          <w:rtl w:val="true"/>
        </w:rPr>
        <w:t>تلامذته والراوون عنه</w:t>
      </w:r>
      <w:bookmarkEnd w:id="225"/>
    </w:p>
    <w:p>
      <w:pPr>
        <w:pStyle w:val="BookText"/>
        <w:rPr/>
      </w:pPr>
      <w:r>
        <w:rPr>
          <w:rFonts w:ascii="Amiri" w:hAnsi="Amiri" w:eastAsia="Amiri" w:cs="Amiri"/>
          <w:color w:val="111111"/>
          <w:sz w:val="28"/>
          <w:sz w:val="28"/>
          <w:szCs w:val="28"/>
          <w:rtl w:val="true"/>
          <w:lang w:bidi="ar-SA"/>
        </w:rPr>
        <w:t>لقد تلمّذ عليه وروى عنه الكثير من فطاحل العلماء، نذكر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يضرب به المثل في عالم الذكاء، ومثله لا يحضر إلّاعند عالم كبير يشار له بالبنان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بن جهم الأسدي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عبدالكريم بن أحمد ابن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عبداللّه بن صالح البحراني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بن حمّاد الليثي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الفوطي فقد اجتمع به وكتب عنه، ووصفه بالفقيه الأديب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ظاهر البشر، حسن الأخلاق</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6963531_73709187"/>
      <w:bookmarkStart w:id="227" w:name="_Toc84"/>
      <w:bookmarkEnd w:id="226"/>
      <w:r>
        <w:rPr>
          <w:rtl w:val="true"/>
        </w:rPr>
        <w:t>مصنّفاته وآثاره العلمية</w:t>
      </w:r>
      <w:bookmarkEnd w:id="22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الآثار العلمية الّتي تركها كثيرة، فقد صنّف في غير واحد من العلوم، إلّاأنّ الجانب الفلسفي والعرفاني غلب على آثاره ومصنّفاته، وها نحن نذكر عناوين مصنّفاته الّتي تدلّ على علو كعبه، وسموّ مقامه في غير واحد من العلوم</w:t>
      </w:r>
    </w:p>
    <w:p>
      <w:pPr>
        <w:pStyle w:val="BookText"/>
        <w:rPr/>
      </w:pP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السالكين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الكبير لنهج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فرغ منه 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 في خمسة أجزاء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مصباح السالكين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الصغير لنهج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فرغ منه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المتوسط على نهج البلاغة، ذكره الشيخ يوسف 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المرام في علم الكلام، ويسمّى بالقواعد الإلهية، وقد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في قم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مكتبة آية اللّه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طبع طبعات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النجاة في القيامة في تحقيق أمر الإمامة، وقد طبع 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قم، نشر مجمع الفكر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استقصاء النظر في إمامة الأئمة الاثني عشر، ذكره بعض المشايخ المحقّقين، ووصفه بأنّه لم يعمل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الإشارات في الحكمة والكلام، لأُستاذه علي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في غاية المتانة والدقّة على قواعد الحكماء الإلهيين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كلمة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جمعها أبو عثمان عمرو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منهاج العارفين في شرح كلام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 المترجم تلكم الكلم بأنّ كلّ كلمة منها تفي بألف من محاسن كلام العرب، وقد طبع 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المعراج السماوي، والّذي أكثر النقل عنه صدر الدين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شرح التجريد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الوحي والإلهام، والفرق بينهما والإشراق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آداب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شرح حديث المنزلة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 الخضم في الإلهيات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تجريد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عنون الكتاب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جاء بهذا الاسم في بعض المصادر، واشتهر بين المتأخّرين بهذا الاسم، لكنّنا وجدنا أكثر المعاجم وفهارس الكتب والمؤلّفين تذكره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الشيخ آغابزرگ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خرّيت هذا الفن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يذكره في الذريعة قائلاً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المعاني والبيان للشيخ كمال الدين 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البلاغة، لكن اسمه التجريد، وبلحاظ الجناس سمّى الفاضل المقداد شرحه 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تجويد البراعة في شرح تجريد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الإنسان علّمه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باسم نظام الدين أبي المظفر منصور بن علاء الدين عطاء ملك بن بهاء الدين محمد</w:t>
      </w:r>
    </w:p>
    <w:p>
      <w:pPr>
        <w:pStyle w:val="BookText"/>
        <w:rPr/>
      </w:pPr>
      <w:r>
        <w:rPr>
          <w:rFonts w:ascii="Amiri" w:hAnsi="Amiri" w:eastAsia="Amiri" w:cs="Amiri"/>
          <w:color w:val="111111"/>
          <w:sz w:val="28"/>
          <w:sz w:val="28"/>
          <w:szCs w:val="28"/>
          <w:rtl w:val="true"/>
          <w:lang w:bidi="ar-SA"/>
        </w:rPr>
        <w:t>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ورتّبه على مقدّمة وجملتين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وذكره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الأعلام،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باشا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والزركلي في الأعلام</w:t>
      </w:r>
      <w:r>
        <w:rPr>
          <w:rStyle w:val="FootnoteAnchor"/>
          <w:rtl w:val="true"/>
        </w:rPr>
        <w:footnoteReference w:id="105"/>
      </w:r>
      <w:r>
        <w:rPr>
          <w:rFonts w:ascii="Amiri" w:hAnsi="Amiri" w:eastAsia="Amiri" w:cs="Amiri"/>
          <w:color w:val="111111"/>
          <w:sz w:val="28"/>
          <w:sz w:val="28"/>
          <w:szCs w:val="28"/>
          <w:rtl w:val="true"/>
          <w:lang w:bidi="ar-SA"/>
        </w:rPr>
        <w:t xml:space="preserve">، وعمر كحالة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 ومحسن الأمين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 والسيد حسن الصدر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وفنون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الشيعة</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وغيرها من المصادر</w:t>
      </w:r>
      <w:r>
        <w:rPr>
          <w:rStyle w:val="FootnoteAnchor"/>
          <w:rtl w:val="true"/>
        </w:rPr>
        <w:footnoteReference w:id="109"/>
      </w:r>
      <w:r>
        <w:rPr>
          <w:rFonts w:ascii="Amiri" w:hAnsi="Amiri" w:eastAsia="Amiri" w:cs="Amiri"/>
          <w:color w:val="111111"/>
          <w:sz w:val="28"/>
          <w:sz w:val="28"/>
          <w:szCs w:val="28"/>
          <w:rtl w:val="true"/>
          <w:lang w:bidi="ar-SA"/>
        </w:rPr>
        <w:t xml:space="preserve">الّتي تُوصل الباحث إلى الاطمئنان بأنّ الاسم الأصلي للكتاب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والرسالة مستلّة من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السالكين الشرح الكبير لنهج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تلخيصها وتهذيبها وتنظيم مطالبها وبحوثها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نشر الكتاب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الشروق في مصر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تحقيق الدكتور عبدالقادر حسين أُستاذ البلاغة المساعد بكلّية البنات في جامعة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بذل المحقّق جهوداً مشكورة في تحقيقه وتنقحيه والتعليق عليه وإيضاح ما أُبهم من عباراته وشرح ما صعب من ألفاظه، فجزاه اللّه خير الجزاء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مكتبة العزيزي في قم المقدّسة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الطبعة</w:t>
      </w:r>
    </w:p>
    <w:p>
      <w:pPr>
        <w:pStyle w:val="BookText"/>
        <w:rPr/>
      </w:pPr>
      <w:r>
        <w:rPr>
          <w:rFonts w:ascii="Amiri" w:hAnsi="Amiri" w:eastAsia="Amiri" w:cs="Amiri"/>
          <w:color w:val="111111"/>
          <w:sz w:val="28"/>
          <w:sz w:val="28"/>
          <w:szCs w:val="28"/>
          <w:rtl w:val="true"/>
          <w:lang w:bidi="ar-SA"/>
        </w:rPr>
        <w:t>اعتمدت بشكل رئيسي على طبعة دار الشروق فهي لا تختلف عنها إلّافي موارد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ولأهمية الكتاب وفائدته الكبيرة لطلبة العلوم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ولتسليط الضوء على دور الشيعة في علم البلاغة وما قدّموه للمكتبة الإسلامية في هذا العلم كما هو شأنهم في كلّ العلوم الإسلامية، ارتأينا تحقيق هذا الكتاب وطبعه بحلّة جديدة، فشمّر محقّقو اللجنة العلمية في مؤسسة الإمام الصادق عليه السلام عن ساعد الجد، وقاموا بتحقيق هذا الكتاب بعد الحصول على نسخة خطية نفيسة قريبة من عهد المؤلّف، وزيّنوها بتعاليق مهمة لاسيّما ما يتعلّق بالبلاغة وأقسامها من البيان والمعاني والبديع، وهي تعليقات لا يستغني عنها طلاب العلم، فخرج كتاباً جديداً محقّقاً متكاملاً بحلة قشيبة زاهية، وذلك في سنة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التآليف المنسوبة له، والتي قد لا يخلو بعضها عن نظر؛ مثل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الاستغاثة في بدع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نسبه صاحب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السلافة البهية في الترجمة الميثمية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 صاحب روضات الجنات ذلك في موضع،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بطلان نسبة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 ميثم البحراني من كلام صاحب اللؤلؤة؛ وهو عندنا من القطعيات الأوّلية، وإنّما مصنّف هذا الكتاب على الحقيقة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موسى الرضوي الموسويّ‌</w:t>
      </w:r>
      <w:r>
        <w:rPr>
          <w:rFonts w:eastAsia="Amiri" w:cs="Amiri" w:ascii="Amiri" w:hAnsi="Amiri"/>
          <w:color w:val="111111"/>
          <w:sz w:val="28"/>
          <w:szCs w:val="28"/>
          <w:rtl w:val="true"/>
          <w:lang w:bidi="ar-SA"/>
        </w:rPr>
        <w:t>.</w:t>
      </w:r>
      <w:r>
        <w:rPr>
          <w:rStyle w:val="FootnoteAnchor"/>
          <w:rtl w:val="true"/>
        </w:rPr>
        <w:footnoteReference w:id="110"/>
      </w:r>
      <w:bookmarkStart w:id="228" w:name="pg16772_194411"/>
    </w:p>
    <w:p>
      <w:pPr>
        <w:pStyle w:val="Heading4"/>
        <w:numPr>
          <w:ilvl w:val="3"/>
          <w:numId w:val="1"/>
        </w:numPr>
        <w:rPr/>
      </w:pPr>
      <w:bookmarkStart w:id="229" w:name="__RefHeading___Toc6963533_73709187"/>
      <w:bookmarkStart w:id="230" w:name="_Toc85"/>
      <w:bookmarkEnd w:id="228"/>
      <w:bookmarkEnd w:id="229"/>
      <w:r>
        <w:rPr>
          <w:rtl w:val="true"/>
        </w:rPr>
        <w:t>وفاته</w:t>
      </w:r>
      <w:bookmarkEnd w:id="230"/>
    </w:p>
    <w:p>
      <w:pPr>
        <w:pStyle w:val="BookText"/>
        <w:rPr/>
      </w:pPr>
      <w:r>
        <w:rPr>
          <w:rFonts w:ascii="Amiri" w:hAnsi="Amiri" w:eastAsia="Amiri" w:cs="Amiri"/>
          <w:color w:val="111111"/>
          <w:sz w:val="28"/>
          <w:sz w:val="28"/>
          <w:szCs w:val="28"/>
          <w:rtl w:val="true"/>
          <w:lang w:bidi="ar-SA"/>
        </w:rPr>
        <w:t xml:space="preserve">اختلف أصحاب التراجم في تاريخ وفاة المصنّف رحمه الله، ونلاحظ في أكثر المصادر أنّ وفاته كانت سنة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أوّل من أرّخ ذلك الشيخ بهاء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وتبعه في ذلك صاحب الذريعة وروضات الجنّات وهدية العارفين وإيضاح المكنون ومعجم 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لم يحدّد وفاته، كالزركلي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أنّ وفاته كانت بعد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ذكر أنّ وفاته كانت سنة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إعجاز حسين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 عن أسماء المؤلّفين والكتب</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 والشيخ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وأصلح ما ذكره في الذريعة وخدش على سليمان الماحوزي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 علماء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وفاته كانت سنة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التاريخ مخدوش؛ لأنّ فراغ ابن ميثم من الشرح الصغير لنهج البلاغة كان في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وفرغ من الشرح الكبير للنهج في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 فالصحيح من تاريخ وفاته هو ما ذكره صاحب كشف الحجب وهو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ظاهراً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احتمله الزركلي في الأعلام حيث قال في هامش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في كشف الحجب، أو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احتمال ذلك، لأنّه كان حيّاً في</w:t>
      </w:r>
      <w:bookmarkStart w:id="231" w:name="pg16772_194412"/>
    </w:p>
    <w:p>
      <w:pPr>
        <w:pStyle w:val="BookText"/>
        <w:rPr/>
      </w:pPr>
      <w:bookmarkEnd w:id="231"/>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 فرغ في تلك السنّة من شرحه الصغير 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فعليه نحن نرجّح أنّ وفاته كانت سنة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لما ذكره صاحب كشف الحجب وآغا بزرگ والزركلي، وعلى هذا التاريخ يكون عمره ثلاثاً وستين سنة، وهو عمر يكاد يكون طبيعياً ومنسجماً مع كثرة كتبه ومؤلّفاته؛ على خلاف تاريخ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حيث يكون عمره ثلاثاً وأربعين سنة، وهو عمر قصير، ولو كان لذكر بقصر العمر، ولم يذكر ذلك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فالمختار في تاريخ حياة المؤلّف المترجم له هو أنّه عاش ثلاثاً وستين سنة من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6963535_73709187"/>
      <w:bookmarkStart w:id="233" w:name="_Toc86"/>
      <w:bookmarkEnd w:id="232"/>
      <w:r>
        <w:rPr>
          <w:rtl w:val="true"/>
        </w:rPr>
        <w:t>مدفنه وقبره رحمه الله</w:t>
      </w:r>
      <w:bookmarkEnd w:id="233"/>
    </w:p>
    <w:p>
      <w:pPr>
        <w:pStyle w:val="BookText"/>
        <w:rPr/>
      </w:pPr>
      <w:r>
        <w:rPr>
          <w:rFonts w:ascii="Amiri" w:hAnsi="Amiri" w:eastAsia="Amiri" w:cs="Amiri"/>
          <w:color w:val="111111"/>
          <w:sz w:val="28"/>
          <w:sz w:val="28"/>
          <w:szCs w:val="28"/>
          <w:rtl w:val="true"/>
          <w:lang w:bidi="ar-SA"/>
        </w:rPr>
        <w:t xml:space="preserve">أمّا مدفنه فقد دفن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جدّه الميثم بن المعلّى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قريتان تابعتان لمنطقة الماحوز الّتي تتكون من ثلاث قرى بإضافة الغُرَيفَة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والغريفة قرية مازالت موجودة ومعروفة بهذا الاسم حتّى الآن وهي منفصلة عن الماحوز، بينما قريتا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معروفتين بهذا الاسم إنّما يطلق عليهما تغليباً الماحوز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الشيخ علي بن الحسن البلادي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أنوار البدرين في تراجم علماء القطيف والإحساء والبحرين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بقعتان كلتاهما مشهورتان بأنّهما بقعة ابن ميثم البحراني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والأرجح هو القول الأوّل وهو قول المحقّق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p>
    <w:p>
      <w:p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نبذة مختصرة عن حياة هذا العالم الكبير الّذي ترك آثاراً خالدة، وربّى جيلاً من كبار العلماء، على رغم الفترة الحرجة الّتي عاشها، والّتي أشرنا إليها أثناء الترجمة، وهي فترة سقوط الدولة العباسية واجتياح المغول للبلاد الإسلامية، تزامناً مع الحروب الصليبية المسعورة ضد المسلمين، والّتي أدّت إلى القتل الفضيع للمسلمين، والتدمير الشنيع لبلدانهم، والأنكى من ذلك ضياع آثار علمائهم وحرقها من قبل تلك الجيوش الحاقدة، وهذا ما انعكس على قلّة المعلومات الواصلة إلينا عن المؤلّف، وعن الكثير من العلماء الذين عاشوا في تلك الفترة المظلمة، فيا لها من خسارة عظمى، وإلى اللّه المشتكى</w:t>
      </w:r>
      <w:r>
        <w:rPr>
          <w:rFonts w:eastAsia="Amiri" w:cs="Amiri" w:ascii="Amiri" w:hAnsi="Amiri"/>
          <w:color w:val="111111"/>
          <w:sz w:val="28"/>
          <w:szCs w:val="28"/>
          <w:rtl w:val="true"/>
          <w:lang w:bidi="ar-SA"/>
        </w:rPr>
        <w:t>...</w:t>
      </w:r>
      <w:bookmarkStart w:id="234" w:name="pg16772_194415"/>
    </w:p>
    <w:p>
      <w:pPr>
        <w:pStyle w:val="Heading2"/>
        <w:numPr>
          <w:ilvl w:val="1"/>
          <w:numId w:val="1"/>
        </w:numPr>
        <w:rPr/>
      </w:pPr>
      <w:bookmarkStart w:id="235" w:name="__RefHeading___Toc6963537_73709187"/>
      <w:bookmarkStart w:id="236" w:name="_Toc87"/>
      <w:bookmarkEnd w:id="234"/>
      <w:bookmarkEnd w:id="235"/>
      <w:r>
        <w:rPr>
          <w:rtl w:val="true"/>
        </w:rPr>
        <w:t>الفصل الثاني</w:t>
      </w:r>
      <w:r>
        <w:rPr>
          <w:rtl w:val="true"/>
        </w:rPr>
        <w:t xml:space="preserve">: </w:t>
      </w:r>
      <w:r>
        <w:rPr>
          <w:rtl w:val="true"/>
        </w:rPr>
        <w:t>مقالات وردود</w:t>
      </w:r>
      <w:bookmarkEnd w:id="236"/>
    </w:p>
    <w:p>
      <w:pPr>
        <w:pStyle w:val="Heading3"/>
        <w:numPr>
          <w:ilvl w:val="2"/>
          <w:numId w:val="1"/>
        </w:numPr>
        <w:rPr/>
      </w:pPr>
      <w:bookmarkStart w:id="237" w:name="__RefHeading___Toc6963539_73709187"/>
      <w:bookmarkStart w:id="238" w:name="_Toc88"/>
      <w:bookmarkEnd w:id="237"/>
      <w:r>
        <w:rPr>
          <w:rtl w:val="true"/>
        </w:rPr>
        <w:t>اشارة</w:t>
      </w:r>
      <w:bookmarkEnd w:id="2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إتقان الاستدلال بآية الابتلاء على عصمة الإمام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نقدية حول قاعدتي الاختبار واللطف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شبهات حول التقية والرد عليها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البداء حقيقة قرآنية</w:t>
      </w:r>
      <w:bookmarkStart w:id="239" w:name="pg16772_194417"/>
    </w:p>
    <w:p>
      <w:pPr>
        <w:pStyle w:val="Heading3"/>
        <w:numPr>
          <w:ilvl w:val="2"/>
          <w:numId w:val="1"/>
        </w:numPr>
        <w:rPr/>
      </w:pPr>
      <w:bookmarkStart w:id="240" w:name="__RefHeading___Toc6963541_73709187"/>
      <w:bookmarkStart w:id="241" w:name="_Toc89"/>
      <w:bookmarkEnd w:id="239"/>
      <w:bookmarkEnd w:id="240"/>
      <w:r>
        <w:rPr/>
        <w:t>1</w:t>
      </w:r>
      <w:r>
        <w:rPr>
          <w:rtl w:val="true"/>
        </w:rPr>
        <w:t xml:space="preserve"> </w:t>
      </w:r>
      <w:r>
        <w:rPr>
          <w:rtl w:val="true"/>
        </w:rPr>
        <w:t>إتقان الاستدلال بآية الابتلاء على عصمة الإمام</w:t>
      </w:r>
      <w:bookmarkEnd w:id="241"/>
    </w:p>
    <w:p>
      <w:pPr>
        <w:pStyle w:val="BookText"/>
        <w:rPr/>
      </w:pPr>
      <w:r>
        <w:rPr>
          <w:rFonts w:ascii="Amiri" w:hAnsi="Amiri" w:eastAsia="Amiri" w:cs="Amiri"/>
          <w:color w:val="111111"/>
          <w:sz w:val="28"/>
          <w:sz w:val="28"/>
          <w:szCs w:val="28"/>
          <w:rtl w:val="true"/>
          <w:lang w:bidi="ar-SA"/>
        </w:rPr>
        <w:t xml:space="preserve">نُشر على صفحات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الصنم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 بقلم عبدالملك الشافعي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صناديد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انهيار استدلالكم العقلي على العصمة المطلقة بآية إمامة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 فيه الكاتب استدلال علماء الشيعة بآية إمامة إبراهيم عليه السلام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وجدتهم يحاولون جاهداً،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العصمة في الإمام مدى الحياة، وليس وقت إمامته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استدلالهم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بالنسبة إلى الظلم على أقسام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طيلة عمره ظالماً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طيلة عمره طاهراً ونقيّاً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ظالماً في بداية عمره وتائباً في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طاهراً في بداية عمره وظالماً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ذلك يجب أن نقف على أنّ إبراهيم عليه السلام الّذي سأل الإمامة لبعض ذريته أراد أي قسم منها؟</w:t>
      </w:r>
    </w:p>
    <w:p>
      <w:pPr>
        <w:pStyle w:val="BookText"/>
        <w:rPr/>
      </w:pPr>
      <w:r>
        <w:rPr>
          <w:rFonts w:ascii="Amiri" w:hAnsi="Amiri" w:eastAsia="Amiri" w:cs="Amiri"/>
          <w:color w:val="111111"/>
          <w:sz w:val="28"/>
          <w:sz w:val="28"/>
          <w:szCs w:val="28"/>
          <w:rtl w:val="true"/>
          <w:lang w:bidi="ar-SA"/>
        </w:rPr>
        <w:t>حاشا لإبراهيم عليه السلام أن يسأل الإمامة للقسم الأوّل والرابع من ذريته، لوضوح أنّ الفارق في الظلم من بداية عمره إلى آخره أو الموصوف به أيام تصديه للإمامة لا يصلح لأن يؤتمن عليها، فبقي القسمان الآخران،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والثالث، وقد نصّ سبحانه على أنّه لا ينال عهده الظالم، والظالم في هذه العبارة لا ينطبق إلّاعلى القسم الثالث،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ظالماً في بداية عمره وصار تائباً حين التصدّي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علّق على هذا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وتأمّل كيف نزّهوا باستدلالهم إبراهيم عليه السلام من سؤاله للإمامة للقسم الأوّل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ظالماً مدى الحياة ومن كان نقيّاً ثم انحرف وقت تصديه للإمامة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اعترفوا بأنّه عليه السلام قد طلبها للقسمين الثاني والثالث، فجاء الرفض الإلهي للقسم الثالث بعدم أهليته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ليخرجوا بالنتيجة الّتي استماتوا في إثباتها وهي أنّ الإمام يجب أن يكون نقيّاً من الظلم طيلة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ردّ على هذا الاستنتاج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أنفسنا أمام حكمين عقليين متعارضين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حكم به عقل إبراهيم عليه السلام من الاعتقاد بأنّ من كان ظالماً في بداية عمره تائباً وقت تصديه للإمامة، يصلح للإمامة مؤهلاً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حكمت به عقول الإمامية من الاعتقاد بأنّ مَن كان ظالماً في بداية عمره وتائباً وقت تصديه للإمامة لا يصلح للإمامة وعدم أهليته لنيلها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فسيجد الإمامية أنفسهم بين خيارين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أن يصحّحوا ما حكم به عقل إبراهيم عليه السلام من أهلية القسم الثالث للإمامة، وعندئذٍ يترتّب عليه بطلان عقيدتهم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يصحّحوا ماحكمت به عقول الإمامية بمنع الإمامة عن القسم الثالث، ويترتّب عليه الطعن بإبراهيم عليه السلام والمتمثّل باتّهام عقله بالجهل والعجز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ما كتبه صاحب المقال، وبما أنّه قال في آخر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بانتظار العقلاء والمنصفين من الزملاء الإمامية ليبيّنوا موقفهم منه، وبأي الخيارين سيلتزمون، وتمثّل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ارْتَقِبُوا إِنِّي مَعَكُمْ رَقِيبٌ‌</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نزولاً على طلبه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تعجلن فقد أتاك مجي‍ بُ صوتك غير عاجز</w:t>
      </w:r>
    </w:p>
    <w:p>
      <w:pPr>
        <w:pStyle w:val="BookText"/>
        <w:rPr/>
      </w:pPr>
      <w:r>
        <w:rPr>
          <w:rFonts w:ascii="Amiri" w:hAnsi="Amiri" w:eastAsia="Amiri" w:cs="Amiri"/>
          <w:color w:val="111111"/>
          <w:sz w:val="28"/>
          <w:sz w:val="28"/>
          <w:szCs w:val="28"/>
          <w:rtl w:val="true"/>
          <w:lang w:bidi="ar-SA"/>
        </w:rPr>
        <w:t>وسوف يكون جوابنا مشتملاً على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الكاتب بدل أن يجيب عن استدلال الإمامية بالآية المباركة على عصمة الإمام في عامّة المراحل، انتقل إلى أمر هامشي يُعدّ جدلاً لا استدلالاً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نجيب عن جدله في النقطة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نفترض أنّ باحثاً إسلامياً مستقلاً يريد استخراج العقيدة الإسلامية من القرآن الكريم والسنّة النبوية، ولا يريد أن يكون مقلّداً أشعرياً أو ماتريدياً أو معتزلياً أو إمامياً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فعندئذٍ يبدأ بالتدبّر في الآية على النحو الّذي ذكرناه، فوجد في صميم</w:t>
      </w:r>
    </w:p>
    <w:p>
      <w:pPr>
        <w:pStyle w:val="BookText"/>
        <w:rPr/>
      </w:pPr>
      <w:r>
        <w:rPr>
          <w:rFonts w:ascii="Amiri" w:hAnsi="Amiri" w:eastAsia="Amiri" w:cs="Amiri"/>
          <w:color w:val="111111"/>
          <w:sz w:val="28"/>
          <w:sz w:val="28"/>
          <w:szCs w:val="28"/>
          <w:rtl w:val="true"/>
          <w:lang w:bidi="ar-SA"/>
        </w:rPr>
        <w:t>ذاته أنّه لا يمكن أن يطلب إبراهيم عليه السلام الإمامة للقسمين التاليين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الغارق في الظلم طيلة عمره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النقي في بداية عمره والظالم وقت توليه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بداهة العقل تحكم بعدم جواز تفويض مصالح الناس وأعراضهم بيد هؤلاء، الذين يمثّلون رجال العيث والفساد، يعبثون بنفوس الناس وأعراضهم وأموالهم كيفما شاءوا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يجد هذا الباحث غير المنتسب إلى أي طائفة من الطوائف أنّ مطلوب إبراهيم عليه السلام من إفاضة الإمامة لذريته طبعاً هما القسمان الآخران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يتفكّر هذا الباحث في الموضوع، فعندما ينتقل إلى جوابه سبحانه كأنّه يرفض قسماً ويقبل قسماً آخر، ينتقل إلى أنّ المرفوض هو الفاسد في أوّل عمره العادل زمان تولّيه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إلّامن كان نقيّاً طيلة عمره لم يعبد صنماً ولم يخضع بعنوان العبادة إلّاللّه سبحانه، ولم يشرب خمراً ولم يدنس نفسه بالخطيئة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نسأل كاتب المقال ما هو جوابه عن استدلال هذا الباحث ولا يسوغ له أن يبحث في حواشي المسألة، من أنّ الإمامية بين 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إذ المفروض أنّ الباحث لا إمامي ولا أشعري ولا ماتريدي، ولا غير ذلك، وإنّما هو مسلم أسلم وجهه للّه وارتدى برداء الإسلام وأراد أن يعتقد بصميمه من المصدرين الكتاب والسنّة فإذا الكتاب يرشده إلى هذه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جواب صاحب المقال، الّذي 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مرتقبون‌؟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الإمامية لم تتّخذ عصمة الإمام عقيدة إسلامية إلّاعن طريق التدبّر في آيات القرآن الكريم، وما أُثر في هذا الموضوع من أحاديث النبي الأكرم صلى الله عليه و آله و سلم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الآيات الّتي استنتجوا منها عصمة الإمام هي آية إمامة إبراهيم عليه السلام، فقد استفادوا من الحوار الدائر بين اللّه سبحانه وخليله بأنّ اللائق للإمامة هو الطاهر طول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هناك فضل وكرامة فإنّما ترجع إلى الحوار، وبالتالي إلى اللّه سبحانه وإلى خليله عليه السلام، فحوارهما بمنزلة كلام المعلّم، والمستفيدون بمنزلة المتعلّم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استدلالهم بالآيات القرآنية على عصمة الإمام لا يصدّهم في المرحلة الثانية عن الرجوع إلى الفطرة السليمة والعقل الصريح الدالّ بأنّ تفويض الأمر إلى إنسان فاسق لا يخاف اللّه سبحانه بالغيب أمر ناقض لهدف الخلقة، كما هو الحال في أُصول عامّة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يردفون الاستدلال بالآيات القرآنية بصريح المعقول الّذي لا يفارق الشرع قدر 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فالمصدر الرئيسي للباحث الإسلامي هو الكتاب والسنّة، ولكن ذلك لا يمنعه من الرجوع إلى العقل الصريح، الّذي به خاطب اللّه سبحانه عباده، وبه عرف اللّه وعرف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 على هدى الكتاب والسنّة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على كلّ أصل من الأُصول الاعتقادية بالكتاب والسنّة والعقل، ولا يصدّه الاستدلال بالوحي عن الاستدلال بالعقل الفطري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يُعلم أنّ ما ذكره من أنّ الإمامية بين 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الأخذ بعقيدة</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صلاحية الظالم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والعدول عن معتقدهم، أو تفضيلهم عقولهم على عقل إبراهيم عليه السلام؛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للإمامية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نأخذ بهذا، ولا ذاك، بل نأخذ بشيء آخر يجمع بين كرامة الخليل وعظمة عقليته، وبين الاعتقاد بعصمة الإمام في عامّة المراحل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الحوار الدائر بين اللّه سبحانه وخليله هو السبب الرئيسي لتواجد فكرة العصمة في أذهانهم، ولولا الحوار أو الآيات الأُخرى النازلة في هذا الصدد، لم يُتمكن من الجزم بالمسألة، فلو حاولنا التقييم، فالفضل يرجع إلى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آية الابتلاء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نقدّمه إلى الكاتب لعلّه يجد فيه دواءً لما سمّاه داءً‌، وحلّاً لما تصوّره إشكالاً وإعضالاً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من وراء القصد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242" w:name="pg16772_194423"/>
    </w:p>
    <w:p>
      <w:pPr>
        <w:pStyle w:val="Heading3"/>
        <w:numPr>
          <w:ilvl w:val="2"/>
          <w:numId w:val="1"/>
        </w:numPr>
        <w:rPr/>
      </w:pPr>
      <w:bookmarkStart w:id="243" w:name="__RefHeading___Toc6963543_73709187"/>
      <w:bookmarkStart w:id="244" w:name="_Toc90"/>
      <w:bookmarkEnd w:id="242"/>
      <w:bookmarkEnd w:id="243"/>
      <w:r>
        <w:rPr/>
        <w:t>2</w:t>
      </w:r>
      <w:r>
        <w:rPr>
          <w:rtl w:val="true"/>
        </w:rPr>
        <w:t xml:space="preserve"> </w:t>
      </w:r>
      <w:r>
        <w:rPr>
          <w:rtl w:val="true"/>
        </w:rPr>
        <w:t>رسالة نقدية حول قاعدتي الاختبار واللطف لا تعجلن فقد أتاك المجيب</w:t>
      </w:r>
      <w:bookmarkEnd w:id="244"/>
    </w:p>
    <w:p>
      <w:pPr>
        <w:pStyle w:val="Heading4"/>
        <w:numPr>
          <w:ilvl w:val="3"/>
          <w:numId w:val="1"/>
        </w:numPr>
        <w:rPr/>
      </w:pPr>
      <w:bookmarkStart w:id="245" w:name="__RefHeading___Toc6963545_73709187"/>
      <w:bookmarkStart w:id="246" w:name="_Toc91"/>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 xml:space="preserve">ليست الشيعة الإمامية بين خيارين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لهم خيار ثالث،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الالتزام بجهل الكاتب بحدود القاعدتين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الاختبار واللطف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في مقال كتبه عبدالكريم الشافعي يريد به إبطال قاعدة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يستدلّ بها الإمامية في موارد من مسائل 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كلمات أوردها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كلامه بأنّه ليس أمام الشيعة إلّاأمرين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قبول رأي أمير المؤمنين وترك هذه القاعدة، أو الأخذ بها ومخالفته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بانتظار العقلاء من الإمامية ليعلنوا بشجاعة بأي الخيارين سيلتزمون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ارْتَقِبُوا إِنِّي مَعَكُمْ رَقِيبٌ‌</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هنا سنثبت لصاحب المقال بأنّ الإمامية قاطبة لهم هنا خيار ثالث، وأنّ استدلاله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بطلان قاعدة اللطف نابع عن جهله بالقاعدتين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الاختبار واللطف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معرفته بحدودهما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تركيز الإمام على قاعدة الاختبار لا يعني بطلان قاعدة اللطف، إذ لكلّ موضع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خلاصة استدلاله</w:t>
      </w:r>
      <w:r>
        <w:rPr>
          <w:rFonts w:eastAsia="Amiri" w:cs="Amiri" w:ascii="Amiri" w:hAnsi="Amiri"/>
          <w:color w:val="111111"/>
          <w:sz w:val="28"/>
          <w:szCs w:val="28"/>
          <w:rtl w:val="true"/>
          <w:lang w:bidi="ar-SA"/>
        </w:rPr>
        <w:t>.</w:t>
      </w:r>
      <w:bookmarkStart w:id="247" w:name="pg16772_194424"/>
    </w:p>
    <w:p>
      <w:pPr>
        <w:pStyle w:val="BookText"/>
        <w:rPr/>
      </w:pPr>
      <w:bookmarkEnd w:id="247"/>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المنطلق والأرضية الّتي أسّس عليها الإمامية دعوتهم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الإمامة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كون الإمامة لطف يقرّب العباد من الطاعة يبعدهم عن المعصية، وعليه صارت نظرية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اللطف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المرتكز الأساسي الّذي اعتمدوا عليه في إيجابهم نصب الإمام على اللّه تعالى، إلّاأنّي وقفت على نصّ خطير وصريح في أهم مصادر الإمامية المعتمدة ألا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منسوب لعلي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ينسف نظرية اللطف الإلهي وذلك من خلال إيراده أُموراً لم يفعلها اللّه تعالى مع أنّ فعلها سيقرب العباد إلى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وإليكم هذه الأُمور الّتي أوردها في خطبته المشهورة بالقاصعة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الكاتب بنصوص ثلاثة، من أمير البيان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6963547_73709187"/>
      <w:bookmarkStart w:id="249" w:name="_Toc92"/>
      <w:bookmarkEnd w:id="248"/>
      <w:r>
        <w:rPr>
          <w:rtl w:val="true"/>
        </w:rPr>
        <w:t>النصّ الأوّل</w:t>
      </w:r>
      <w:r>
        <w:rPr>
          <w:rtl w:val="true"/>
        </w:rPr>
        <w:t xml:space="preserve">: </w:t>
      </w:r>
      <w:r>
        <w:rPr>
          <w:rtl w:val="true"/>
        </w:rPr>
        <w:t>قال عليه السلام حول الكعبة المقدّسة</w:t>
      </w:r>
      <w:r>
        <w:rPr>
          <w:rtl w:val="true"/>
        </w:rPr>
        <w:t>:</w:t>
      </w:r>
      <w:bookmarkEnd w:id="249"/>
    </w:p>
    <w:p>
      <w:pPr>
        <w:pStyle w:val="Heading5"/>
        <w:numPr>
          <w:ilvl w:val="4"/>
          <w:numId w:val="1"/>
        </w:numPr>
        <w:rPr/>
      </w:pPr>
      <w:bookmarkStart w:id="250" w:name="__RefHeading___Toc6963549_73709187"/>
      <w:bookmarkStart w:id="251" w:name="_Toc93"/>
      <w:bookmarkEnd w:id="250"/>
      <w:r>
        <w:rPr>
          <w:rtl w:val="true"/>
        </w:rPr>
        <w:t>اشارة</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فجعلها بيته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وَضَعَهُ بِأَوْعَرِ بِقَاعِ الْأَرْضِ حَجَراً، وَأَقَلِّ نَتَائِقِ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كما ذكر صاحب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مَدَراً، وَأَضْيَقِ بُطُونِ الْأَوْدِيَةِ قُطْراً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جِبَالٍ خَشِنَةٍ‌، وَرِمَالٍ دَمِثَةٍ‌،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سُبْحانَهُ أَنْ يَضَعَ بَيْتَهُ الْحَرَامَ‌، وَمَشَاعِرَهُ الْعِظَامَ‌، بَيْنَ جَنَّاتٍ وَأَنْهَارٍ، وَسَهْلٍ وَقَرَارٍ، جَمَّ الْأَشْجَارِ دَانِيَ الِّثمَارِ، مُلْتَفَّ الْبُنَى‌، مُتَّصِلَ الْقُرَى‌، بَيْنَ بُرَّةٍ سَمْرَاءَ‌، وَرَوْضَةٍ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قَدْ صَغُرَ قَدْرُ الْجَزَاءِ عَلَى حَسَبِ ضَعْفِ الْبَلَاءِ‌</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الْأسَاسُ الَْمحْمُولُ عَلَيْهَا، وَالْأَحْجَارُ الْمَرْفُوعُ بِهَا، بَيْنَ زُمُرُّدَةٍ خَضْرَاءَ‌، وَيَاقُوتَةٍ حَمْرَاءَ‌، وَنُورٍ وَضِيَاءٍ‌، لَخَفَّفَ ذلِكَ مُصَارَعَةَ‌</w:t>
      </w:r>
    </w:p>
    <w:p>
      <w:pPr>
        <w:pStyle w:val="BookText"/>
        <w:rPr/>
      </w:pPr>
      <w:r>
        <w:rPr>
          <w:rFonts w:ascii="Amiri" w:hAnsi="Amiri" w:eastAsia="Amiri" w:cs="Amiri"/>
          <w:color w:val="111111"/>
          <w:sz w:val="28"/>
          <w:sz w:val="28"/>
          <w:szCs w:val="28"/>
          <w:rtl w:val="true"/>
          <w:lang w:bidi="ar-SA"/>
        </w:rPr>
        <w:t>الشَّكِّ فِي الصُّدُورِ، وَلَوَضَعَ مُجَاهَدَةَ إِبْلِيسَ عَنِ الْقُلُوبِ‌، وَلَنَفَى مُعْتَلَجَ الرَّيْبِ مِنَ النَّاسِ‌</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كيف اعترف بلطفيّة هذا الأمر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العباد إلى التسليم ويبعّدهم عن الشك والريب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الْأِسَاسُ الَْمحْمُولُ عَلَيْهَا، وَالْأَحْجَارُ الْمَرْفُوعُ بِهَا، بَيْنَ زُمُرُّدَةٍ خَضْرَاءَ‌، وَيَاقُوتَةٍ حَمْرَاءَ‌، وَنُورٍ وَضِيَاءٍ‌، لَخَفَّفَ ذلِكَ مُصَارَعَةَ الشَّكِّ فِي الصُّدُورِ، وَلَوَضَعَ مُجَاهَدَةَ إِبْلِيسَ عَنِ الْقُلُوبِ‌، وَلَنَفَى مُعْتَلَجَ الرَّيْبِ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الكاتب قطّع الخطبة، فأخذ منها ما يفيده ظاهراً وترك ما يناقض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الإمام عليه السلام صدّر كلامه المذكور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تَرَوْنَ أَنَّ اللّهَ سُبْحانَهُ‌، اخْتَبَرَ الْأَوَّلِينَ مِنْ لَدُنْ آدَمَ عليه السلام، إِلَى الْآخِرِينَ مِنْ هذَا الْعَالَمِ‌؛ بِأَحْجَارٍ لَاتَضُرُّ وَلَا تَنْفَعُ‌، وَلَا تُبْصِرُ وَلَا تَسْمَعُ‌، فَجَعَلَهَا بَيْتَهُ الْحَرَامَ الَّذِي جَعَلَهُ لِلنَّاسِ قِيَاماً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وَضَعَهُ بِأَوْعَرِ بِقَاعِ الْأَرْضِ 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يُهَلِّلُونَ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حَوْلَهُ‌، وَيَرْمُلُونَ عَلَى أَقْدَامِهِمْ شُعْثاً غُبْراً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نَبَذُوا السَّرَابِيلَ وَرَاءَ ظُهُورِهِمْ‌، وَشَوَّهُوا بِإِعْفَاءِ الشُّعُورِ مَحَاسِنَ خَلْقِهِمُ‌، ابْتِلَاءً عَظِيماً، وَامْتِحَاناً شَدِيداً، وَاخْتِبَاراً مُبِيناً، وَتَمْحِيصاً بَلِيغاً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المهم في هذه الفقرة أُمور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ابتلاء عظيماً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امتحاناً شديداً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اختباراً مبيناً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تمحيصاً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الكلمات تحدّد موضع كلام الإمام ومطرح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حذفه الكاتب من صدر كلامه، وأمّا ما حذفه من ذيل كلامه فقوله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يَخْتَبِرُ عِبَادَهُ بِأَنْوَاعِ الشَّدَائِدِ، وَيَتَعَبَّدُهُمْ بِأَنْوَاعِ الَْمجَاهِدِ، وَيَبْتَلِيهِمْ بِضُرُوبِ الْمَكَارِهِ‌، إِخْرَاجاً لِلتَّكَبُّرِ مِنْ قُلُوبِهِمْ‌، وَ إِسْكَاناً لِلتَّذَلُّلِ فِي نُفُوسِهِمْ‌، وَلِيَجْعَلْ ذلِكَ أَبْوَاباً فُتُحاً إِلَى فَضْلِهِ‌، وَ أَسْبَاباً ذُلُلاً لِعَفْوِهِ‌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حذف ما يعبّر عن مقصود الإمام في المقام من الاختبار والامتحان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وقفت على ما صدّر أمير البيان عليه السلام قوله بما ذكرنا أو ذيل كلامه بما عرفت، فاعلم أنّ هنا قاعدتين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التكليف لغاية الاختبار وتمييز المطيع عن العاصي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اللطف بمعنى إيجاد الداعي إلى فعل الطاعة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فإليك الكلام حول القاعدتين حتّى تتّضح حدودهما ولا يختلط موضع الأُولى بالثانية</w:t>
      </w:r>
      <w:r>
        <w:rPr>
          <w:rFonts w:eastAsia="Amiri" w:cs="Amiri" w:ascii="Amiri" w:hAnsi="Amiri"/>
          <w:color w:val="111111"/>
          <w:sz w:val="28"/>
          <w:szCs w:val="28"/>
          <w:rtl w:val="true"/>
          <w:lang w:bidi="ar-SA"/>
        </w:rPr>
        <w:t>.</w:t>
      </w:r>
      <w:bookmarkStart w:id="252" w:name="pg16772_194427"/>
    </w:p>
    <w:p>
      <w:pPr>
        <w:pStyle w:val="Heading5"/>
        <w:numPr>
          <w:ilvl w:val="4"/>
          <w:numId w:val="1"/>
        </w:numPr>
        <w:rPr/>
      </w:pPr>
      <w:bookmarkStart w:id="253" w:name="__RefHeading___Toc6963551_73709187"/>
      <w:bookmarkStart w:id="254" w:name="_Toc94"/>
      <w:bookmarkEnd w:id="252"/>
      <w:bookmarkEnd w:id="253"/>
      <w:r>
        <w:rPr>
          <w:rtl w:val="true"/>
        </w:rPr>
        <w:t>الكلام حول قاعدة الاختبار</w:t>
      </w:r>
      <w:bookmarkEnd w:id="254"/>
    </w:p>
    <w:p>
      <w:pPr>
        <w:pStyle w:val="BookText"/>
        <w:rPr/>
      </w:pPr>
      <w:r>
        <w:rPr>
          <w:rFonts w:ascii="Amiri" w:hAnsi="Amiri" w:eastAsia="Amiri" w:cs="Amiri"/>
          <w:color w:val="111111"/>
          <w:sz w:val="28"/>
          <w:sz w:val="28"/>
          <w:szCs w:val="28"/>
          <w:rtl w:val="true"/>
          <w:lang w:bidi="ar-SA"/>
        </w:rPr>
        <w:t xml:space="preserve">إنّ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سبحانه بواقع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التكليف والداعي إليه،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لِيَمِيزَ اللّهُ الْخَبِيثَ مِنَ الطَّيِّبِ وَ يَجْعَلَ الْخَبِيثَ بَعْضَهُ عَلى بَعْضٍ‌</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خَلَقَ الْمَوْتَ وَ الْحَياةَ لِيَبْلُوَكُمْ أَيُّكُمْ أَحْسَنُ عَمَلاً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الدالّة على أنّ ابتلاء وامتحان العباد سنّة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فقد ظهر أنّ الإمام عليّاً عليه السلام بصدد بيان هذه القاعدة، وأنّه سبحانه جعل بيته في أوعر بقاع الأرض حجراً ولم يجعله بين جنات وأنهار، ليبتلي بذلك عباده، فلو جعله كما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بُرَّةٍ سَمْرَاءَ‌، وَرَوْضَةٍ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لسارع الناس إلى زيارة بيته؛ لأنّ فيه ما تشتهيه أنفسهم من التمتّع بالحدائق الغنّاء والمناظر الجميلة والأجواء المعتدلة، وعندئذٍ لم يتميّز من قصد الكعبة لعبادة اللّه ممّن قصدها لأجل السياحة والترفّه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ما ذكرنا كلام الإمام في صدر الخطبة وذيلها الذي حذفه الكاتب بوعي أو بدون وعي، حيث قال عليه السلام في صدر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أَقْدَامِهِمْ شُعْثاً غُبْراً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نَبَذُوا السَّرَابِيلَ وَرَاءَ ظُهُورِهِمْ‌، وَشَوَّهُوا بِإِعْفَاءِ الشُّعُورِ مَحَاسِنَ‌</w:t>
      </w:r>
    </w:p>
    <w:p>
      <w:pPr>
        <w:pStyle w:val="BookText"/>
        <w:rPr/>
      </w:pPr>
      <w:r>
        <w:rPr>
          <w:rFonts w:ascii="Amiri" w:hAnsi="Amiri" w:eastAsia="Amiri" w:cs="Amiri"/>
          <w:color w:val="111111"/>
          <w:sz w:val="28"/>
          <w:sz w:val="28"/>
          <w:szCs w:val="28"/>
          <w:rtl w:val="true"/>
          <w:lang w:bidi="ar-SA"/>
        </w:rPr>
        <w:t>خَلْقِهِمُ‌، ابْتِلَاءً عَظِيماً، وَامْتِحَاناً شَدِيداً، وَاخْتِبَاراً مُبِيناً، وَتَمْحِيصاً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قال في ذيل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يَخْتَبِرُ عِبَادَهُ بِأَنْوَاعِ الشَّدَائِدِ، وَيَتَعَبَّدُهُمْ بِأَنْوَاعِ الَْمجَاهِدِ، وَيَبْتَلِيهِمْ بِضُرُوبِ الْمَكَارِهِ‌، إِخْرَاجاً لِلتَّكَبُّرِ مِنْ قُلُوبِهِمْ‌، وَ إِسْكَاناً لِلتَّذَلُّلِ فِي نُفُوسِهِمْ‌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فالغاية من جعل البيت الحرام في هذه الأرض الخشنة والأجواء القاسية، هي لأجل الابتلاء والامتحان، الّذي هو غاية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فاختبار العباد بالتكاليف الشاقّة لا يعني أنّه لا يجب على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ينصب للعباد ما يقرّبهم إلى الطاعة ويبعدهم عن المعصية كالوعد والوعيد للمطيع والعاصي، كما سيوافيك في دراسة القاعدة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فالاختبار بالشدائد أمر لازم لتمييز المطيع عن العاصي، وأمّا جعل الداعي على الطاعة في مواضع خاصّة فهو أمر آخر، لا ينازع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فلم يترك اللّه سبحانه إعمال اللطف في الحج بطريق آخر وهو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فقد عدّ مَن تركه تساهلاً أو عصياناً من الكافرين وإن كان الكفر هنا كفر النعمة لا كفر الملّة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أمير المؤمنين عليه السلام في وصيته للحسن والحسين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اللّهَ فِي بَيْتِ رَبِّكُمْ‌، لَاتُخَلُّوهُ مَا بَقِيتُمْ‌، فَإِنَّهُ إِنْ تُرِكَ لَمْ تُنَاظَرُوا</w:t>
      </w:r>
      <w:r>
        <w:rPr>
          <w:rFonts w:eastAsia="Amiri" w:cs="Amiri" w:ascii="Amiri" w:hAnsi="Amiri"/>
          <w:color w:val="111111"/>
          <w:sz w:val="28"/>
          <w:szCs w:val="28"/>
          <w:rtl w:val="true"/>
          <w:lang w:bidi="ar-SA"/>
        </w:rPr>
        <w:t>».</w:t>
      </w:r>
      <w:r>
        <w:rPr>
          <w:rStyle w:val="FootnoteAnchor"/>
          <w:rtl w:val="true"/>
        </w:rPr>
        <w:footnoteReference w:id="122"/>
      </w:r>
      <w:bookmarkStart w:id="255" w:name="pg16772_194429"/>
    </w:p>
    <w:p>
      <w:pPr>
        <w:pStyle w:val="BookText"/>
        <w:rPr/>
      </w:pPr>
      <w:bookmarkEnd w:id="255"/>
      <w:r>
        <w:rPr>
          <w:rFonts w:ascii="Amiri" w:hAnsi="Amiri" w:eastAsia="Amiri" w:cs="Amiri"/>
          <w:color w:val="111111"/>
          <w:sz w:val="28"/>
          <w:sz w:val="28"/>
          <w:szCs w:val="28"/>
          <w:rtl w:val="true"/>
          <w:lang w:bidi="ar-SA"/>
        </w:rPr>
        <w:t>إلى غير ذلك من النصوص الحاثّة على الحجّ والابتعاد عن تركه، وسيوافيك أنّ الوعد والوعيد من أقسام اللطف الواجب على اللّه سبحانه حسب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النص الأوّل من كلام الإمام عليه السلام</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6963553_73709187"/>
      <w:bookmarkStart w:id="257" w:name="_Toc95"/>
      <w:bookmarkEnd w:id="256"/>
      <w:r>
        <w:rPr>
          <w:rtl w:val="true"/>
        </w:rPr>
        <w:t>النصّ الثاني</w:t>
      </w:r>
      <w:r>
        <w:rPr>
          <w:rtl w:val="true"/>
        </w:rPr>
        <w:t>:</w:t>
      </w:r>
      <w:bookmarkEnd w:id="257"/>
    </w:p>
    <w:p>
      <w:pPr>
        <w:pStyle w:val="BookText"/>
        <w:rPr/>
      </w:pPr>
      <w:r>
        <w:rPr>
          <w:rFonts w:ascii="Amiri" w:hAnsi="Amiri" w:eastAsia="Amiri" w:cs="Amiri"/>
          <w:color w:val="111111"/>
          <w:sz w:val="28"/>
          <w:sz w:val="28"/>
          <w:szCs w:val="28"/>
          <w:rtl w:val="true"/>
          <w:lang w:bidi="ar-SA"/>
        </w:rPr>
        <w:t>استدلّ صاحب المقال بنصّ آخر وهو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أَرَادَ اللّهُ أَنْ يَخْلُقَ آدَمَ مِنْ نُورٍ يَخْطَفُ الْأَبْصَارَ ضِيَاؤُهُ‌، وَيَبْهَرُ الْعُقُولَ رُوَاؤُهُ‌، وَطِيبٍ يَأْخُذُ الْأَنْفَاسَ عَرْفُهُ‌،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فَعَلَ لَظَلَّتْ لَهُ الْأَعْنَاقُ خَاضِعَةً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وَلَخَفَّتِ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الْبَلْوَى فِيهِ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سُبْحانَهُ يَبْتَلِي خَلْقَهُ بِبَعْضِ مَا يَجْهَلُونَ أَصْلَهُ‌، تَمْيِيزاً بِالْإِخْتِبَارِ لَهُمْ‌، وَنَفْياً لِلْإِسْتِكْبَارِ عَنْهُمْ‌، وَإِبْعَاداً لِلْخُيَلَاءِ مِنْهُمْ‌</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الكاتب بهذا النص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كيف اعترف بلطفية هذا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اللّه أن يخلق آدم من نور يخطف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لم يفعل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مراد الإمام في هذه الفقرة نفس ما ذكرناه في جعل بيت اللّه الحرام في أوعر المناطق، وهو أنّ الغاية من التكليف هي تمييز العابد للّه عن العابد لهواه، فلو خلق آدم على النحو الّذي بيّنه لظلّت له الأعناق خاضعة بلا اختيار، ولكنّه سبحانه لغاية الاختبار لم يخلقه من نور، بل خلقه من طين فسوّاه ونفخ فيه من روحه وأمر بالسجود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يركّز على أنّ الدواعي إلى الطاعة تجب أن تكون على حد لا تبطل غرض التكليف،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المطيع للّه عن المنقاد</w:t>
      </w:r>
      <w:bookmarkStart w:id="258" w:name="pg16772_194430"/>
    </w:p>
    <w:p>
      <w:pPr>
        <w:pStyle w:val="BookText"/>
        <w:rPr/>
      </w:pPr>
      <w:bookmarkEnd w:id="258"/>
      <w:r>
        <w:rPr>
          <w:rFonts w:ascii="IRNazanin" w:hAnsi="IRNazanin" w:eastAsia="IRNazanin"/>
          <w:color w:val="111111"/>
          <w:sz w:val="28"/>
          <w:sz w:val="28"/>
          <w:szCs w:val="28"/>
          <w:rtl w:val="true"/>
          <w:lang w:bidi="fa-IR"/>
        </w:rPr>
        <w:t>لهواه</w:t>
      </w:r>
      <w:r>
        <w:rPr>
          <w:rFonts w:eastAsia="IRNazanin" w:cs="IRNazanin"/>
          <w:color w:val="111111"/>
          <w:sz w:val="28"/>
          <w:szCs w:val="28"/>
          <w:rtl w:val="true"/>
          <w:lang w:bidi="fa-IR"/>
        </w:rPr>
        <w:t>.</w:t>
      </w:r>
    </w:p>
    <w:p>
      <w:pPr>
        <w:pStyle w:val="Heading4"/>
        <w:numPr>
          <w:ilvl w:val="3"/>
          <w:numId w:val="1"/>
        </w:numPr>
        <w:rPr/>
      </w:pPr>
      <w:bookmarkStart w:id="259" w:name="__RefHeading___Toc6963555_73709187"/>
      <w:bookmarkStart w:id="260" w:name="_Toc96"/>
      <w:bookmarkEnd w:id="259"/>
      <w:r>
        <w:rPr>
          <w:rtl w:val="true"/>
        </w:rPr>
        <w:t>النصّ الثالث</w:t>
      </w:r>
      <w:r>
        <w:rPr>
          <w:rtl w:val="true"/>
        </w:rPr>
        <w:t>:</w:t>
      </w:r>
      <w:bookmarkEnd w:id="260"/>
    </w:p>
    <w:p>
      <w:pPr>
        <w:pStyle w:val="BookText"/>
        <w:rPr/>
      </w:pPr>
      <w:r>
        <w:rPr>
          <w:rFonts w:ascii="Amiri" w:hAnsi="Amiri" w:eastAsia="Amiri" w:cs="Amiri"/>
          <w:color w:val="111111"/>
          <w:sz w:val="28"/>
          <w:sz w:val="28"/>
          <w:szCs w:val="28"/>
          <w:rtl w:val="true"/>
          <w:lang w:bidi="ar-SA"/>
        </w:rPr>
        <w:t>استدلّ الكاتب أيضاً، بنصّ ثالث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عليه السلام في حقّ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كَانَتِ الْأَنْبِيَاءُ أَهْلَ قُوَّةٍ لَاتُرَامُ‌، وَعِزَّةٍ لَاتُضَامُ‌، وَمُلْكٍ تُمَدُّ نَحْوَهُ أَعْنَاقُ الرِّجَالِ‌، وَتُشَدُّ إِلَيْهِ عُقَدُ الرِّحَالِ‌، لَكَانَ ذلِكَ أَهْوَنَ عَلَى الْخَلْقِ فِي الْإِعْتِبَارِ، وَأَبْعَدَ لَهُمْ فِي الْإِسْتِكْبَارِ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الاستكثار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وَلَآمَنُوا عَنْ رَهْبَةٍ قَاهِرَةٍ لَهُمْ‌، أَوْ رَغْبَةٍ مَائِلَةٍ بِهِمْ‌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كيف اعترف بلطفية هذا الأمر بكونه يقربهم من الإيمان ويبعدهم عن المعصية والاستكبار،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الكاتب، ولم يذكر ذيل كلامه عليه السلام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النِّيَّاتُ مُشْتَرَكَةً‌، وَالْحَسَنَاتُ مُقْتَسَمَةً‌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سُبْحانَهُ أَرَادَ أَنْ يَكُونَ الْإِتِّبَاعُ لِرُسُلِهِ‌، وَالتَّصْدِيقُ بِكُتُبِهِ‌، وَالْخُشُوعُ لِوَجْهِهِ‌، وَالْإِسْتِكَانَةُ لِأَمْرِهِ‌، وَالْإِسْتِسْلَامُ لِطَاعَتِهِ‌، أُمُوراً لَهُ خَاصَّةً‌، لَاتَشُوبُهَا مِنْ غَيْرِهَا شَائِبَةٌ‌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كَانَتِ الْبَلْوَى وَالْإِخْتِبَارُ أَعْظَمَ كَانَتِ الْمَثُوبَةُ وَالْجَزَاءُ أَجْزَلَ‌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 الإمام علّل عدم جعل الأنبياء من أهل القوة والعزة والملك؛ لأنّهم لو كانوا كذلك لاتّبعهم الناس رغبة في دنياهم فبطل ما أراده اللّه سبحانه أن يكون الاتّباع لرسله والتصديق بكتبه والخشوع خالصاً لوجهه، واستكانة لأمره لا يشوبها من غيرها شائبة</w:t>
      </w:r>
      <w:r>
        <w:rPr>
          <w:rFonts w:eastAsia="Amiri" w:cs="Amiri" w:ascii="Amiri" w:hAnsi="Amiri"/>
          <w:color w:val="111111"/>
          <w:sz w:val="28"/>
          <w:szCs w:val="28"/>
          <w:rtl w:val="true"/>
          <w:lang w:bidi="ar-SA"/>
        </w:rPr>
        <w:t>.</w:t>
      </w:r>
      <w:bookmarkStart w:id="261" w:name="pg16772_194431"/>
    </w:p>
    <w:p>
      <w:pPr>
        <w:pStyle w:val="BookText"/>
        <w:rPr/>
      </w:pPr>
      <w:bookmarkEnd w:id="261"/>
      <w:r>
        <w:rPr>
          <w:rFonts w:ascii="Amiri" w:hAnsi="Amiri" w:eastAsia="Amiri" w:cs="Amiri"/>
          <w:color w:val="111111"/>
          <w:sz w:val="28"/>
          <w:sz w:val="28"/>
          <w:szCs w:val="28"/>
          <w:rtl w:val="true"/>
          <w:lang w:bidi="ar-SA"/>
        </w:rPr>
        <w:t>وقد علّق مشركو قريش إيمانهم بالنبي صلى الله عليه و آله و سلم على أن يكون له جنّة نخيل وعنب فيفجّر الأنهار خلالها تفجيراً، أو يكون له بيت من زخرف إلى غير ذلك من الاقتراحات الّتي تسبب اتّباع الأنبياء طمعاً في دنياهم</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يبطل الغرض من تكليفهم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الكلام حول القاعدة الأُولى، فلنتكلّم حول القاعدة الثانية حتّى يعلم حدّ القاعدتين، بأنّ لكلّ حدّاً يسبب التمايز بينهما</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6963557_73709187"/>
      <w:bookmarkStart w:id="263" w:name="_Toc97"/>
      <w:bookmarkEnd w:id="262"/>
      <w:r>
        <w:rPr>
          <w:rtl w:val="true"/>
        </w:rPr>
        <w:t>القاعدة الثانية</w:t>
      </w:r>
      <w:r>
        <w:rPr>
          <w:rtl w:val="true"/>
        </w:rPr>
        <w:t xml:space="preserve">: </w:t>
      </w:r>
      <w:r>
        <w:rPr>
          <w:rtl w:val="true"/>
        </w:rPr>
        <w:t>قاعدة اللطف</w:t>
      </w:r>
      <w:bookmarkEnd w:id="263"/>
    </w:p>
    <w:p>
      <w:pPr>
        <w:pStyle w:val="Heading5"/>
        <w:numPr>
          <w:ilvl w:val="4"/>
          <w:numId w:val="1"/>
        </w:numPr>
        <w:rPr/>
      </w:pPr>
      <w:bookmarkStart w:id="264" w:name="__RefHeading___Toc6963559_73709187"/>
      <w:bookmarkStart w:id="265" w:name="_Toc98"/>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ممّا يترتب على حكمته تعالى وجوب اللّطف عليه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واللّطف عند المتكلّمين عبارة عمّا يقرّب المكلّف إلى الطاعة، ويبعّده عن المعصية، ثمّ إن اتّصل اللطف بوقوع التكليف يسمّى لطفاً محصِّلاً، وإلّا يسمّى لطفاً مقرِّباً، قال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اللطف ما دعا إلى فعل الطاعة، وينقسم إلى ما يختار المكلّف عنده فعل الطاعة ولولاه لم يختره، وإلى ما يكون أقرب إلى اختيارها، وكلا القسمين يشمله كونه داعياً</w:t>
      </w:r>
      <w:r>
        <w:rPr>
          <w:rFonts w:eastAsia="Amiri" w:cs="Amiri" w:ascii="Amiri" w:hAnsi="Amiri"/>
          <w:color w:val="111111"/>
          <w:sz w:val="28"/>
          <w:szCs w:val="28"/>
          <w:rtl w:val="true"/>
          <w:lang w:bidi="ar-SA"/>
        </w:rPr>
        <w:t>.</w:t>
      </w:r>
      <w:r>
        <w:rPr>
          <w:rStyle w:val="FootnoteAnchor"/>
          <w:rtl w:val="true"/>
        </w:rPr>
        <w:footnoteReference w:id="126"/>
      </w:r>
    </w:p>
    <w:p>
      <w:pPr>
        <w:pStyle w:val="Heading5"/>
        <w:numPr>
          <w:ilvl w:val="4"/>
          <w:numId w:val="1"/>
        </w:numPr>
        <w:rPr/>
      </w:pPr>
      <w:bookmarkStart w:id="266" w:name="__RefHeading___Toc6963561_73709187"/>
      <w:bookmarkStart w:id="267" w:name="_Toc99"/>
      <w:bookmarkEnd w:id="266"/>
      <w:r>
        <w:rPr>
          <w:rtl w:val="true"/>
        </w:rPr>
        <w:t>برهان وجوب اللطف</w:t>
      </w:r>
      <w:bookmarkEnd w:id="267"/>
    </w:p>
    <w:p>
      <w:pPr>
        <w:pStyle w:val="Heading6"/>
        <w:numPr>
          <w:ilvl w:val="5"/>
          <w:numId w:val="1"/>
        </w:numPr>
        <w:rPr/>
      </w:pPr>
      <w:bookmarkStart w:id="268" w:name="__RefHeading___Toc6963563_73709187"/>
      <w:bookmarkStart w:id="269" w:name="_Toc100"/>
      <w:bookmarkEnd w:id="268"/>
      <w:r>
        <w:rPr>
          <w:rtl w:val="true"/>
        </w:rPr>
        <w:t>اشارة</w:t>
      </w:r>
      <w:bookmarkEnd w:id="26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استدلّوا على وجوب اللطف عليه سبحانه بأنّ ترك اللطف يناقض غرضه تعالى من خلقه العباد وتكليفهم، وهو قبيح لا يصدر من الحكيم، قال المحقّق</w:t>
      </w:r>
      <w:bookmarkStart w:id="270" w:name="pg16772_194432"/>
    </w:p>
    <w:p>
      <w:pPr>
        <w:pStyle w:val="BookText"/>
        <w:rPr/>
      </w:pPr>
      <w:bookmarkEnd w:id="270"/>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لو جاز الإخلال به في الحكمة فبتقدير أن لا يفعله الحكيم، كان مناقضاً لغرضه، لكن اللازم باطل 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أراد من المكلّف الطاعة، فإذا علم أنّه لا يختار الطاعة، أو لا يكون أقرب إليها إلّاعند فعل يفعله به لا مشقّة عليه فيه ولا غضاضة، وجب في الحكمة أن يفعله، إذ لو أخلّ به لكشف ذلك عن عدم إرادته له، وجرى ذلك مجرى من أراد من غيره حضور طعامه وعلم أو غلب ظنّه أنّه لا يحضر بدون رسول، فمتى لم يرسل عدَّ مناقضاً لغرضه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بطلان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العقلاء يعدّون المناقضة للغرض سفهاً، وهو ضدّ الحكمة ونقص، والنقص عليه تعالى محال</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وللسيد المرتضى بيان لإيضاح هذه القاعدة،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أحدنا دعا غيره إلى طعام وفرضنا أنه يعلم أو يغلب في ظنه أنّه متى تبسّم في وجهه أو كلّمه باللطيف من الكلام أو أنفذ إليه ابنه وما أشبه ذلك ممّا لا مشقّة عليه فيه، حضر ولم يتأخّر، وأنّه متى لم يفعل معه ذلك لم يضر على 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متى استمر على إرادته منه الحضور، فلو لم يفعل لناقض غرضه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هذه هي قاعدة اللطف، ويترتّب على ذلك عدّة مسائل كلامية نشير إلى بعضها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71" w:name="__RefHeading___Toc6963565_73709187"/>
      <w:bookmarkStart w:id="272" w:name="_Toc101"/>
      <w:bookmarkEnd w:id="271"/>
      <w:r>
        <w:rPr/>
        <w:t>1</w:t>
      </w:r>
      <w:r>
        <w:rPr>
          <w:rtl w:val="true"/>
        </w:rPr>
        <w:t xml:space="preserve">. </w:t>
      </w:r>
      <w:r>
        <w:rPr>
          <w:rtl w:val="true"/>
        </w:rPr>
        <w:t>وجوب عصمة الأنبياء</w:t>
      </w:r>
      <w:bookmarkStart w:id="273" w:name="pg16772_194433"/>
      <w:bookmarkEnd w:id="272"/>
    </w:p>
    <w:p>
      <w:pPr>
        <w:pStyle w:val="BookText"/>
        <w:rPr/>
      </w:pPr>
      <w:bookmarkEnd w:id="273"/>
      <w:r>
        <w:rPr>
          <w:rFonts w:ascii="Amiri" w:hAnsi="Amiri" w:eastAsia="Amiri" w:cs="Amiri"/>
          <w:color w:val="111111"/>
          <w:sz w:val="28"/>
          <w:sz w:val="28"/>
          <w:szCs w:val="28"/>
          <w:rtl w:val="true"/>
          <w:lang w:bidi="ar-SA"/>
        </w:rPr>
        <w:t>إنّ عصمة الأنبياء من الصغائر والكبائر بل تنزّههم من المنفّرات ممّا يقرّب العبد إلى الطاعة حيث إذا رأى بأُم عينيه أنّ الداعي إلى اللّه سبحانه يعمل بكل ما يأمر ويجتنب عمّا ينهى عنه، يذعن بصدق دعواه وصلته باللّه ويترتّب عليه أنّه يطيعه ولا يعصيه، حتّى أنّ مقتضى قاعدة اللطف تنزّه الأنبياء عن المنفّرات إمّا في خُلِقهِم كالرذائل النفسانية أو في خَلْقِهِم كالجذام والبرص، أو في نسبهم كالتولّد من الزنا ودناءة الآباء، فإنّ جميع هذه الأُمور يوجب ابتعاد الناس عنهم، بخلاف ما إذا كانوا مبرّأين من الجميع</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6963567_73709187"/>
      <w:bookmarkStart w:id="275" w:name="_Toc102"/>
      <w:bookmarkEnd w:id="274"/>
      <w:r>
        <w:rPr/>
        <w:t>2</w:t>
      </w:r>
      <w:r>
        <w:rPr>
          <w:rtl w:val="true"/>
        </w:rPr>
        <w:t xml:space="preserve">. </w:t>
      </w:r>
      <w:r>
        <w:rPr>
          <w:rtl w:val="true"/>
        </w:rPr>
        <w:t>الوعد والوعيد</w:t>
      </w:r>
      <w:bookmarkEnd w:id="275"/>
    </w:p>
    <w:p>
      <w:pPr>
        <w:pStyle w:val="BookText"/>
        <w:rPr/>
      </w:pPr>
      <w:r>
        <w:rPr>
          <w:rFonts w:ascii="Amiri" w:hAnsi="Amiri" w:eastAsia="Amiri" w:cs="Amiri"/>
          <w:color w:val="111111"/>
          <w:sz w:val="28"/>
          <w:sz w:val="28"/>
          <w:szCs w:val="28"/>
          <w:rtl w:val="true"/>
          <w:lang w:bidi="ar-SA"/>
        </w:rPr>
        <w:t>إنّ التكاليف الإلهية إذا خلت عن الوعد والوعيد لم تؤثر في العباد إلّا القليل منهم؛ بخلاف ما إذا كان فيه وعد ووعيد وترغيب وترهيب، فهو يقرّب العبد من الطاعة ويبعده عن المعصية</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6963569_73709187"/>
      <w:bookmarkStart w:id="277" w:name="_Toc103"/>
      <w:bookmarkEnd w:id="276"/>
      <w:r>
        <w:rPr/>
        <w:t>3</w:t>
      </w:r>
      <w:r>
        <w:rPr>
          <w:rtl w:val="true"/>
        </w:rPr>
        <w:t xml:space="preserve">. </w:t>
      </w:r>
      <w:r>
        <w:rPr>
          <w:rtl w:val="true"/>
        </w:rPr>
        <w:t>وجوب نصب الإمام المعصوم</w:t>
      </w:r>
      <w:bookmarkEnd w:id="27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نصب الإمام المعصوم من اللّه سبحانه للأُمّة لطف من اللّه عليهم؛ وذلك لأنّ الإمامة عبارة عن الرئاسة العامّة في أُمور الدين والدنيا نيابة عن النبي صلى الله عليه و آله و سلم، فوجوده، يسبب عدم الاختلاف بين الأُمّة وعكوف الناس على بابه، كما كان كذلك في حياة النبي صلى الله عليه و آله و سلم فلم يكن لأي نحلة من النحل أثر في عصره؛ بخلاف ما إذا لم يكن بينهم إمام معصوم فيدبّ بينهم الخلاف في المسائل العقائدية والفقهية والسياسية وغيرها، وقد شاهدنا أنّ الأُمّة بعد أن رفضوا وصية النبي صلى الله عليه و آله و سلم في حقّ علي عليه السلام، دبّ الخلاف بينهم من السقيفة إلى ما بعدها</w:t>
      </w:r>
    </w:p>
    <w:p>
      <w:pPr>
        <w:pStyle w:val="BookText"/>
        <w:rPr/>
      </w:pPr>
      <w:r>
        <w:rPr>
          <w:rFonts w:ascii="Amiri" w:hAnsi="Amiri" w:eastAsia="Amiri" w:cs="Amiri"/>
          <w:color w:val="111111"/>
          <w:sz w:val="28"/>
          <w:sz w:val="28"/>
          <w:szCs w:val="28"/>
          <w:rtl w:val="true"/>
          <w:lang w:bidi="ar-SA"/>
        </w:rPr>
        <w:t>وصارت الأُمّة ممزقة مختلفة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يمكن أنّ يقال حول القاعدة، وللمحقّقين من علمائنا رسائل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اختبار الأُمّة في موارد ببعض التكاليف الشاقّة، شيءٌ‌، وجعل الدواعي إلى الطاعة في مقامات خاصّة شيءٌ آخر، والقاعدتان لا تعارض بينهما، وليس في كلام الإمام علي عليه السلام شيء يستدلّ به على بطلان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نتمنّى من صاحب المقال الإمعان فيما ذكرنا والإذعان للحق بشجاعة إن شاء اللّه تعالى، وأن يعلن رأيه فنحن مرتقبون،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رمضان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278" w:name="pg16772_194435"/>
    </w:p>
    <w:p>
      <w:pPr>
        <w:pStyle w:val="Heading3"/>
        <w:numPr>
          <w:ilvl w:val="2"/>
          <w:numId w:val="1"/>
        </w:numPr>
        <w:rPr/>
      </w:pPr>
      <w:bookmarkStart w:id="279" w:name="__RefHeading___Toc6963571_73709187"/>
      <w:bookmarkStart w:id="280" w:name="_Toc104"/>
      <w:bookmarkEnd w:id="278"/>
      <w:bookmarkEnd w:id="279"/>
      <w:r>
        <w:rPr/>
        <w:t>3</w:t>
      </w:r>
      <w:r>
        <w:rPr>
          <w:rtl w:val="true"/>
        </w:rPr>
        <w:t xml:space="preserve"> </w:t>
      </w:r>
      <w:r>
        <w:rPr>
          <w:rtl w:val="true"/>
        </w:rPr>
        <w:t>شبهات حول التقية والرد عليها</w:t>
      </w:r>
      <w:bookmarkEnd w:id="280"/>
    </w:p>
    <w:p>
      <w:pPr>
        <w:pStyle w:val="Heading4"/>
        <w:numPr>
          <w:ilvl w:val="3"/>
          <w:numId w:val="1"/>
        </w:numPr>
        <w:rPr/>
      </w:pPr>
      <w:bookmarkStart w:id="281" w:name="__RefHeading___Toc6963573_73709187"/>
      <w:bookmarkStart w:id="282" w:name="_Toc105"/>
      <w:bookmarkEnd w:id="281"/>
      <w:r>
        <w:rPr>
          <w:rtl w:val="true"/>
        </w:rPr>
        <w:t>زيارة وحوار مع الشيخ صالح بن عبدالرحمن الحصين رئيس شؤون الحرمين الشريفين</w:t>
      </w:r>
      <w:bookmarkEnd w:id="282"/>
    </w:p>
    <w:p>
      <w:pPr>
        <w:pStyle w:val="BookText"/>
        <w:rPr/>
      </w:pPr>
      <w:r>
        <w:rPr>
          <w:rFonts w:ascii="Amiri" w:hAnsi="Amiri" w:eastAsia="Amiri" w:cs="Amiri"/>
          <w:color w:val="111111"/>
          <w:sz w:val="28"/>
          <w:sz w:val="28"/>
          <w:szCs w:val="28"/>
          <w:rtl w:val="true"/>
          <w:lang w:bidi="ar-SA"/>
        </w:rPr>
        <w:t>إنّ زيارة البيت الحرام، والمشاهد المشرفة، تُعدّ من الآمال السامية لكلَّ مسلم، لأنّه مهبط الوحي ومطاف الملائكة، وقد دعا اللّه سبحانه إلى زيارته في الذكر الحكيم، ووصف تركه تهاوناً، كفراً بالنعم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وفي آية أُخرى أمر بإتمام الحج والعمرة 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رزقنا اللّه سبحانه نُسُك العمرة في شهر رجب الخير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وبعدما فرغنا من الأعمال اقترح علينا العلّامة المغفور 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شريف مهدوي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عبدالوهاب نوّاب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الشيخ صالح بن عبدالرحمن الحصين، رئيس شؤون الحرمين الشريفين، بحجة أنّ الشيخ ذو خلق سامٍ وعزيمة صادقة في تقريب الخُطى بين المسلمين، فلبّيت اقتراحهما، فالتقيت به فرحّب بنا وتبادلنا معه أطراف الحديث، فوجدته رجلاً ساعياً في التقريب وراغباً في تعزيز العلاقات بين الطوائف الإسلامية، والحديث ذو</w:t>
      </w:r>
    </w:p>
    <w:p>
      <w:pPr>
        <w:pStyle w:val="BookText"/>
        <w:rPr/>
      </w:pPr>
      <w:r>
        <w:rPr>
          <w:rFonts w:ascii="IRNazanin" w:hAnsi="IRNazanin" w:eastAsia="IRNazanin"/>
          <w:color w:val="111111"/>
          <w:sz w:val="28"/>
          <w:sz w:val="28"/>
          <w:szCs w:val="28"/>
          <w:rtl w:val="true"/>
          <w:lang w:bidi="fa-IR"/>
        </w:rPr>
        <w:t>شجون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البحوث الّتي دارت بيننا وبينه مسألة السجود على الأرض الّذي دعا إليه رسول اللّه صلى الله عليه و آله و سلم في حديثه المتضافر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الأرض لي مسجداً وطهوراً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رواه الإمام البخاري أيضاً وقد جعل رسول اللّه صلى الله عليه و آله و سلم ما هو الطهور مسجداً، من المعلوم أنّ المراد من الطهور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يتيمّم به الإنسان المعذور بدلاً عن الوضوء والغسل، فعلى المسلمين السجود على الأرض لا السجود على السجّاد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أضفت على كلامي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ضيف قِرى‌، ونحن ضيوفك، فأقرِنا بتمكيننا من السجود على الأرض خصوصاً في الحرم النبوي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استمع الشيخ إلى كلامي بوعيٍ ودّقة، ولكن بدل أن يجيب بشيء من الكلام، أتى بأحد أعداد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العدد الّذي نُشر على صفحاته خطاب الإمام الخميني قدس سره لحجّاج بيت اللّه الحرام، وأفتى فيه بجواز السجود على السجاد وغيره، وأخذ يقرأ كلام الإمام من أوّله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الإمام الخميني وهو أُستاذي الكبير صحيح بلا ريب، وأنّه أفتى بذلك حفظاً للوئام وصيانة لوحدة الأُمّة الّتي فيها قوّة الإسلام، وحذراً من تفرّق الكلمة الّذي فيه استنزاف وإهدار لإمكانيات الأُمّة، فلمّا تمّ كلامي رأيت على أسارير الشيخ علامات الرضا بما قلت، وتلقّى ما اقترحته أمراً منطقياً، ولكنّه اعتذر بأنّ ذلك الأمر يثير الجهّال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الشيخ راغباً في فهم فتوى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مقولة التقية التحبيبية أو المدارائية لغاية حفظ الوئام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وعندئذٍ وقفت على أنّ المشايخ العظام في الحرمين الشريفين غير واقفين على</w:t>
      </w:r>
    </w:p>
    <w:p>
      <w:pPr>
        <w:pStyle w:val="BookText"/>
        <w:rPr/>
      </w:pPr>
      <w:r>
        <w:rPr>
          <w:rFonts w:ascii="Amiri" w:hAnsi="Amiri" w:eastAsia="Amiri" w:cs="Amiri"/>
          <w:color w:val="111111"/>
          <w:sz w:val="28"/>
          <w:sz w:val="28"/>
          <w:szCs w:val="28"/>
          <w:rtl w:val="true"/>
          <w:lang w:bidi="ar-SA"/>
        </w:rPr>
        <w:t>فقه أهل البيت عليهم السلام وأنّ الاحكام الشرعية تنقسم إلى واقعية أوّلية، وواقعية 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والإفتاء بالسجود على السجّاد من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دعاني إلى كتابة هذا المقال خصوصاً بعدما قرأت في مقال لكاتب سمّى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العجاب أنّه قسّمها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القول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شرعية وبدعيّة، وأنّ ما عند الشيعة هو من القسم الثاني، وأنّ بين التقيتين فروقاً سبعة؛ فدفاعاً عن الحقيقة ندرس ما ذكره الكاتب من الفروق، ليتبيّن لنا، هل لها مسحة من الحق أو لمسة من الصدق، أو أنّها ممّا اختلقتها أفكار الكاتب، ودعاه إليها حقده على الشيعة أوّلاً وعدم تعرّفه على عقائدهم ثانياً؟ ولولا هذان الأمران لما أتعب نفسه في اختلاق هذه الفروق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بيانها ونقدها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وسيظهر للقارئ أنّ هنا تقية واحدة أصفقت عليها الأُمة الإسلامية جمعاء لا تقيتان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 بعض المسلمين أنّ التقية خاصّة بالشيعة الإمامية ولا يعلمون أنّ التقيّة من الأحكام الشرعية الثابتة في كتاب اللّه تعالى، وفي سنّة رسوله صلى الله عليه و آله و سلم، وتعامل بها السلف رحمهم الله، ولكن السؤال هل هذه التقية الشرعية هي نفسها التقية الشيعية‌؟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لوجود الفروق بين التقيتين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الشرعية من فروع الدين لا من الأُصول، وأمّا التقية الشيعية فهي من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بالحديثين التاليين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تسعة أعشار الدين في</w:t>
      </w:r>
    </w:p>
    <w:p>
      <w:pPr>
        <w:pStyle w:val="BookText"/>
        <w:rPr/>
      </w:pPr>
      <w:r>
        <w:rPr>
          <w:rFonts w:ascii="Amiri" w:hAnsi="Amiri" w:eastAsia="Amiri" w:cs="Amiri"/>
          <w:color w:val="111111"/>
          <w:sz w:val="28"/>
          <w:sz w:val="28"/>
          <w:szCs w:val="28"/>
          <w:rtl w:val="true"/>
          <w:lang w:bidi="ar-SA"/>
        </w:rPr>
        <w:t>التقية، ولا دين لمن لا تقية له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قلتُ إنّ تارك التقية كتارك الصلاة لكنتُ صادقاً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الكاتب قد اعترف بجهل بعض المسلمين بأنّ التقية من الأحكام الشرعية الثابتة في كتاب اللّه وسنّة رسوله، وطالما كان هذا الجهل سبباً للتحامل على الشيعة القائلين بها، حيث كانوا يعدّون الشيعة منافقين لقولهم بالتقية، فنشكر اللّه سبحانه على أنّه قد هدى الكاتب إلى ما هو الحق الّذي كان عليه الشيعة منذ أن نزل بها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إنكار كون التقية أمراً مشروعاً وقد وقف الأبكم والأصمّ على تقية عمّار في نيله من النبي صلى الله عليه و آله و سلم ومجيئه إليه باكياً ونزول القرآن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 قَلْبُهُ مُطْمَئِنٌّ بِالْإِيمانِ وَ لكِنْ مَنْ شَرَحَ بِالْكُفْرِ صَدْراً فَعَلَيْهِمْ غَضَبٌ مِنَ اللّهِ وَ لَهُمْ عَذابٌ عَظِيمٌ‌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وليست هذه الآية هي الوحيدة في هذا المقام، بل نزل الذكر الحكيم بها في آية أُخرى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 وَ</w:t>
      </w:r>
    </w:p>
    <w:p>
      <w:pPr>
        <w:pStyle w:val="BookText"/>
        <w:rPr/>
      </w:pPr>
      <w:r>
        <w:rPr>
          <w:rFonts w:ascii="Amiri" w:hAnsi="Amiri" w:eastAsia="Amiri" w:cs="Amiri"/>
          <w:color w:val="111111"/>
          <w:sz w:val="28"/>
          <w:sz w:val="28"/>
          <w:szCs w:val="28"/>
          <w:rtl w:val="true"/>
          <w:lang w:bidi="ar-SA"/>
        </w:rPr>
        <w:t>يُحَذِّرُكُمُ اللّهُ نَفْسَهُ وَ إِلَى اللّهِ الْمَصِيرُ</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مدح سبحانه وتعالى فعل مؤمن آل فرعون حيث أخذ التقية ترساً ودرعاً في دفاعه عن نبي اللّه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رَجُلٌ مُؤْمِنٌ مِنْ آلِ فِرْعَوْنَ يَكْتُمُ إِيمانَهُ أَ تَقْتُلُونَ رَجُلاً أَنْ يَقُولَ رَبِّيَ اللّهُ وَ قَدْ جاءَكُمْ بِالْبَيِّناتِ مِنْ رَبِّكُمْ وَ إِنْ يَكُ كاذِباً فَعَلَيْهِ كَذِبُهُ وَ إِنْ يَكُ صادِقاً يُصِبْكُمْ بَعْضُ الَّذِي يَعِدُكُمْ إِنَّ اللّهَ لا يَهْدِي مَنْ هُوَ مُسْرِفٌ كَذّابٌ‌</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تبيّن أنّ التقية أمر مشروع جاء به الصادع بالحق في كتابه المنزل، وأقرّ به عملاً في ما جرى على الصحابي عمّار بن ياسر في تعامله مع مشركي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 أنّ فقيهاً من فقهاء الشيعة عدّ التقية من أُصول الدين، فإنّ أُصول الدين عند الشيعة الإمامية ثلاثة؛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والنبوة، والمعاد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بالعدل والإمامة فهي من خصائص المذهب الّتي بها تتميّز الشيعة عن سائر الطوائف، فإنّ لكلّ طائفة ميزة خاصّة تتميّز بها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إنّ المذهب الأشعري يتميّز بالقول برؤية اللّه يوم القيامة وأنّ القرآن غير مخلوق، وأنّ أفعال العباد مخلوقة للّه سبحانه حتّى أنّ الإمام الأشعري عندما انتقل من الاعتزال إلى مذهب أحمد بن حنبل قام في جامع البصرة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ومن لم يعرفني فأنا أعرّفه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بن فلان كنت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بخلق القرآن، وانّ اللّه لا يُرى بالأبصار، وأنّ أفعال الشر أنا أفعلها؛ وأنا تائب مقلع معتقد بالرد على المعتزلة وخرج بفضائحهم ومعائبهم</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وهذه كتب الشيعة في العقائد والأحكام لا ترى فيها من يعدّ التقية من الأُصول، بل التقية كسائر الأحكام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فروع الأمر بالمعروف والنهي عن المنكر، وقد أورد الشيخ الحرّ العاملي عامّة روايات التقية في هذا المقام، ومع ذلك كيف يمكن رمي الشيعة بأنّ التقية عندهم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المائز بين كون الشيء من الأُصول أو الفروع هو أنّه لو كان الشيء من الأُمور القلبية الّتي يجب الالتزام بها فيعدّ من الأُصول، كالتوحيد على عامّة مراتبه، والنبّوة العامّة والخاصّة، والمعاد إلى غير ذلك من الأُمور الّتي ربما يقال بوجوب الالتزام بها عند الالتفات، وأمّا لو كان مصبّ الشيء هو العمل الجانحي كالصلاة والزكاة فهو من الفروع، ومن المعلوم أنّ التقية عبارة عن القيام بالأعمال الّتي تدفع شر العدوّ الغاشم من دون التزام بصحّة ما عمل، فتكون من الفروع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سلاح الضعيف في البيئات الّتي كُبتت فيها الحرّية، فلا يجد المسلم الشيعي بدّاً من مماشاة المجتمع فيما يرجع إلى الأُمور العبادية وغيرها، فهل يمكن عدّ مثل ذلك من الأُصول‌؟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استدل به من الحديثين فقد غفل عن سبب صدورهما، فقد كان الشيعة إبّان الحكم الأمويّ يُقتلون تحت كلّ حجر ومدر، ورمي الرجل بالكفر</w:t>
      </w:r>
    </w:p>
    <w:p>
      <w:pPr>
        <w:pStyle w:val="BookText"/>
        <w:rPr/>
      </w:pPr>
      <w:r>
        <w:rPr>
          <w:rFonts w:ascii="Amiri" w:hAnsi="Amiri" w:eastAsia="Amiri" w:cs="Amiri"/>
          <w:color w:val="111111"/>
          <w:sz w:val="28"/>
          <w:sz w:val="28"/>
          <w:szCs w:val="28"/>
          <w:rtl w:val="true"/>
          <w:lang w:bidi="ar-SA"/>
        </w:rPr>
        <w:t>يومَ ذاك كان أسهل عليه من رميه بالتشيّع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أجل المرسوم الحكومي الّذي أصدره معاوية بن أبي سفيان إلى الأمصار، وبقي ساري المفعول إلى نهاية الحكم الأموي وبعده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ابن أبي الحديد نقلاً عن أبي الحسن علي بن محمد بن أبي سيف المدائني في كتاب الأحداث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نسخة واحدة إلى عمّاله بعد عام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برئت الذمّة ممّن روى شيئاً من فضل أبي تراب وأهل بيته، فقامت الخطباء في كلّ كورة وعلى كلّ منبر يلعنون علياً ويبرأون منه ويقعون فيه وفي أهل بيته، وكان أشدَّ الناس بلاء حينئذٍ أهل الكوفة لكثرة من بها من شيعة علي عليه السلام، فاستعمل عليها زياد بن سميّة وضمّ إليه البصرة فكان يتتبّع الشيعة وهو بهم عارف، لأنّه كان منهم أيام علي عليه السلام فقتلهم تحت كلّ حجر ومدر، وأخافهم وقطع الأيدي والأرجل وسمل العيون وصلبهم على جذوع النخل وطردهم وشرّدهم من العراق، فلم يبق بها معروف منهم</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تفاقم الأمر بعد قتل الحسين عليه السلام وتولّي عبدالملك بن مروان، فاشتدّ على الشيعة وولّى عليهم الحجّاج بن يوسف، فتقرّب إليه أهل النسك والصلاح والدين ببغض عليّ وموالاة أعدائه وموالاة من يدّعي من الناس أنّهم أيضاً أعداؤه، فأكثروا من الرواية في فضلهم وسوابقهم ومناقبهم وأكثروا من الغضّ من علي عليه السلام وعيبه والطعن فيه والشنآن له حتّى أنّ إنساناً وقف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أنّه جدّ الأصمعي عبدالملك بن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أهلي عقّوني فسمّوني علّياً وإنّي فقير بائس، وأنا إلى صلة الأمير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فتضاحك له الحجّاج</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لِلُطف ما توسّلت به قد ولّيتك موضع كذا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ففي هذه الأجواء القاسية الّتي يتقرَّب فيها بقتل الشيعة إلى الحكّام يرى بعض شباب الشيعة، التظاهرَ بالعقيدة لساناً وعملاً أمراً مقرّباً إلى اللّه سبحانه، فلأجل صيانة دمائهم وعدم إراقتها دون طائل صدرت هذه الروايات للمنع عن التظاهر بالتشيّع، ولم يكن هناك تعبير أردع لشيعة الإمام عن التظاهر بالتشيّع إلّا أن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تقيّة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الهدف من هذه التعابير هو التأكيد على العمل بالتقية، لأنّ كثيراً من شيعة الأئمة كانوا لا يحتاطون فيعرِّضون أنفسهم وأموالهم للخطر بتظاهرهم بالتشيّع، وربما يتسرّعون إلى ذلك بلا مبالاة تصوّراً منهم أنّ هذا النوع من الاضطهاد شهادة في سبيل اللّه، ولأجل إيقافهم عن هذا الأمر أخذ الإمام يخاطبهم بهذا الخطاب ويؤكّد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الأُسلوب من الكلام غير بعيد عن كلمات الرسول صلى الله عليه و آله و سلم وأهل بيته عليهم السلام نظير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صار عدم الاعتداد بهذا الحكم سبباً لسفك الدماء وإزهاق أرواح الشيعة أخذ الإمام عليه السلام بالتأكيد على النحو الّذي عرفناه، وكذلك فمن أساليب المبالغة في المقام قول المعصوم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تسعة أعشار الدين في التقيّة</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احتمال آخر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إيمان لمن لا تقية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نفي الإيمان</w:t>
      </w:r>
    </w:p>
    <w:p>
      <w:pPr>
        <w:pStyle w:val="BookText"/>
        <w:rPr/>
      </w:pPr>
      <w:r>
        <w:rPr>
          <w:rFonts w:ascii="Amiri" w:hAnsi="Amiri" w:eastAsia="Amiri" w:cs="Amiri"/>
          <w:color w:val="111111"/>
          <w:sz w:val="28"/>
          <w:sz w:val="28"/>
          <w:szCs w:val="28"/>
          <w:rtl w:val="true"/>
          <w:lang w:bidi="ar-SA"/>
        </w:rPr>
        <w:t>بمعنى الالتزام العملي الّذي هو من آثار الإيمان، لا الإيمان القلبي الّذي يدور على وجوده وعدمه الإيمان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وأفصح دليل على أنّ التقية من الأحكام الشرعية الفرعية لا من الأُصول هو نفس ما رواه الكاتب عن الصادق عليه السلام من أنّه شبّه تارك التقية بتارك الصلاة، ومن المعلوم أنّ وجوب الصلاة حكم فرعي من الأحكام الشرعية الّذي لو تركه مسلم تساهلاً يعاقب ولا يكفّر، وهكذا تارك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للتقيّة حقيقة واحدة، وهي المماشاة مع المخالف إذا خيف من ضرره فحقيقتها لا تختلف باختلاف الأنظار، سواء أقيل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الأحكام الشرعية، أو قيل إنّها من الأُصول، فالحقيقة واحدة واختلاف الأنظار في تحليلها لا يوجب التعدّد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تقيّة شرعية، وتقية شيعيّة، ولنوضح الحال بمثال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الصوم تقيّة في يوم الشكّ ومماشاة للحكم الصادر ممّن ليس له أهليّة الحكم، حقيقة واحدة، سواء أقلنا بأنّ التقيّة هنا من الفروع أو من الأُصول، واختلاف المحلّلين لا يؤثر في حقيقة الشيء ولا يوجب تعدّده، والعجب أنّ الكاتب جعل اختلاف الأنظار على فرض ثبوته أمراً داخلاً في حقيقة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 أنّ الكاتب لو كان منصفاً لأذعن بخطئه، وأنّ استنباطه من الحديث استنباط خاطئ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يرجع إلى الفرق الأوّل، وإليك دراسة الفرق الثاني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التقية الشرعية إنّما تستخدم مع الكفّار لا مع</w:t>
      </w:r>
    </w:p>
    <w:p>
      <w:pPr>
        <w:pStyle w:val="BookText"/>
        <w:rPr/>
      </w:pPr>
      <w:r>
        <w:rPr>
          <w:rFonts w:ascii="Amiri" w:hAnsi="Amiri" w:eastAsia="Amiri" w:cs="Amiri"/>
          <w:color w:val="111111"/>
          <w:sz w:val="28"/>
          <w:sz w:val="28"/>
          <w:szCs w:val="28"/>
          <w:rtl w:val="true"/>
          <w:lang w:bidi="ar-SA"/>
        </w:rPr>
        <w:t>المؤمنين، وأمّا التقيّة الشيعية فهي مع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هو نتيجة جموده على مورد الآيات الّتي قدّمنا ذكرها مع غضّ النظر عن الغاية الّتي شرّعت لأجلها التقية، وإلّا فالملاك هو صيانة النفس والنفيس من الاعتداء، سواء كان المعتدي كافراً أم مخالفاً أم مؤالفاً، فقد يُبتلى المسلم بأخيه المسلم الّذي يخالفه في بعض الفروع ولا يتردد في إيذائه إذا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تلك الظروف يحكم العقل بصيانة النفس والنفيس من شر المخالف وذلك باستعمال التقية، فلو كان هناك وِزر فإنّما يتوجّه إلى من يُتقى منه لا إلى المتّقي، إذ لو سادت الحرية بين جميع أبناء المذاهب الإسلامية لما اتّقى أحد إلى يوم القيامة، ولذلك نرى أنّ جمعاً من علماء السنّة قد أفتوا بجواز التقية من السلطان السنّي إذا كان جائراً، وإليك بعض كلماتهم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الإمام الرازي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الآية على أنّ التقية إنّما تحلّ مع الكفّار الغالبين، إلّاأنّ مذهب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الحالة بين المسلمين إذا شاكلت الحالة بين المسلمين والكافرين، حلّت التقيّة محاماة عن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جائزة لصون النفس، وهل هي جائزة لصون المال‌؟ يحتمل أن يحكم فيها بالجواز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ينقل جمال الدين القاسمي عن الإمام مرتضى اليماني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w:t>
      </w:r>
    </w:p>
    <w:p>
      <w:pPr>
        <w:pStyle w:val="BookText"/>
        <w:rPr/>
      </w:pPr>
      <w:r>
        <w:rPr>
          <w:rFonts w:ascii="IRNazanin" w:hAnsi="IRNazanin" w:eastAsia="IRNazanin"/>
          <w:color w:val="111111"/>
          <w:sz w:val="28"/>
          <w:sz w:val="28"/>
          <w:szCs w:val="28"/>
          <w:rtl w:val="true"/>
          <w:lang w:bidi="fa-IR"/>
        </w:rPr>
        <w:t>الحقّ على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وزاد الحق غموضاً وخفاءً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خوف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السوء وسلاطين الجور وشياطين الخلق مع جواز التقيّة عند ذلك بنصّ القرآن، وإجماع أهل الإسلام، وما زال الخوف مانعاً من إظهار الحقّ‌، ولا برح المحقّ عدوّاً لأكثر الخلق، وقد صحّ عن أبي هريرة أنّه قال في ذلك العصر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حفظت من رسول اللّه صلى الله عليه و آله و سلم وعاءين، أمّا أحدهما فبثثته في الناس، وأمّا الآخر فلو بثثته لقطع هذا البلعوم</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المراغي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 قَلْبُهُ مُطْمَئِنٌّ بِالْإِيمانِ‌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ويدخل في التقية مداراة الكفرة والظلمة والفسقة، وإلانة الكلام لهم، والتبسّم في وجوههم، وبذل المال لهم؛ لكفّ أذاهم وصيانة العرض منهم، ولا يعدّ هذا من الموالاة المنهيّ عنها، بل هو مشروع، فقد أخرج الطبراني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وَقَى المؤمن به عرضَه فهو 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من غضون التاريخ أنّ التقية من السلطان الجائر كان أمراً شائعاً، وكان المسلمون يعملون بالتقية مستلهمين ذلك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ابن الحنفية قد قال لبعض الغزاة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تفارق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هؤلاء القوم بتقيتهم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تقاتل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تحضرهم وجهك عند دعوتهم، فيدفع اللّه بذلك عنك عن دمك ودينك،</w:t>
      </w:r>
    </w:p>
    <w:p>
      <w:pPr>
        <w:pStyle w:val="BookText"/>
        <w:rPr/>
      </w:pPr>
      <w:r>
        <w:rPr>
          <w:rFonts w:ascii="Amiri" w:hAnsi="Amiri" w:eastAsia="Amiri" w:cs="Amiri"/>
          <w:color w:val="111111"/>
          <w:sz w:val="28"/>
          <w:sz w:val="28"/>
          <w:szCs w:val="28"/>
          <w:rtl w:val="true"/>
          <w:lang w:bidi="ar-SA"/>
        </w:rPr>
        <w:t>وتصيب من مال اللّه الّذي أنت أحق به منهم</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كلام يدرأ عنّي سوطين من ذي سلطان إلّاكنت متكلّماً به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حذيفة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السوط أشدّ من فتنة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السرخسي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حذيفة ممّن يستعمل التقية</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 في طاعة الظالم إذا أكرهني عليها</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وعن بريدة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لحقت بعبد اللّه بن مسعود، فأمرني بما أمره به رسول اللّه أن أُصلّي الصلاة لوقتها واجعل صلاتهم تسبيحاً، قال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الأُمراء إذا أخّروا الصلاة أُصلّيها لوقتها ثم أُصلّي معهم نافلة مخافة الفتنة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وروى أحمد في مسنده عن أبي ذر أنّ رسول اللّه صلى الله عليه و آله و 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بقيت في قوم يؤخّرون الصلاة‌؟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الصلاة لوقتها ثم انهض، فإن كنت في المسجد حتّى تقام الصلاة فصلِّ معهم</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يجده المتتبع في غضون التاريخ أنّ المسلمين كانوا</w:t>
      </w:r>
    </w:p>
    <w:p>
      <w:pPr>
        <w:pStyle w:val="BookText"/>
        <w:rPr/>
      </w:pPr>
      <w:r>
        <w:rPr>
          <w:rFonts w:ascii="Amiri" w:hAnsi="Amiri" w:eastAsia="Amiri" w:cs="Amiri"/>
          <w:color w:val="111111"/>
          <w:sz w:val="28"/>
          <w:sz w:val="28"/>
          <w:szCs w:val="28"/>
          <w:rtl w:val="true"/>
          <w:lang w:bidi="ar-SA"/>
        </w:rPr>
        <w:t>يتّقون من السلاطين، وكان من مظاهر التقية مسألة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الحسن وهو متوارٍ زمن الحجّاج في بيت أبي خليفة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عمر أدفع الزكاة إلى الأُمراء؟ فقال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ضعها في الفقراء والمساكين، فقال لي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إنّ ابن عمر كان إذا أمن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ضعها في الفقراء والمساكين‌؟</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فالشيعة، إذن تتّقي الكفّار في ظروف خاصّة لنفس الغاية التي لأجلها يتّقيهم السنّيّ‌، غير أنّ الشيعي ولأسباب لا تخفى، يلجأ إلى الاتّقاء من أخيه المسلم لا لقصور في الشيعي، بل في أخيه الذي دفعه إلى ذلك؛ لأنّه يدرك أنّ الفتك والقتل مصيره إذا صرّح بمعتقده الذي هو عنده موافق لأُصول الشرع الإسلامي وعقائده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كان الشيعي وإلى وقت قريب يتحاشى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ليس له جهة، أو أنّه تعالى لا يُرى يوم القيامة، وإنّ المرجعية العلمية والسياسية لأهل البيت عليهم السلام بعد رحيل النبيّ الأكرم صلى الله عليه و آله و سلم، أو إنّ حكم المتعة غير منسوخ؛ فإنّ الشيعي إذا صرّح بهذه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استنبطت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يُعرّض نفسه ونفيسه للمهالك والمخاطر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عليك كلام الرازي وجمال الدين القاسمي والمراغي وغيرهم الصريح في جواز هذا النوع من التقية، فتخصيص التقية بالتقية من الكافر فحسب، جمود على ظاهر الآية، وسدّ لباب الفهم، ورفض للملاك الذي شرّعت لأجله التقية، وإعدام لحكم العقل القاضي بحفظ الأهمّ إذا عارضه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ضعف اطّلاع الكاتب على مذهبه وكلمات علمائه حيث خصّ التقيّة بالتقية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الشرعية رخصة وليست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توضيحها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الشرعية جاءت رخصة وتخفيفاً على الأُمة في بعض الأحوال الاستثنائية الضرورية، ولا حرج لمن ترك هذه الرخصة وأخذ بالعزيمة؛ وأمّا التقيّة الشيعية فهي عزيمة، وواجبة ولا فرق في استخدامها بين حالتي الإكراه والاضطرار وبين حالة السعة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الكاتب غير واقف على فقه الشيعة، ولذا وصف التقية عندهم بالوجوب واللزوم في حالتي الاضطرار والاختيار، ولكنّه غفل عن أنّ التقية عندهم تنقسم إلى أحكام خمسة حسب انقسام الأحكام إليها، فهي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واجب إلى مندوب إلى مباح إلى مكروه وحرام، وهذا هو الشيخ الأعظم مرتضى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ألّف رسالة مستقلّة، وذكر أنّها تنقسم حسب انقسام الحكم الشرعي إليها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فالقسم الواجب ما يكون لدفع ضرر متوجّه إليه من النفس أو العرض فتكون التقيّة واجبة باعتبار غايتها وهي حفظ النفس والنفيس نزولاً على حكم العقل الحصيف، أفيصحّ في منطق العقل أن يعرّض الإنسان نفسه للهلاك وعرضه إلى الهتّك مع أنّه يمكن صيانتهما بمجرّد المماشاة مع العدوّ لفظاً أو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بجواز التقية فلعلّه أراد به الجواز بالمعنى الأعم الّذي يجتمع مع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المحرّم فهو كما في الدماء، فاذا توقّف العمل بالتقية على قتل المؤمن البريء فالتقية عندئذٍ حرام، فقد أُثر عن أئمة أهل البيت عليهم السلام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التقية ليُحقَن بها الدم، فإذا بلغ الدم فليس تقيّة</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وأمّا سائر الأقسام فمن أراد التعرّف عليها، فليرجع إلى رسالة الشيخ الأنصاري وغيرها ممّا ألّف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يجب التنبيه عليه أنّ التقية تحرم في غير موضع الدم أيضاً، وهذا فيما إذا تعلّق بأساس الدين، كما قام أعداء الدين بعمل فيه هدم الدين، فتحرم التقية ويجب عليه تحمل الضرر مهما بلغ وإن كان بقيمة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فيما إذا كان المكره عليه أمراً تجوز فيه التقية، كما في شرب الخمر أو اللعب بالقمار، ولكن إذا أكره السلطان الجائر أحد القادة الدينيين أو زعيماً من الزعماء الروحيين أو مرجعاً من مراجع الدين على مثل هذه الأُمور فتحرم عليه التقية، إذ في ذلك العمل تراجع الناس عن الدين وزعزعة إيمانهم، وبذلك تقف على سرّ صمود حجر بن عدي وأصحابه الذين قتلوا في مرج العذراء، فمدّوا الرقاب للسيوف ولم يتبرّأوا من علي عليه السلام، ومثلهم ميثم التّمار وغيره، وذلك لأنّ هذه الشخصيات من الأماثل الكبار من أصحاب علي عليه السلام الذين بهم عرف الناس التشيّع واعتمدوا عليهم، فلو استجابوا لما دعوا إليه من البراءة عن علي عليه السلام لخرج الناس عن دين اللّه وارتدوا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سيدنا الأُستاذ 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الاتقاء موجباً لرواج الباطل وإضلال الناس وإحياء الظلم والجور بحيث لو عُمل بالتقية أصبح دين الإسلام</w:t>
      </w:r>
    </w:p>
    <w:p>
      <w:pPr>
        <w:pStyle w:val="BookText"/>
        <w:rPr/>
      </w:pPr>
      <w:r>
        <w:rPr>
          <w:rFonts w:ascii="Amiri" w:hAnsi="Amiri" w:eastAsia="Amiri" w:cs="Amiri"/>
          <w:color w:val="111111"/>
          <w:sz w:val="28"/>
          <w:sz w:val="28"/>
          <w:szCs w:val="28"/>
          <w:rtl w:val="true"/>
          <w:lang w:bidi="ar-SA"/>
        </w:rPr>
        <w:t>الذي هو دين كلّ فضيلة رابية، دينَ المكر والغدر والحيلة، مثلاً إذا أوعد السلطان الجائر عالم الشريعة وخيّره بين إنكار ضرورة من ضروريات الإسلام وبين قتله، كان اختيار الثاني هو المتعيّن، حتى ولو خيّره بين القتل وارتكاب معصية من المعاصي التي تورث تزلزل الناس عن الدين، فعندئذٍ تحرم عليه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خُيّر المرجع الديني بين لعب القمار أو شرب الخمر أو كشف حجاب زوجته بين الناس وبين الحبس والقتل، فالثاني هو المتعيّن، فلا أظن أنّه يخطر ببال أي فقيه في هذا المقام العمل بالتقية، وتحكيم أدلّتها على حفظ الدين وسلامة العقيدة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فالمقام من باب التزاحم الذي يقدّم فيه الأهم فالأهم على غيره، فلو كانت هناك مؤامرة على الدين وقوانينه وأحكامه فالتقية تصبح محرمة وإن بلغ الأمر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تقف على أنّ كلام القائل بأنّه ليس للتقية عند الشيعة إلّاقسم واحد وهو الوجوب والعزيمة، يعرب عن عدم اطّلاعه على فقه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الشرعية إنّما يلجأ إليها في حالة الضعف لا في جميع الأحوال، وأمّا التقية الشيعية فهي في جميع الأحوال بلا استثناء، ولا تفريق بين حالة الضعف وحالة القوة، وينقلون عن الصادق عليه السلام أنّه 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يجعلها شعاره ودِثاره مع من يأمنُه، لتكون سجيّته مع من</w:t>
      </w:r>
    </w:p>
    <w:p>
      <w:pPr>
        <w:pStyle w:val="BookText"/>
        <w:rPr/>
      </w:pPr>
      <w:r>
        <w:rPr>
          <w:rFonts w:ascii="Amiri" w:hAnsi="Amiri" w:eastAsia="Amiri" w:cs="Amiri"/>
          <w:color w:val="111111"/>
          <w:sz w:val="28"/>
          <w:sz w:val="28"/>
          <w:szCs w:val="28"/>
          <w:rtl w:val="true"/>
          <w:lang w:bidi="ar-SA"/>
        </w:rPr>
        <w:t>يحذره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التقية سلاح الضعيف في البيئات الّتي كُبتت فيها الحرية، فإذا كان هناك خطر على النفس والنفيس فالتقية أمر واجب عقلاً وشرعاً، وهذا ما يعبّر عنه بالتقية الخوفية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تقية أُخرى يعبّر عنها بالتقية المدارائية، وهي المماشاة مع سائر المسلمين في الحرمين الشريفين، وذلك لا لأجل الخوف بل لأجل حفظ وحدة الأُمة الإسلامية ومصالحها، فلا شك أنّ وحدة الكلمة هي مصدر قوة الأُمّة وأنّ اختلافها سبب انهيار أركان المجتمع وضعفه، فظهر أنّ رمي الكاتب الشيعة بالقول بوجوب التقية في الاضطرار والاختيار خلاف ما عليه فقهاء الشيعة، فهم يفرّقون بين التقيتين الخوفية والمدارائية، ويحكم عليها بالوجوب في الأُولى وبالاستحباب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الشرعية إنّما تكون باللسان لا بالأفعال، وأمّا التقية الشيعية فهي باللسان وبالأفعال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على تخصيص التقية باللسان، فإذا كانت الغاية هي حفظ النفس والعرض، فلا فرق بين دفع الشرّ باللسان أو بعمل من الأعمال، وقد مرّ عن الشيخ المراغي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التقية مداراة الكفرة والظلمة والفسقة وإلانة الكلام لهم والتبسّم في وجوههم، وبذل المال لهم لكفّ أذاهم وصيانة العرض منهم ولا يعدّ هذا من الموالاة المنهيّ عنها، بل هو مشروع، قد</w:t>
      </w:r>
    </w:p>
    <w:p>
      <w:pPr>
        <w:pStyle w:val="BookText"/>
        <w:rPr/>
      </w:pPr>
      <w:r>
        <w:rPr>
          <w:rFonts w:ascii="Amiri" w:hAnsi="Amiri" w:eastAsia="Amiri" w:cs="Amiri"/>
          <w:color w:val="111111"/>
          <w:sz w:val="28"/>
          <w:sz w:val="28"/>
          <w:szCs w:val="28"/>
          <w:rtl w:val="true"/>
          <w:lang w:bidi="ar-SA"/>
        </w:rPr>
        <w:t>أخرج الطبراني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وقى المؤمن به عرضه فهو صدقة</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وقد مرّ عن بريدة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لحقت بعبداللّه بن مسعود، فأمرني بما أمره به رسول اللّه أنّ أُصلي الصلاة لوقتها واجعل صلاتهم تسبيحاً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الأُمراء إذا أخّروا الصلاة أُصلّيها لوقتها ثم أُصلّي معهم نافلة مخافة الفتنة</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أفيصح بعد هذا أن يقول الكاتب باختصاص التقية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الشرعية لا يجوز أن تكون سجيّة للمسلم في جميع أحواله، وأمّا التقية الشيعية فهي ملازمة بطبيعة الفرد الشيعي ومستمرّة معه فهو يستخدمها في جميع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هذا ليس فرقاً جديداً، وإنّما هو تعبير آخر عن الفرق الرابع، وقد تقدّم أنّ الشيعة تتّقي إمّا خوفاً وإمّا مداراة في الحرمين الشريفين، وأمّا في غير هذين الموردين فلا تجد فيه أي أثر للتقية، وهذه كتب الشيعة ومجلّاتهم وإذاعاتهم وخطباؤهم كلّهم ينطقون بلسان واحد على ضوء الكتاب والسنّة دون أن يعدلوا عنهما قيد شعرة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التقية أمر طارئ على حياة الشيعي وإلّا فهو على مذهبه وعقيدته، يكتب وينطق بما هو الحقّ عنده من دون هوادة، فكيف تكون التقية أمراً ملازماً بطبيعة الفرد الشيعي‌؟</w:t>
      </w:r>
    </w:p>
    <w:p>
      <w:pPr>
        <w:pStyle w:val="BookText"/>
        <w:rPr/>
      </w:pPr>
      <w:r>
        <w:rPr>
          <w:rFonts w:ascii="Amiri" w:hAnsi="Amiri" w:eastAsia="Amiri" w:cs="Amiri"/>
          <w:color w:val="111111"/>
          <w:sz w:val="28"/>
          <w:sz w:val="28"/>
          <w:szCs w:val="28"/>
          <w:rtl w:val="true"/>
          <w:lang w:bidi="ar-SA"/>
        </w:rPr>
        <w:t xml:space="preserve">نعم في القرون السابقة خصوصاً في عهد الأمويّين وشيء من عهد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وثبوا على منصّة الحكم بالجور والتعسّف على كل من لا يوافقهم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 الشيعي مخرجاً دون أن يتقي ما دام يعيش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لَقَسَمٌ لَوْ تَعْلَمُونَ عَظِيمٌ‌</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لو سادت الحريّة الدينية بين المسلمين في عامّة الأجواء والأماكن لما تجد أي أثر للتقية في حياة المسلم سنّياً كان أو شيعياً، ولو ترى وجودها في حياة الشيعي في بيئة أو ظرف فإنّما يرجع وزره إلى من ألجأه إلى التقية وإلّا لعملت كلّ طائفة بفقه إمامها، ولقد سمعت من صديقي المغفور له الشيخ محمد جواد مغنية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دعيت إلى مؤتمر في مصر فلمّا شاركت في الجلسة التحضيرية رأيت أنّ بعض أساتذة الأزهر يشير إليّ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قائل بالتقية، فقلت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قائل بالتقية وعامل بها، لكنْ لعن اللّه مَن حملنا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من التقية الشرعية أنّها من أجل إعزاز الدين، وإنّما يكون إعزاز الدين من خلال إظهاره على الملأ وعدم كتمانه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التقية الشيعية فهي من أجل إعزاز دينهم، فدين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يعزّ إلّاإذا كُتم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إعزاز الدين مبنياً على إظهاره على الملأ وعدم كتمانه مطلقاً، واجه الخطر أو لا، فإذاً تصبح التقية المشروعة إذلالاً للدين وتضعيفاً له‌؟ أفيصحّ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وتعالى أذلّ بتشريع التقية دينه وأضعفه ولو في فترة</w:t>
      </w:r>
    </w:p>
    <w:p>
      <w:pPr>
        <w:pStyle w:val="BookText"/>
        <w:rPr/>
      </w:pPr>
      <w:r>
        <w:rPr>
          <w:rFonts w:ascii="Amiri" w:hAnsi="Amiri" w:eastAsia="Amiri" w:cs="Amiri"/>
          <w:color w:val="111111"/>
          <w:sz w:val="28"/>
          <w:sz w:val="28"/>
          <w:szCs w:val="28"/>
          <w:rtl w:val="true"/>
          <w:lang w:bidi="ar-SA"/>
        </w:rPr>
        <w:t>خاصّة‌؟ ما هذا الكلام ياترى‌؟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الواجب أوّلاً وبالذات هو إظهار الدين وعدم كتمانه، وهذا ممّا لا شكّ فيه، ولكن لا محيص من السكوت عن إظهار الدين، والمماشاة مع المخالف، في ظروف خاصّة ولكنّه قضية جزئية في مواقع خاصّة، لا تؤثر في إعزاز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قد خرج عن الأدب الإسلامي ووصف الشيعة بالزندقة والكذب والنفاق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 ما نقله عن إمامه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اتّفق أهل العلم على أنّ الرافضة أكذب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 الذهبي في ترجمة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البدعة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فبدعة صغرى كغلوّ التشيّع، أو كالتشيّع بلا غلو ولا تحرف؛ فهذا كثير في التابعين وتابعيهم مع الدين والوَرَع والصدق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رُدَّ حديثُ هؤلاء لذهب جملةٌ من الآثار النبوية؛ وهذه مفسدة بيِّنة</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ونحن نمرّ عليه مرور الكرام ولا نقول فيه إلّاقول 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وأدعه وسبّه مترنماً بقول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أمرّ على اللئيم يسبّني فمضيت ثمتَ قلتُ لا يعنيني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الحوزة العلمية</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283" w:name="pg16772_194456"/>
    </w:p>
    <w:p>
      <w:pPr>
        <w:pStyle w:val="Heading3"/>
        <w:numPr>
          <w:ilvl w:val="2"/>
          <w:numId w:val="1"/>
        </w:numPr>
        <w:rPr/>
      </w:pPr>
      <w:bookmarkStart w:id="284" w:name="__RefHeading___Toc6963575_73709187"/>
      <w:bookmarkStart w:id="285" w:name="_Toc106"/>
      <w:bookmarkEnd w:id="283"/>
      <w:bookmarkEnd w:id="284"/>
      <w:r>
        <w:rPr/>
        <w:t>4</w:t>
      </w:r>
      <w:r>
        <w:rPr>
          <w:rtl w:val="true"/>
        </w:rPr>
        <w:t xml:space="preserve"> </w:t>
      </w:r>
      <w:r>
        <w:rPr>
          <w:rtl w:val="true"/>
        </w:rPr>
        <w:t>البداء حقيقة قرآنية</w:t>
      </w:r>
      <w:bookmarkEnd w:id="285"/>
    </w:p>
    <w:p>
      <w:pPr>
        <w:pStyle w:val="Heading4"/>
        <w:numPr>
          <w:ilvl w:val="3"/>
          <w:numId w:val="1"/>
        </w:numPr>
        <w:rPr/>
      </w:pPr>
      <w:bookmarkStart w:id="286" w:name="__RefHeading___Toc6963577_73709187"/>
      <w:bookmarkStart w:id="287" w:name="_Toc107"/>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نُشر في موقع البرهان مقالاً حول البداء عند الإمامية، وممّا جاء في مقدّمة هذا المقال،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تحتّل مسألة البداء مكانة رفيعة في عقيدة الإمامية الإثني عشرية، حتى لا يكاد يخلو منها كتاب من كتب عقائدهم، وجاءت الروايات الكثيرة في كتبهم الحديثية بتعظيم هذه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فقد لقيت هذه العقيدة هجوماً عنيفاً ونقداً كبيراً من معظم فرق المسلمين، وشنّعوا بها على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ترى أيّها القارئ من خطورة هذا التناقض في هذه العقيدة وكون الفريقين فيها على طرفي نقيض، كان من الأهمية بمكان أن نستجلي الحقيقة فيها، وذلك أنّ مسلك النظر الحيادي في كلا القولين والإنصاف المستلزم لترك التعصب، هو المسلك الحق والطريق المرضي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يتصوّر القارئ أنّ لكلام كاتب المقال مسحة من الحق أو لمسة من الصدق، وأنّه درس الموضوع مجانباً التعصّب والتقليد، ولكنّه في الحقيقة كتب مقالاً صفراً من الإنصاف، بشهادة أنّه لم يبيّن حقيقة البداء عند الشيعة الإمامية،</w:t>
      </w:r>
      <w:bookmarkStart w:id="288" w:name="pg16772_194457"/>
    </w:p>
    <w:p>
      <w:pPr>
        <w:pStyle w:val="BookText"/>
        <w:rPr/>
      </w:pPr>
      <w:bookmarkEnd w:id="288"/>
      <w:r>
        <w:rPr>
          <w:rFonts w:ascii="Amiri" w:hAnsi="Amiri" w:eastAsia="Amiri" w:cs="Amiri"/>
          <w:color w:val="111111"/>
          <w:sz w:val="28"/>
          <w:sz w:val="28"/>
          <w:szCs w:val="28"/>
          <w:rtl w:val="true"/>
          <w:lang w:bidi="ar-SA"/>
        </w:rPr>
        <w:t>وإنّما عطف النظر إلى المسائل الجانبية، ولو أنّه نظر إلى ما ذكرناه في كتابنا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 في ضوء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لأذعن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أذعن بعض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البداء بالمعنى الذي تعتقده الإمامية، حقيقة قرآنية وعقيدة نصّ عليها النبي الأكرم صلى الله عليه و آله و سلم في غير واحد من أقواله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للأسف أنّ الرادّين على عقيدة البداء ركّزوا على لفظه الذي هو بمعنى الظهور بعد الخفاء الممتنع على اللّه سبحانه، وغفلوا عن حقيقته وواقعه، وأنّ إطلاق البداء هنا ليس بمعناه الحقيقي وإنّما استعمل بعناية خاصّة، تبعاً لما جاء في أقوال رسول اللّه صلى الله عليه و آله و سلم الذي استعمل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الأبرص والأقرع والأعمى‌،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للّه في أبرص وأقرع وأعمى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البخاري في صحيحه، وسنذكر فيما بعد نصّ الحديث</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ونحن نركز في هذا المقال على أمرين ونترك المسائل الجانبية التي ذكرها صاحب المقال إلى مجال آخر، وقد أجبنا عنها جميعاً في رسالتنا المختصرة لبيان البداء</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6963579_73709187"/>
      <w:bookmarkStart w:id="290" w:name="_Toc108"/>
      <w:bookmarkEnd w:id="289"/>
      <w:r>
        <w:rPr/>
        <w:t>1</w:t>
      </w:r>
      <w:r>
        <w:rPr>
          <w:rtl w:val="true"/>
        </w:rPr>
        <w:t xml:space="preserve">. </w:t>
      </w:r>
      <w:r>
        <w:rPr>
          <w:rtl w:val="true"/>
        </w:rPr>
        <w:t>حقيقة البداء</w:t>
      </w:r>
      <w:bookmarkEnd w:id="290"/>
    </w:p>
    <w:p>
      <w:pPr>
        <w:pStyle w:val="Heading5"/>
        <w:numPr>
          <w:ilvl w:val="4"/>
          <w:numId w:val="1"/>
        </w:numPr>
        <w:rPr/>
      </w:pPr>
      <w:bookmarkStart w:id="291" w:name="__RefHeading___Toc6963581_73709187"/>
      <w:bookmarkStart w:id="292" w:name="_Toc109"/>
      <w:bookmarkEnd w:id="291"/>
      <w:r>
        <w:rPr>
          <w:rtl w:val="true"/>
        </w:rPr>
        <w:t>اشارة</w:t>
      </w:r>
      <w:bookmarkEnd w:id="29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حقيقة البداء عند الشيعة الإمامية كلمة واحدة وهي إمكان تغيير المصير بالأعمال الصالحة أو بالأعمال الطالحة، وأنّه ليس للإنسان تقدير واحد محتّم لا يتغيّر بل بيده إبدال تقدير مكان تقدير آخر لكن على ضوء الأعمال التي يقوم بها، سواء أكان صالحاً أم طالحاً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حقيقة البداء، دون زيادة أو نقيصة، فمن يريد أن يؤيد تلك العقيدة أو يرد عليها، فليجعل هذا التعريف منطلقاً له في التأييد أو الرد ولا يخرج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الأسف أنّ الكاتب لم يحم حول ما ذكرنا في رسالتنا التي أشار إليها في مقاله، وإنّما صال وجال في أُمور جانبية، استخدمها لأنّها تصبّ في ما يرومه من مقاله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أنّ الإنسان قادر على تغيير مصيره الآيات القرآنية الكثيرة التي تجاهل ذكرها صاحب المقال،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 وَ يَجْعَلْ لَكُمْ جَنّاتٍ وَ يَجْعَلْ لَكُمْ أَنْهاراً</w:t>
      </w:r>
      <w:r>
        <w:rPr>
          <w:rFonts w:eastAsia="Amiri" w:cs="Amiri" w:ascii="Amiri" w:hAnsi="Amiri"/>
          <w:color w:val="111111"/>
          <w:sz w:val="28"/>
          <w:szCs w:val="28"/>
          <w:rtl w:val="true"/>
          <w:lang w:bidi="ar-SA"/>
        </w:rPr>
        <w:t>)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eastAsia="Amiri" w:cs="Amiri" w:ascii="Amiri" w:hAnsi="Amiri"/>
          <w:color w:val="111111"/>
          <w:sz w:val="28"/>
          <w:szCs w:val="28"/>
          <w:rtl w:val="true"/>
          <w:lang w:bidi="ar-SA"/>
        </w:rPr>
        <w:t>...) .</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w:t>
      </w:r>
      <w:r>
        <w:rPr>
          <w:rFonts w:eastAsia="Amiri" w:cs="Amiri" w:ascii="Amiri" w:hAnsi="Amiri"/>
          <w:color w:val="111111"/>
          <w:sz w:val="28"/>
          <w:szCs w:val="28"/>
          <w:rtl w:val="true"/>
          <w:lang w:bidi="ar-SA"/>
        </w:rPr>
        <w:t>) .</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تَأَذَّنَ رَبُّكُمْ لَئِنْ شَكَرْتُمْ لَأَزِيدَنَّكُمْ وَ لَئِنْ كَفَرْتُمْ إِنَّ عَذابِي لَشَدِيدٌ</w:t>
      </w:r>
      <w:r>
        <w:rPr>
          <w:rFonts w:eastAsia="Amiri" w:cs="Amiri" w:ascii="Amiri" w:hAnsi="Amiri"/>
          <w:color w:val="111111"/>
          <w:sz w:val="28"/>
          <w:szCs w:val="28"/>
          <w:rtl w:val="true"/>
          <w:lang w:bidi="ar-SA"/>
        </w:rPr>
        <w:t>) .</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نُوحاً إِذْ نادى مِنْ قَبْلُ فَاسْتَجَبْنا لَهُ فَنَجَّيْناهُ وَ أَهْلَهُ مِنَ الْكَرْبِ الْعَظِيمِ‌</w:t>
      </w:r>
      <w:r>
        <w:rPr>
          <w:rFonts w:eastAsia="Amiri" w:cs="Amiri" w:ascii="Amiri" w:hAnsi="Amiri"/>
          <w:color w:val="111111"/>
          <w:sz w:val="28"/>
          <w:szCs w:val="28"/>
          <w:rtl w:val="true"/>
          <w:lang w:bidi="ar-SA"/>
        </w:rPr>
        <w:t>) .</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أَيُّوبَ إِذْ نادى رَبَّهُ أَنِّي مَسَّنِيَ الضُّرُّ وَ أَنْتَ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فَكَشَفْنا ما بِهِ مِنْ ضُرٍّ</w:t>
      </w:r>
      <w:r>
        <w:rPr>
          <w:rFonts w:eastAsia="Amiri" w:cs="Amiri" w:ascii="Amiri" w:hAnsi="Amiri"/>
          <w:color w:val="111111"/>
          <w:sz w:val="28"/>
          <w:szCs w:val="28"/>
          <w:rtl w:val="true"/>
          <w:lang w:bidi="ar-SA"/>
        </w:rPr>
        <w:t>) .</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 هُوَ 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عَلَيْهِ شَجَرَةً مِنْ يَقْطِينٍ‌</w:t>
      </w:r>
      <w:r>
        <w:rPr>
          <w:rFonts w:eastAsia="Amiri" w:cs="Amiri" w:ascii="Amiri" w:hAnsi="Amiri"/>
          <w:color w:val="111111"/>
          <w:sz w:val="28"/>
          <w:szCs w:val="28"/>
          <w:rtl w:val="true"/>
          <w:lang w:bidi="ar-SA"/>
        </w:rPr>
        <w:t>)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إنّ هذه الآيات تعرب عن أنّ الأعمال الصالحة مؤثرة في مصير الإنسان وإنّه يستطيع بعمله الصالح على تغيير التقدير وتبديل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في أفعال الإنسان الاختيارية مقدّر محتوم حتّى يكون العبد في مقابله مكتوف الأيدي والأرجل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ذكرناه حقيقة قرآنية، ونرى مثلها في السنّة النبوية فهي تؤيد أنّ للإنسان إبدال تقدير مكان تقدير آخر بالأعمال الصالحة، ونقتصر بذكر القليل من الكثير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الحاكم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الحذر عن القدر، ولكن اللّه يمحو بالدعاء ما يشاء من القدر</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ابن سعد وابن حزم وابن مردويه عن الكلبي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w:t>
      </w:r>
      <w:bookmarkStart w:id="293" w:name="pg16772_194460"/>
    </w:p>
    <w:p>
      <w:pPr>
        <w:pStyle w:val="BookText"/>
        <w:rPr/>
      </w:pPr>
      <w:bookmarkEnd w:id="293"/>
      <w:r>
        <w:rPr>
          <w:rFonts w:ascii="Amiri" w:hAnsi="Amiri" w:eastAsia="Amiri" w:cs="Amiri"/>
          <w:color w:val="111111"/>
          <w:sz w:val="28"/>
          <w:sz w:val="28"/>
          <w:szCs w:val="28"/>
          <w:rtl w:val="true"/>
          <w:lang w:bidi="ar-SA"/>
        </w:rPr>
        <w:t>ما يَشاءُ 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من الرزق ويزيد فيه، ويمحو من الأجل ويزيد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عن جابر بن عبد اللّه بن رئاب الأنصاري، عن النبي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مروديه وابن عساكر عن علي رضى الله عنه أنّه سأل رسول اللّه صلى الله عليه و آله و سلم عن هذه الآية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لأقرنّ عينيك بتفسيرها، ولأقرنّ عين أُمّتي بعدي بتفسيرها، الصدقة على وجهها، وبرّ الوالدين، واصطناع المعروف، يحوّل الشقاء سعادة، ويزيد في العمر، ويقي مصارع السوء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المبثوثة في كتب التفسير والحديث خصوصاً في آثار الدعاء والإنابة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حقيقة البداء كتاباً وسنّة، وهذه هي عقيدة الشيعة الإمامية في البداء، فهل يمكن لمسلم مؤمن بالقرآن والسنّة أن ينكر هذه الحقيقة ويعتقد خلاف ذلك، حتى يقع في عداد اليهود الذين أنكروا البداء بهذا المعنى وقالوا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عليهم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w:t>
      </w:r>
      <w:r>
        <w:rPr>
          <w:rFonts w:eastAsia="Amiri" w:cs="Amiri" w:ascii="Amiri" w:hAnsi="Amiri"/>
          <w:color w:val="111111"/>
          <w:sz w:val="28"/>
          <w:szCs w:val="28"/>
          <w:rtl w:val="true"/>
          <w:lang w:bidi="ar-SA"/>
        </w:rPr>
        <w:t>) .</w:t>
      </w:r>
      <w:r>
        <w:rPr>
          <w:rStyle w:val="FootnoteAnchor"/>
          <w:rtl w:val="true"/>
        </w:rPr>
        <w:footnoteReference w:id="168"/>
      </w:r>
    </w:p>
    <w:p>
      <w:pPr>
        <w:pStyle w:val="Heading5"/>
        <w:numPr>
          <w:ilvl w:val="4"/>
          <w:numId w:val="1"/>
        </w:numPr>
        <w:rPr/>
      </w:pPr>
      <w:bookmarkStart w:id="294" w:name="__RefHeading___Toc6963583_73709187"/>
      <w:bookmarkStart w:id="295" w:name="_Toc110"/>
      <w:bookmarkEnd w:id="294"/>
      <w:r>
        <w:rPr>
          <w:rtl w:val="true"/>
        </w:rPr>
        <w:t>الأثر البنّاء للبداء</w:t>
      </w:r>
      <w:bookmarkEnd w:id="29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الاعتقاد بالبداء له آثار تربوية، فإنّ الإنسان إذا اعتقد بأنّه إذا عصى وحُكم عليه بدخول النار لا يهتم بإصلاح حاله في مستقبل أيام عمره، وذلك لاعتقاده بأنّ التقدير الأوّل ينفذ في حقّه، سواء أعمل صالحاً أم طالحاً، وهذا يوجب توغّله في المعاصي طول حياته؛ وأمّا إذا اعتقد أنّ اللّه سبحانه هو</w:t>
      </w:r>
      <w:bookmarkStart w:id="296" w:name="pg16772_194461"/>
    </w:p>
    <w:p>
      <w:pPr>
        <w:pStyle w:val="BookText"/>
        <w:rPr/>
      </w:pPr>
      <w:bookmarkEnd w:id="296"/>
      <w:r>
        <w:rPr>
          <w:rFonts w:ascii="Amiri" w:hAnsi="Amiri" w:eastAsia="Amiri" w:cs="Amiri"/>
          <w:color w:val="111111"/>
          <w:sz w:val="28"/>
          <w:sz w:val="28"/>
          <w:szCs w:val="28"/>
          <w:rtl w:val="true"/>
          <w:lang w:bidi="ar-SA"/>
        </w:rPr>
        <w:t>الرؤوف الرحيم، فلو أصلح حاله في المستقبل فسوف يصلح اللّه له تقديره ويغيّره بنحو يتناسب مع عمله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ينادي اللّه سبحانه عباده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 .</w:t>
      </w:r>
      <w:r>
        <w:rPr>
          <w:rStyle w:val="FootnoteAnchor"/>
          <w:rtl w:val="true"/>
        </w:rPr>
        <w:footnoteReference w:id="169"/>
      </w:r>
    </w:p>
    <w:p>
      <w:pPr>
        <w:pStyle w:val="Heading5"/>
        <w:numPr>
          <w:ilvl w:val="4"/>
          <w:numId w:val="1"/>
        </w:numPr>
        <w:rPr/>
      </w:pPr>
      <w:bookmarkStart w:id="297" w:name="__RefHeading___Toc6963585_73709187"/>
      <w:bookmarkStart w:id="298" w:name="_Toc111"/>
      <w:bookmarkEnd w:id="297"/>
      <w:r>
        <w:rPr>
          <w:rtl w:val="true"/>
        </w:rPr>
        <w:t>ممّا يترتّب على القول بالبداء</w:t>
      </w:r>
      <w:bookmarkEnd w:id="298"/>
    </w:p>
    <w:p>
      <w:pPr>
        <w:pStyle w:val="Heading6"/>
        <w:numPr>
          <w:ilvl w:val="5"/>
          <w:numId w:val="1"/>
        </w:numPr>
        <w:rPr/>
      </w:pPr>
      <w:bookmarkStart w:id="299" w:name="__RefHeading___Toc6963587_73709187"/>
      <w:bookmarkStart w:id="300" w:name="_Toc112"/>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ربّما أخبر أنبياءُ اللّه عليهم السلام عن وقوع حادثة في المستقبل ولكنّها لم تقع، وذلك كالقضايا التالية التي نرى إخبار الأولياء وعدم وقوعها تالياً، وما ذلك إلّا لأنّ المورد غيّر تقديره بالعمل الصالح ولولاه لوقع ما أخبر به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وسنشير إلى موارد منها</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6963589_73709187"/>
      <w:bookmarkStart w:id="302" w:name="_Toc113"/>
      <w:bookmarkEnd w:id="301"/>
      <w:r>
        <w:rPr/>
        <w:t>1</w:t>
      </w:r>
      <w:r>
        <w:rPr>
          <w:rtl w:val="true"/>
        </w:rPr>
        <w:t xml:space="preserve">. </w:t>
      </w:r>
      <w:r>
        <w:rPr>
          <w:rtl w:val="true"/>
        </w:rPr>
        <w:t>رفع العذاب عن قوم نبي اللّه يونس عليه السلام</w:t>
      </w:r>
      <w:bookmarkEnd w:id="302"/>
    </w:p>
    <w:p>
      <w:pPr>
        <w:pStyle w:val="BookText"/>
        <w:rPr/>
      </w:pPr>
      <w:r>
        <w:rPr>
          <w:rFonts w:ascii="Amiri" w:hAnsi="Amiri" w:eastAsia="Amiri" w:cs="Amiri"/>
          <w:color w:val="111111"/>
          <w:sz w:val="28"/>
          <w:sz w:val="28"/>
          <w:szCs w:val="28"/>
          <w:rtl w:val="true"/>
          <w:lang w:bidi="ar-SA"/>
        </w:rPr>
        <w:t>أخبر يونس قومه بنزول العذاب ثم ترك القوم وكان في وعده صادقاً معتمداً على مقتضي العذاب الذي اطّلع عليه، لكن نزول العذاب كان مشروطاً بعدم المانع،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والتضرّع، إذ مع المانع لا تجتمع العلّة التامّة للعذاب،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كانَتْ قَرْيَةٌ آمَنَتْ فَنَفَعَها إِيمانُها إِلاّ قَوْمَ يُونُسَ لَمّا آمَنُوا كَشَفْنا عَنْهُمْ عَذابَ الْخِزْيِ فِي الْحَياةِ الدُّنْيا وَ مَتَّعْناهُمْ إِلى حِينٍ‌</w:t>
      </w:r>
      <w:r>
        <w:rPr>
          <w:rFonts w:eastAsia="Amiri" w:cs="Amiri" w:ascii="Amiri" w:hAnsi="Amiri"/>
          <w:color w:val="111111"/>
          <w:sz w:val="28"/>
          <w:szCs w:val="28"/>
          <w:rtl w:val="true"/>
          <w:lang w:bidi="ar-SA"/>
        </w:rPr>
        <w:t>) .</w:t>
      </w:r>
      <w:r>
        <w:rPr>
          <w:rStyle w:val="FootnoteAnchor"/>
          <w:rtl w:val="true"/>
        </w:rPr>
        <w:footnoteReference w:id="17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03" w:name="__RefHeading___Toc6963591_73709187"/>
      <w:bookmarkStart w:id="304" w:name="_Toc114"/>
      <w:bookmarkEnd w:id="303"/>
      <w:r>
        <w:rPr/>
        <w:t>2</w:t>
      </w:r>
      <w:r>
        <w:rPr>
          <w:rtl w:val="true"/>
        </w:rPr>
        <w:t xml:space="preserve">. </w:t>
      </w:r>
      <w:r>
        <w:rPr>
          <w:rtl w:val="true"/>
        </w:rPr>
        <w:t>الإعراض عن ذبح إسماعيل</w:t>
      </w:r>
      <w:bookmarkStart w:id="305" w:name="pg16772_194462"/>
      <w:bookmarkEnd w:id="304"/>
    </w:p>
    <w:p>
      <w:pPr>
        <w:pStyle w:val="BookText"/>
        <w:rPr/>
      </w:pPr>
      <w:bookmarkEnd w:id="305"/>
      <w:r>
        <w:rPr>
          <w:rFonts w:ascii="Amiri" w:hAnsi="Amiri" w:eastAsia="Amiri" w:cs="Amiri"/>
          <w:color w:val="111111"/>
          <w:sz w:val="28"/>
          <w:sz w:val="28"/>
          <w:szCs w:val="28"/>
          <w:rtl w:val="true"/>
          <w:lang w:bidi="ar-SA"/>
        </w:rPr>
        <w:t xml:space="preserve">ذكر القرآن الكريم أنّ إبراهيم عليه السلام رأى في منامه أنّه يذبح ابنه إسماعيل، وأعلم إبراهيم ابنه بذلك، ليكون أهون عليه، وليختبر صبره وجلده وعزمه على طاعة اللّه وطاعة أبيه، وقال كما عبّر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أَذْبَحُكَ‌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يحكي عن حقيقة ثابتة وواقعية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الأمر لم يتحقّق ونسخ نسخاً تشريعياً، كما لم يتحقّق ذبح إبراهيم إسماعيل في الخارج فكان نسخاً تكوينياً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ورد في سورة الصافات</w:t>
      </w:r>
      <w:r>
        <w:rPr>
          <w:rFonts w:eastAsia="Amiri" w:cs="Amiri" w:ascii="Amiri" w:hAnsi="Amiri"/>
          <w:color w:val="111111"/>
          <w:sz w:val="28"/>
          <w:szCs w:val="28"/>
          <w:rtl w:val="true"/>
          <w:lang w:bidi="ar-SA"/>
        </w:rPr>
        <w:t>.</w:t>
      </w:r>
      <w:r>
        <w:rPr>
          <w:rStyle w:val="FootnoteAnchor"/>
          <w:rtl w:val="true"/>
        </w:rPr>
        <w:footnoteReference w:id="171"/>
      </w:r>
    </w:p>
    <w:p>
      <w:pPr>
        <w:pStyle w:val="Heading6"/>
        <w:numPr>
          <w:ilvl w:val="5"/>
          <w:numId w:val="1"/>
        </w:numPr>
        <w:rPr/>
      </w:pPr>
      <w:bookmarkStart w:id="306" w:name="__RefHeading___Toc6963593_73709187"/>
      <w:bookmarkStart w:id="307" w:name="_Toc115"/>
      <w:bookmarkEnd w:id="306"/>
      <w:r>
        <w:rPr/>
        <w:t>3</w:t>
      </w:r>
      <w:r>
        <w:rPr>
          <w:rtl w:val="true"/>
        </w:rPr>
        <w:t xml:space="preserve">. </w:t>
      </w:r>
      <w:r>
        <w:rPr>
          <w:rtl w:val="true"/>
        </w:rPr>
        <w:t>إكمال ميقات موسى عليه السلام</w:t>
      </w:r>
      <w:bookmarkEnd w:id="307"/>
    </w:p>
    <w:p>
      <w:pPr>
        <w:pStyle w:val="BookText"/>
        <w:rPr/>
      </w:pPr>
      <w:r>
        <w:rPr>
          <w:rFonts w:ascii="Amiri" w:hAnsi="Amiri" w:eastAsia="Amiri" w:cs="Amiri"/>
          <w:color w:val="111111"/>
          <w:sz w:val="28"/>
          <w:sz w:val="28"/>
          <w:szCs w:val="28"/>
          <w:rtl w:val="true"/>
          <w:lang w:bidi="ar-SA"/>
        </w:rPr>
        <w:t>ذكر المفسّرون أنّه سبحانه واعد موسى ثلاثين ليلة فصامها موسى عليه السلام وطواها، فلمّا تمّ الميقات أمره اللّه تعالى أن يُكملها بعشر،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واعَدْنا مُوسى ثَلاثِينَ لَيْلَةً وَ أَتْمَمْناها بِعَشْرٍ فَتَمَّ مِيقاتُ رَبِّهِ أَرْبَعِينَ لَيْلَةً‌</w:t>
      </w:r>
      <w:r>
        <w:rPr>
          <w:rFonts w:eastAsia="Amiri" w:cs="Amiri" w:ascii="Amiri" w:hAnsi="Amiri"/>
          <w:color w:val="111111"/>
          <w:sz w:val="28"/>
          <w:szCs w:val="28"/>
          <w:rtl w:val="true"/>
          <w:lang w:bidi="ar-SA"/>
        </w:rPr>
        <w:t>)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ففي هذه القصة إخباران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يمكث في الميقات ثلاثين ليلة، ثم نسخه بخبر آخر بأنّه يمكث أربعين ليلة، وكان موسى عليه السلام صادقاً في كلا الإخبارين، حيث كان الخبر الأوّل مستنداً إلى جهات تقتضي إقامة ثلاثين ليلة، لولا طروء ملاك آخر يقتضي أن يكون الوقوف أزيد من ثلاثين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هذه جملة من الحوادث التي تنبّأ أنبياء اللّه بوقوعها، وجاء خبرها في الذكر الحكيم إلّاأنّها لم تقع، وهذا ما يعبّر عنه بأنّه بدا للّه فيها، وسيوافيك وجه استعمال هذه الصيغة في المقام،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في القرآن العزيز، وأمّا ما ورد في الروايات الصحيحة عن رسول اللّه صلى الله عليه و آله و سلم، فإليك بعض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يهوديّ بالنبي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 فقال النبي صلى الله عليه و آله و سلم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سلّم عليك بالموت،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عليك‌؟ فقال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 صلى الله عليه و آله و سلم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اليهودي يعضّه أسود في قفاه فيقتله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 اليهودي فاحتطب حطباً كثيراً فاحتمله، ثم لم يلبث أن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 الحطب فإذا أسود في جوف الحطب عاض على عود،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يهوديّ ما عملت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عملاً إلّا حطبي هذا حملته فجئت به، وكان معي كعكتان فأكلت واحدة وتصدّقت بواحدة على مسكين،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 دفع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تدفع ميتة السوء عن الإنسان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المسيح عليه السلام بقوم مجلبين،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لهؤلاء؟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فلانة بنت فلانة تهدى إلى فلان في ليلته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يُجلبون اليوم ويبكون غداً،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صاحبتهم ميتة في ليلتها هذه، فلمّا</w:t>
      </w:r>
      <w:bookmarkStart w:id="308" w:name="pg16772_194464"/>
    </w:p>
    <w:p>
      <w:pPr>
        <w:pStyle w:val="BookText"/>
        <w:rPr/>
      </w:pPr>
      <w:bookmarkEnd w:id="308"/>
      <w:r>
        <w:rPr>
          <w:rFonts w:ascii="Amiri" w:hAnsi="Amiri" w:eastAsia="Amiri" w:cs="Amiri"/>
          <w:color w:val="111111"/>
          <w:sz w:val="28"/>
          <w:sz w:val="28"/>
          <w:szCs w:val="28"/>
          <w:rtl w:val="true"/>
          <w:lang w:bidi="ar-SA"/>
        </w:rPr>
        <w:t>أصبحوا وجدوها على حالها، ليس بها شيء،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 التي أخبرتنا أمس أنّها ميتة لم تمت، فدخل المسيح دارها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ليلتك هذه‌؟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أصنع شيئاً إلّاوكنت أصنعه فيما مضى، إنّه كان يعترينا سائل في كلّ ليلة جمعة فننيله ما يقوته إلى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 عن مجلسك؛ فإذا تحت ثيابها أفعى مثل جذعة، عاضّ على ذنبه،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صنعت صُرف عنك هذا</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هذا كلّه حول الأمر الأوّل الذي يتضمن بيان حقيقة البداء الذي تعتقده الشيعة والمسلمون عامّة بشرط أن يقفوا على هذا المعنى، وما ذكرناه من المعنى للبداء قد نصّ عليه علماء الشيعة منذ عصر الصدوق حتى يومنا هذا</w:t>
      </w:r>
      <w:r>
        <w:rPr>
          <w:rFonts w:eastAsia="Amiri" w:cs="Amiri" w:ascii="Amiri" w:hAnsi="Amiri"/>
          <w:color w:val="111111"/>
          <w:sz w:val="28"/>
          <w:szCs w:val="28"/>
          <w:rtl w:val="true"/>
          <w:lang w:bidi="ar-SA"/>
        </w:rPr>
        <w:t>.</w:t>
      </w:r>
      <w:r>
        <w:rPr>
          <w:rStyle w:val="FootnoteAnchor"/>
          <w:rtl w:val="true"/>
        </w:rPr>
        <w:footnoteReference w:id="176"/>
      </w:r>
    </w:p>
    <w:p>
      <w:pPr>
        <w:pStyle w:val="Heading4"/>
        <w:numPr>
          <w:ilvl w:val="3"/>
          <w:numId w:val="1"/>
        </w:numPr>
        <w:rPr/>
      </w:pPr>
      <w:bookmarkStart w:id="309" w:name="__RefHeading___Toc6963595_73709187"/>
      <w:bookmarkStart w:id="310" w:name="_Toc116"/>
      <w:bookmarkEnd w:id="309"/>
      <w:r>
        <w:rPr/>
        <w:t>2</w:t>
      </w:r>
      <w:r>
        <w:rPr>
          <w:rtl w:val="true"/>
        </w:rPr>
        <w:t xml:space="preserve">. </w:t>
      </w:r>
      <w:r>
        <w:rPr>
          <w:rtl w:val="true"/>
        </w:rPr>
        <w:t>ما هو معنى</w:t>
      </w:r>
      <w:r>
        <w:rPr>
          <w:rtl w:val="true"/>
        </w:rPr>
        <w:t>: «</w:t>
      </w:r>
      <w:r>
        <w:rPr>
          <w:rtl w:val="true"/>
        </w:rPr>
        <w:t>بدا للّه</w:t>
      </w:r>
      <w:r>
        <w:rPr>
          <w:rtl w:val="true"/>
        </w:rPr>
        <w:t xml:space="preserve">» </w:t>
      </w:r>
      <w:r>
        <w:rPr>
          <w:rtl w:val="true"/>
        </w:rPr>
        <w:t>في حديث الرسول صلى الله عليه و آله و سلم‌؟</w:t>
      </w:r>
      <w:bookmarkEnd w:id="310"/>
    </w:p>
    <w:p>
      <w:pPr>
        <w:pStyle w:val="BookText"/>
        <w:rPr/>
      </w:pPr>
      <w:r>
        <w:rPr>
          <w:rFonts w:ascii="Amiri" w:hAnsi="Amiri" w:eastAsia="Amiri" w:cs="Amiri"/>
          <w:color w:val="111111"/>
          <w:sz w:val="28"/>
          <w:sz w:val="28"/>
          <w:szCs w:val="28"/>
          <w:rtl w:val="true"/>
          <w:lang w:bidi="ar-SA"/>
        </w:rPr>
        <w:t>هذا ولنركّز على الأمر الثاني وهو سبب التعبير بالبداء عن هذه الحقيقة القرآنية الناصعة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إطلاق البداء على اللّه سبحانه بمعنى الظهور بعد الخفاء أمر باطل لا يستعمله إلّاالجاهل، لأنّ اللّه سبحانه عالم بكلّ شيء قبل أن يخلق ومع الخلق وبعده، ويستحيل أن يوصف أنّه بدا للّه أي ظهر له بعد الخفاء</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وجه التعبير عن هذه الحقيقة بهذا اللفظ الذي يمتنع وصفه سبحانه به</w:t>
      </w:r>
    </w:p>
    <w:p>
      <w:pPr>
        <w:pStyle w:val="BookText"/>
        <w:rPr/>
      </w:pPr>
      <w:r>
        <w:rPr>
          <w:rFonts w:ascii="Amiri" w:hAnsi="Amiri" w:eastAsia="Amiri" w:cs="Amiri"/>
          <w:color w:val="111111"/>
          <w:sz w:val="28"/>
          <w:sz w:val="28"/>
          <w:szCs w:val="28"/>
          <w:rtl w:val="true"/>
          <w:lang w:bidi="ar-SA"/>
        </w:rPr>
        <w:t>بالمعنى الحقيقي فلأجل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الشيعة الإمامية قد اقتفت أثر النبي صلى الله عليه و آله و سلم في إطلاق البداء على اللّه سبحانه حيث أخرج البخاري في صحيحه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من رسول اللّه صلى الله عليه و آله و سلم أنّ ثلاثة في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أبرص وأقرع وأعمى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يبتليهم، فبعث إليهم ملكاً فأتى الأبرصَ‌،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حسن، وجلد حسن، قد قذّرني الناس، قال فمسحه فذهب عنه فأُعطي لوناً حسناً وجلداً حسناً،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 أحبّ إليك‌؟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الإبل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شك في ذلك أنّ الأبرص والأقرع،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 ناقة عُشراء،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يبارك اللّه 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الأقرع،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حسن ويذهب عنّي هذا قد قذرني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فمسحه، فذهب، وأُعطي شعراً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بقرة حاملاً،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يبارك 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الأعمى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اللّه إليّ بصري، فأبصر به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فمسحه فردّ اللّه إليه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فأعطاه شاة والداً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فأُنتج هذان وولّد هذا، فكان لهذا واد من إبل، ولهذا واد من بقر، ولهذا واد من الغنم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أتى الأبرص في صورته وهيئته،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مسكين تقطّعت بي الحبال في سفري، فلا بلاغ اليوم إلّاباللّه ثمّ بك، أسألك بالذي أعطاك اللون الحسن والجلد الحسن والمال، بعيراً أتبلّغ عليه في سفري؛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الحقوق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أعرفك ألم تكن أبرص يقذرك الناس، فقيراً فأعطاك</w:t>
      </w:r>
    </w:p>
    <w:p>
      <w:pPr>
        <w:pStyle w:val="BookText"/>
        <w:rPr/>
      </w:pPr>
      <w:r>
        <w:rPr>
          <w:rFonts w:ascii="Amiri" w:hAnsi="Amiri" w:eastAsia="Amiri" w:cs="Amiri"/>
          <w:color w:val="111111"/>
          <w:sz w:val="28"/>
          <w:sz w:val="28"/>
          <w:szCs w:val="28"/>
          <w:rtl w:val="true"/>
          <w:lang w:bidi="ar-SA"/>
        </w:rPr>
        <w:t>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ورثت لكابر عن كابر؟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فصيّرك اللّه إلى ما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الأقرع في صورته وهيئته فقال له مثل ما قال لهذا، فردّ عليه مثلما ردّ عليه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فصيّرك اللّه إلى ما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الأعمى في صورته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مسكين وابن سبيل وتقطّعت بي الحبال في سفري، فلا بلاغ اليوم إلّاباللّه، ثمّ بك، أسألك بالذي ردّ عليك بصرك، شاة أتبلّغ بها في سفري؛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أعمى فرد اللّه بصري، وفقيراً فقد أغناني، فخذ ما شئت، فواللّه لا أجحدك اليوم بشيء أخذته 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مالك فإنّما ابتليتم فقد رضي اللّه عنك وسخط على صاحبيك</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هذا هو تعبير الرسول الأكرم صلى الله عليه و آله و سلم والمسلمون جميعاً مأمورون بالاقتداء به وبأقواله،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r>
        <w:rPr>
          <w:rFonts w:eastAsia="Amiri" w:cs="Amiri" w:ascii="Amiri" w:hAnsi="Amiri"/>
          <w:color w:val="111111"/>
          <w:sz w:val="28"/>
          <w:szCs w:val="28"/>
          <w:rtl w:val="true"/>
          <w:lang w:bidi="ar-SA"/>
        </w:rPr>
        <w:t>)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إطلاق هذا اللفظ يأتي من باب المشاكلة، وهو باب واسع في كلام العرب فإنّه سبحانه في مجالات خاصّة يعبر عن فعله سبحانه بما يعبّر به الناس عن أفعالهم، وما ذلك إلّالأجل المشاكلة الظاهرية، وهذا ما نقرأه في الآيات التالية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يُخادِعُونَ اللّهَ وَ هُوَ خادِعُهُمْ‌</w:t>
      </w:r>
      <w:r>
        <w:rPr>
          <w:rFonts w:eastAsia="Amiri" w:cs="Amiri" w:ascii="Amiri" w:hAnsi="Amiri"/>
          <w:color w:val="111111"/>
          <w:sz w:val="28"/>
          <w:szCs w:val="28"/>
          <w:rtl w:val="true"/>
          <w:lang w:bidi="ar-SA"/>
        </w:rPr>
        <w:t>)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مَكَرُوا وَ مَكَرَ اللّهُ وَ اللّهُ خَيْرُ الْماكِرِينَ‌</w:t>
      </w:r>
      <w:r>
        <w:rPr>
          <w:rFonts w:eastAsia="Amiri" w:cs="Amiri" w:ascii="Amiri" w:hAnsi="Amiri"/>
          <w:color w:val="111111"/>
          <w:sz w:val="28"/>
          <w:szCs w:val="28"/>
          <w:rtl w:val="true"/>
          <w:lang w:bidi="ar-SA"/>
        </w:rPr>
        <w:t>)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الْيَوْمَ نَنْساكُمْ كَما نَسِيتُمْ لِقاءَ يَوْمِكُمْ هذا</w:t>
      </w:r>
      <w:r>
        <w:rPr>
          <w:rFonts w:eastAsia="Amiri" w:cs="Amiri" w:ascii="Amiri" w:hAnsi="Amiri"/>
          <w:color w:val="111111"/>
          <w:sz w:val="28"/>
          <w:szCs w:val="28"/>
          <w:rtl w:val="true"/>
          <w:lang w:bidi="ar-SA"/>
        </w:rPr>
        <w:t>)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إذ لا شكّ أنّه سبحانه لا يخدع ولا يمكر ولا ينسى، لأنّ هذا من صفات الإنسان الضعيف، إلّاأنّه سبحانه وصف أفعاله بما وصف به أفعال الناس من باب المشاكلة، والجميع كناية عن إبطال خدعتهم ومكرهم وحرمانهم من مغفرة اللّه سبحانه وبالتالي عن جنته ونعيمها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اللام في قول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بدا من اللّه للناس، يقول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بدا لفلان عمل صحيح، أو بدا له كلام فصيح،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من فلان كذا، فيجعلون اللام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أي بدا من اللّه سبحانه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ضوء هذه الجهات يصحّ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سبحانه ووصفه به، حتّى لو قلنا بتوقيفية الأسماء والصفات، وما ينسب إليه تعالى من الأفعال، لوروده في الحديث النبوي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حقيقة البداء وأثره البنّاء في تربية الإنسان على النهج الإسلامي الصحيح، واتّضح للقارئ الكريم وجه استعمال هذا اللفظ لبيان هذه الحقيقة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قلنا فمن أراد الردّ أو تأييد هذه الحقيقة فليبحث في هذا الإطار</w:t>
      </w:r>
    </w:p>
    <w:p>
      <w:pPr>
        <w:pStyle w:val="BookText"/>
        <w:rPr/>
      </w:pPr>
      <w:r>
        <w:rPr>
          <w:rFonts w:ascii="Amiri" w:hAnsi="Amiri" w:eastAsia="Amiri" w:cs="Amiri"/>
          <w:color w:val="111111"/>
          <w:sz w:val="28"/>
          <w:sz w:val="28"/>
          <w:szCs w:val="28"/>
          <w:rtl w:val="true"/>
          <w:lang w:bidi="ar-SA"/>
        </w:rPr>
        <w:t>ويترك الأُمور الجانبية المتعلّقة بالموضوع، والتي صعب على المستشكل فهمها لو صحّ سندها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نُسب إلى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بدا للّه بداءٌ كما بدا له في إسماعيل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نسب إلى أمير المؤمنين علي عليه السلام حيث أخبر بحصول الرخاء بعد سبعين عاماً، ولم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درسنا هذه الأحاديث سنداً ودلالة في محاضراتنا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دوّنها العلّامة الحجّة الشيخ جعفر الهادي، فللكاتب أن يرجع إلى تلك الرسالة حتى لا يطول مقامنا مع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أعجب ما رأيت حول البداء مقال آخر كتبه الشيخ إبراهيم الجنادي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عند الشيعة فكرة يهودية مستوردة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أعداء ما جهلوا، والمسكين غير عارف بأنّ الإيمان بالبداء على طرف النقيض من عقيدة اليهود حيث أنّهم أنكروا النسخ بتاتاً، ومن المعلوم أنّ البداء في التكوين كالنسخ في التشريع، فهم ينكرونهما جميعاً، فلو أراد الكاتب التفصيل فليرجع إلى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الْيَهُودُ يَدُ اللّهِ مَغْلُولَةٌ غُلَّتْ أَيْدِيهِمْ وَ لُعِنُوا بِما قالُوا بَلْ يَداهُ مَبْسُوطَتانِ يُنْفِقُ كَيْفَ يَشاءُ وَ لَيَزِيدَنَّ كَثِيراً مِنْهُمْ ما أُنْزِلَ إِلَيْكَ مِنْ رَبِّكَ طُغْياناً وَ كُفْراً وَ أَلْقَيْنا بَيْنَهُمُ الْعَداوَةَ وَ الْبَغْضاءَ إِلى يَوْمِ الْقِيامَةِ كُلَّما أَوْقَدُوا ناراً لِلْحَرْبِ أَطْفَأَهَا اللّهُ وَ يَسْعَوْنَ‌</w:t>
      </w:r>
    </w:p>
    <w:p>
      <w:pPr>
        <w:pStyle w:val="BookText"/>
        <w:rPr/>
      </w:pPr>
      <w:r>
        <w:rPr>
          <w:rFonts w:ascii="Amiri" w:hAnsi="Amiri" w:eastAsia="Amiri" w:cs="Amiri"/>
          <w:color w:val="111111"/>
          <w:sz w:val="28"/>
          <w:sz w:val="28"/>
          <w:szCs w:val="28"/>
          <w:rtl w:val="true"/>
          <w:lang w:bidi="ar-SA"/>
        </w:rPr>
        <w:t>فِي الْأَرْضِ فَساداً وَ اللّهُ لا يُحِبُّ الْمُفْسِدِينَ‌</w:t>
      </w:r>
      <w:r>
        <w:rPr>
          <w:rFonts w:eastAsia="Amiri" w:cs="Amiri" w:ascii="Amiri" w:hAnsi="Amiri"/>
          <w:color w:val="111111"/>
          <w:sz w:val="28"/>
          <w:szCs w:val="28"/>
          <w:rtl w:val="true"/>
          <w:lang w:bidi="ar-SA"/>
        </w:rPr>
        <w:t>)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والعجب أنّ الكاتب عنون مقاله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للعقول أن تتحرّر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عقول الشيعة تحرّرت منذ عصر الرسول صلى الله عليه و آله و سلم إلى يومنا هذا، وأخذوا بما في الكتاب العزيز والسنّة النبوية، وأمّا غيرهم ممّن لم يقرأ شيئاً من عقائد الشيعة ولا سائر الطوائف فهو من رماة القول على عواهنه، فأخذ ينسب القول بالبداء إلى اليهود، وهم على جانب النقيض من تلك العقيدة</w:t>
      </w:r>
      <w:r>
        <w:rPr>
          <w:rFonts w:eastAsia="Amiri" w:cs="Amiri" w:ascii="Amiri" w:hAnsi="Amiri"/>
          <w:color w:val="111111"/>
          <w:sz w:val="28"/>
          <w:szCs w:val="28"/>
          <w:rtl w:val="true"/>
          <w:lang w:bidi="ar-SA"/>
        </w:rPr>
        <w:t>.</w:t>
      </w:r>
      <w:bookmarkStart w:id="311" w:name="pg16772_194471"/>
    </w:p>
    <w:p>
      <w:pPr>
        <w:pStyle w:val="Heading2"/>
        <w:numPr>
          <w:ilvl w:val="1"/>
          <w:numId w:val="1"/>
        </w:numPr>
        <w:rPr/>
      </w:pPr>
      <w:bookmarkStart w:id="312" w:name="__RefHeading___Toc6963597_73709187"/>
      <w:bookmarkStart w:id="313" w:name="_Toc117"/>
      <w:bookmarkEnd w:id="311"/>
      <w:bookmarkEnd w:id="312"/>
      <w:r>
        <w:rPr>
          <w:rtl w:val="true"/>
        </w:rPr>
        <w:t>الفصل الثالث</w:t>
      </w:r>
      <w:r>
        <w:rPr>
          <w:rtl w:val="true"/>
        </w:rPr>
        <w:t xml:space="preserve">: </w:t>
      </w:r>
      <w:r>
        <w:rPr>
          <w:rtl w:val="true"/>
        </w:rPr>
        <w:t>مقالات قرآنية</w:t>
      </w:r>
      <w:bookmarkEnd w:id="313"/>
    </w:p>
    <w:p>
      <w:pPr>
        <w:pStyle w:val="Heading3"/>
        <w:numPr>
          <w:ilvl w:val="2"/>
          <w:numId w:val="1"/>
        </w:numPr>
        <w:rPr/>
      </w:pPr>
      <w:bookmarkStart w:id="314" w:name="__RefHeading___Toc6963599_73709187"/>
      <w:bookmarkStart w:id="315" w:name="_Toc118"/>
      <w:bookmarkEnd w:id="314"/>
      <w:r>
        <w:rPr>
          <w:rtl w:val="true"/>
        </w:rPr>
        <w:t>اشارة</w:t>
      </w:r>
      <w:bookmarkEnd w:id="3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المجاز في القرآن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الوحي لغة واصطلاحاً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القرآن في شهر رمضان وبعثته في رجب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فرية انقطاع الوحي وفتوره وأُسطورة شقّ الصدر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غار حراء وذكريات النبي صلى الله عليه و آله و سلم فيه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صيانة القرآن من التحريف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الإعجاز البياني للقرآن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سورة القيامة</w:t>
      </w:r>
      <w:bookmarkStart w:id="316" w:name="pg16772_194473"/>
    </w:p>
    <w:p>
      <w:pPr>
        <w:pStyle w:val="Heading3"/>
        <w:numPr>
          <w:ilvl w:val="2"/>
          <w:numId w:val="1"/>
        </w:numPr>
        <w:rPr/>
      </w:pPr>
      <w:bookmarkStart w:id="317" w:name="__RefHeading___Toc6963601_73709187"/>
      <w:bookmarkStart w:id="318" w:name="_Toc119"/>
      <w:bookmarkEnd w:id="316"/>
      <w:bookmarkEnd w:id="317"/>
      <w:r>
        <w:rPr/>
        <w:t>1</w:t>
      </w:r>
      <w:r>
        <w:rPr>
          <w:rtl w:val="true"/>
        </w:rPr>
        <w:t xml:space="preserve"> </w:t>
      </w:r>
      <w:r>
        <w:rPr>
          <w:rtl w:val="true"/>
        </w:rPr>
        <w:t>المجاز في القرآن الكريم</w:t>
      </w:r>
      <w:bookmarkEnd w:id="318"/>
    </w:p>
    <w:p>
      <w:pPr>
        <w:pStyle w:val="Heading4"/>
        <w:numPr>
          <w:ilvl w:val="3"/>
          <w:numId w:val="1"/>
        </w:numPr>
        <w:rPr/>
      </w:pPr>
      <w:bookmarkStart w:id="319" w:name="__RefHeading___Toc6963603_73709187"/>
      <w:bookmarkStart w:id="320" w:name="_Toc120"/>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 xml:space="preserve">اختلفت كلمات العلماء في وجود المجاز في الذكر الحكيم، فهم بين منكر ومثبت، ولكلّ طائفة دليلها، وقبل الورود في صلب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المجاز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نشرح معنى المجاز وحقيقته في علم البلاغة،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المجاز بأنّه استعمال اللفظ في غير ما وضع له لمناسبة بين المعنى الحقيقي والمجازي، فإن كانت المناسبة هي المشابهة فالمجاز استعارة، وإلّا فالمجاز مرسل، كاستعمال اللفظ الموضوع للجزء في الكل، مثل ما ورد في قول الإمام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عَيْنِي بِالْمَغْرِبِ كَتَبَ إِلَيَّ يُعْلِمُنِي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فالعين مجاز مرسل، مناسبته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العين جزء من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وبالعكس، أي استعمال لفظ الكلّ‌، والمراد منه الجزء، مثل 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عضو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قول هؤلاء يكون استعمال اللفظ في غير ما وضع له بالوضع، وحسب تحديد الواضع، حيث إنّ الواضع خصّه فيما لو كانت هناك علاقة مشابهة أو سائر العلائق البالغة إلى خمس وعشرين علاقة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الرأي السائد إلى يومنا هذا بين الأُدباء، ولكن لشيخ مشايخنا</w:t>
      </w:r>
    </w:p>
    <w:p>
      <w:pPr>
        <w:pStyle w:val="BookText"/>
        <w:rPr/>
      </w:pPr>
      <w:r>
        <w:rPr>
          <w:rFonts w:ascii="Amiri" w:hAnsi="Amiri" w:eastAsia="Amiri" w:cs="Amiri"/>
          <w:color w:val="111111"/>
          <w:sz w:val="28"/>
          <w:sz w:val="28"/>
          <w:szCs w:val="28"/>
          <w:rtl w:val="true"/>
          <w:lang w:bidi="ar-SA"/>
        </w:rPr>
        <w:t xml:space="preserve">محمد رضا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مبتكرة في الأدب العربي عامّة، وفي هذا الموضوع خاصّة، حيث أثبت أنّ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كان أو مرسلاً، من مقولة استعمال اللفظ في معناه، غاية الأمر بادّعاء أنّ المورد من مصاديق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المتكلّم في استعمالاته المجازية لا يشير إلى معنى جديد وإنّما يشير إلى مصداق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شرح نظريته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وقاية الأذهان</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ونالت استحسان أساتذتنا كالسيد البروجردي، والسيد الإمام الخميني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ذكره، فالمتكلّم يستعمل الكلمة في كلا المثالين التاليين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أسداً في الغابة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أسداً في المدرسة، بمعنى واحد بالإرادة الاستعمالية غاية الأمر أنّ التعبير الأوّل يشتمل على الاستعمال فيما وضع له فقط، وأمّا التعبير الثاني فيشمل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الاستعمال فيما وضع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أنّ زيداً البطل من مصاديق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دور المستعمل في المثال الأوّل يتوقّف بعد الاستعمال فيما وضع له، لكن دوره في المثال الثاني لا يتوقّف، بل يستمر ببيان مصداق ادعائيّ للمستعمل فيه، والدليل على ما ذكره كالتالي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الغاية المتوخاة من المجاز هي التأكيد على الحسن والصباحة، أو البطولة والشجاعة، أو إثارة التعجب أو رفعه، وهذه الغايات لا تتحقّق إلّا باستعمال اللفظ في المعنى الحقيقي وادّعاء أنّ المورد من مصاديقه، وإليك بيان</w:t>
      </w:r>
      <w:bookmarkStart w:id="321" w:name="pg16772_194475"/>
    </w:p>
    <w:p>
      <w:pPr>
        <w:pStyle w:val="BookText"/>
        <w:rPr/>
      </w:pPr>
      <w:bookmarkEnd w:id="321"/>
      <w:r>
        <w:rPr>
          <w:rFonts w:ascii="Amiri" w:hAnsi="Amiri" w:eastAsia="Amiri" w:cs="Amiri"/>
          <w:color w:val="111111"/>
          <w:sz w:val="28"/>
          <w:sz w:val="28"/>
          <w:szCs w:val="28"/>
          <w:rtl w:val="true"/>
          <w:lang w:bidi="ar-SA"/>
        </w:rPr>
        <w:t>الأمثلة</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6963605_73709187"/>
      <w:bookmarkStart w:id="323" w:name="_Toc121"/>
      <w:bookmarkEnd w:id="322"/>
      <w:r>
        <w:rPr/>
        <w:t>1</w:t>
      </w:r>
      <w:r>
        <w:rPr>
          <w:rtl w:val="true"/>
        </w:rPr>
        <w:t xml:space="preserve">. </w:t>
      </w:r>
      <w:r>
        <w:rPr>
          <w:rtl w:val="true"/>
        </w:rPr>
        <w:t>التأكيد على الحسن والصباحة</w:t>
      </w:r>
      <w:bookmarkEnd w:id="323"/>
    </w:p>
    <w:p>
      <w:pPr>
        <w:pStyle w:val="BookText"/>
        <w:rPr/>
      </w:pPr>
      <w:r>
        <w:rPr>
          <w:rFonts w:ascii="Amiri" w:hAnsi="Amiri" w:eastAsia="Amiri" w:cs="Amiri"/>
          <w:color w:val="111111"/>
          <w:sz w:val="28"/>
          <w:sz w:val="28"/>
          <w:szCs w:val="28"/>
          <w:rtl w:val="true"/>
          <w:lang w:bidi="ar-SA"/>
        </w:rPr>
        <w:t>لما انتشر الخبر في عاصمة فرعون مصر عن تعلّق سيدة القصر بمملوكها، كما يحكي ذلك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نِسْوَةٌ فِي الْمَدِينَةِ امْرَأَتُ الْعَزِيزِ تُراوِدُ فَتاها عَنْ نَفْسِهِ قَدْ شَغَفَها حُبًّا إِنّا لَنَراها فِي ضَلالٍ مُبِينٍ‌</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فلمّا بلغها قول النسوة أقامت لهن مأدبة في قصرها، وبينما كن يتفكّهن ويستعملن السكاكين عند الأكل أمرت يوسف عليه السلام بأن يخرج عليهن،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سَمِعَتْ بِمَكْرِهِنَّ أَرْسَلَتْ إِلَيْهِنَّ وَ أَعْتَدَتْ لَهُنَّ مُتَّكَأً وَ آتَتْ كُلَّ واحِدَةٍ مِنْهُنَّ سِكِّيناً وَ قالَتِ اخْرُجْ عَلَيْهِنَّ فَلَمّا رَأَيْنَهُ أَكْبَرْنَهُ وَ قَطَّعْنَ أَيْدِيَهُنَّ وَ قُلْنَ حاشَ لِلّهِ ما هذا بَشَراً إِنْ هذا إِلاّ مَلَكٌ كَرِيمٌ‌</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الغاية من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بيان ما ليوسف من النضارة والصباحة، ولا يؤدى ذلك إلّاباستعمال اللفظ في معناه الحقيقي دون المجازي، أي الإنسان الجميل وإلّا لنزلت عن ذروة البلاغة وصارت كلاماً عادياً، 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بشراً إن هذا إلّاإنسان جميل</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6963607_73709187"/>
      <w:bookmarkStart w:id="325" w:name="_Toc122"/>
      <w:bookmarkEnd w:id="324"/>
      <w:r>
        <w:rPr/>
        <w:t>2</w:t>
      </w:r>
      <w:r>
        <w:rPr>
          <w:rtl w:val="true"/>
        </w:rPr>
        <w:t xml:space="preserve">. </w:t>
      </w:r>
      <w:r>
        <w:rPr>
          <w:rtl w:val="true"/>
        </w:rPr>
        <w:t>التأكيد على الشجاعة التامّة</w:t>
      </w:r>
      <w:bookmarkEnd w:id="32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يتعلّق الغرض ببيان شجاعة الرجل وبطولته في الحروب وأمام الأعداء فيستخدم القائل لفظة الأسد ويقول</w:t>
      </w:r>
      <w:r>
        <w:rPr>
          <w:rFonts w:eastAsia="Amiri" w:cs="Amiri" w:ascii="Amiri" w:hAnsi="Amiri"/>
          <w:color w:val="111111"/>
          <w:sz w:val="28"/>
          <w:szCs w:val="28"/>
          <w:rtl w:val="true"/>
          <w:lang w:bidi="ar-SA"/>
        </w:rPr>
        <w:t>:</w:t>
      </w:r>
      <w:bookmarkStart w:id="326" w:name="pg16772_194476"/>
    </w:p>
    <w:p>
      <w:pPr>
        <w:pStyle w:val="BookText"/>
        <w:rPr/>
      </w:pPr>
      <w:bookmarkEnd w:id="326"/>
      <w:r>
        <w:rPr>
          <w:rFonts w:ascii="Amiri" w:hAnsi="Amiri" w:eastAsia="Amiri" w:cs="Amiri"/>
          <w:color w:val="111111"/>
          <w:sz w:val="28"/>
          <w:sz w:val="28"/>
          <w:szCs w:val="28"/>
          <w:rtl w:val="true"/>
          <w:lang w:bidi="ar-SA"/>
        </w:rPr>
        <w:t>لدى أسدٍ شاكي السلاح مقذّف له لُبدٌ أظفاره لم تقلّمِ‌</w:t>
      </w:r>
    </w:p>
    <w:p>
      <w:pPr>
        <w:pStyle w:val="BookText"/>
        <w:rPr/>
      </w:pPr>
      <w:r>
        <w:rPr>
          <w:rFonts w:ascii="Amiri" w:hAnsi="Amiri" w:eastAsia="Amiri" w:cs="Amiri"/>
          <w:color w:val="111111"/>
          <w:sz w:val="28"/>
          <w:sz w:val="28"/>
          <w:szCs w:val="28"/>
          <w:rtl w:val="true"/>
          <w:lang w:bidi="ar-SA"/>
        </w:rPr>
        <w:t>فلبيان شجاعة الرجل وبطولته يسمّيه أسداً ويصفه بالأوصاف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وهو مقلوب الشائك أي حديد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مقذّف أي له صولات وهجمات في ساحات الوغى‌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لبد أي شعر كثير على عنقه كالأسد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أظفاره لم تُقلّم، أي مخالبه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فالشاعر ببيان هذه الأوصاف يصوّر صاحبه بأنّه من مصاديق الأسد بشهادة أنّ له لبداً ومخالب، فلو استعمل الأسد في معناه الحقيقي يكون للكلام بلاغة وحلاوة خاصّة، وأمّا إذا قلت بأنّه بمعنى الرجل الشجاع فلا تجد تلك الحلاوة مهما بالغ في شجاعته وطول مخالبه</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6963609_73709187"/>
      <w:bookmarkStart w:id="328" w:name="_Toc123"/>
      <w:bookmarkEnd w:id="327"/>
      <w:r>
        <w:rPr/>
        <w:t>3</w:t>
      </w:r>
      <w:r>
        <w:rPr>
          <w:rtl w:val="true"/>
        </w:rPr>
        <w:t xml:space="preserve">. </w:t>
      </w:r>
      <w:r>
        <w:rPr>
          <w:rtl w:val="true"/>
        </w:rPr>
        <w:t>إثارة التعجّب</w:t>
      </w:r>
      <w:bookmarkEnd w:id="328"/>
    </w:p>
    <w:p>
      <w:pPr>
        <w:pStyle w:val="BookText"/>
        <w:rPr/>
      </w:pP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قامت تظلّلني ومن عَجَبٍ شمسٌ تظلِّلني من الشمس</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الشاعر في هذا البيت يصور لنا امرأة حسناء قامت فوقه لتحجب عنه أشعة الشمس، فهو يصوّرها كالشمس في إشراقها وصباحتها، وفي الوقت نفسه فهي تظلّله من شمس أُخرى، وهذا أمر تعجب منه الشاعر إذ كيف تحجب الشمسُ الشمسَ‌، فإنّ إثارة التعجب فرع استعمال الشمس في معناها الحقيقي، أي ذلك النجم المنير الّذي يبعث ضوءه كلّ يوم، ولو قيل مكانه المرأة الحسناء قامت تظلّلني من الشمس فلا يثير تعجباً أبداً</w:t>
      </w:r>
      <w:r>
        <w:rPr>
          <w:rFonts w:eastAsia="Amiri" w:cs="Amiri" w:ascii="Amiri" w:hAnsi="Amiri"/>
          <w:color w:val="111111"/>
          <w:sz w:val="28"/>
          <w:szCs w:val="28"/>
          <w:rtl w:val="true"/>
          <w:lang w:bidi="ar-SA"/>
        </w:rPr>
        <w:t>.</w:t>
      </w:r>
      <w:bookmarkStart w:id="329" w:name="pg16772_194477"/>
    </w:p>
    <w:p>
      <w:pPr>
        <w:pStyle w:val="Heading4"/>
        <w:numPr>
          <w:ilvl w:val="3"/>
          <w:numId w:val="1"/>
        </w:numPr>
        <w:rPr/>
      </w:pPr>
      <w:bookmarkStart w:id="330" w:name="__RefHeading___Toc6963611_73709187"/>
      <w:bookmarkStart w:id="331" w:name="_Toc124"/>
      <w:bookmarkEnd w:id="329"/>
      <w:bookmarkEnd w:id="330"/>
      <w:r>
        <w:rPr/>
        <w:t>4</w:t>
      </w:r>
      <w:r>
        <w:rPr>
          <w:rtl w:val="true"/>
        </w:rPr>
        <w:t xml:space="preserve">. </w:t>
      </w:r>
      <w:r>
        <w:rPr>
          <w:rtl w:val="true"/>
        </w:rPr>
        <w:t>رفع التعجّب</w:t>
      </w:r>
      <w:bookmarkEnd w:id="331"/>
    </w:p>
    <w:p>
      <w:pPr>
        <w:pStyle w:val="Heading5"/>
        <w:numPr>
          <w:ilvl w:val="4"/>
          <w:numId w:val="1"/>
        </w:numPr>
        <w:rPr/>
      </w:pPr>
      <w:bookmarkStart w:id="332" w:name="__RefHeading___Toc6963613_73709187"/>
      <w:bookmarkStart w:id="333" w:name="_Toc125"/>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تعجبوا من بِلى غِلالتهِ قد زرّ أزراره على القمر</w:t>
      </w:r>
    </w:p>
    <w:p>
      <w:pPr>
        <w:pStyle w:val="BookText"/>
        <w:rPr/>
      </w:pPr>
      <w:r>
        <w:rPr>
          <w:rFonts w:ascii="Amiri" w:hAnsi="Amiri" w:eastAsia="Amiri" w:cs="Amiri"/>
          <w:color w:val="111111"/>
          <w:sz w:val="28"/>
          <w:sz w:val="28"/>
          <w:szCs w:val="28"/>
          <w:rtl w:val="true"/>
          <w:lang w:bidi="ar-SA"/>
        </w:rPr>
        <w:t xml:space="preserve">البِلى هو الاندراس، والغلالة ثوب رقيق يُلبس تحت الثياب،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أزراره وأدخلها في العُرى‌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فالشاعر بصدد رفع تعجّب الناظر له لأنّه تعجّب من اندثار وبلى لباسه، ولكنّه يدفع هذا التعجّب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ثوبه يتعرّض إلى أشعة القمر، حيث إنّه وصف حبيبته بالقمر، فلو استعمل القمر في معناه الحقيقي صار لرفع التعجّب معنىً حقيقياً، وأمّا لواستعمل في المرأة الحسناء لا يصلح جواباً لرفع تعجّب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الغايات الّتي يتتبعها البلغاء الفصحاء في خطبهم وأشعارهم ولا تتحقّق تلك الغايات إلّابما ذكرنا</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6963615_73709187"/>
      <w:bookmarkStart w:id="335" w:name="_Toc126"/>
      <w:bookmarkEnd w:id="334"/>
      <w:r>
        <w:rPr>
          <w:rtl w:val="true"/>
        </w:rPr>
        <w:t>سؤال وإجابة</w:t>
      </w:r>
      <w:bookmarkEnd w:id="335"/>
    </w:p>
    <w:p>
      <w:pPr>
        <w:pStyle w:val="BookText"/>
        <w:rPr/>
      </w:pPr>
      <w:r>
        <w:rPr>
          <w:rFonts w:ascii="Amiri" w:hAnsi="Amiri" w:eastAsia="Amiri" w:cs="Amiri"/>
          <w:color w:val="111111"/>
          <w:sz w:val="28"/>
          <w:sz w:val="28"/>
          <w:szCs w:val="28"/>
          <w:rtl w:val="true"/>
          <w:lang w:bidi="ar-SA"/>
        </w:rPr>
        <w:t>إنّ تلك النظرية تصحّ في أسماء الأجناس الّتي يمكن أن يتصوّر لكلّ اسم منها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وادّعائي، وأمّا الأعلام كحاتم ويوسف فلا يصحّ فيهما، إذ ليس لهما إلّامصداق واحد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والإجابة عن ذلك واضحة، فإنّ من يصف جمال أحدٍ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يوسف زماننا، أو يصف سخاء إنسان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حاتم عصرنا، فإنّه يدّعي أنّ للّفظين مصداقين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وادعائي، وبما أنّ الادّعاء من مقولة الاعتبار فهو خفيف المؤونة</w:t>
      </w:r>
      <w:r>
        <w:rPr>
          <w:rFonts w:eastAsia="Amiri" w:cs="Amiri" w:ascii="Amiri" w:hAnsi="Amiri"/>
          <w:color w:val="111111"/>
          <w:sz w:val="28"/>
          <w:szCs w:val="28"/>
          <w:rtl w:val="true"/>
          <w:lang w:bidi="ar-SA"/>
        </w:rPr>
        <w:t>.</w:t>
      </w:r>
      <w:bookmarkStart w:id="336" w:name="pg16772_194478"/>
    </w:p>
    <w:p>
      <w:pPr>
        <w:pStyle w:val="Heading5"/>
        <w:numPr>
          <w:ilvl w:val="4"/>
          <w:numId w:val="1"/>
        </w:numPr>
        <w:rPr/>
      </w:pPr>
      <w:bookmarkStart w:id="337" w:name="__RefHeading___Toc6963617_73709187"/>
      <w:bookmarkStart w:id="338" w:name="_Toc127"/>
      <w:bookmarkEnd w:id="336"/>
      <w:bookmarkEnd w:id="337"/>
      <w:r>
        <w:rPr>
          <w:rtl w:val="true"/>
        </w:rPr>
        <w:t>سؤال آخر</w:t>
      </w:r>
      <w:bookmarkEnd w:id="338"/>
    </w:p>
    <w:p>
      <w:pPr>
        <w:pStyle w:val="BookText"/>
        <w:rPr/>
      </w:pPr>
      <w:r>
        <w:rPr>
          <w:rFonts w:ascii="Amiri" w:hAnsi="Amiri" w:eastAsia="Amiri" w:cs="Amiri"/>
          <w:color w:val="111111"/>
          <w:sz w:val="28"/>
          <w:sz w:val="28"/>
          <w:szCs w:val="28"/>
          <w:rtl w:val="true"/>
          <w:lang w:bidi="ar-SA"/>
        </w:rPr>
        <w:t xml:space="preserve">ما هو الفرق بين هذه النظرية وما ذكره السكّاكي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المجازي فرد إدعائيّ للمعنى الحقيقي‌؟</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النظريتين وإن كانتا تشتركان في أصل وجود الادّعاء، لكن النظرية المذكورة تتبنّى استعمال اللفظ في معناه الحقيقي، وتطبّقه على المورد باعتبار أنّه من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السكّاكي فالمجاز عنده استعمال اللفظ في غير ما وضع له من أوّل الأمر، لكن المجوّز لاستعمال لفظ الأسد في ما لم يوضع له، هو ادّعاء كونه من مصاديق ما وضع له، وإليك نصّ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المجاز فهو الكلمة المستعملة في غير ما هي موضوعة له بالتحقيق، استعمالاً في الغير بالنسبة إلى نوع حقيقتها، مع قرينة مانعة عن إرادة معناها في ذلك النوع</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وبذلك يُعلم أن تسمية المجاز بهذا الاسم على وجه الدقة، فإنّ المراد من المجاز هو المعبَر ومحلّ التجاوز، وكأنّ المتكلّم ينقل ذهن السامع من معنى إلى معنى‌، ومن حقيقة إلى حقيقة أُخرى، والمعنى الثاني وإن كان مصداقاً ادّعاه للمعنى اللغوي لكنّه في حدّ نفسه حقيقة كسائر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نحن نذكر نماذج من المجازات الواردة في الكتاب العزيز على وجه لا يمكن لإنسان موضوعي إنكاره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سبحانه حاكياً قول نسوة المدينة بعد أن خرج عليهن يوسف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بَشَراً إِنْ هذا إِلاّ مَلَكٌ كَرِيمٌ‌</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وُصِفَ يوسفُ على لسانهن بأنّه مَلَكٌ مع أنّه ليس ملَكاً، وإنّما هو بشر، وما هذا إلّالأجل بيان غاية جماله وصباحة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 حاكياً عن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الْيَهُودُ يَدُ اللّهِ مَغْلُولَةٌ غُلَّتْ أَيْدِيهِمْ وَ لُعِنُوا بِما قالُوا بَلْ يَداهُ مَبْسُوطَتانِ يُنْفِقُ كَيْفَ يَشاءُ‌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كان الجواد ينفق باليد والبخيل يمسك باليد عن الإنفاق، أضافوا الجود والبخل إلى اليد فقالوا للجواد مبسوط اليد، وللبخيل مقبوض الكف، وعلى هذا فمعنى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مقبوضة عن العطاء ممسكة عن الرزق، كما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ما ذكرنا فكلمة الغلّ والبسط استعملتا في المعنى اللغوي لكن أُريد بهما الفرد الادّعائي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والبخيل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لما كان للآية معنى محصّل إذا أُريد المعنى اللغوي دون التجاوز به إلى معنى آخر، إذ تكون الآية بمعنى أنّ يد اللّه مقبوضة أو مربوطة بالغل، بل يداه مبسوطتان بمعنى مفتوحتان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يَدَكَ مَغْلُولَةً إِلى عُنُقِكَ وَ لا تَبْسُطْها كُلَّ الْبَسْطِ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الرضي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اليد الّتي هي الجارحة على الحقيقة، وإنّما الكلام الأوّل كناية عن التقتير، والكلام الآخر كناية عن التبذير، وكلاهما مذموم حتّى يقف كلّ منهما عند حدّه ولا يجري إلّاإلى أمده، وقد فسّر هذا قوله</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ومراده من الكناية، المجاز</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مَنْ خَفَّتْ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حامِيَةٌ‌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أطلق لفظ الأُم على الهاوية، وإنّما سمّاها بذلك لأنّ الإنسان يأوي إليها كما يأوي الولد إلى أُمّه،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 كافلة لولدها وملجأ له، كذلك النار فهي كافلة للكافر ومأوى وملجأ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المراد من الأكل هو التصرّف في أموال الناس بالظلم والغصب والوجوه الّتي لا 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أطلق الأكل على التصرّف؛ لأنّ الغاية من جمع الأموال هي العيش والالتذاذ الّذي من أبرز مظاهره الأكل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نماذج من المجازات الواردة في القرآن الكريم، وكم لها من نظير، فمن أراد الاستقصاء فعليه الرجوع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البيان في مجازات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الجليل السيد الرضي رحمه الله، فقد استقصى المجازات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أعمّ من المجاز المصطلح أو 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فاتحة الكتاب إلى سورة الناس</w:t>
      </w:r>
      <w:r>
        <w:rPr>
          <w:rFonts w:eastAsia="Amiri" w:cs="Amiri" w:ascii="Amiri" w:hAnsi="Amiri"/>
          <w:color w:val="111111"/>
          <w:sz w:val="28"/>
          <w:szCs w:val="28"/>
          <w:rtl w:val="true"/>
          <w:lang w:bidi="ar-SA"/>
        </w:rPr>
        <w:t>.</w:t>
      </w:r>
      <w:bookmarkStart w:id="339" w:name="pg16772_194481"/>
    </w:p>
    <w:p>
      <w:pPr>
        <w:pStyle w:val="Heading5"/>
        <w:numPr>
          <w:ilvl w:val="4"/>
          <w:numId w:val="1"/>
        </w:numPr>
        <w:rPr/>
      </w:pPr>
      <w:bookmarkStart w:id="340" w:name="__RefHeading___Toc6963619_73709187"/>
      <w:bookmarkStart w:id="341" w:name="_Toc128"/>
      <w:bookmarkEnd w:id="339"/>
      <w:bookmarkEnd w:id="340"/>
      <w:r>
        <w:rPr>
          <w:rtl w:val="true"/>
        </w:rPr>
        <w:t>الكناية والتعريض في القرآن الكريم</w:t>
      </w:r>
      <w:bookmarkEnd w:id="341"/>
    </w:p>
    <w:p>
      <w:pPr>
        <w:pStyle w:val="BookText"/>
        <w:rPr/>
      </w:pPr>
      <w:r>
        <w:rPr>
          <w:rFonts w:ascii="Amiri" w:hAnsi="Amiri" w:eastAsia="Amiri" w:cs="Amiri"/>
          <w:color w:val="111111"/>
          <w:sz w:val="28"/>
          <w:sz w:val="28"/>
          <w:szCs w:val="28"/>
          <w:rtl w:val="true"/>
          <w:lang w:bidi="ar-SA"/>
        </w:rPr>
        <w:t>ما مرّ عليك من الكلام كان حول المجاز، وقد عرفت حقيقته أوّلاً ووروده في القرآن الكريم، وقد ذكرنا نماذج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الكناية فهي عبارة عن ذكر الملزوم لغاية الانتقال إلى لازمه فالمكنّي يستعمل اللفظ في معناه اللغوي لكنّه يتّخذه معبراً للانتقال إلى لازمه، فإذا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طويل النجاد، أو كثير الرماد فإنّه يعني بذلك المعنى اللغوي، لكن لينتقل به المخاطب إلى لازمه، فإنّ لازم طول النجاد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حمالة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القامة، كما أنّ لازم كثرة الرماد كثرة الضيافة، فلم يذكروا المراد بلفظه الخاصّ به ولكن توصّلوا إليه بذكر معنى آخر هو رديفه في الوجود، لأنّ القامة إذا طالت طال النجاد، وإذا كثر القِرى كثر 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والعرب تعدّ الكناية من البراعة والبلاغة وهي عندهم أبلغ من التصريح، وأكثر أمثالهم الفصيحة على مجاري الكنايات</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وممّا ذكرنا يُعلم أنّ الكناية أُخت المجاز، تستعمل في المعنى اللغوي بالإرادة الاستعمالية غير أنّ الإرادة الجدّية تعلّقت بلازم اللفظ، فهناك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الحقيقة اللغوية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المجاز اللغوي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الكناية والتعريض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فتتعلّق فيه الإرادة الجدية بنفس ما تعلّقت به الإرادة الاستعمالية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ماءً؟ فقد تعلّقت الإرادتين بشيء واحد، وأمّا الثاني والثالث فقد تعلّقت الإرادة الاستعمالية فيهما بالمعنى اللغوي لكن لغاية الانتقال إلى مصداق من مصاديقه الادّعائية كما في المجاز، أو لازم من لوازمه كما في 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الفرق بين المجاز والكناية هو أنّ المجاز يقوم على عملية الادّعاء، وأمّا الكناية فهي غنية عن الادّعاء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الكناية شائعة في كلام العرب، فهم يكنّون عن الإنسان الموصوف بالطهارة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عفيف الإزار، وعمّن يجاهر غيره بالعداوة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له جلد النَّمر، وعمّن يغضب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أنفه، كما يكنّون عن ترك الوطء بشدّ المئزر، وعن الجماع بالعُسيلة، وقد ورد أنّ النبي الأكرم صلى الله عليه و آله و سلم قال لامرأة رفاعة القرظي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تذوقي عسيلته ويذوق عسيلتك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لذّة الجماع بذوق العسل، واستعار لها ذوقاً، وإنّما أُنثّ لأنّه أراد قطعة من العسل</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وقد اختلفت كلمات العلماء في وجود الكناية في القرآن، فقد حكى صاحب البرهان عن الطرطوسي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في وجود الكناية في القرآن وهو كالخلاف في المجاز، فمن أجاز وجود المجاز أجاز الكناية، وهو قول الجمهور، ومن أنكر ذلك أنكر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أدلّ دليل على إمكان الشيء وقوعه، نأتي بنماذج من الكنايات نظير ما ذكرناه في المجاز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عادة القرآن الكريم الكناية عن الجماع بالملامسة والمباشرة</w:t>
      </w:r>
    </w:p>
    <w:p>
      <w:pPr>
        <w:pStyle w:val="BookText"/>
        <w:rPr/>
      </w:pPr>
      <w:r>
        <w:rPr>
          <w:rFonts w:ascii="Amiri" w:hAnsi="Amiri" w:eastAsia="Amiri" w:cs="Amiri"/>
          <w:color w:val="111111"/>
          <w:sz w:val="28"/>
          <w:sz w:val="28"/>
          <w:szCs w:val="28"/>
          <w:rtl w:val="true"/>
          <w:lang w:bidi="ar-SA"/>
        </w:rPr>
        <w:t>والدخول،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فَالْآنَ بَاشِرُوهُنَّ‌</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فكنّى بالمباشرة عن الجماع، لما فيه من التقاء البشرتين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إذ لا يخلو الجماع عن الملامسة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رَبائِبُكُمُ اللاّتِي فِي حُجُورِكُمْ مِنْ نِسائِكُمُ اللاّتِي دَخَلْتُمْ بِهِنَّ‌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كنّى القرآن الكريم عن فضلة الإنسان بالغائط الّذي هو بمعنى قرارة من الأرض تحفها آكام تسترها، فأطلق هنا وأُريد منه قضاء الحاجة،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 أَحَدٌ مِنْكُمْ مِنَ الْغائِطِ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الغائط أصله المطمئن من الأرض وكانوا يتبرّزون هناك ليغيبوا عن عيون الناس، ثم كثر ذلك حتّى قالوا للحدث غائط</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يَأْتِينَ بِبُهْتانٍ يَفْتَرِينَهُ بَيْنَ أَيْدِيهِنَّ وَ أَرْجُلِهِنَّ‌</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وقد كنّى بذلك عن الزنا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 في وصف امرأة أبي لهب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امْرَأَتُهُ حَمّالَةَ الْحَطَبِ‌</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فقد كنى بذلك عن كونها نمّامة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فِي هذِهِ أَعْمى فَهُوَ فِي الْآخِرَةِ أَعْمى وَ أَضَلُّ‌</w:t>
      </w:r>
    </w:p>
    <w:p>
      <w:pPr>
        <w:pStyle w:val="BookText"/>
        <w:rPr/>
      </w:pP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الآية مع قطع النظر عن القرائن الحافّة، هو أنّ فاقد البصر في هذه الدنيا كذلك يكون حاله في الآخرة، ولكنّه غير مراد قطعاً لقوله سبحانه في ذيل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دليل على أنّ الآية كناية عن أنّ فاقد البصيرة في هذه الدنيا يحشر كذلك في الآخرة، لأنّ الدنيا مزرعة الآخرة، وما زرعه الإنسان في حياته في الأُولى يجنيه في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تَرى إِذْ يَتَوَفَّى الَّذِينَ كَفَرُوا الْمَلائِكَةُ يَضْرِبُونَ وُجُوهَهُمْ وَ أَدْبارَهُمْ وَ ذُوقُوا عَذابَ الْحَرِيقِ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قَدَّمَتْ أَيْدِيكُمْ وَ أَنَّ اللّهَ لَيْسَ بِظَلاّمٍ لِلْعَبِيدِ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ترى أنّه سبحانه في هذه الآية ينسب المعاصي الّتي يقترفها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تُفضي بهم إلى عذاب الحريق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الأيدي، وفي آيات أُخرى،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يَتَمَنَّوْهُ أَبَداً بِما قَدَّمَتْ أَيْدِيهِمْ وَ اللّهُ عَلِيمٌ بِالظّالِمِينَ‌</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إلى غير ذلك من الآيات الّتي تدلّ على أنّ العقوبة الأُخروية كلّها بسبب ما قدّمت يد الإنسان العاصي، كما أنّه سبحانه يشير إلى ذلك في آية ثالثة بلفظ آخر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فالمصائب كلّها نتيجة ما كسبت يد الإنسان الخاطئ</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ومن المعلوم أنّ المعاصي كما تكتسب بالأيدي تكتسب بالأعين</w:t>
      </w:r>
    </w:p>
    <w:p>
      <w:pPr>
        <w:pStyle w:val="BookText"/>
        <w:rPr/>
      </w:pPr>
      <w:r>
        <w:rPr>
          <w:rFonts w:ascii="Amiri" w:hAnsi="Amiri" w:eastAsia="Amiri" w:cs="Amiri"/>
          <w:color w:val="111111"/>
          <w:sz w:val="28"/>
          <w:sz w:val="28"/>
          <w:szCs w:val="28"/>
          <w:rtl w:val="true"/>
          <w:lang w:bidi="ar-SA"/>
        </w:rPr>
        <w:t>والأسماع والأرجل وسائر الجوارح، فما يقترفه المذنب ليس منحصراً بالأيدي فقط، بل يعمّ سائر جوارحه وأعضائه، ومع ذلك نرى أنّه سبحانه يلقي المسؤولية كلّها على الأيدي وما هذا إلّالأنّه كناية عن كلّ ما يقوم به الإنسان، وإنّما خصّ الأيدي بالذكر لدورها الكبير في الأفعال والأعمال، فأغلب أعمال الإنسان تقوم به الأيدي، فأُطلقت الأيدي وأُريد بها كلّ الجوارح الّتي لها دور في الطاعة والعصيان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لَهُما جَناحَ الذُّلِّ مِنَ الرَّحْمَةِ وَ قُلْ رَبِّ ارْحَمْهُما كَما رَبَّيانِي صَغِيراً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تَحْزَنْ عَلَيْهِمْ وَ اخْفِضْ جَناحَكَ لِلْمُؤْمِنِينَ‌</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جَناحَكَ لِمَنِ اتَّبَعَكَ مِنَ الْمُؤْمِنِينَ‌</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الجَناح عبارة عمّا يطير به الطائر،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ركبوا جناح طائر، أي فارقوا أوطانهم،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جناحي نعامة، أي جدّ في الأُمر وعجّل،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مقصوص الجناح بمعنى كونه عاجزاً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جاعِلِ الْمَلائِكَةِ رُسُلاً أُولِي أَجْنِحَةٍ مَثْنى وَ ثُلاثَ وَ رُباعَ‌</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وذو الجناحين لقب جعفر الطيار لقّبه به رسول اللّه صلى الله عليه و آله و سلم لما روي أنّه لمّا</w:t>
      </w:r>
    </w:p>
    <w:p>
      <w:pPr>
        <w:pStyle w:val="BookText"/>
        <w:rPr/>
      </w:pPr>
      <w:r>
        <w:rPr>
          <w:rFonts w:ascii="Amiri" w:hAnsi="Amiri" w:eastAsia="Amiri" w:cs="Amiri"/>
          <w:color w:val="111111"/>
          <w:sz w:val="28"/>
          <w:sz w:val="28"/>
          <w:szCs w:val="28"/>
          <w:rtl w:val="true"/>
          <w:lang w:bidi="ar-SA"/>
        </w:rPr>
        <w:t>قطعت يداه يوم مؤتة جعل اللّه له جناحين يطير بهما، وجناحا الطائر بمنزلة اليدين من الإنسان، سمّيا بذلك لميلهما في شقّيه من الجنوح وهو الميل</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هذا حول الجناح، وأمّا الذُّلّ بالضّم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الانقياد والسهولة، أو اللين والتواضع، وتذلّل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وتواضع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الشريف الرضي يفسّر الآية بأوضح العبارات ويذكر أنّ في الآية استعارة عجيبة،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بذلك الإخبات للوالدين، وإلانة القول لهما، والرفق واللطف بهما، وخفض الجناح في كلامهم عبارة عن الخضوع والتذلّل وهما ضد العلو والتعزّز، إذ كان الطائر إنّما يخفض جناحه إذا ترك الطيران، والطيران هو العلو والارتفاع، وإنّما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لَهُما جَناحَ الذُّلِّ مِنَ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 تعالى أنّ سبب الذلّ هو الرحمة والرأفة، لئلّا يُقدّر أنّه الهوان والضراعة، وهذا من الأغراض الشريفة والأسرار اللطيفة</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جَناحَكَ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ففيه ثلاثة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الخفض في الآية مأخوذاً من خفض الطائر جناحه ليجمع تحته أفراخه رحمة بها وحفظاً لها، فأمر سبحانه النبي الأكرم صلى الله عليه و آله و سلم أن يسع برحمته ورأفته عامة المؤمنين ويجعل الجميع تحت رحمته بلا فرق بين مؤمن وآخر، كما أنّ الطائر يضمّ جميع أفراخه تحت جناحه</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خفض الجناح كناية عن لين الجانب والتواضع والرفق،</w:t>
      </w:r>
    </w:p>
    <w:p>
      <w:pPr>
        <w:pStyle w:val="BookText"/>
        <w:rPr/>
      </w:pPr>
      <w:r>
        <w:rPr>
          <w:rFonts w:ascii="Amiri" w:hAnsi="Amiri" w:eastAsia="Amiri" w:cs="Amiri"/>
          <w:color w:val="111111"/>
          <w:sz w:val="28"/>
          <w:sz w:val="28"/>
          <w:szCs w:val="28"/>
          <w:rtl w:val="true"/>
          <w:lang w:bidi="ar-SA"/>
        </w:rPr>
        <w:t>لأنّ الطائر يخفض جناحيه حين يهمّ بالهبوط</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كناية عن ملازمة المؤمنين، وحبس النفس عليهم من غير مفارقة، كما أنّ الطائر إذا خفض الجناح لم يطر ولم يفارق</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أفهل يمكن تفسير هذه الآيات بغير طريق المجاز والكناية‌؟</w:t>
      </w:r>
    </w:p>
    <w:p>
      <w:pPr>
        <w:pStyle w:val="BookText"/>
        <w:rPr/>
      </w:pPr>
      <w:r>
        <w:rPr>
          <w:rFonts w:ascii="Amiri" w:hAnsi="Amiri" w:eastAsia="Amiri" w:cs="Amiri"/>
          <w:color w:val="111111"/>
          <w:sz w:val="28"/>
          <w:sz w:val="28"/>
          <w:szCs w:val="28"/>
          <w:rtl w:val="true"/>
          <w:lang w:bidi="ar-SA"/>
        </w:rPr>
        <w:t>إنّ تجريد القرآن عن المحسّنات البيانية والبلاغية جفاء له، ويجعل الآيات القرآنية في مصاف الكلام العرفي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الْقَرْيَةَ الَّتِي كُنّا فِيها وَ الْعِيرَ الَّتِي أَقْبَلْنا فِيها وَ إِنّا لَصادِقُونَ‌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لاشك أنّ القرية هي البيوت والأزقة، الّتي لا يصح سؤالها وينتظر الجواب منها، ولذلك عاد المفسرون إلى تفسير الآية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أهل القرية، ولكنّهم غفلوا عن أنّ تفسيرها بهذا النحو يوجب نزول الآية عن ذروة البلاغة، ووقوعها في عداد الكلام العادي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القرية هو نفس البيوت بلا تقدير كلمة الأهل ولكن القائل يدّعي أنّها أيضاً كالإنسان الصالح للسؤال والجواب مدّعياً أنّ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سرقة أخي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شاع وذاع على نحو حتّى وقفت عليه القرية أيضاً، فضلاً عن أهلها، ونظيره قول الفرزدق في حق الإمام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وطأته والبيت يعرفه والحلّ والحرمُ‌</w:t>
      </w:r>
    </w:p>
    <w:p>
      <w:pPr>
        <w:pStyle w:val="BookText"/>
        <w:rPr/>
      </w:pPr>
      <w:r>
        <w:rPr>
          <w:rFonts w:ascii="Amiri" w:hAnsi="Amiri" w:eastAsia="Amiri" w:cs="Amiri"/>
          <w:color w:val="111111"/>
          <w:sz w:val="28"/>
          <w:sz w:val="28"/>
          <w:szCs w:val="28"/>
          <w:rtl w:val="true"/>
          <w:lang w:bidi="ar-SA"/>
        </w:rPr>
        <w:t>أي أنّ الإمام عليه السلام قد بلغ من العظمة والجلالة مبلغاً حتّى عرفته البطحاء والبيت والحلّ والحرم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اذْهَبُوا فَتَحَسَّسُوا مِنْ يُوسُفَ وَ أَخِيهِ وَ لا تَيْأَسُوا مِنْ رَوْحِ اللّهِ إِنَّهُ لا يَيْأَسُ مِنْ رَوْحِ اللّهِ إِلاَّ الْقَوْمُ الْكافِرُونَ‌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الريح الّذي يلذ شميمها ويطيب نسيمها، فشبّه اللّه تعالى الفرج الّذي يأتي بعد الكربة بنسيم الريح الّذي ترتاح القلوب له وتثلج الصدور به</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الثَّلاثَةِ الَّذِينَ خُلِّفُوا حَتّى إِذا ضاقَتْ عَلَيْهِمُ الْأَرْضُ بِما رَحُبَتْ وَ ضاقَتْ عَلَيْهِمْ أَنْفُسُهُمْ وَ ظَنُّوا أَنْ لا مَلْجَأَ مِنَ اللّهِ إِلاّ إِلَيْهِ ثُمَّ تابَ عَلَيْهِمْ لِيَتُوبُوا إِنَّ اللّهَ هُوَ التَّوّابُ الرَّحِيمُ‌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استعارة؛ لأنّ النفس في الحقيقة لا توصف بالضيق والاتّساع، وإنّما المراد بذلك انضغاط القلوب لشدّة الكرب وبلوغها منقطع الصبر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الآية استعارة أُخرى لم يُشر إليها السيد الرضي وهي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ضاقَتْ عَلَيْهِمُ الْأَرْضُ بِما 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هو تعبير عن الحيرة في أمرهم</w:t>
      </w:r>
    </w:p>
    <w:p>
      <w:pPr>
        <w:pStyle w:val="BookText"/>
        <w:rPr/>
      </w:pPr>
      <w:r>
        <w:rPr>
          <w:rFonts w:ascii="Amiri" w:hAnsi="Amiri" w:eastAsia="Amiri" w:cs="Amiri"/>
          <w:color w:val="111111"/>
          <w:sz w:val="28"/>
          <w:sz w:val="28"/>
          <w:szCs w:val="28"/>
          <w:rtl w:val="true"/>
          <w:lang w:bidi="ar-SA"/>
        </w:rPr>
        <w:t>كأنّهم لا يجدون فيها مكاناً يقرّون فيه، قلقاً وجزعاً ممّا هم فيه</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فالأرض نفس الأرض لا تضيق ولا تتسع، ولكن ضيقها كناية عن تحيّر هؤلاء حيث لا يجدون مكاناً يعيشون فيه بعيداً عن القلق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الْغَيْبِ لا يَعْلَمُها إِلاّ هُوَ</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المفتح جمعه مفاتح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لفتح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الغيب الّذي هو ضد الشهود لم يجعل في غرفة مقفلة حتّى تكون مفاتحه عند اللّه سبحانه، بل المفاتح في الآية استعارة للوصلة إلى علم الغيب، فإذا شاء فتحه لأنبيائه وملائكته وإن شاء أغلق عليهم علمه ومنعهم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فعبّر تعالى عن هذا المعنى بأنّ المفاتح بيد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عبّر سبحانه عن التمسّك بأمر اللّه وعهده بالتمسّك بحبله، وذلك لأنّ مَن يسقط في بئر يُرسَل إليه الحبل، فإذا تمسّك به تخلّص من الخطر، ونجا من الهلاك، وهكذا المتمسك بحبل اللّه ينجو ممّا يخافه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الأُمّة المتفرّقة كالمتردّي في البئر لا ينجيه إلّاالتمسّك بحبل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يَنْظُرُ إِلَيْهِمْ يَوْمَ الْقِيامَةِ وَ لا يُزَكِّيهِمْ وَ لَهُمْ عَذابٌ‌</w:t>
      </w:r>
      <w:bookmarkStart w:id="342" w:name="pg16772_194490"/>
    </w:p>
    <w:p>
      <w:pPr>
        <w:pStyle w:val="BookText"/>
        <w:rPr/>
      </w:pPr>
      <w:bookmarkEnd w:id="342"/>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إنّ النظر هو تقريب العين الصحيحة في جهة المرئيّ التماساً لرؤيته، وهذا لا يصحّ إلّاعلى الأجسام وما يُدرَك بالحواس، تعالى اللّه عن ذلك علواً كبيراً، وهذا يرشدنا إلى القول بأنّها استعارة عن أنّه سبحانه لا يرحمهم يوم القيامة، ويدلّ عليه ذيل الآية أي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يُزَكِّيهِمْ‌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بِطانَةً مِنْ دُونِكُمْ لا يَأْلُونَكُمْ خَبالاً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 بطن الإنسان من ثيابه، ومنه بطانة الثوب، فشبّه دخلاء الرجل وخواصّه بالبطانة لأنّهم يلازمونه ملازمة شعاره لجسمه فيقفون على أسراره وضمائره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نماذج من مجازات القرآن الكريم اقتصرنا عليها تبرّكاً، ومن أراد أن يقف على المزيد فليرجع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البيان في مجازات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الرضي فقد بلغ الغاية ودرس عامّة المجازات القرآنية من أوّل سور القرآن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إكمال البحث يقتضي دراسة أدلّة المانعين وهي ليست إلّاشبهات وأعذاراً واهية، ورغم ذلك سوف ندرسها بموضوعية وتجرّد، فنقول</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6963621_73709187"/>
      <w:bookmarkStart w:id="344" w:name="_Toc129"/>
      <w:bookmarkEnd w:id="343"/>
      <w:r>
        <w:rPr>
          <w:rtl w:val="true"/>
        </w:rPr>
        <w:t>أدلّة النافين لوجود المجاز في القرآن</w:t>
      </w:r>
      <w:bookmarkEnd w:id="34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5" w:name="__RefHeading___Toc6963623_73709187"/>
      <w:bookmarkStart w:id="346" w:name="_Toc130"/>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قال 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المجاز فاختلف في وقوعه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والجمهور على الوقوع؛ وأنكره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القاصّ من الشافعية، وابن خويزمنداد من المالكية، وحكي عن داود الظاهري وابنه وأبي مسلم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شبهاتهم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المتكلّم لا يعدل عن الحقيقة إلى المجاز إلّاإذا ضاقت به الحقيقة فيستعير، وهو مستحيل على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عنها الزركشي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باطل ولو وجب خلو القرآن من المجاز لوجب خلّوه من التوكيد والحذف، وتثنية القصص وغيرها، ولو سقط المجاز من القرآن سقط شطرُ الحُسن</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الإجابة بوجه آخر،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قد استخدم المجاز لا لأجل أنّه ضاقت به الحقيقة فالتجأ إلى المجاز، وإنّما أراد أن يكلّم الناس حسب عقولهم وحسن طبعهم، وجمال ذوقهم، ولاشكّ أنّ المجاز يعطي للكلام روعة، وبلاغة، ومعنى رائقاً وأنّ الكناية</w:t>
      </w:r>
      <w:r>
        <w:rPr>
          <w:rStyle w:val="FootnoteAnchor"/>
          <w:rtl w:val="true"/>
        </w:rPr>
        <w:footnoteReference w:id="215"/>
      </w:r>
      <w:r>
        <w:rPr>
          <w:rFonts w:ascii="Amiri" w:hAnsi="Amiri" w:eastAsia="Amiri" w:cs="Amiri"/>
          <w:color w:val="111111"/>
          <w:sz w:val="28"/>
          <w:sz w:val="28"/>
          <w:szCs w:val="28"/>
          <w:rtl w:val="true"/>
          <w:lang w:bidi="ar-SA"/>
        </w:rPr>
        <w:t>أبلغ من التصريح، ولذلك تكلّم سبحانه على ما اعتاد عليه الناس واستحسنوه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المعترض إذا أراد من الحقيقة، الواقعية، فالمجاز أيضاً حقيقة أُخرى، فالمتكلّم جعل المعنى اللغوي جسراً إلى تلك الحقيقة، ولعلّه اغترّ بكلمة</w:t>
      </w:r>
    </w:p>
    <w:p>
      <w:pPr>
        <w:pStyle w:val="BookText"/>
        <w:rPr/>
      </w:pPr>
      <w:r>
        <w:rPr>
          <w:rFonts w:ascii="Amiri" w:hAnsi="Amiri" w:eastAsia="Amiri" w:cs="Amiri"/>
          <w:color w:val="111111"/>
          <w:sz w:val="28"/>
          <w:sz w:val="28"/>
          <w:szCs w:val="28"/>
          <w:rtl w:val="true"/>
          <w:lang w:bidi="ar-SA"/>
        </w:rPr>
        <w:t>المجاز وهو ضد الحقيقة، فزعم أنّ مَن استعمل المجاز ترك الحقيقة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وغفل عن أنّ المراد منه، هو كون الحقيقة قنطرة لبيان حقيقة أُخرى</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السيوطي عن المانعين، أنّ المجاز أخو الكذب والقرآن منزّه عنه، ثم ردّه السيوطي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شبهة باطلة، ولو سقط المجاز من القرآن سقط منه شطر الحسن، وقد اتّفق البلغاء على أنّ المجاز أبلغ من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الزركشي في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عبارة عن الكلام المخالف للواقع وهو إنّما يتمّ إذا أراد المتكلم الفرد الادّعائي بلا قرينة،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الرجل الشجاع، مع أنّ ظاهر كلامه أنّه رأى الحيوان المفترس، وأمّا إذا قرنه بقرينة دالّة على أنّ المراد الفرد الادّعائي فأي كذب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المجاز يجوز نفيه، ولا شكّ أنّه لا يجوز نفي شيء من القرآن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قيّم الجوزية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دليل على منعه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القائلين بالمجاز، على أنّ كلّ مجاز يجوز نفيه، ويكون نافيه صادقاً في نفس الأمر، فنقول لمن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بأسد، وإنّما هو رجل شجاع، فيلزم على القول بأنّ في القرآن مجازاً، أنّ في القرآن ما يجوز نفيه، ولاشكّ أنّه لا يجوز نفي شيء من القرآن</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المتكلّم إذا استعمل اللفظ الموضوع لمعنى، وأراد منه المصداق الادّعائي فهناك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الحقيقي وقد تعلّقت به الإرادة الاستعمالية دون الجدية، وإنّما استخدم الإرادة الأُولى لغاية العبور إلى معنى آخر ونصب لذلك قرينة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ادّعائي تعلّقت به الإرادة الجدية بشهادة وجود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أُريد نفي المعنى الأوّل فلا مانع، وبما أنّه لم تتعلّق به الإرادة الجدية فليس من القرآن في شيء، ولا بأس بنفيه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نفي المعنى الثاني فنمنع من جواز نفيه، كيف وقد أراده سبحانه وخصّه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اغترّ باذر الشبهة بظاهر لفظ الأسد حيث إنّه يمكن نفيه لعدم تعلّق الإرادة الجدية بالحيوان المفترس، مع أنّه لا يمكن نفي شيء من القرآن، لكنّه غفل عن أنّ المعنى الحقيقي ليس مراداً للمتكلم، ومن ثمّ ليس هو من القرآن قطعاً بشهادة القرينة،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وسيوافيك تفصيل النقد في آخر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لابن القيّم هنا كلام مسهب أطال فيه البحث عن دلائل شيخه في إنكار وجود المجاز في القرآن، وأنهى الوجوه الّتي استند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دعماً لمذهب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خمسين وجهاً، في رسالة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المرسلة على الجهميّة والمعطّلة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قد علم أنّ تقسيم الألفاظ إلى حقيقة ومجاز، لا منشأ له شرعياً</w:t>
      </w:r>
    </w:p>
    <w:p>
      <w:pPr>
        <w:pStyle w:val="BookText"/>
        <w:rPr/>
      </w:pPr>
      <w:r>
        <w:rPr>
          <w:rFonts w:ascii="Amiri" w:hAnsi="Amiri" w:eastAsia="Amiri" w:cs="Amiri"/>
          <w:color w:val="111111"/>
          <w:sz w:val="28"/>
          <w:sz w:val="28"/>
          <w:szCs w:val="28"/>
          <w:rtl w:val="true"/>
          <w:lang w:bidi="ar-SA"/>
        </w:rPr>
        <w:t>ولا عقلياً ولا لغوياً، وإنّما هو مصطلح حادث ابتدعته المعتزلة ومن شايعهم من الجهميّة والمتكلّمين</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أتفه الشبهات حيث إنّه خلط بين حدوث التقسيم وبين واقع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استعمال اللفظ على كلتا الصورتين كان شائعاً بين البلغاء والعظماء، على النحو الّذي قررنا، غير أنّهم لم يطلقوا عليه مصطلحاً معيّناً، ولكن بعد أن انتشرت الحضارة الإسلامية وشرع العلماء بتفسير القرآن الكريم واضطروا إلى تأسيس علوم تُعين المفسّر، لم يجدوا بدّاً من وضع المصطلحات والتقسيم، فهناك مئات الاصطلاحات في الصرف والنحو والبديع والبيان والعروض والقوافي، لم يكن لها أثر قبل الإسلام ولا في أيامه الأُولى، وإنّما حدثت حينما تأسّست العلوم الأدبية لغاية فهم القرآن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القيّم لم يكتف بما ذكر؛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بل في اللغة، قول باطل، لم يتكلّم به النبي صلى الله عليه و آله و سلم، ولا عرفه أصحابُه ولا التابعون ولا علماء الأوائل، ولا أحد من أهل القرون الثلاثة المفضّلة، وإنّما هو اصطلاح حادث ابتدعته المعتزلة، ثمّ أخذه المتأخّرون، حتّى صار مألوفاً عندهم، ولم ينتبهوا إلى خطورة القول بالمجاز، ممّا أدّى بكثير منهم إلى تحريف كلام اللّه عن مواضعه</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أشار إليه ابن القيّم في كلامه هذا بأنّ القول بالمجاز أدّى إلى تحريف</w:t>
      </w:r>
    </w:p>
    <w:p>
      <w:pPr>
        <w:pStyle w:val="BookText"/>
        <w:rPr/>
      </w:pPr>
      <w:r>
        <w:rPr>
          <w:rFonts w:ascii="Amiri" w:hAnsi="Amiri" w:eastAsia="Amiri" w:cs="Amiri"/>
          <w:color w:val="111111"/>
          <w:sz w:val="28"/>
          <w:sz w:val="28"/>
          <w:szCs w:val="28"/>
          <w:rtl w:val="true"/>
          <w:lang w:bidi="ar-SA"/>
        </w:rPr>
        <w:t>كلام اللّه هو ما سنذكره في الشبهة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أنّه عن طريق القول بالمجاز في القرآن توصّل المعطّلون لنفي كثير من صفات الكمال والجمال عن ذاته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 ولا استواء، ولا نزول، ونحو ذلك في كثير من آيات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لأنّ حقائق هذه الصفات غير مرادة عندهم، بل هي مجازات، فاليد مستعملة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النعمة أو القدرة، والاستواء في الاستيلاء، والنزول نزول أمره،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فنفوا 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اليد والاستواء والنزول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بالوحي، نفياً عن طريق القول بالمجاز، وارتكاب التأويل،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الحقّ الّذي هو مذهب أهل السنّة والجماعة إثبات 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بحقائقها حسب ظاهر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أثبتها اللّه تعالى لنفسه، ويلزم الإيمان بها من غير تكييف ولا تشبيه، ولا تعطيل ولا تمثيل</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ابن قيّم الجوزيّة وشيخه ابن تيمية وأتباعهما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الشنقيطي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يبحثوا، بأُسلوب علميّ‌، عن وجود المجاز في القرآن أو عدمه، فيدرسوا الآيات الّتي ادّعى القائلون بالمجاز أنّها من هذا القبيل، وعندئذٍ يصحّ لهم أن يبدوا رأيهم، ولكن القوم عكسوا الأمر، فاتّخذوا من عقيدتهم في الصفات الخبرية وأنّها تجري على اللّه سبحانه بمعانيها اللغوية، دليلاً على عدم جواز المجاز في القرآن، وما هذا إلّالأنّ القول به ينافي عقيدتهم،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سبحانه بهذه الصفات بلا تأويل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توضيحاً أكثر،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الباحثون صفاته سبحانه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w:t>
      </w:r>
      <w:bookmarkStart w:id="347" w:name="pg16772_194496"/>
    </w:p>
    <w:p>
      <w:pPr>
        <w:pStyle w:val="BookText"/>
        <w:rPr/>
      </w:pPr>
      <w:bookmarkEnd w:id="347"/>
      <w:r>
        <w:rPr>
          <w:rFonts w:ascii="Amiri" w:hAnsi="Amiri" w:eastAsia="Amiri" w:cs="Amiri"/>
          <w:color w:val="111111"/>
          <w:sz w:val="28"/>
          <w:sz w:val="28"/>
          <w:szCs w:val="28"/>
          <w:rtl w:val="true"/>
          <w:lang w:bidi="ar-SA"/>
        </w:rPr>
        <w:t xml:space="preserve">ذاتية، وصفات خبرية، فالعلم والقدرة والحياة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الصفات الجمالية الذاتية، وقد دلّ عليها العقل قبل النقل، ولو وردت في النقل فهي تأكيد لما دلّ عليه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الصفات الخبرية فممّا لا يدلّ عليها العقل وإنّما أخبر عنها سبحانه في كتابه العزيز كالعلو واليد والعين، أو جاءت في السنّة الشريفة كالرجل والنزول، وقد اختلفت كلمتهم في تفسير الصفات الخبرية، وطال الجدال حولها عبر القرون، بحيث صار ذلك هو الشغل الشاغل بين المحدّثين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وبينما هم يتنازعون في تفسير معانيها ظهرت جماعة تنكر أصل الصفات أو تنكر أصل وجود الصانع، فبدل أن يبذلوا جهودهم في مواجهة العلمانية والإلحاد والمناهج المستوردة، أخذوا يصرفون أعمارهم في تفسير هذه الصفات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صار القوم على مناهج</w:t>
      </w:r>
      <w:r>
        <w:rPr>
          <w:rFonts w:eastAsia="IRNazanin" w:cs="IRNazanin"/>
          <w:color w:val="111111"/>
          <w:sz w:val="28"/>
          <w:szCs w:val="28"/>
          <w:rtl w:val="true"/>
          <w:lang w:bidi="fa-IR"/>
        </w:rPr>
        <w:t>:</w:t>
      </w:r>
    </w:p>
    <w:p>
      <w:pPr>
        <w:pStyle w:val="Heading5"/>
        <w:numPr>
          <w:ilvl w:val="4"/>
          <w:numId w:val="1"/>
        </w:numPr>
        <w:rPr/>
      </w:pPr>
      <w:bookmarkStart w:id="348" w:name="__RefHeading___Toc6963625_73709187"/>
      <w:bookmarkStart w:id="349" w:name="_Toc131"/>
      <w:bookmarkEnd w:id="348"/>
      <w:r>
        <w:rPr>
          <w:rtl w:val="true"/>
        </w:rPr>
        <w:t>الأوّل</w:t>
      </w:r>
      <w:r>
        <w:rPr>
          <w:rtl w:val="true"/>
        </w:rPr>
        <w:t xml:space="preserve">: </w:t>
      </w:r>
      <w:r>
        <w:rPr>
          <w:rtl w:val="true"/>
        </w:rPr>
        <w:t>المثبتون للصفات بمعانيها الحرفية</w:t>
      </w:r>
      <w:bookmarkEnd w:id="349"/>
    </w:p>
    <w:p>
      <w:pPr>
        <w:pStyle w:val="BookText"/>
        <w:rPr/>
      </w:pPr>
      <w:r>
        <w:rPr>
          <w:rFonts w:ascii="Amiri" w:hAnsi="Amiri" w:eastAsia="Amiri" w:cs="Amiri"/>
          <w:color w:val="111111"/>
          <w:sz w:val="28"/>
          <w:sz w:val="28"/>
          <w:szCs w:val="28"/>
          <w:rtl w:val="true"/>
          <w:lang w:bidi="ar-SA"/>
        </w:rPr>
        <w:t xml:space="preserve">ذهب قسم من المحدّثين تبعاً للمشبّهة والمجسِّمة من الكرّامية أنّ هذه الصفات تجري على اللّه سبحانه بنفس معانيها المرتكزة في أذهان الناس من دون أي تصرف فيها، فزعموا أنّ للّه سبحانه عينين ويدين ورجلين مثل الإنسان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مشبّهة الحشوية فقد أجازوا على ربّهم الملامسة والمصافحة، وأنّ المسلمين المخلصين يعانقونه في الدنيا والآخرة، إذا بلغوا في</w:t>
      </w:r>
      <w:bookmarkStart w:id="350" w:name="pg16772_194497"/>
    </w:p>
    <w:p>
      <w:pPr>
        <w:pStyle w:val="BookText"/>
        <w:rPr/>
      </w:pPr>
      <w:bookmarkEnd w:id="350"/>
      <w:r>
        <w:rPr>
          <w:rFonts w:ascii="Amiri" w:hAnsi="Amiri" w:eastAsia="Amiri" w:cs="Amiri"/>
          <w:color w:val="111111"/>
          <w:sz w:val="28"/>
          <w:sz w:val="28"/>
          <w:szCs w:val="28"/>
          <w:rtl w:val="true"/>
          <w:lang w:bidi="ar-SA"/>
        </w:rPr>
        <w:t>الرياضة والاجتهاد إلى حدّ الإخلاص</w:t>
      </w:r>
      <w:r>
        <w:rPr>
          <w:rFonts w:eastAsia="Amiri" w:cs="Amiri" w:ascii="Amiri" w:hAnsi="Amiri"/>
          <w:color w:val="111111"/>
          <w:sz w:val="28"/>
          <w:szCs w:val="28"/>
          <w:rtl w:val="true"/>
          <w:lang w:bidi="ar-SA"/>
        </w:rPr>
        <w:t>.</w:t>
      </w:r>
      <w:r>
        <w:rPr>
          <w:rStyle w:val="FootnoteAnchor"/>
          <w:rtl w:val="true"/>
        </w:rPr>
        <w:footnoteReference w:id="222"/>
      </w:r>
    </w:p>
    <w:p>
      <w:pPr>
        <w:pStyle w:val="Heading5"/>
        <w:numPr>
          <w:ilvl w:val="4"/>
          <w:numId w:val="1"/>
        </w:numPr>
        <w:rPr/>
      </w:pPr>
      <w:bookmarkStart w:id="351" w:name="__RefHeading___Toc6963627_73709187"/>
      <w:bookmarkStart w:id="352" w:name="_Toc132"/>
      <w:bookmarkEnd w:id="351"/>
      <w:r>
        <w:rPr>
          <w:rtl w:val="true"/>
        </w:rPr>
        <w:t>الثاني</w:t>
      </w:r>
      <w:r>
        <w:rPr>
          <w:rtl w:val="true"/>
        </w:rPr>
        <w:t xml:space="preserve">: </w:t>
      </w:r>
      <w:r>
        <w:rPr>
          <w:rtl w:val="true"/>
        </w:rPr>
        <w:t>المثبتون بلا كيف</w:t>
      </w:r>
      <w:bookmarkEnd w:id="352"/>
    </w:p>
    <w:p>
      <w:pPr>
        <w:pStyle w:val="BookText"/>
        <w:rPr/>
      </w:pPr>
      <w:r>
        <w:rPr>
          <w:rFonts w:ascii="Amiri" w:hAnsi="Amiri" w:eastAsia="Amiri" w:cs="Amiri"/>
          <w:color w:val="111111"/>
          <w:sz w:val="28"/>
          <w:sz w:val="28"/>
          <w:szCs w:val="28"/>
          <w:rtl w:val="true"/>
          <w:lang w:bidi="ar-SA"/>
        </w:rPr>
        <w:t>ثم إنّ ابن تيمية وتلميذه ابن القيّم ومن تابعهما من أتباع محمد بن عبدالوهاب لمّا رأوا أنّ القول بذلك يشينهم ويلحقهم بالمجسِّمة والمشبّهة، ويكونوا أتباعاً للكرّامية حاولوا الفرار من ذلك بتقييد الإثبات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وجهاً بلا كيف، وإنّ له يدين بلا كيف، وإنّ له عيناً بلا كيف، وذلك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يَبْقى وَجْهُ رَبِّكَ ذُو الْجَلالِ وَ الْإِكْرامِ‌</w:t>
      </w:r>
      <w:r>
        <w:rPr>
          <w:rFonts w:eastAsia="Amiri" w:cs="Amiri" w:ascii="Amiri" w:hAnsi="Amiri"/>
          <w:color w:val="111111"/>
          <w:sz w:val="28"/>
          <w:szCs w:val="28"/>
          <w:rtl w:val="true"/>
          <w:lang w:bidi="ar-SA"/>
        </w:rPr>
        <w:t xml:space="preserve">) </w:t>
      </w:r>
      <w:r>
        <w:rPr>
          <w:rStyle w:val="FootnoteAnchor"/>
          <w:rtl w:val="true"/>
        </w:rPr>
        <w:footnoteReference w:id="223"/>
      </w:r>
      <w:r>
        <w:rPr>
          <w:rFonts w:ascii="IRNazanin" w:hAnsi="IRNazanin" w:eastAsia="IRNazanin"/>
          <w:color w:val="111111"/>
          <w:sz w:val="28"/>
          <w:sz w:val="28"/>
          <w:szCs w:val="28"/>
          <w:rtl w:val="true"/>
          <w:lang w:bidi="fa-IR"/>
        </w:rPr>
        <w:t>، وقوله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خَلَقْتُ بِيَدَيَّ‌</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بِأَعْيُنِنا</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سبقهم إلى ذلك الإمام الأشعري، الذي كان معتزلياً ثم رجع عن الاعتزال والتحق بما عُرف بأهل الحديث وعلى رأسهم أحمد بن حنبل، وحاول الجمع بين عقيدة أهل الحديث وأهل التنزيه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الصفات الخبرية تجري على اللّه سبحانه بنفس معانيها لكن بلا تكييف ولا تشبيه</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فبالجزء الأوّل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بنفس معانيها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إرضاء أهل الحديث، وبالجزء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تكييف ولا 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إرضاء أهل التنزيه، لكنّه غفل عن أنّ الجمع بين</w:t>
      </w:r>
    </w:p>
    <w:p>
      <w:pPr>
        <w:pStyle w:val="BookText"/>
        <w:rPr/>
      </w:pPr>
      <w:r>
        <w:rPr>
          <w:rFonts w:ascii="Amiri" w:hAnsi="Amiri" w:eastAsia="Amiri" w:cs="Amiri"/>
          <w:color w:val="111111"/>
          <w:sz w:val="28"/>
          <w:sz w:val="28"/>
          <w:szCs w:val="28"/>
          <w:rtl w:val="true"/>
          <w:lang w:bidi="ar-SA"/>
        </w:rPr>
        <w:t>العقيدتين كالجمع بين المتناقضين،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التوجيه يخالف نصوص المتشدّدين من أهل الحديث، فإنّهم يجرون الصفات الخبرية على اللّه بنفس معانيها من دون تقييد بما ذكره، قال القرطبي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السلف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يقولون بنفي الجهة ولا ينطقون بذلك، بل نطقوا هم والكافّة بإثباتها للّه تعالى كما نطق كتابه وأخبرت رسله، ولم ينكر أحد من السلف الصالح أنّه استوى على عرشه حقيقة</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فعلى هذا، فالمتشدّدون من أهل الحديث يصفونه سبحانه بمعاني هذه الصفات بلا ضمّ 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اليد والرجل والعين تتقوّم بالكيفية الموجودة فيها، على نحو لو جرّدت منها لا تصدق عليها هذه الأسماء، فاليد عندهم عبارة عن الجارحة ذات الأصابع، وهكذا العين عبارة عن الجارحة الخاصّة الّتي تتقوم بالقرنية والقزحية والشبكية، فلو جردت من هذه المكونات فلا يصدق عليها اسم العين، وعندئذٍ فالجمع بين الفقرتين جمع بين المتناقضين، وإطلاق هذه الصفات على اللّه بنفس معانيها اللغوية يستلزم إثبات هذه الخصوصيات المقوّمة لهذه الأعضاء، وتقييدها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نفي هذه الخصوصيات، وبالتالي يلزم عدم إجرائها على اللّه بنفس معانيها اللغوية، وما هذا إلّاجمعاً بين النقيضين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إجراءها بنفس معانيها اللغوية يقتضي حفظ الكيفية</w:t>
      </w:r>
      <w:bookmarkStart w:id="353" w:name="pg16772_194499"/>
    </w:p>
    <w:p>
      <w:pPr>
        <w:pStyle w:val="BookText"/>
        <w:rPr/>
      </w:pPr>
      <w:bookmarkEnd w:id="353"/>
      <w:r>
        <w:rPr>
          <w:rFonts w:ascii="Amiri" w:hAnsi="Amiri" w:eastAsia="Amiri" w:cs="Amiri"/>
          <w:color w:val="111111"/>
          <w:sz w:val="28"/>
          <w:sz w:val="28"/>
          <w:szCs w:val="28"/>
          <w:rtl w:val="true"/>
          <w:lang w:bidi="ar-SA"/>
        </w:rPr>
        <w:t>لأنّها في اللغة موضوعة للعضو الواجد لها، وتقييد إجرائها بقولهم بلا كيف يعني نفي الكيفية، ومن ثمّ نفي المدّعى‌،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إجراءها بالمعاني اللغوية، فالتناقض هنا هو الجمع بين النفي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أنّ المنهجين باطلان جدّاً، لأنّ الإجراء بنفس المعاني تشبيه وتجسيم، تعالى اللّه عن ذلك علوّاً كبيراً،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الإجراء بنفس المعاني مقيّداً بنفي الكيفية، هو أشبه بالجمع بين النفي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ثلاثة مناهج أُخرى</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6963629_73709187"/>
      <w:bookmarkStart w:id="355" w:name="_Toc133"/>
      <w:bookmarkEnd w:id="354"/>
      <w:r>
        <w:rPr>
          <w:rtl w:val="true"/>
        </w:rPr>
        <w:t>الثالث</w:t>
      </w:r>
      <w:r>
        <w:rPr>
          <w:rtl w:val="true"/>
        </w:rPr>
        <w:t xml:space="preserve">: </w:t>
      </w:r>
      <w:r>
        <w:rPr>
          <w:rtl w:val="true"/>
        </w:rPr>
        <w:t>منهج التفويض</w:t>
      </w:r>
      <w:bookmarkEnd w:id="355"/>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بكلّ ما جاء في القرآن والسنّة من الصفات الّتي وصف اللّه تعالى نفسه بها إجمالاً وتفويض التفصيل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بهذا قد أراحوا أنفسهم من الغور في هذه المباحث</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التفويض هو شعار من لا يتعرض للأبحاث الخطيرة، ولا يقتحم اللجج الغامرة، ويرى أنّه يكفيه في النجاة قول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إيتاء الزكاة، والحج، وصوم رمضان</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 وعند ذلك يرى أنّ التفويض أسلم من الإثبات الّذي ربما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الإفراط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التشبيه والتجسيم المبغوضين، أو إلى التعقيد واللغز الّذي لا يجتمع مع سمة سهولة العقيدة</w:t>
      </w:r>
      <w:r>
        <w:rPr>
          <w:rFonts w:eastAsia="Amiri" w:cs="Amiri" w:ascii="Amiri" w:hAnsi="Amiri"/>
          <w:color w:val="111111"/>
          <w:sz w:val="28"/>
          <w:szCs w:val="28"/>
          <w:rtl w:val="true"/>
          <w:lang w:bidi="ar-SA"/>
        </w:rPr>
        <w:t>.</w:t>
      </w:r>
      <w:bookmarkStart w:id="356" w:name="pg16772_194500"/>
    </w:p>
    <w:p>
      <w:pPr>
        <w:pStyle w:val="BookText"/>
        <w:rPr/>
      </w:pPr>
      <w:bookmarkEnd w:id="356"/>
      <w:r>
        <w:rPr>
          <w:rFonts w:ascii="Amiri" w:hAnsi="Amiri" w:eastAsia="Amiri" w:cs="Amiri"/>
          <w:color w:val="111111"/>
          <w:sz w:val="28"/>
          <w:sz w:val="28"/>
          <w:szCs w:val="28"/>
          <w:rtl w:val="true"/>
          <w:lang w:bidi="ar-SA"/>
        </w:rPr>
        <w:t>ونحن لا نلومهم على ذلك، فربما يظنون أنّهم غير مكلّفين بتفسير هذه الصفات، فاكتفوا بالتفويض كما هو الحال في كثير ممّا يرجع إلى القيامة ومواقفها وأحوالها، فإنّ كثيراً من الصالحين يفوّضون معانيها إلى اللّه سبحانه، ولكنّ القرآن الكريم دعا المؤمنين إلى التدبّر في الآيات لغاية فهم معانيها وحقائقها،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يَسَّرْنَا الْقُرْآنَ لِلذِّكْرِ فَهَلْ مِنْ مُدَّكِرٍ</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فتعطيل العقل عن سبر المعارف الواردة في القرآن الكريم، نوع بخس وظلم للعقل السليم، كيف وهو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عَلَيْكَ الْكِتابَ تِبْياناً لِكُلِّ شَيْ‌ءٍ‌</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وحاشا أن يكون القرآن تبياناً لكلّ شيء ولا يكون تبياناً لنفسه </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6963631_73709187"/>
      <w:bookmarkStart w:id="358" w:name="_Toc134"/>
      <w:bookmarkEnd w:id="357"/>
      <w:r>
        <w:rPr>
          <w:rtl w:val="true"/>
        </w:rPr>
        <w:t>الرابع</w:t>
      </w:r>
      <w:r>
        <w:rPr>
          <w:rtl w:val="true"/>
        </w:rPr>
        <w:t xml:space="preserve">: </w:t>
      </w:r>
      <w:r>
        <w:rPr>
          <w:rtl w:val="true"/>
        </w:rPr>
        <w:t>منهج التأويل</w:t>
      </w:r>
      <w:bookmarkEnd w:id="35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المعتزلة هم الذين أوّلوا اليد بالنعمة والقدرة، والاستواء على العرش بالاستيلاء وإظهار القدرة، وهكذا سائر الصفات الخبرية، غير أنّ هذا المنهج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المناهج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كلامهم أنّ ظاهر القرآن يخالف العقل الصريح، ولذلك يجب ترك النقل لأجل صريح العقل، ومن المعلوم أنّ هذا كلام ساقط، إذ الكتاب العزيز والسنّة الصحيحة منزّهان عمّا يخالف صريح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يُتداول على ألسنة طلاب العصر من أنّ ظاهر الكتاب إذا خالف العقل يؤوَّل الظاهر ويؤخذ بالعقل، أمر باطل جدّاً، إذ يستحيل أن يخالف الوحي حكم العقل الحصيف قدر 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أفيمكن أن يحثّ الكتاب على التدبّر في الآيات</w:t>
      </w:r>
    </w:p>
    <w:p>
      <w:pPr>
        <w:pStyle w:val="BookText"/>
        <w:rPr/>
      </w:pPr>
      <w:r>
        <w:rPr>
          <w:rFonts w:ascii="Amiri" w:hAnsi="Amiri" w:eastAsia="Amiri" w:cs="Amiri"/>
          <w:color w:val="111111"/>
          <w:sz w:val="28"/>
          <w:sz w:val="28"/>
          <w:szCs w:val="28"/>
          <w:rtl w:val="true"/>
          <w:lang w:bidi="ar-SA"/>
        </w:rPr>
        <w:t>ويمدح العاقلين ويذم المخالفين، ومع ذلك يأتي في غضون الآيات بما يخالف صريح العقل والبرهان‌؟ هذا أمر لا يصدر عن الحكيم المطلق</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يُتداول على الألسن أُلصق بالكتاب المقدّس، فإنّ الآباء اليسوعيين كلّما وقفوا في آيات العهد الجديد أو القديم على ما يخالف حكم العقل أو النتائج العلمية حاولوا التصرّف في ظاهر الكتاب وتأويله ليصونوا بذلك الكتاب المقدس عن النقد، لكنّ الكتاب الخاتم الّذي نزل على النبي الخاتم صلى الله عليه و آله و سلم تعالى عن هذه الوصمة، وهذا ما يبعثنا إلى أن نحلّل مسألة الصفات الخبرية بوجه آخر </w:t>
      </w:r>
      <w:r>
        <w:rPr>
          <w:rFonts w:eastAsia="Amiri" w:cs="Amiri" w:ascii="Amiri" w:hAnsi="Amiri"/>
          <w:color w:val="111111"/>
          <w:sz w:val="28"/>
          <w:szCs w:val="28"/>
          <w:rtl w:val="true"/>
          <w:lang w:bidi="ar-SA"/>
        </w:rPr>
        <w:t>.</w:t>
      </w:r>
      <w:bookmarkStart w:id="359" w:name="pg16772_194502"/>
    </w:p>
    <w:p>
      <w:pPr>
        <w:pStyle w:val="Heading5"/>
        <w:numPr>
          <w:ilvl w:val="4"/>
          <w:numId w:val="1"/>
        </w:numPr>
        <w:rPr/>
      </w:pPr>
      <w:bookmarkStart w:id="360" w:name="__RefHeading___Toc6963633_73709187"/>
      <w:bookmarkStart w:id="361" w:name="_Toc135"/>
      <w:bookmarkEnd w:id="359"/>
      <w:bookmarkEnd w:id="360"/>
      <w:r>
        <w:rPr>
          <w:rtl w:val="true"/>
        </w:rPr>
        <w:t>الخامس</w:t>
      </w:r>
      <w:r>
        <w:rPr>
          <w:rtl w:val="true"/>
        </w:rPr>
        <w:t xml:space="preserve">: </w:t>
      </w:r>
      <w:r>
        <w:rPr>
          <w:rtl w:val="true"/>
        </w:rPr>
        <w:t>الأخذ بالظهور التصديقي دون التصوري</w:t>
      </w:r>
      <w:bookmarkEnd w:id="361"/>
    </w:p>
    <w:p>
      <w:pPr>
        <w:pStyle w:val="Heading6"/>
        <w:numPr>
          <w:ilvl w:val="5"/>
          <w:numId w:val="1"/>
        </w:numPr>
        <w:rPr/>
      </w:pPr>
      <w:bookmarkStart w:id="362" w:name="__RefHeading___Toc6963635_73709187"/>
      <w:bookmarkStart w:id="363" w:name="_Toc136"/>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إنّ الذين انزلقوا إلى حضيض التشبيه والتجسيم إنّما أخذوا بالمعاني اللغوية لهذه الالفاظ، والظهور الإفرادي لها، وغفلوا عن أنّ الظهور المتبع ليس هو الظهور الإفرادي، بل المتبع هو الظهور الجملي أو الظهور التصديقي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المؤوّلين لها سقطوا أيضاً في هذه الوهدة بزعمهم لزوم الأخذ بالمعنى الإفرادي، ولذلك عادوا إلى التأويل لكي يتخلّصوا من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المفوّضة الذين تركوا الغور في مفاد هذه الآيات صدروا عن زعم باطل، وهو أنّ ظاهر الآيات هو التشبيه والتجسيم المخالف للعقيدة الإسلامية، فلم يجدوا مخلصاً إلّاتعطيل العقول وإرجاع معانيها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كلّ هذه المناهج بين مثبت مطلقاً، ومثبت مع نفي التكييف، أو مؤوّل، أو مفوّض معناها إلى اللّه سبحانه ولذلك عرفوا بالمعطّلة، وإنّما لجأوا إلى هذه المناهج المختلفة لأجل تسليم أصل وهو الأخذ بظهور المفردات أي الظهور التصوّري، فعند ذلك كلٌّ أخذ مهرباً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المنهج الصحيح، فهو اتّباع الظهور الجملي والمتبادر التصديقي، أي التدبّر في الآية صدرها وذيلها وما في معنى الآية من آيات أُخرى، والأخذ بما هو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هذا النوع من الظهور لا يخالف حكم العقل قدر شعرة، ومن الظلم الواضح تسمية هذا النوع من التفسير بالتأويل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كنت في ريب من هذا فلاحظ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w:t>
      </w:r>
    </w:p>
    <w:p>
      <w:pPr>
        <w:pStyle w:val="BookText"/>
        <w:rPr/>
      </w:pPr>
      <w:r>
        <w:rPr>
          <w:rFonts w:ascii="Amiri" w:hAnsi="Amiri" w:eastAsia="Amiri" w:cs="Amiri"/>
          <w:color w:val="111111"/>
          <w:sz w:val="28"/>
          <w:sz w:val="28"/>
          <w:szCs w:val="28"/>
          <w:rtl w:val="true"/>
          <w:lang w:bidi="ar-SA"/>
        </w:rPr>
        <w:t>أسداً يرمي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بإفراده ظهور في الحيوان المفترس، وله في نفس الجملة ظهور في الرجل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على المعنى الثاني ليس تأويلاً ولا حملاً على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فالآيات الّتي وردت فيها الصفات الخبرية لها هذا الشأن، فالنظر إلى مفرداتها مجرّدة من القرائن الحافة بالآية، يجرّنا إلى التشبيه والتجسيم، لكن النظر إليها في إطار الآية وما في معناها من آيات، يسوقنا إلى حيث لا تشبيه ولا 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ولنأت بمثال توضيحيّ‌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يَدَكَ مَغْلُولَةً إِلى عُنُقِكَ وَ لا تَبْسُطْها كُلَّ الْبَسْطِ فَتَقْعُدَ مَلُوماً مَحْسُوراً</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فالغلّ والبسط بمفردهما ظاهران في قبض الجارحة وفتحها، لكن هذا الظهور الإفرادي ليس بمراد؛ لأنّ الغرض من الآية هو الدعوة إلى الاقتصاد ونبذ الإسراف والتقتير، فبسط اليد كناية عن الإنفاق بلا قيد، كما أنّ جعل اليد مغلولة إلى العنق كناية عن البخل والتقتير، ولا يعد هذا التفسير تأويلاً للآية، ولو صحّ إطلاقه فإنّما هو حسب مفردات الآية لا بالنسبة إلى الجملة التامّة، بل هو معنى حقيقي للآية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المنهج تفسّر الآيات الّتي تتضمّن الصفات الخبرية، فمن اغترّ بمفردات الآيات تاه في متاهات التشبيه والتعطيل والتأويل، وأمّا من أخذ</w:t>
      </w:r>
      <w:bookmarkStart w:id="364" w:name="pg16772_194504"/>
    </w:p>
    <w:p>
      <w:pPr>
        <w:pStyle w:val="BookText"/>
        <w:rPr/>
      </w:pPr>
      <w:bookmarkEnd w:id="364"/>
      <w:r>
        <w:rPr>
          <w:rFonts w:ascii="Amiri" w:hAnsi="Amiri" w:eastAsia="Amiri" w:cs="Amiri"/>
          <w:color w:val="111111"/>
          <w:sz w:val="28"/>
          <w:sz w:val="28"/>
          <w:szCs w:val="28"/>
          <w:rtl w:val="true"/>
          <w:lang w:bidi="ar-SA"/>
        </w:rPr>
        <w:t xml:space="preserve">بالمعنى الجملي والمفاد التصديقي يرى أنّ الآية لا تمتّ بصلة إلى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عليه أهل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إلى التشبيه بلا تكييف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عليه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إلى التفويض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عليه المعطّلة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إلى التأويل، بل الآية فوق هذه المناهج بشرط أن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البيوت من أبوابها</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6963637_73709187"/>
      <w:bookmarkStart w:id="366" w:name="_Toc137"/>
      <w:bookmarkEnd w:id="365"/>
      <w:r>
        <w:rPr>
          <w:rtl w:val="true"/>
        </w:rPr>
        <w:t>نموذج آخر</w:t>
      </w:r>
      <w:bookmarkEnd w:id="366"/>
    </w:p>
    <w:p>
      <w:pPr>
        <w:pStyle w:val="BookText"/>
        <w:rPr/>
      </w:pPr>
      <w:r>
        <w:rPr>
          <w:rFonts w:ascii="Amiri" w:hAnsi="Amiri" w:eastAsia="Amiri" w:cs="Amiri"/>
          <w:color w:val="111111"/>
          <w:sz w:val="28"/>
          <w:sz w:val="28"/>
          <w:szCs w:val="28"/>
          <w:rtl w:val="true"/>
          <w:lang w:bidi="ar-SA"/>
        </w:rPr>
        <w:t>لقد عرفت أنّ الضابطة الصحيحة في تفسير القرآن الكريم هو اتّباع ظهوره التصديقي بلا تأويل وتصرّف، وأنّ السائرين على درب التشبيه والتجسيم، أو التفويض والتعطيل، أو التأويل والتصرّف في ظهور الآية، قد تنكّبوا عن الجادّة، ولو أنّهم قدّروا للقرآن ما قدّره اللّه سبحانه لما تورّطوا في هذه المسالك غير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نحن نذكر نموذجاً آخر لما ذكرناه آنفاً، من أنّ المتَّبع هو الظهور الجملي والمعنى التصديقي وأنّ الأخذ بذلك، لا يمتّ لهذه المسالك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يَوْمَئِذٍ 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أصرّ المتشدّدون من أهل الحديث على تفسير الآية بحرفيّتها وقالوا بكلمة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المؤمنين يرون اللّه سبحانه بأعينهم وأبصارهم، غير أنّ أهل التنزيه بين مفوّض ومعطّل، أو مؤوّل يذهب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منتظرة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عامّة المسالك خاطئة؛ لأنّ حجر الأساس لهذه المسالك هو الظهور الإفرادي، ولاشكّ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ما عليه أهل الحديث من النظر إلى اللّه بالأبصار، يقول الشيخ أبو الحسن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النظر في الآية لا يمكن أن يكون نظر الانتظار، لأنّ الانتظار معه تنقيص وتكدير، وذلك لا يكون يوم القيامة، لأنّ الجنّة دار نعيم وليست دار ثواب أو عقاب، ولا يمكن أن يكون نظر الاعتبار، لأنّ الآخرة ليست دار الاعتبار بل دار ثواب أو عقاب، ولا يمكن أن يكون نظر القلب، لأنّ اللّه تعالى ذكر النظر مع الوجه، فاتّضح أنّه نظر العينين، وإذا بطلت هذه المعاني للنظر لم يبق إلّاآلة واحدة وهي نظر الرؤية</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أنّ الآيات تحكي أحوال المؤمنين بعد دخول الجنّة والكافرين بعد الاقتحام في النّار، بل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أنّهم يظنون ذلك قبل دخولهم النّار، فلا يكون مثل هذا الانتظار تكديراً وتنقيصاً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سبحانه ينسب النظر إلى الوجوه لا إلى العيون، فلو كان المراد هو الرؤية لكان اللازم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يومئذٍ ناظرة، ثم إنّ أهل التنزيه فسّروا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بالانتظار لا الرؤية، قائلين بأنّ هذه الكلمة إذا استعملت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ناظرات يوم بدر إلى الرحمن يأتي بالفلاح</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أقلنا بأنّ النظر في الآية بمعنى نظر العين أم بمعنى</w:t>
      </w:r>
    </w:p>
    <w:p>
      <w:pPr>
        <w:pStyle w:val="BookText"/>
        <w:rPr/>
      </w:pPr>
      <w:r>
        <w:rPr>
          <w:rFonts w:ascii="Amiri" w:hAnsi="Amiri" w:eastAsia="Amiri" w:cs="Amiri"/>
          <w:color w:val="111111"/>
          <w:sz w:val="28"/>
          <w:sz w:val="28"/>
          <w:szCs w:val="28"/>
          <w:rtl w:val="true"/>
          <w:lang w:bidi="ar-SA"/>
        </w:rPr>
        <w:t>الانتظار فإنّه لا صلة للآية بمسألة الرؤية، وذلك لأنّ النظر حسب الظهور الإفرادي والتصوّري وإن كان بمعنى نظر العين، لكنّه حسب الظهور الجملي والتصديقي له معنى آخر، وليس لنا إلّاالأخذ بهذا الظهور ولا يوصف مثله بالتأويل، وذلك يُعلَم بالمقارنة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 الثالثة تقابل الآية الأُولى، والرابعة تقابل الثانية، وعند المقابلة يُرفع إبهام الثانية بالرابعة، وإليك تنظيم الآيات حسب التقابل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وُجُوهٌ يَوْمَئِذٍ باسِرَةٌ‌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أنّ المقابل للآية الثانية واضح المراد، وهو أنّ المجرمين آيسون من رحمة اللّه ويترقّبون العذاب الفاقر للظهر،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هذا المعنى، وهو أنّ المتّقين راجون رحمة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الطائفة العاصية تتوقّع نزول عذاب يكسر فقارها ويقصم ظهرها، فيكون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يقابله ويواجهه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هذا المعنى وضدّه، وهو أنّ الطائفة المؤمنة مستبشرة برحمته، متطلّعة إلى فضله وكرمه، فليست الرؤية إلى جماله وذاته، إذاً، مطمحاً للنظر وإلّا لخرج المتقابلان عن التقابل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فنحن نسلّم أنّ النظر في الآية بمعناه اللغوي لكن نظر المؤمنين إلى اللّه يوم القيامة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إلى الغنيّ‌، ونظر العائلة إلى يد الأب، والموظف إلى يد الرئيس، فالنظر في عامّة هذه الموارد استعمل في</w:t>
      </w:r>
      <w:bookmarkStart w:id="367" w:name="pg16772_194507"/>
    </w:p>
    <w:p>
      <w:pPr>
        <w:pStyle w:val="BookText"/>
        <w:rPr/>
      </w:pPr>
      <w:bookmarkEnd w:id="367"/>
      <w:r>
        <w:rPr>
          <w:rFonts w:ascii="Amiri" w:hAnsi="Amiri" w:eastAsia="Amiri" w:cs="Amiri"/>
          <w:color w:val="111111"/>
          <w:sz w:val="28"/>
          <w:sz w:val="28"/>
          <w:szCs w:val="28"/>
          <w:rtl w:val="true"/>
          <w:lang w:bidi="ar-SA"/>
        </w:rPr>
        <w:t>المعنى اللغوي أي المشاهدة، ولكن أُريد به رجاء رحمة وترقب نعمة، فليس هناك إلّارجاء الرحمة وانتظار الفرج،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إليك لما وعدتَ لناظرٌ نظر الفقير إلى الغني الموسر</w:t>
      </w:r>
    </w:p>
    <w:p>
      <w:pPr>
        <w:pStyle w:val="BookText"/>
        <w:rPr/>
      </w:pPr>
      <w:r>
        <w:rPr>
          <w:rFonts w:ascii="Amiri" w:hAnsi="Amiri" w:eastAsia="Amiri" w:cs="Amiri"/>
          <w:color w:val="111111"/>
          <w:sz w:val="28"/>
          <w:sz w:val="28"/>
          <w:szCs w:val="28"/>
          <w:rtl w:val="true"/>
          <w:lang w:bidi="ar-SA"/>
        </w:rPr>
        <w:t>وبهذا تقدر على تفسير عامّة الصفات الخبريّة الواردة في القرآن الكريم، دون أن تدقّ باب أحد هذه المناهج</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6963639_73709187"/>
      <w:bookmarkStart w:id="369" w:name="_Toc138"/>
      <w:bookmarkEnd w:id="368"/>
      <w:r>
        <w:rPr>
          <w:rtl w:val="true"/>
        </w:rPr>
        <w:t>الشبهة السادسة</w:t>
      </w:r>
      <w:bookmarkEnd w:id="36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ابن تيمية في كتاب الإيمان فصلاً في أنّه هل في القرآن مجاز أو لا؟ نقله جمال الدين القاسمي في تفسيره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فيه أكثر ما تقدّم من الشُّبه وآخر ما استند إليه أنّه ردّ على أهل التنزيه القائلين بأنّ ألفاظ المكر والاستهزاء والسخرية المضافة إلى اللّه تعالى من باب المشاكلة، وقال في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بل مسمّيات هذه الأسماء إذا فعلت بمن لا يستحق العقوبة كانت ظلماً له وأمّا إذا فعلت بمن فعلها بالمجني عليه، عقوبة بمثل فعله كان عدلاً، ثم سرد عدة آيات نسب فيها المكر والسخرية إلى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أَكِيدُ كَيْداً</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مَكَرُوا مَكْراً وَ مَكَرْنا مَكْراً وَ 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كانَ عاقِبَةُ مَكْرِهِمْ‌</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يَلْمِزُونَ الْمُطَّوِّعِينَ مِنَ الْمُؤْمِنِينَ فِي الصَّدَقاتِ وَ الَّذِينَ لا يَجِدُونَ إِلاّ جُهْدَهُمْ فَيَسْخَرُونَ مِنْهُمْ سَخِرَ اللّهُ مِنْهُمْ‌</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فلهذا كان الاستهزاء بهم فعلاً يستحق هذا</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الاستهزاء فعل الجاهلين، ولذلك لمّا أمر موسى الكليم عليه السلام بني إسرائيل في مسألة ذبح البقرة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تَذْبَحُوا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بنو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تَتَّخِذُنا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موسى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أَنْ أَكُونَ مِنَ الْجاهِلِينَ‌</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الاستهزاء عمل الجاهلين، فهل تصح نسبته إلى اللّه أو إلى نبيه أو إلى سائر المؤمنين‌؟ وما قاله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فعلت بمن فعلها بالمجني عليه عقوبة كان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عن واقع الاستهزاء، فإنّ عمل الجهلة لا يصبح عدلاً في حين، وظلماً في حين آخر، فإنّ الفحشاء ذميمة مطلقاً ابتداءً كانت أو انتهاء وعقوبة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المكر والحيلة فعل العاجز، فحيث لا يقدر على عقاب المخالف مباشرة، يلجأ إلى المكر والحيلة، واللّه سبحانه أرفع من أن يكون عاجزاً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والحقيقة أنّ مرجع هذه الشبهة هو إنكار التحسين والتقبيح العقليين، فصار هذا سبباً لتصحيح نسبة هذه الأُمور الذميمة إلى اللّه سبحانه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الرجل من أهل الفصاحة والبلاغة وعارفاً بأساليب كلام البلغاء لما أنكر ما ذكره أهل التنزيه من أنّ الجميع من باب المشاكلة الّتي تعني ذكر الشيء بلفظ غيره لوقوعه في صحبته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نحن نذكر بعض موارد المشاكلة في الذكر الحكيم، وفي خطب أمير البيان علي عليه السلام، وأشعار البلغاء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 فنظير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جَزاءُ سَيِّئَةٍ سَيِّئَةٌ مِثْلُها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الثانية لكونها حقّة لا تكون سيئة، لكن وقوعها في صحبة الأُولى صحّ التعبير عنها بالسيئة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ومن الواضح أنّ من يُقابل المعتدي بمثل فعله لا يكون معتدياً، ولكنّه عبّر عنه بذلك للمشاكلة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فِي نَفْسِي وَ لا أَعْلَمُ ما فِي نَفْسِكَ‌</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ما عندك، فعبّر بالنفس للمشاكلة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مَا افْتَرَضَ اللّهُ عَلَيْكُمْ مِنْ طَلَبِكُمْ‌، وَاسْأَلُوهُ مِنْ أَدَاءِ حَقِّهِ مَا سَأَلَكُمْ‌</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أمركم وفرضه عليكم، لأنّ السؤال وظيفة الأدنى من الأعلى، وشأن الأعلى من الأدنى هو الأمر والإلزام، لكنّه عبّر بلفظ السؤال لوقوعه في صحبة الأوّل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وَايْمُ اللّهِ لَئِنْ فَرَرْتُمْ مِنْ سَيْفِ الْعَاجِلَةِ‌، لَاتَسْلَمُوا مِنْ سَيْفِ‌</w:t>
      </w:r>
      <w:bookmarkStart w:id="370" w:name="pg16772_194510"/>
    </w:p>
    <w:p>
      <w:pPr>
        <w:pStyle w:val="BookText"/>
        <w:rPr/>
      </w:pPr>
      <w:bookmarkEnd w:id="370"/>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ومن الواضح أنّه لا سيف في الآخرة، وإنّما عبّر به للمشاكلة، والمراد النار وغضب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اقترح شيئاً نُجِدْ لك طبخه قلت اطبخوا لي جبّة وقميصا</w:t>
      </w:r>
    </w:p>
    <w:p>
      <w:pPr>
        <w:pStyle w:val="BookText"/>
        <w:rPr/>
      </w:pPr>
      <w:r>
        <w:rPr>
          <w:rFonts w:ascii="Amiri" w:hAnsi="Amiri" w:eastAsia="Amiri" w:cs="Amiri"/>
          <w:color w:val="111111"/>
          <w:sz w:val="28"/>
          <w:sz w:val="28"/>
          <w:szCs w:val="28"/>
          <w:rtl w:val="true"/>
          <w:lang w:bidi="ar-SA"/>
        </w:rPr>
        <w:t>يحكي الشاعر عن أحبته وأعزته أنّهم اقترحوا عليه طبخ غذاء مرغوب لديه، وكان فقيراً لا يملك كسوة تقيه البرد، فأجابهم بأن لكم أن تطبخوا لي جبّة وقميصاً، مكان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تخيطوا لي جبّة وقميصاً، فذكر الخياطة بلفظ الطبخ لوقوعه في صحبته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الشاعر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مبلغ أفناء يعرب كلها أني بنيت الجار قبل المنزلِ‌</w:t>
      </w:r>
    </w:p>
    <w:p>
      <w:pPr>
        <w:pStyle w:val="BookText"/>
        <w:rPr/>
      </w:pPr>
      <w:r>
        <w:rPr>
          <w:rFonts w:ascii="Amiri" w:hAnsi="Amiri" w:eastAsia="Amiri" w:cs="Amiri"/>
          <w:color w:val="111111"/>
          <w:sz w:val="28"/>
          <w:sz w:val="28"/>
          <w:szCs w:val="28"/>
          <w:rtl w:val="true"/>
          <w:lang w:bidi="ar-SA"/>
        </w:rPr>
        <w:t>فبناء الجار إن جاز لوقوعه في صحبة بناء المنزل وهو متأخّر عنه</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6963641_73709187"/>
      <w:bookmarkStart w:id="372" w:name="_Toc139"/>
      <w:bookmarkEnd w:id="371"/>
      <w:r>
        <w:rPr>
          <w:rtl w:val="true"/>
        </w:rPr>
        <w:t>الشبهة السابعة</w:t>
      </w:r>
      <w:r>
        <w:rPr>
          <w:rtl w:val="true"/>
        </w:rPr>
        <w:t>:</w:t>
      </w:r>
      <w:bookmarkEnd w:id="372"/>
    </w:p>
    <w:p>
      <w:pPr>
        <w:pStyle w:val="BookText"/>
        <w:rPr/>
      </w:pPr>
      <w:r>
        <w:rPr>
          <w:rFonts w:ascii="Amiri" w:hAnsi="Amiri" w:eastAsia="Amiri" w:cs="Amiri"/>
          <w:color w:val="111111"/>
          <w:sz w:val="28"/>
          <w:sz w:val="28"/>
          <w:szCs w:val="28"/>
          <w:rtl w:val="true"/>
          <w:lang w:bidi="ar-SA"/>
        </w:rPr>
        <w:t>إنّ العدول عن الحقيقة إلى المجاز يقتضي نسبة الحاجة أو الضرورة أو العجز إلى اللّه تعالى، وهذا محال على اللّه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الشبهة أثارها الشيخ سليمان بن صالح بن عبدالعزيز الغصن في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موقف المتكلّمين من الاستدلال بنصوص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عرضاً ونقداً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قدّمها إلى كلية أُصول الدين بجامعة الإمام محمد بن سعود</w:t>
      </w:r>
      <w:bookmarkStart w:id="373" w:name="pg16772_194511"/>
    </w:p>
    <w:p>
      <w:pPr>
        <w:pStyle w:val="BookText"/>
        <w:rPr/>
      </w:pPr>
      <w:bookmarkEnd w:id="373"/>
      <w:r>
        <w:rPr>
          <w:rFonts w:ascii="Amiri" w:hAnsi="Amiri" w:eastAsia="Amiri" w:cs="Amiri"/>
          <w:color w:val="111111"/>
          <w:sz w:val="28"/>
          <w:sz w:val="28"/>
          <w:szCs w:val="28"/>
          <w:rtl w:val="true"/>
          <w:lang w:bidi="ar-SA"/>
        </w:rPr>
        <w:t xml:space="preserve">الإسلامية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ونال بها شهادة الدكتوراه بدرجة الشرف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أمراً جديداً، بل هي نفس الشبهة الأُولى باختلاف في الالفاظ، والإجابة عنها واضحة،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العدول عن الحقيقة ليس دليلاً على الحاجة أو العجز، بل كلّ ذلك لغاية إفهام الناس وهدايتهم، فقد كتب سبحانه على نفسه أن يخاطب الناس عن طريق الوحي بلغتهم ويحاورهم بكلامهم وأساليبهم،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بِلِسانِ قَوْمِهِ لِيُبَيِّنَ لَهُمْ فَيُضِلُّ اللّهُ مَنْ يَشاءُ وَ يَهْدِي مَنْ يَشاءُ وَ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 w:name="__RefHeading___Toc6963643_73709187"/>
      <w:bookmarkStart w:id="375" w:name="_Toc140"/>
      <w:bookmarkEnd w:id="374"/>
      <w:r>
        <w:rPr>
          <w:rtl w:val="true"/>
        </w:rPr>
        <w:t>الشبهة الثامنة</w:t>
      </w:r>
      <w:r>
        <w:rPr>
          <w:rtl w:val="true"/>
        </w:rPr>
        <w:t>:</w:t>
      </w:r>
      <w:bookmarkEnd w:id="375"/>
    </w:p>
    <w:p>
      <w:pPr>
        <w:pStyle w:val="BookText"/>
        <w:rPr/>
      </w:pPr>
      <w:r>
        <w:rPr>
          <w:rFonts w:ascii="Amiri" w:hAnsi="Amiri" w:eastAsia="Amiri" w:cs="Amiri"/>
          <w:color w:val="111111"/>
          <w:sz w:val="28"/>
          <w:sz w:val="28"/>
          <w:szCs w:val="28"/>
          <w:rtl w:val="true"/>
          <w:lang w:bidi="ar-SA"/>
        </w:rPr>
        <w:t>إنّ اللّه تعالى لو خاطب بالمجاز لصحّ وصفه بأنّه متجوّز، ومستعير، وهو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لاملازمة بين كونه مستعملاً للمجاز وجواز وصفه سبحانه بأنّه متجوّز أو مستعير، لأنّ أسماء اللّه توقيفية، ويشهد لذلك أنّ أفعال العباد عند أهل السنّة مخلوقة للّه سبحانه، ومع ذلك لا تصحّ تسميته سبحانه بكونه آكلاً، شارباً، ضارباً، قاتلاً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يصف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أَنْتُمْ تَزْرَعُونَهُ أَمْ نَحْنُ الزّارِعُونَ‌</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 فهل تصحّ تسميته زارعاً، ودعوته في مقام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يازارع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bookmarkStart w:id="376" w:name="pg16772_194512"/>
    </w:p>
    <w:p>
      <w:pPr>
        <w:pStyle w:val="Heading5"/>
        <w:numPr>
          <w:ilvl w:val="4"/>
          <w:numId w:val="1"/>
        </w:numPr>
        <w:rPr/>
      </w:pPr>
      <w:bookmarkStart w:id="377" w:name="__RefHeading___Toc6963645_73709187"/>
      <w:bookmarkStart w:id="378" w:name="_Toc141"/>
      <w:bookmarkEnd w:id="376"/>
      <w:bookmarkEnd w:id="377"/>
      <w:r>
        <w:rPr>
          <w:rtl w:val="true"/>
        </w:rPr>
        <w:t>الشبهة التاسعة</w:t>
      </w:r>
      <w:r>
        <w:rPr>
          <w:rtl w:val="true"/>
        </w:rPr>
        <w:t>:</w:t>
      </w:r>
      <w:bookmarkEnd w:id="378"/>
    </w:p>
    <w:p>
      <w:pPr>
        <w:pStyle w:val="BookText"/>
        <w:rPr/>
      </w:pPr>
      <w:r>
        <w:rPr>
          <w:rFonts w:ascii="Amiri" w:hAnsi="Amiri" w:eastAsia="Amiri" w:cs="Amiri"/>
          <w:color w:val="111111"/>
          <w:sz w:val="28"/>
          <w:sz w:val="28"/>
          <w:szCs w:val="28"/>
          <w:rtl w:val="true"/>
          <w:lang w:bidi="ar-SA"/>
        </w:rPr>
        <w:t>إنّ المجاز لا يفهم معناه بلفظه دون قرينة، وربّما تخفى‌، فيقع الالتباس على المخاطب فلا يفهم مراد اللّه، وهذا يخالف حكمة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شرط استعمال المجاز احتفافه بالقرينة الواضحة، فاستعمال اللفظ مجازاً مع اختفاء القرينة يضادّ البلاغة، وهو لا يناسب كلام البلغاء، فكيف يقع ذلك في كلام اللّه تعالى‌؟</w:t>
      </w:r>
    </w:p>
    <w:p>
      <w:pPr>
        <w:pStyle w:val="BookText"/>
        <w:rPr/>
      </w:pPr>
      <w:r>
        <w:rPr>
          <w:rFonts w:ascii="Amiri" w:hAnsi="Amiri" w:eastAsia="Amiri" w:cs="Amiri"/>
          <w:color w:val="111111"/>
          <w:sz w:val="28"/>
          <w:sz w:val="28"/>
          <w:szCs w:val="28"/>
          <w:rtl w:val="true"/>
          <w:lang w:bidi="ar-SA"/>
        </w:rPr>
        <w:t>إلى هنا تمّ بيان الشبهات الّتي حاكها ابن تيمية وتلميذه ابن قيم الجوزية ومن تبعهما من الظاهريين والقشريين الذين لا يهمهم إلّامتابعة الظواهر من دون تعقّل ولا تفكير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ما هو الحق، ولأجل إكمال البحث نشير إلى بعض المجازات النبوية لتكون أقوى شاهد على أنّ المجاز ليس كذباً ولا مبالغة خارجة عن الحدّ ولا شيئاً آخر</w:t>
      </w:r>
      <w:r>
        <w:rPr>
          <w:rFonts w:eastAsia="Amiri" w:cs="Amiri" w:ascii="Amiri" w:hAnsi="Amiri"/>
          <w:color w:val="111111"/>
          <w:sz w:val="28"/>
          <w:szCs w:val="28"/>
          <w:rtl w:val="true"/>
          <w:lang w:bidi="ar-SA"/>
        </w:rPr>
        <w:t>.</w:t>
      </w:r>
      <w:bookmarkStart w:id="379" w:name="pg16772_194513"/>
    </w:p>
    <w:p>
      <w:pPr>
        <w:pStyle w:val="Heading4"/>
        <w:numPr>
          <w:ilvl w:val="3"/>
          <w:numId w:val="1"/>
        </w:numPr>
        <w:rPr/>
      </w:pPr>
      <w:bookmarkStart w:id="380" w:name="__RefHeading___Toc6963647_73709187"/>
      <w:bookmarkStart w:id="381" w:name="_Toc142"/>
      <w:bookmarkEnd w:id="379"/>
      <w:bookmarkEnd w:id="380"/>
      <w:r>
        <w:rPr>
          <w:rtl w:val="true"/>
        </w:rPr>
        <w:t>المجازات في الأحاديث النبوية</w:t>
      </w:r>
      <w:bookmarkEnd w:id="381"/>
    </w:p>
    <w:p>
      <w:pPr>
        <w:pStyle w:val="BookText"/>
        <w:rPr/>
      </w:pPr>
      <w:r>
        <w:rPr>
          <w:rFonts w:ascii="Amiri" w:hAnsi="Amiri" w:eastAsia="Amiri" w:cs="Amiri"/>
          <w:color w:val="111111"/>
          <w:sz w:val="28"/>
          <w:sz w:val="28"/>
          <w:szCs w:val="28"/>
          <w:rtl w:val="true"/>
          <w:lang w:bidi="ar-SA"/>
        </w:rPr>
        <w:t xml:space="preserve">قد عرفت نماذج من المجازات في الذكر الحكيم، وها نحن نذكر شيئاً ممّا ورد منها في كلام سيد المرسلين صلى الله عليه و آله و سلم، وقد قام السيد الشريف الرضي رحمه الله بجمع قسم منها في كتاب خاص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نحن نقتبس من هذا الكتاب نماذج لتكون شاهداً على أنّ المجاز ليس كذباً ولا غلوّاً وإنّما هو إضفاء جمالية على الكلام، وإعطاءه روعة ورونقاً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اليد العليا خير من اليد السفلى‌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مجاز؛ لأنّه صلى الله عليه و آله و سلم أراد باليد العليا يد المعطي وباليد السفلى يد المستعطي، ولم يرد على الحقيقة أنّ هناك عالياً وسافلاً وصاعداً ونازلاً، وإنّما أراد أنّ المعطي في الرتبة فوق الآخذ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مكّة قد رمتكم بأفلاذ كبدها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من أنصع العبارات وأرفع الاستعارات، وقد قال صلى الله عليه و آله و سلم ذلك عند خروجه إلى بدر للقتال، وقد خرجت قريش من مكّة مجلبةً عليه ومحلبةً إليه، وكان المسلمون قد ظفروا ببعض فرّاطهم، فأتى به النبي صلى الله عليه و آله و سلم فسأله عمّن خرج في ذلك الجمع من علية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 وعدد قادتهم وذادتهم</w:t>
      </w:r>
      <w:r>
        <w:rPr>
          <w:rStyle w:val="FootnoteAnchor"/>
          <w:rtl w:val="true"/>
        </w:rPr>
        <w:footnoteReference w:id="249"/>
      </w:r>
      <w:r>
        <w:rPr>
          <w:rFonts w:ascii="Amiri" w:hAnsi="Amiri" w:eastAsia="Amiri" w:cs="Amiri"/>
          <w:color w:val="111111"/>
          <w:sz w:val="28"/>
          <w:sz w:val="28"/>
          <w:szCs w:val="28"/>
          <w:rtl w:val="true"/>
          <w:lang w:bidi="ar-SA"/>
        </w:rPr>
        <w:t>، والوجوه والسادات منهم، فقال صلى الله عليه و آله و سلم ذلك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أنتم الشعار والناس الدثار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قاله صلى الله عليه و آله و سلم في كلام للأنصار، وهذا مجاز، لأنّه صلى الله عليه و آله و سلم أراد إنّكم أقرب الناس منّي وأشدّهم اشتمالاً عليّ‌، فأنتم لي كالشعار وهو الثوب الّذي يلي بدن الإنسان، والناس كالدثار لأنّهم أبعد منّي، وأنتم بينهم وبيني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الآن حمي الوطيس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قاله صلى الله عليه و آله و سلم ذلك يوم حنين يوم رأى مجتلد القوم، فقوله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حمي الوطيس وهو يعني حمس الحرب</w:t>
      </w:r>
      <w:r>
        <w:rPr>
          <w:rStyle w:val="FootnoteAnchor"/>
          <w:rtl w:val="true"/>
        </w:rPr>
        <w:footnoteReference w:id="250"/>
      </w:r>
      <w:r>
        <w:rPr>
          <w:rFonts w:ascii="Amiri" w:hAnsi="Amiri" w:eastAsia="Amiri" w:cs="Amiri"/>
          <w:color w:val="111111"/>
          <w:sz w:val="28"/>
          <w:sz w:val="28"/>
          <w:szCs w:val="28"/>
          <w:rtl w:val="true"/>
          <w:lang w:bidi="ar-SA"/>
        </w:rPr>
        <w:t xml:space="preserve">وعظم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لأنّ الوطيس في كلامهم حفيرة تحتفر، ويوقد فيها النار للاشتواء وتجمع على وُطس، ولا وطيس هناك على الحقيقة وإنّما المراد هو حرّ القراع وشدّة المصاع</w:t>
      </w:r>
      <w:r>
        <w:rPr>
          <w:rStyle w:val="FootnoteAnchor"/>
          <w:rtl w:val="true"/>
        </w:rPr>
        <w:footnoteReference w:id="251"/>
      </w:r>
      <w:r>
        <w:rPr>
          <w:rFonts w:ascii="IRNazanin" w:hAnsi="IRNazanin" w:eastAsia="IRNazanin"/>
          <w:color w:val="111111"/>
          <w:sz w:val="28"/>
          <w:sz w:val="28"/>
          <w:szCs w:val="28"/>
          <w:rtl w:val="true"/>
          <w:lang w:bidi="fa-IR"/>
        </w:rPr>
        <w:t>، والتفاف الأبطال واختلاط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الحمّى رائد الموت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 و سلم ذلك تشبيهاً للحمّى برائد الحيّ الّذي يتقدّمهم فيرتاد لهم مساقط السحاب ومنابت الأعشاب فيكون ارتحالهم على خَبره، وإقامتهم إلى نَظره،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الرائد لا يكذب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صلى الله عليه و آله و سلم جعل الحمّى مقدّمة للموت، وطليعة للحتف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مرآة المؤمن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القول مجاز واستعارة والمراد به أنّ المؤمن الناصحَ لأخيه المؤمن يبصّره مواقع رشده ويطلعه على خفايا عيبه، فيكون كالمرآة له ينظر فيها محاسنه فيستحسنها، ويزداد منها، ويرى مساوئه فيستقبحها وينصرف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الحياء نظام 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النظام كلّ خيط يسلك فيه لؤلؤ، وهذا الكلام استعارة، والمراد أنّ الحياء يجمع خلال الإيمان كما يجمع السلك فرائد النظام، لأنّ الإنسان الكثير الحياء، يُحجم عن مواقعة المعاصي ومطاوعة المغاوي، فإذا قلّ حياؤه تفرق جُمّاع إيمانه، فأشبه السلك في أنّه إذا انقطع تهافتت خرز نظامه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أوثق العُرى كلمة التقوى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وهذه استعارة؛ لأنّه صلى الله عليه و آله و سلم جعل التقوى كالعروة التي يُتعلّق بها وتنجي من المزالّ والمزالق، لأنّ المتّقي للّه سبحانه يأمن من نقماته وينجو من سطواته، فيكون كالممسك بعروة الحبل المتين والمستند إلى النضد</w:t>
      </w:r>
      <w:r>
        <w:rPr>
          <w:rStyle w:val="FootnoteAnchor"/>
          <w:rtl w:val="true"/>
        </w:rPr>
        <w:footnoteReference w:id="252"/>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 معادن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استعارة؛ لأنّه صلى الله عليه و آله و سلم شبّه الناس بالمعادن التي تكون في قرارات الأرض، فلا يحكم على ظواهرها حتّى يستخرج دفائنها، فكذلك الناس لا يجب أن يحكم على مجاريهم ولا يقطع على بواديهم حتّى يُخبَروا ويُعرَفوا،</w:t>
      </w:r>
    </w:p>
    <w:p>
      <w:pPr>
        <w:pStyle w:val="BookText"/>
        <w:rPr/>
      </w:pPr>
      <w:r>
        <w:rPr>
          <w:rFonts w:ascii="Amiri" w:hAnsi="Amiri" w:eastAsia="Amiri" w:cs="Amiri"/>
          <w:color w:val="111111"/>
          <w:sz w:val="28"/>
          <w:sz w:val="28"/>
          <w:szCs w:val="28"/>
          <w:rtl w:val="true"/>
          <w:lang w:bidi="ar-SA"/>
        </w:rPr>
        <w:t>فيخرج البحثُ جواهرَهم ويمحّصُ الامتحانُ مخابرَهم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أتاكم وأمركم جُمعٌ يريد أن يشقّ عصاكم ويفرق جماعتكم فاقتلوه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أن يشق عصاكم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والمراد به تفريق أمرهم وتشتيت جمعهم، فشبّه ذلك بشقّ العصا، لأنّ عن شقّها يكون تشظيها وتطاير الصدوع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حُبُّك الشيء يعمي ويصمّ‌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وهذا مجاز؛ لأن حبّ الشيء على الحقيقة لا يعمي ولا يُصمّ‌، وإنّما المراد أنّ الإنسان إذا أحبّ الشيء أغضى عن مواضع عيوبه كأنّه لا ينظرها، وأعرض عن الملاوم والمعاتب من أجله فكأنّه لا يسمعها، فصار من هذا الوجه كالأعمى لتغاضيه والأصمّ لتغابيه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قيّدوا العلم بالكتاب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وهذه استعارة؛ لأنّه صلى الله عليه و آله و سلم جعل ضروب العلم بمنزلة الإبل الصعاب الّتي تشرد إنْ لم تُعقَل، وجعل الكتاب لها بمنزلة الأقياد المانعة والعقل اللازمة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الصوم جُنّة والصدقة تطفئ الخطيئة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وهاتان استعارتان أحدهما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أنّ الصائم</w:t>
      </w:r>
    </w:p>
    <w:p>
      <w:pPr>
        <w:pStyle w:val="BookText"/>
        <w:rPr/>
      </w:pPr>
      <w:r>
        <w:rPr>
          <w:rFonts w:ascii="Amiri" w:hAnsi="Amiri" w:eastAsia="Amiri" w:cs="Amiri"/>
          <w:color w:val="111111"/>
          <w:sz w:val="28"/>
          <w:sz w:val="28"/>
          <w:szCs w:val="28"/>
          <w:rtl w:val="true"/>
          <w:lang w:bidi="ar-SA"/>
        </w:rPr>
        <w:t>الّذي يخلص في صومه ويستكمل آخر يومه يكون بالإخلاص في ذلك الصوم كأنّه قد لبس جُنّة من العقاب وأخذ أماناً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والاستعارة الأُخرى في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والصدقة تطفئ الخطيئة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جعل الخطيئة بمنزلة النار من حيث كانت مفضية إلى عذاب النار وجعل الصدقة مطفئة لها إذا كثرت فأثرت في سقوط عقابها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 رائد، والعدل سائق، والنفس حَرون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وهذا الكلام مجاز وذلك أنّه صلى الله عليه و آله و سلم شبّه علم الإنسان بالرائد الّذي يتقدّم أمام الحي فيدلّهم على المنزل الوسيع والمرعى المريع، وشبّه العقل بالسائق لأنّه يحثّ الإنسان على سلوك النهج الأسلم، ويحمله على الذهاب في الطريق الأقوم، وشبّه النفس بالدّابة الحرون لأنّها تتقاعس عن مراشدها، وتلذع بسوط الأدب حتّى تسلك طرق مصالحها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قدمنا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من أروع المجازات في كلام النبي الخاتم صلى الله عليه و آله و سلم حتّى تكون شاهداً على أنّ المجاز أمر ذائع ومطلوب ولولاه لما جنح إليه النبي صلى الله عليه و آله و سلم، فإنّ القرآن والسنّة كلاهما من وحي اللّه سبحانه غير أنّ القرآن وحي بلفظه ومعناه، والسنّة وحي بمعناه دون لفظه، فلو كان في المجاز شيء من الشَّين لما وجدت له أثراً في كلام سيد المرسلين صلى الله عليه و آله و سلم، وقد ذكر السيد الرضي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نبوياً اشتمل على</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مجازات ناصعة، أضفتْ على كلامه روعة وجمالاً، وقد صدرنا فيما ذكرناه من المجازات في الحديث الشريف عن هذا الكتاب القيّم،</w:t>
      </w:r>
      <w:r>
        <w:rPr>
          <w:rStyle w:val="FootnoteAnchor"/>
          <w:rtl w:val="true"/>
        </w:rPr>
        <w:footnoteReference w:id="253"/>
      </w:r>
      <w:r>
        <w:rPr>
          <w:rFonts w:ascii="Amiri" w:hAnsi="Amiri" w:eastAsia="Amiri" w:cs="Amiri"/>
          <w:color w:val="111111"/>
          <w:sz w:val="28"/>
          <w:sz w:val="28"/>
          <w:szCs w:val="28"/>
          <w:rtl w:val="true"/>
          <w:lang w:bidi="ar-SA"/>
        </w:rPr>
        <w:t>رحم اللّه مؤلّفه</w:t>
      </w:r>
      <w:r>
        <w:rPr>
          <w:rFonts w:eastAsia="Amiri" w:cs="Amiri" w:ascii="Amiri" w:hAnsi="Amiri"/>
          <w:color w:val="111111"/>
          <w:sz w:val="28"/>
          <w:szCs w:val="28"/>
          <w:rtl w:val="true"/>
          <w:lang w:bidi="ar-SA"/>
        </w:rPr>
        <w:t>.</w:t>
      </w:r>
      <w:bookmarkStart w:id="382" w:name="pg16772_194519"/>
    </w:p>
    <w:p>
      <w:pPr>
        <w:pStyle w:val="Heading4"/>
        <w:numPr>
          <w:ilvl w:val="3"/>
          <w:numId w:val="1"/>
        </w:numPr>
        <w:rPr/>
      </w:pPr>
      <w:bookmarkStart w:id="383" w:name="__RefHeading___Toc6963649_73709187"/>
      <w:bookmarkStart w:id="384" w:name="_Toc143"/>
      <w:bookmarkEnd w:id="382"/>
      <w:bookmarkEnd w:id="383"/>
      <w:r>
        <w:rPr>
          <w:rtl w:val="true"/>
        </w:rPr>
        <w:t>عود على بدء أو نقد رسالة الشيخ الشنقيطي</w:t>
      </w:r>
      <w:bookmarkEnd w:id="384"/>
    </w:p>
    <w:p>
      <w:pPr>
        <w:pStyle w:val="Heading5"/>
        <w:numPr>
          <w:ilvl w:val="4"/>
          <w:numId w:val="1"/>
        </w:numPr>
        <w:rPr/>
      </w:pPr>
      <w:bookmarkStart w:id="385" w:name="__RefHeading___Toc6963651_73709187"/>
      <w:bookmarkStart w:id="386" w:name="_Toc144"/>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 xml:space="preserve">لمّا فرغت من تحرير ما سبق من الكلام، وقفت على نص رسالة الشيخ الشنقيطي الّتي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جواز المجاز في المنزَل للتعبّد والإعجاز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طبعت في ذيل الجزء العاشر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البيان في تفسير القرآن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أنّ الكاتب من المتحمّسين لفكرة المنع الّتي ورثها من ابن تيمية وتلميذه ابن قيّم الجوزية ومن لفّ لفّهما، وقد نقلنا شيئاً منها في المقال الماضي عن طريق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لصديقنا الراحل العلّامة محمد هادي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رأيت فيها وجوهاً أُخرى للمنع فأحببت أن أُتابع الموضوع مجدّداً، وإن استلزم التكرار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لمّا رأينا جلّ أهل هذا الزمان يقولون بجواز المجاز في القرآن ولم يتنبّهوا إلى‌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القول فيه ذريعة لنفي كثير من صفات الكمال والجلال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هذا المُنزَل للتعبّد والإعجاز كلّه حقائق وليس مجازاً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نفي ما ثبت في كتاب أو سنّة لاشكّ في أنّه محال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يمكن أن يكون شيء منه غير حقيقة، وكلّ كلمة منه بغاية الكمال جديرة حقيقة، إنّه لقول فصل وما هو بالهزل، أخباره كلّها صدق وأحكامه كلّها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هذه الرسالة نصيحة المسلمين وتحذيرهم من نفي صفات الكمال والجلال الّتي أثبتها اللّه لنفسه في كتابه العزيز بادّعاء أنّه مجاز وأنّ المجاز يجوز فيه لأنّ ذلك من أعظم وسائل التعطيل</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الجدير بالباحث الموضوعي أن يدرس الآيات الّتي ادّعى أكثر أهل هذا الزمان وجود المجاز فيها، ثم يخرج بنتيجة خاصّة، من النفي والإثبات، ولكن الرجل تجاوز القاعدة فتبنّى العقيدة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القرآن 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درس الآيات في ضوء هذه العقيدة، ومن المعلوم أنّ دراستها على ضوء العقيدة الّتي تبنّاها من قبل، لا تنتج إلّاالنفي والردّ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على أنّه لم يبحث الموضوع متجرّداً عن عقيدته، أنّه نفى المجاز في القرآن لغاية حفظ تطرّق المجاز إلى الآيات الواردة حول الصفات الخبرية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صفات الكمال والجمال كما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لو أُجريت على معانيها اللغوية، لاستلزم التجسيم والتشبيه والجهة والحركة، وإنْ كنت في شكّ من ذلك، فلاحظ الآيات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لِتُصْنَعَ عَلى عَيْنِي</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اليمين،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السَّماواتُ مَطْوِيّاتٌ بِيَمِينِهِ‌</w:t>
      </w:r>
      <w:r>
        <w:rPr>
          <w:rFonts w:eastAsia="Amiri" w:cs="Amiri" w:ascii="Amiri" w:hAnsi="Amiri"/>
          <w:color w:val="111111"/>
          <w:sz w:val="28"/>
          <w:szCs w:val="28"/>
          <w:rtl w:val="true"/>
          <w:lang w:bidi="ar-SA"/>
        </w:rPr>
        <w:t>) .</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الاستواء،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النفس،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فِي نَفْسِي وَ لا أَعْلَمُ ما فِي نَفْسِكَ‌</w:t>
      </w:r>
      <w:r>
        <w:rPr>
          <w:rFonts w:eastAsia="Amiri" w:cs="Amiri" w:ascii="Amiri" w:hAnsi="Amiri"/>
          <w:color w:val="111111"/>
          <w:sz w:val="28"/>
          <w:szCs w:val="28"/>
          <w:rtl w:val="true"/>
          <w:lang w:bidi="ar-SA"/>
        </w:rPr>
        <w:t>)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الجنب،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فَرَّطْتُ فِي جَنْبِ اللّهِ‌</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القرب،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قَرِيبٌ أُجِيبُ دَعْوَةَ الدّاعِ‌</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المجيء،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رَبُّكَ‌</w:t>
      </w:r>
      <w:r>
        <w:rPr>
          <w:rFonts w:eastAsia="Amiri" w:cs="Amiri" w:ascii="Amiri" w:hAnsi="Amiri"/>
          <w:color w:val="111111"/>
          <w:sz w:val="28"/>
          <w:szCs w:val="28"/>
          <w:rtl w:val="true"/>
          <w:lang w:bidi="ar-SA"/>
        </w:rPr>
        <w:t>) .</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الإتيان،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يَأْتِيَ رَبُّكَ‌</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الغضب،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غَضِبَ اللّهُ عَلَيْهِمْ‌</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 اللّه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يديّ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تَسْجُدَ لِما خَلَقْتُ بِيَدَيَّ‌</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الصفات الخبرية التي وردت في القرآن الكريم وأخبر عنها الوحي، فللجميع ظواهر غير مستقرة لا تلائم الأُصول الواردة في محكمات الآيات، ولكن بالإمعان والدقة يصل الإنسان إلى مآلها ومرجعها وواقعها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لأُستاذ منهجه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الحرّاني، وابن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w:t>
      </w:r>
    </w:p>
    <w:p>
      <w:pPr>
        <w:pStyle w:val="BookText"/>
        <w:rPr/>
      </w:pPr>
      <w:r>
        <w:rPr>
          <w:rFonts w:ascii="Amiri" w:hAnsi="Amiri" w:eastAsia="Amiri" w:cs="Amiri"/>
          <w:color w:val="111111"/>
          <w:sz w:val="28"/>
          <w:sz w:val="28"/>
          <w:szCs w:val="28"/>
          <w:rtl w:val="true"/>
          <w:lang w:bidi="ar-SA"/>
        </w:rPr>
        <w:t>على نفي المجاز في هذه الآيات ليتسنّى له إثبات هذه الصفات على اللّه سبحانه بنفس معانيها، فصارت العقيدة أساساً، لتفسير الذكر الحكيم، فهو مكان أن يعرض العقيدة عليه، فسّر القرآن وفق معتقده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ذلك قوله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ما في القرآن حقائق وليس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زعم أنّ المراد من المجاز ضد الواقع الّذي يلازم الكذب، وغفل عن أنّ المقصود هو اتّخاذ اللفظ معبَراً وجسراً لتجاوز معنى إلى معنى آخر، والخروج من أمر واقعي إلى أمر واقعي آخر، ومن حقيقة إلى حقيقة أُخرى، وليس المعنى الثاني ضد الأوّل ولا هو معنى مكذوب، بل المتكلّم يتخذ اللفظ وسيلة للتعبير عن معنى آخر له كمال المناسبة مع المعنى الأوّل، وذلك بنصب قرينة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الخلل في قوله 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أن يكون شيء منه غير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المعنى الثاني أيضاً حقيقة كالمعنى الأوّل، غير أنّه أفاد المقصود باللفظ الموضوع للمعنى الأوّل بمناسبة واضحة بين المعنيين، وعلى هذا فكلّ ما في القرآن أُمور واقعية، لكن ربّما يعبَّر عنها باللفظ الموضوع لها لغة، وربّما يعبَّر عنها بغير الموضوع له ويستعان في تفهيمه بالقرينة، وسيظهر لك تفصيل ما ذكرنا في البحوث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آخر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أضاف إلى الوجوه الثلاثة وجهاً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دليل على منعه في القرآن، إجماع القائلين بالمجاز على أنّ كلّ مجاز يجوز نفيه ويكون نافيه صادقاً في نفس الأمر فنقول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يرمي، ليس هو بأسد وإنّما هو رجل شجاع، فيلزم على القول بأنّ في القرآن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القرآن ما يجوز نفيه،</w:t>
      </w:r>
    </w:p>
    <w:p>
      <w:pPr>
        <w:pStyle w:val="BookText"/>
        <w:rPr/>
      </w:pPr>
      <w:r>
        <w:rPr>
          <w:rFonts w:ascii="Amiri" w:hAnsi="Amiri" w:eastAsia="Amiri" w:cs="Amiri"/>
          <w:color w:val="111111"/>
          <w:sz w:val="28"/>
          <w:sz w:val="28"/>
          <w:szCs w:val="28"/>
          <w:rtl w:val="true"/>
          <w:lang w:bidi="ar-SA"/>
        </w:rPr>
        <w:t>ولا شكّ أنّه لا يجوز نفي شيء من القرآن</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الكبرى أمر مسلَّم لا ريب فيه، فلا يجوز لمسلم مؤمن بأنّ القرآن كتاب سماوي نزل من اللّه على قلب سيد المرسلين أن ينفي شيئاً منه حتّى النُّقط، إنّما الكلام في الصغرى فإنّ الوارد فيه هو ما تعلّقت به الإرادة الجدّية والغرض الحتمي الّذي لأجله سيق الكلام وهو غير منفي، وإنّما المنفي هو ما تعلّقت به الإرادة الاستعمالية الّتي استخدمت لإفادة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المتكلّم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يرمي، فقد استعمل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 المفترس، لكنّه تعلّقت الإرادة الجدّية بالمصداق الادّعائي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أُريد المعنى الأوّل ليكون وسيلة لإفهام المعنى الثاني بالقرينة المفهمة، فنفي الحيوان المفترس المتجسّد في الأسد في الغابات لا يضرّ لأنّه ليس مقصوداً، وإنّما المقصود بالأصالة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منفي، وعلى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المقصود بالأصالة ليس منفياً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منفيٌّ فليس مقصوداً بالأصالة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جملة ظهوراً وهو حجّة عند العقلاء، وهذا ما لا يجوز نفيه لا في كلام اللّه ولا في كلام غيره، والجملة المذكورة ظاهرة في الرجل الشجاع لا في الحيوان المفترس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نفي ما هو ظاهر فيه وما ذلك إلّالأنّ المتَّبع هو الظهور الجملي، لا الظهور الإفرادي، فللأسد، بمفرده ظهور فهو غير متّبع، ولا يحتج به ولا يضرّ نفيه، وله ظهور آخر في ضمن الجملة وهو المتّبع</w:t>
      </w:r>
      <w:bookmarkStart w:id="387" w:name="pg16772_194524"/>
    </w:p>
    <w:p>
      <w:pPr>
        <w:pStyle w:val="BookText"/>
        <w:rPr/>
      </w:pPr>
      <w:bookmarkEnd w:id="387"/>
      <w:r>
        <w:rPr>
          <w:rFonts w:ascii="Amiri" w:hAnsi="Amiri" w:eastAsia="Amiri" w:cs="Amiri"/>
          <w:color w:val="111111"/>
          <w:sz w:val="28"/>
          <w:sz w:val="28"/>
          <w:szCs w:val="28"/>
          <w:rtl w:val="true"/>
          <w:lang w:bidi="ar-SA"/>
        </w:rPr>
        <w:t>ولا يجوز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والكاتب لم يميّز بين الظهور الإفرادي والظهور الجملي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الكاتب طرح سؤالاً عن جانب القائلين بالمجاز، ثم أفاض الكلام في ردّه مع أنّ السؤال ممّا لا يحتجّ به أحد من القائلين بالمجاز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 كلّ ما جاز في اللغة العربية جاز في القرآن، لأنّه بلسان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بأنّ هذه كلمة لاتصدق إلّاجزئية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بالمجاز في القرآن إنّما يحتج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بالآيات الدالّة على أنّ القرآن نزل بلسان عربي مبين،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وممّا لا يشكّ فيه ذو مسكة أنّ المجاز من الوسائل البيانية في اللسان العربي، وعلى هذا فلا وجه لمنع جوازه، في القرآن، وأمّا ادّعاء أن كلّ ما جاز في اللغة العربية جاز في القرآن، فلم يعتمده أحد حتّى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ما أطنب به في ردّ كلية القاعدة، إطناب مملّ‌</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6963653_73709187"/>
      <w:bookmarkStart w:id="389" w:name="_Toc145"/>
      <w:bookmarkEnd w:id="388"/>
      <w:r>
        <w:rPr>
          <w:rtl w:val="true"/>
        </w:rPr>
        <w:t>النزاع في اللفظ والتسمية</w:t>
      </w:r>
      <w:bookmarkEnd w:id="38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بعض كلمات المؤلّف أنّه لا ينكر واقع المجاز في القرآن لكنّه يسمّيه بأنّه أُسلوب من أساليب اللغة، وإنّما يمنع تسمية الأُسلوب بالمجاز، وإن</w:t>
      </w:r>
      <w:bookmarkStart w:id="390" w:name="pg16772_194525"/>
    </w:p>
    <w:p>
      <w:pPr>
        <w:pStyle w:val="BookText"/>
        <w:rPr/>
      </w:pPr>
      <w:bookmarkEnd w:id="390"/>
      <w:r>
        <w:rPr>
          <w:rFonts w:ascii="Amiri" w:hAnsi="Amiri" w:eastAsia="Amiri" w:cs="Amiri"/>
          <w:color w:val="111111"/>
          <w:sz w:val="28"/>
          <w:sz w:val="28"/>
          <w:szCs w:val="28"/>
          <w:rtl w:val="true"/>
          <w:lang w:bidi="ar-SA"/>
        </w:rPr>
        <w:t>كنت في شكّ ممّا نقوله، فلاحظ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يسمّيه القائلون بالمجاز مجازاً، فهو عند من يقول بنفي المجاز أُسلوب من أساليب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أساليبها إطلاق الأسد مثلاً على الحيوان المفترس المعروف، وأنّه ينصرف إليه عند الإطلاق وعدم التقييد بما يدلّ على أنّ المراد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أساليبها إطلاقه على الرجل الشجاع إذا اقترن بما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ولامانع من كون أحد الإطلاقين لا يحتاج إلى قيد، والثاني يحتاج إليه؛ لأنّ بعض الأساليب يتّضح فيه المقصود فلا يحتاج إلى قيد، وبعضها لا يتعيّن المراد فيه إلّابقيد يدلّ عليه، وكلّ منهما حقيقة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هذا جميع أنواع المجازات</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ندين اللّه به، ويلزم قبوله كلّ منصف محقّق، أنّه لا يجوز إطلاق المجاز في القرآن مطلقاً على كلا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لا نعلّق عليه بشيء لوضوح أنّ النزاع ليس في التسمية، بل في المسمّى وواقع المجاز كما ترشد إليه الوجوه الّتي احتجّ بها، فعلى ما ذكر يكون النزاع في التسمية غير لائق للبحث والنقاش</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6963655_73709187"/>
      <w:bookmarkStart w:id="392" w:name="_Toc146"/>
      <w:bookmarkEnd w:id="391"/>
      <w:r>
        <w:rPr>
          <w:rtl w:val="true"/>
        </w:rPr>
        <w:t>زلّة لا تستقال</w:t>
      </w:r>
      <w:bookmarkEnd w:id="39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المؤلّف لمّا أحسّ اشتراك الكناية مع المجاز في أنّ المعنى الموضوع له غير مراد، بل المراد هو لازم المعنى في الكناية دون الملزوم، حاول</w:t>
      </w:r>
    </w:p>
    <w:p>
      <w:pPr>
        <w:pStyle w:val="BookText"/>
        <w:rPr/>
      </w:pPr>
      <w:r>
        <w:rPr>
          <w:rFonts w:ascii="Amiri" w:hAnsi="Amiri" w:eastAsia="Amiri" w:cs="Amiri"/>
          <w:color w:val="111111"/>
          <w:sz w:val="28"/>
          <w:sz w:val="28"/>
          <w:szCs w:val="28"/>
          <w:rtl w:val="true"/>
          <w:lang w:bidi="ar-SA"/>
        </w:rPr>
        <w:t>أن يفرق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هي اللفظ الّذي أُريد به لازم معناه، ولكن من تمام تعريفها جواز إرادة المعنى الأصلي، وبذلك تفارق المجاز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يك فيّ من عيب فإنّي جبان الكلب مهزول الفصيل</w:t>
      </w:r>
    </w:p>
    <w:p>
      <w:pPr>
        <w:pStyle w:val="BookText"/>
        <w:rPr/>
      </w:pPr>
      <w:r>
        <w:rPr>
          <w:rFonts w:ascii="Amiri" w:hAnsi="Amiri" w:eastAsia="Amiri" w:cs="Amiri"/>
          <w:color w:val="111111"/>
          <w:sz w:val="28"/>
          <w:sz w:val="28"/>
          <w:szCs w:val="28"/>
          <w:rtl w:val="true"/>
          <w:lang w:bidi="ar-SA"/>
        </w:rPr>
        <w:t>وقول الخنساء في 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طويل النجاد عظيم الرما د ساد عشيرته أمردا</w:t>
      </w:r>
    </w:p>
    <w:p>
      <w:pPr>
        <w:pStyle w:val="BookText"/>
        <w:rPr/>
      </w:pPr>
      <w:r>
        <w:rPr>
          <w:rFonts w:ascii="Amiri" w:hAnsi="Amiri" w:eastAsia="Amiri" w:cs="Amiri"/>
          <w:color w:val="111111"/>
          <w:sz w:val="28"/>
          <w:sz w:val="28"/>
          <w:szCs w:val="28"/>
          <w:rtl w:val="true"/>
          <w:lang w:bidi="ar-SA"/>
        </w:rPr>
        <w:t xml:space="preserve">فإنّ جبان الكلب، ومهزول الفصيل، وعظيم الرماد كنايات عن الجود، وطويل النجاد كناية عن طول القامة، مع أنّه يجوز في كلّها قصد المعنى الأصلي، لأنّ الجواد مهزول الفصيل لنحره أُمّه وصرفه اللبن عنه في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والظاهر الضيوف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هو جبان الكلب لكثرة غشيان الضيوف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هو كثير الرماد لكثرة وقود الحطب لقِرى الضيف، وطويل القامة طويل النجاد أيضاً، فلا مانع من قصد هذه المعاني الأصلية، وإن كان المراد الانتقال منها إلى لوازمها</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زلة أدبية لا تستقال إذ لم يقل به أحد، لأنّ المقصود بالأصالة هو المعنى المكنّى عنها، بل ربّما يخرج الكلام عن المدح إلى الذم إذا أراد المعنى المكنّى به،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كثير الرماد، إذا أُريد واقعاً كثرة الرماد في بيته، لعاد الكلام، ذماً وأنّ بيته مملوء بالنفايات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لا يكون للمعنى المكنى به موضوع، فربّما لا يملك كلباً، ولا فصيلاً، ولا رماداً، ومع ذلك يصحّ التعبير عن سخائه بهذه التعبيرات</w:t>
      </w:r>
      <w:r>
        <w:rPr>
          <w:rFonts w:eastAsia="Amiri" w:cs="Amiri" w:ascii="Amiri" w:hAnsi="Amiri"/>
          <w:color w:val="111111"/>
          <w:sz w:val="28"/>
          <w:szCs w:val="28"/>
          <w:rtl w:val="true"/>
          <w:lang w:bidi="ar-SA"/>
        </w:rPr>
        <w:t>.</w:t>
      </w:r>
      <w:bookmarkStart w:id="393" w:name="pg16772_194527"/>
    </w:p>
    <w:p>
      <w:pPr>
        <w:pStyle w:val="Heading5"/>
        <w:numPr>
          <w:ilvl w:val="4"/>
          <w:numId w:val="1"/>
        </w:numPr>
        <w:rPr/>
      </w:pPr>
      <w:bookmarkStart w:id="394" w:name="__RefHeading___Toc6963657_73709187"/>
      <w:bookmarkStart w:id="395" w:name="_Toc147"/>
      <w:bookmarkEnd w:id="393"/>
      <w:bookmarkEnd w:id="394"/>
      <w:r>
        <w:rPr>
          <w:rtl w:val="true"/>
        </w:rPr>
        <w:t>نقضت غزلها أنكاثاً</w:t>
      </w:r>
      <w:bookmarkEnd w:id="395"/>
    </w:p>
    <w:p>
      <w:pPr>
        <w:pStyle w:val="BookText"/>
        <w:rPr/>
      </w:pPr>
      <w:r>
        <w:rPr>
          <w:rFonts w:ascii="Amiri" w:hAnsi="Amiri" w:eastAsia="Amiri" w:cs="Amiri"/>
          <w:color w:val="111111"/>
          <w:sz w:val="28"/>
          <w:sz w:val="28"/>
          <w:szCs w:val="28"/>
          <w:rtl w:val="true"/>
          <w:lang w:bidi="ar-SA"/>
        </w:rPr>
        <w:t>لقد فسّر المؤلّف قسماً من الآيات عن طريق المجاز، ولكنّه وصفه بأنّه أُسلوب من أساليب العربية، يقول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ناصِيَةٍ كاذِبَةٍ خاطِئَةٍ‌</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أسند الكذب في هذه الآية الكريمة إلى ناصية هذا الكافر، وهي مقدّم شعر رأسه، مع أنّه أسنده في آيات كثيرة إلى غير الناصية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يُؤْمِنُونَ بِآياتِ اللّهِ وَ أُولئِكَ هُمُ الْكاذِبُونَ‌</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ظاهر، وهو أنّه هنا أطلق الناصية، وأراد صاحبها على عادة العرب في إطلاق البعض، وإرادة الكلّ‌، وهو كثير في كلام العرب، وفي القرآن، فمن أمثلته في القرآن هذه الآية الكريمة المتقدمة،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 وَ تَبَّ‌</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يعني أبا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يعني بما قدّمتم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تسمية العرب، الرقيبَ عيناً</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ترى أنّه تشبّث في رفع التعارض المتوهم، بين الآيات، باستعمال اللفظ الموضوع للبعض في الكلّ ووصفه بأنّه كثير في كلام العرب وفي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إلّاالمجاز المرسل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نعطف نظر القارئ الكريم إلى نكتة مرت في صدر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أنّ نفاة المجاز في القرآن، من العرب الأقحاح الّذين يرتجلون خطباً وقصائد ملؤها المجاز والكناية، ومع ذلك تجدهم ينفون وجود المجاز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إلّالأنّ الغاية من نفيه، هو إجراء الصفات الخبرية على اللّه سبحانه بنفس معانيها الّتي لا تنفك عن التجسيم والتشبيه والجهة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لما أصرّوا على نفي وقوعه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الرسالة بيد مؤلفها جعفر السبحاني</w:t>
      </w:r>
    </w:p>
    <w:p>
      <w:pPr>
        <w:pStyle w:val="BookText"/>
        <w:rPr/>
      </w:pPr>
      <w:r>
        <w:rPr>
          <w:rFonts w:ascii="Amiri" w:hAnsi="Amiri" w:eastAsia="Amiri" w:cs="Amiri"/>
          <w:color w:val="111111"/>
          <w:sz w:val="28"/>
          <w:sz w:val="28"/>
          <w:szCs w:val="28"/>
          <w:rtl w:val="true"/>
          <w:lang w:bidi="ar-SA"/>
        </w:rPr>
        <w:t>صبيحة يوم الثامن عشر من شهر</w:t>
      </w:r>
    </w:p>
    <w:p>
      <w:pPr>
        <w:pStyle w:val="BookText"/>
        <w:rPr/>
      </w:pPr>
      <w:r>
        <w:rPr>
          <w:rFonts w:ascii="IRNazanin" w:hAnsi="IRNazanin" w:eastAsia="IRNazanin"/>
          <w:color w:val="111111"/>
          <w:sz w:val="28"/>
          <w:sz w:val="28"/>
          <w:szCs w:val="28"/>
          <w:rtl w:val="true"/>
          <w:lang w:bidi="fa-IR"/>
        </w:rPr>
        <w:t>صفر المظفر من شهور عام ألف</w:t>
      </w:r>
    </w:p>
    <w:p>
      <w:pPr>
        <w:pStyle w:val="BookText"/>
        <w:rPr/>
      </w:pPr>
      <w:r>
        <w:rPr>
          <w:rFonts w:ascii="Amiri" w:hAnsi="Amiri" w:eastAsia="Amiri" w:cs="Amiri"/>
          <w:color w:val="111111"/>
          <w:sz w:val="28"/>
          <w:sz w:val="28"/>
          <w:szCs w:val="28"/>
          <w:rtl w:val="true"/>
          <w:lang w:bidi="ar-SA"/>
        </w:rPr>
        <w:t>وأربعمائة وثلاثة وثلاثين</w:t>
      </w:r>
    </w:p>
    <w:p>
      <w:pPr>
        <w:pStyle w:val="BookText"/>
        <w:rPr/>
      </w:pPr>
      <w:r>
        <w:rPr>
          <w:rFonts w:ascii="Amiri" w:hAnsi="Amiri" w:eastAsia="Amiri" w:cs="Amiri"/>
          <w:color w:val="111111"/>
          <w:sz w:val="28"/>
          <w:sz w:val="28"/>
          <w:szCs w:val="28"/>
          <w:rtl w:val="true"/>
          <w:lang w:bidi="ar-SA"/>
        </w:rPr>
        <w:t>الحمد للّه أوّلاً وآخراً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وظاهراً وباطناً</w:t>
      </w:r>
      <w:bookmarkStart w:id="396" w:name="pg16772_194529"/>
    </w:p>
    <w:p>
      <w:pPr>
        <w:pStyle w:val="Heading3"/>
        <w:numPr>
          <w:ilvl w:val="2"/>
          <w:numId w:val="1"/>
        </w:numPr>
        <w:rPr/>
      </w:pPr>
      <w:bookmarkStart w:id="397" w:name="__RefHeading___Toc6963659_73709187"/>
      <w:bookmarkStart w:id="398" w:name="_Toc148"/>
      <w:bookmarkEnd w:id="396"/>
      <w:bookmarkEnd w:id="397"/>
      <w:r>
        <w:rPr/>
        <w:t>2</w:t>
      </w:r>
      <w:r>
        <w:rPr>
          <w:rtl w:val="true"/>
        </w:rPr>
        <w:t xml:space="preserve"> </w:t>
      </w:r>
      <w:r>
        <w:rPr>
          <w:rtl w:val="true"/>
        </w:rPr>
        <w:t>الوحي</w:t>
      </w:r>
      <w:r>
        <w:rPr>
          <w:rtl w:val="true"/>
        </w:rPr>
        <w:t xml:space="preserve">: </w:t>
      </w:r>
      <w:r>
        <w:rPr>
          <w:rtl w:val="true"/>
        </w:rPr>
        <w:t>لغة واصطلاحاً</w:t>
      </w:r>
      <w:bookmarkEnd w:id="398"/>
    </w:p>
    <w:p>
      <w:pPr>
        <w:pStyle w:val="Heading4"/>
        <w:numPr>
          <w:ilvl w:val="3"/>
          <w:numId w:val="1"/>
        </w:numPr>
        <w:rPr/>
      </w:pPr>
      <w:bookmarkStart w:id="399" w:name="__RefHeading___Toc6963661_73709187"/>
      <w:bookmarkStart w:id="400" w:name="_Toc149"/>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الوحي في اللغة هو الإلقاء في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على ذلك ابن فارس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المقاييس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أئمة اللغة وإن ذكروا للوحي معانٍ مختلفة، لكن الجميع يرجع إلى أصل واحد وهو تعليم الغير بخفاء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والكتابة، والرسالة، والإلهام، والكلام الخفي، وكلّ ما ألقيتَه إلى غيرك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وحيتَ إليه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المستفاد من كلماتهم أنَّ الوحي هو الإعلام بخفاء بطريق من الطرق، و العنصر المقوّم لمعنى الوحي هو الخفاء، وأمّا غيره كالسرعة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بمقوّم لمعنى الوحي، كما أنّ الإشارة والكتابة والإلهام إلى القلب كلّها من طرق الوحي ووسائله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استعمل الوحي في القرآن الكريم في موارد مختلفة كلّها مصاديق لهذا المعنى الجامع،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تطبيق المعنى الكلّي على مصاديقه المختلفة المتنوّعة، وإليك البيان</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6963663_73709187"/>
      <w:bookmarkStart w:id="402" w:name="_Toc150"/>
      <w:bookmarkEnd w:id="401"/>
      <w:r>
        <w:rPr/>
        <w:t>1</w:t>
      </w:r>
      <w:r>
        <w:rPr>
          <w:rtl w:val="true"/>
        </w:rPr>
        <w:t xml:space="preserve">. </w:t>
      </w:r>
      <w:r>
        <w:rPr>
          <w:rtl w:val="true"/>
        </w:rPr>
        <w:t>تقدير الخلقة بالسنن والقوانين</w:t>
      </w:r>
      <w:bookmarkEnd w:id="40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اسْتَوى إِلَى السَّماءِ وَ هِيَ دُخانٌ فَقالَ لَها وَ لِلْأَرْضِ ائْتِيا طَوْعاً أَوْ كَرْهاً قالَتا أَتَيْنا طائِعِينَ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فِي يَوْمَيْنِ وَ أَوْحى‌</w:t>
      </w:r>
      <w:bookmarkStart w:id="403" w:name="pg16772_194530"/>
    </w:p>
    <w:p>
      <w:pPr>
        <w:pStyle w:val="BookText"/>
        <w:rPr/>
      </w:pPr>
      <w:bookmarkEnd w:id="403"/>
      <w:r>
        <w:rPr>
          <w:rFonts w:ascii="Amiri" w:hAnsi="Amiri" w:eastAsia="Amiri" w:cs="Amiri"/>
          <w:color w:val="111111"/>
          <w:sz w:val="28"/>
          <w:sz w:val="28"/>
          <w:szCs w:val="28"/>
          <w:rtl w:val="true"/>
          <w:lang w:bidi="ar-SA"/>
        </w:rPr>
        <w:t>فِي كُلِّ سَماءٍ أَمْرَها</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فِي كُلِّ سَماءٍ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 في كلّ سماء السننَ والأنظمةَ الكونيةَ وقدّر عليها دوامها إلى أجل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السماوات تلقّت هذه السنن والنظم بإيداع في خلقتها، استعير في التعبير لفظ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الشعور والإدراك ساريان في جميع مراتب الوجود من أعلاه كواجبه إلى أدناه كالهيولى في عالم التكوين، ولكن كلّ حسب درجته و مرتبته، فالسماوات تلقّت ما أوحى سبحانه إليها بخفاء، فقامت بامتثال ما أوحي إليها من الوظائف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الْإِنْسانُ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رَبَّكَ أَوْحى لَها</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6963665_73709187"/>
      <w:bookmarkStart w:id="405" w:name="_Toc151"/>
      <w:bookmarkEnd w:id="404"/>
      <w:r>
        <w:rPr/>
        <w:t>2</w:t>
      </w:r>
      <w:r>
        <w:rPr>
          <w:rtl w:val="true"/>
        </w:rPr>
        <w:t xml:space="preserve">. </w:t>
      </w:r>
      <w:r>
        <w:rPr>
          <w:rtl w:val="true"/>
        </w:rPr>
        <w:t>الإدراك والغريزة</w:t>
      </w:r>
      <w:bookmarkEnd w:id="40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أَوْحى رَبُّكَ إِلَى النَّحْلِ أَنِ اتَّخِذِي مِنَ الْجِبالِ بُيُوتاً وَ مِنَ الشَّجَرِ وَ مِمّا يَعْرِشُونَ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كُلِي مِنْ كُلِّ الثَّمَراتِ فَاسْلُكِي سُبُلَ رَبِّكِ ذُلُلاً</w:t>
      </w:r>
      <w:r>
        <w:rPr>
          <w:rFonts w:eastAsia="Amiri" w:cs="Amiri" w:ascii="Amiri" w:hAnsi="Amiri"/>
          <w:color w:val="111111"/>
          <w:sz w:val="28"/>
          <w:szCs w:val="28"/>
          <w:rtl w:val="true"/>
          <w:lang w:bidi="ar-SA"/>
        </w:rPr>
        <w:t>) .</w:t>
      </w:r>
      <w:r>
        <w:rPr>
          <w:rStyle w:val="FootnoteAnchor"/>
          <w:rtl w:val="true"/>
        </w:rPr>
        <w:footnoteReference w:id="27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فالأعمال المدهشة الخلّابة للعقول التي يقوم بها النحل في صنع بيوتها، والقيام بشؤون وظائفها ثم التجوّل بين البساتين، ومصّ رحيق الأزهار، ثم</w:t>
      </w:r>
      <w:bookmarkStart w:id="406" w:name="pg16772_194531"/>
    </w:p>
    <w:p>
      <w:pPr>
        <w:pStyle w:val="BookText"/>
        <w:rPr/>
      </w:pPr>
      <w:bookmarkEnd w:id="406"/>
      <w:r>
        <w:rPr>
          <w:rFonts w:ascii="Amiri" w:hAnsi="Amiri" w:eastAsia="Amiri" w:cs="Amiri"/>
          <w:color w:val="111111"/>
          <w:sz w:val="28"/>
          <w:sz w:val="28"/>
          <w:szCs w:val="28"/>
          <w:rtl w:val="true"/>
          <w:lang w:bidi="ar-SA"/>
        </w:rPr>
        <w:t>إيداعها في صفائح الشهد، شيء تتعلّمه بإيحاء من اللّه سبحانه، و ذلك بإيداع الغرائز الكفيلة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تأثّر النحل بها بخفاء وبلا التفات من الشعور والإدراك أُطلق عليه لفظ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هنا أيضاً معنى آخر وهو الذي ذكرناه في الوحي إلى السماء</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6963667_73709187"/>
      <w:bookmarkStart w:id="408" w:name="_Toc152"/>
      <w:bookmarkEnd w:id="407"/>
      <w:r>
        <w:rPr/>
        <w:t>3</w:t>
      </w:r>
      <w:r>
        <w:rPr>
          <w:rtl w:val="true"/>
        </w:rPr>
        <w:t xml:space="preserve">. </w:t>
      </w:r>
      <w:r>
        <w:rPr>
          <w:rtl w:val="true"/>
        </w:rPr>
        <w:t>الإلهام والإلقاء في القلب</w:t>
      </w:r>
      <w:bookmarkEnd w:id="408"/>
    </w:p>
    <w:p>
      <w:pPr>
        <w:pStyle w:val="BookText"/>
        <w:rPr/>
      </w:pPr>
      <w:r>
        <w:rPr>
          <w:rFonts w:ascii="Amiri" w:hAnsi="Amiri" w:eastAsia="Amiri" w:cs="Amiri"/>
          <w:color w:val="111111"/>
          <w:sz w:val="28"/>
          <w:sz w:val="28"/>
          <w:szCs w:val="28"/>
          <w:rtl w:val="true"/>
          <w:lang w:bidi="ar-SA"/>
        </w:rPr>
        <w:t>و قد استعمل الوحي في الإلقاء إلى القلب في موارد في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أَوْحَيْنا إِلى أُمِّ مُوسى أَنْ أَرْضِعِيهِ‌</w:t>
      </w:r>
      <w:r>
        <w:rPr>
          <w:rFonts w:eastAsia="Amiri" w:cs="Amiri" w:ascii="Amiri" w:hAnsi="Amiri"/>
          <w:color w:val="111111"/>
          <w:sz w:val="28"/>
          <w:szCs w:val="28"/>
          <w:rtl w:val="true"/>
          <w:lang w:bidi="ar-SA"/>
        </w:rPr>
        <w:t>)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أَوْحَيْتُ إِلَى الْحَوارِيِّينَ أَنْ آمِنُوا بِي وَ بِرَسُولِي</w:t>
      </w:r>
      <w:r>
        <w:rPr>
          <w:rFonts w:eastAsia="Amiri" w:cs="Amiri" w:ascii="Amiri" w:hAnsi="Amiri"/>
          <w:color w:val="111111"/>
          <w:sz w:val="28"/>
          <w:szCs w:val="28"/>
          <w:rtl w:val="true"/>
          <w:lang w:bidi="ar-SA"/>
        </w:rPr>
        <w:t>)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منها قوله تعالى في شأن يوسف عليه السلام عندما جعلوه في غيابة الجب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أَوْحَيْنا إِلَيْهِ لَتُنَبِّئَنَّهُمْ بِأَمْرِهِمْ هذا وَ 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إلى غير ذلك من الموارد</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6963669_73709187"/>
      <w:bookmarkStart w:id="410" w:name="_Toc153"/>
      <w:bookmarkEnd w:id="409"/>
      <w:r>
        <w:rPr/>
        <w:t>4</w:t>
      </w:r>
      <w:r>
        <w:rPr>
          <w:rtl w:val="true"/>
        </w:rPr>
        <w:t xml:space="preserve">. </w:t>
      </w:r>
      <w:r>
        <w:rPr>
          <w:rtl w:val="true"/>
        </w:rPr>
        <w:t>الإشارة</w:t>
      </w:r>
      <w:bookmarkEnd w:id="41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عَلى قَوْمِهِ مِنَ الْمِحْرابِ فَأَوْحى إِلَيْهِمْ أَنْ سَبِّحُوا بُكْرَةً وَ عَشِيًّا</w:t>
      </w:r>
      <w:r>
        <w:rPr>
          <w:rFonts w:eastAsia="Amiri" w:cs="Amiri" w:ascii="Amiri" w:hAnsi="Amiri"/>
          <w:color w:val="111111"/>
          <w:sz w:val="28"/>
          <w:szCs w:val="28"/>
          <w:rtl w:val="true"/>
          <w:lang w:bidi="ar-SA"/>
        </w:rPr>
        <w:t>) .</w:t>
      </w:r>
      <w:r>
        <w:rPr>
          <w:rStyle w:val="FootnoteAnchor"/>
          <w:rtl w:val="true"/>
        </w:rPr>
        <w:footnoteReference w:id="282"/>
      </w:r>
      <w:r>
        <w:rPr>
          <w:rFonts w:ascii="Amiri" w:hAnsi="Amiri" w:eastAsia="Amiri" w:cs="Amiri"/>
          <w:color w:val="111111"/>
          <w:sz w:val="28"/>
          <w:sz w:val="28"/>
          <w:szCs w:val="28"/>
          <w:rtl w:val="true"/>
          <w:lang w:bidi="ar-SA"/>
        </w:rPr>
        <w:t>وبما أنّه استخدم الإشارة في تفهيم مراده، فأشبه فعله إلقاء الكلام بخفاء، فصار ذلك مصحّحاً لاستعمال لفظ الوحي</w:t>
      </w:r>
      <w:r>
        <w:rPr>
          <w:rFonts w:eastAsia="Amiri" w:cs="Amiri" w:ascii="Amiri" w:hAnsi="Amiri"/>
          <w:color w:val="111111"/>
          <w:sz w:val="28"/>
          <w:szCs w:val="28"/>
          <w:rtl w:val="true"/>
          <w:lang w:bidi="ar-SA"/>
        </w:rPr>
        <w:t>.</w:t>
      </w:r>
      <w:bookmarkStart w:id="411" w:name="pg16772_194532"/>
    </w:p>
    <w:p>
      <w:pPr>
        <w:pStyle w:val="Heading4"/>
        <w:numPr>
          <w:ilvl w:val="3"/>
          <w:numId w:val="1"/>
        </w:numPr>
        <w:rPr/>
      </w:pPr>
      <w:bookmarkStart w:id="412" w:name="__RefHeading___Toc6963671_73709187"/>
      <w:bookmarkStart w:id="413" w:name="_Toc154"/>
      <w:bookmarkEnd w:id="411"/>
      <w:bookmarkEnd w:id="412"/>
      <w:r>
        <w:rPr/>
        <w:t>5</w:t>
      </w:r>
      <w:r>
        <w:rPr>
          <w:rtl w:val="true"/>
        </w:rPr>
        <w:t xml:space="preserve">. </w:t>
      </w:r>
      <w:r>
        <w:rPr>
          <w:rtl w:val="true"/>
        </w:rPr>
        <w:t>الإلقاءات الشيطانية</w:t>
      </w:r>
      <w:bookmarkEnd w:id="413"/>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 لِكُلِّ نَبِيٍّ عَدُوًّا شَياطِينَ الْإِنْسِ وَ الْجِنِّ يُوحِي بَعْضُهُمْ إِلى بَعْضٍ زُخْرُفَ الْقَوْلِ غُرُوراً</w:t>
      </w:r>
      <w:r>
        <w:rPr>
          <w:rFonts w:eastAsia="Amiri" w:cs="Amiri" w:ascii="Amiri" w:hAnsi="Amiri"/>
          <w:color w:val="111111"/>
          <w:sz w:val="28"/>
          <w:szCs w:val="28"/>
          <w:rtl w:val="true"/>
          <w:lang w:bidi="ar-SA"/>
        </w:rPr>
        <w:t>)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يعلم وجه استعمال الوحي هنا ممّا تقدّم ذكره</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6963673_73709187"/>
      <w:bookmarkStart w:id="415" w:name="_Toc155"/>
      <w:bookmarkEnd w:id="414"/>
      <w:r>
        <w:rPr/>
        <w:t>6</w:t>
      </w:r>
      <w:r>
        <w:rPr>
          <w:rtl w:val="true"/>
        </w:rPr>
        <w:t xml:space="preserve">. </w:t>
      </w:r>
      <w:r>
        <w:rPr>
          <w:rtl w:val="true"/>
        </w:rPr>
        <w:t>كلام اللّه المنزل على نبي من أنبيائه</w:t>
      </w:r>
      <w:bookmarkEnd w:id="41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يُوحِي إِلَيْكَ وَ إِلَى الَّذِينَ مِنْ قَبْلِكَ اللّهُ الْعَزِيزُ الْحَكِيمُ‌</w:t>
      </w:r>
      <w:r>
        <w:rPr>
          <w:rFonts w:eastAsia="Amiri" w:cs="Amiri" w:ascii="Amiri" w:hAnsi="Amiri"/>
          <w:color w:val="111111"/>
          <w:sz w:val="28"/>
          <w:szCs w:val="28"/>
          <w:rtl w:val="true"/>
          <w:lang w:bidi="ar-SA"/>
        </w:rPr>
        <w:t>)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قد عرّف هذا النوع من الوحي بأنّه تعليمه تعالى من اصطفاه من عباده كلّما أراد اطّلاعه على ألوان الهداية وأشكال العلم ولكن بطريقة خفية غير معتادة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حصيلة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للوحي معنى واحداً، وله مصاديق متنوعة، وليست هي بمعان متكثّرة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حقيقة الوحي تعليم غيبي لمن اصطفاه سبحانه من عباده، لايشابه الطرق المألوفة بين العباد، وإن أردت المزيد من الاطّلاع فإليك البيان التالي</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6963675_73709187"/>
      <w:bookmarkStart w:id="417" w:name="_Toc156"/>
      <w:bookmarkEnd w:id="416"/>
      <w:r>
        <w:rPr>
          <w:rtl w:val="true"/>
        </w:rPr>
        <w:t>قنوات المعرفة الثلاث</w:t>
      </w:r>
      <w:bookmarkEnd w:id="417"/>
    </w:p>
    <w:p>
      <w:pPr>
        <w:pStyle w:val="Heading5"/>
        <w:numPr>
          <w:ilvl w:val="4"/>
          <w:numId w:val="1"/>
        </w:numPr>
        <w:rPr/>
      </w:pPr>
      <w:bookmarkStart w:id="418" w:name="__RefHeading___Toc6963677_73709187"/>
      <w:bookmarkStart w:id="419" w:name="_Toc157"/>
      <w:bookmarkEnd w:id="418"/>
      <w:r>
        <w:rPr>
          <w:rtl w:val="true"/>
        </w:rPr>
        <w:t>اشارة</w:t>
      </w:r>
      <w:bookmarkEnd w:id="41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أمام الإنسان طرقاً ثلاثة للوصول إلى مقاصده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يستفيد منه جموع الناس غالباً، بينما تستفيد طائفة خاصّة منهم من الطريق الثاني،</w:t>
      </w:r>
      <w:bookmarkStart w:id="420" w:name="pg16772_194533"/>
    </w:p>
    <w:p>
      <w:pPr>
        <w:pStyle w:val="BookText"/>
        <w:rPr/>
      </w:pPr>
      <w:bookmarkEnd w:id="420"/>
      <w:r>
        <w:rPr>
          <w:rFonts w:ascii="Amiri" w:hAnsi="Amiri" w:eastAsia="Amiri" w:cs="Amiri"/>
          <w:color w:val="111111"/>
          <w:sz w:val="28"/>
          <w:sz w:val="28"/>
          <w:szCs w:val="28"/>
          <w:rtl w:val="true"/>
          <w:lang w:bidi="ar-SA"/>
        </w:rPr>
        <w:t>ولايستفيد من الطريق الثالث إلّاأفراد معدودون تكاملت عقولهم وتسامت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كالتالي</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6963679_73709187"/>
      <w:bookmarkStart w:id="422" w:name="_Toc158"/>
      <w:bookmarkEnd w:id="421"/>
      <w:r>
        <w:rPr/>
        <w:t>1</w:t>
      </w:r>
      <w:r>
        <w:rPr>
          <w:rtl w:val="true"/>
        </w:rPr>
        <w:t xml:space="preserve">. </w:t>
      </w:r>
      <w:r>
        <w:rPr>
          <w:rtl w:val="true"/>
        </w:rPr>
        <w:t>الطريق الحسّي والتجربي</w:t>
      </w:r>
      <w:bookmarkEnd w:id="422"/>
    </w:p>
    <w:p>
      <w:pPr>
        <w:pStyle w:val="BookText"/>
        <w:rPr/>
      </w:pPr>
      <w:r>
        <w:rPr>
          <w:rFonts w:ascii="Amiri" w:hAnsi="Amiri" w:eastAsia="Amiri" w:cs="Amiri"/>
          <w:color w:val="111111"/>
          <w:sz w:val="28"/>
          <w:sz w:val="28"/>
          <w:szCs w:val="28"/>
          <w:rtl w:val="true"/>
          <w:lang w:bidi="ar-SA"/>
        </w:rPr>
        <w:t>و المقصود منه الإدراكات والمعلومات الواردة إلى الذهن عن طريق الحواس الظاهرية، أو بفضل التجربة التي أُسّست الحضارة المعاصرة عليها</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6963681_73709187"/>
      <w:bookmarkStart w:id="424" w:name="_Toc159"/>
      <w:bookmarkEnd w:id="423"/>
      <w:r>
        <w:rPr/>
        <w:t>2</w:t>
      </w:r>
      <w:r>
        <w:rPr>
          <w:rtl w:val="true"/>
        </w:rPr>
        <w:t xml:space="preserve">. </w:t>
      </w:r>
      <w:r>
        <w:rPr>
          <w:rtl w:val="true"/>
        </w:rPr>
        <w:t>الطريق التعقّلي النظري</w:t>
      </w:r>
      <w:bookmarkEnd w:id="424"/>
    </w:p>
    <w:p>
      <w:pPr>
        <w:pStyle w:val="BookText"/>
        <w:rPr/>
      </w:pPr>
      <w:r>
        <w:rPr>
          <w:rFonts w:ascii="Amiri" w:hAnsi="Amiri" w:eastAsia="Amiri" w:cs="Amiri"/>
          <w:color w:val="111111"/>
          <w:sz w:val="28"/>
          <w:sz w:val="28"/>
          <w:szCs w:val="28"/>
          <w:rtl w:val="true"/>
          <w:lang w:bidi="ar-SA"/>
        </w:rPr>
        <w:t>إنّ المفكّرين يتوصّلون إلى كشف الأُمور الخارجة عن إطار الحسّ والتجربة عن طريق الاستدلال وإعمال النظر وإنهاء المجهولات إلى البديهيات، وقد توصّل البشر بهذا الطريق إلى المسائل الفلسفية الكلّية وما يضاهيها</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6963683_73709187"/>
      <w:bookmarkStart w:id="426" w:name="_Toc160"/>
      <w:bookmarkEnd w:id="425"/>
      <w:r>
        <w:rPr/>
        <w:t>3</w:t>
      </w:r>
      <w:r>
        <w:rPr>
          <w:rtl w:val="true"/>
        </w:rPr>
        <w:t xml:space="preserve">. </w:t>
      </w:r>
      <w:r>
        <w:rPr>
          <w:rtl w:val="true"/>
        </w:rPr>
        <w:t>طريق الإلهام</w:t>
      </w:r>
      <w:bookmarkEnd w:id="426"/>
    </w:p>
    <w:p>
      <w:pPr>
        <w:pStyle w:val="BookText"/>
        <w:rPr/>
      </w:pPr>
      <w:r>
        <w:rPr>
          <w:rFonts w:ascii="Amiri" w:hAnsi="Amiri" w:eastAsia="Amiri" w:cs="Amiri"/>
          <w:color w:val="111111"/>
          <w:sz w:val="28"/>
          <w:sz w:val="28"/>
          <w:szCs w:val="28"/>
          <w:rtl w:val="true"/>
          <w:lang w:bidi="ar-SA"/>
        </w:rPr>
        <w:t>و هذا هو الطريق الثالث وهو فوق نطاق الحس والتعقّل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نوع جديد من المعرفة، ونمط متميّز من إدراك الحقائق ليس محالاً من وجهة نظر العلم، وإن كان يصعب على أصحاب الاتّجاه المادي، قبوله لكونه طريقاً خارجاً عن إطار الحسّ والتعقّل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طريق التعرّف على حقائق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منهج المادّيين وأصحاب النزعة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ينحصر في قناتين لاغير، وهما اللّذان سبق ذكرهما، في حين أنّ هنا حسب نظر الإلهيين قناة ثالثة أيضاً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الطريق الثالث أقوى أسساً وأوسع آفاقاً عند مَن يدّعون الرسالة و</w:t>
      </w:r>
      <w:bookmarkStart w:id="427" w:name="pg16772_194534"/>
    </w:p>
    <w:p>
      <w:pPr>
        <w:pStyle w:val="BookText"/>
        <w:rPr/>
      </w:pPr>
      <w:bookmarkEnd w:id="427"/>
      <w:r>
        <w:rPr>
          <w:rFonts w:ascii="Amiri" w:hAnsi="Amiri" w:eastAsia="Amiri" w:cs="Amiri"/>
          <w:color w:val="111111"/>
          <w:sz w:val="28"/>
          <w:sz w:val="28"/>
          <w:szCs w:val="28"/>
          <w:rtl w:val="true"/>
          <w:lang w:bidi="ar-SA"/>
        </w:rPr>
        <w:t>النبوة من جانب اللّه سبحانه، وأنّ نفوس أولئك الأشخاص لتبدوا أكثر صفاءً وطراوة وزهواً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 حصلت صلة بين اللّه سبحانه وفرد من أفراد النوع الإنساني على نحو تلقّي الحقائق من دون توسيط الحواس واعمال الفكر، يسمّى بالإلهام تارة، والإشراق أُخرى، وكلّما نتجت من هذا الارتباط سلسلة تعاليم عامّة يطلق عليها اسم الوحي ويسمّى المتلقّي نبياً، ومن هنا اعتبر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المطمئنة الوحيدة إلى المعرفة العامّة</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6963685_73709187"/>
      <w:bookmarkStart w:id="429" w:name="_Toc161"/>
      <w:bookmarkEnd w:id="428"/>
      <w:r>
        <w:rPr>
          <w:rtl w:val="true"/>
        </w:rPr>
        <w:t>أنواع الوحي وأقسامه</w:t>
      </w:r>
      <w:r>
        <w:rPr>
          <w:rtl w:val="true"/>
        </w:rPr>
        <w:t>:</w:t>
      </w:r>
      <w:bookmarkEnd w:id="429"/>
    </w:p>
    <w:p>
      <w:pPr>
        <w:pStyle w:val="Heading5"/>
        <w:numPr>
          <w:ilvl w:val="4"/>
          <w:numId w:val="1"/>
        </w:numPr>
        <w:rPr/>
      </w:pPr>
      <w:bookmarkStart w:id="430" w:name="__RefHeading___Toc6963687_73709187"/>
      <w:bookmarkStart w:id="431" w:name="_Toc162"/>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إنّ النبي تارة يتلقّى الوحي، على نحو الإلهام في القلب، وأُخرى يسمع عبارات وكلمات من وراء حجاب، كسماع موسى عليه السلام كلام اللّه سبحانه في الطور، وثالثة تنكشف الحقائق له في عالم الرؤيا انكشاف النهار كرؤيا إبراهيم الخليل عليه السلام ذبح ولده إسماعيل، ورابعة ينزل عليه ملك من جانب اللّه تعالى معه كلامه سبحانه، ويسمّى الملك بالروح الأمين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الطرق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سوى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إليها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لِبَشَرٍ أَنْ يُكَلِّمَهُ اللّهُ إِلاّ وَحْياً أَوْ مِنْ وَراءِ حِجابٍ‌</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وإلى نزول الملك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يُرْسِلَ رَسُولاً</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الرؤيا الصادقة فيكفي في ذلك قوله سبحانه حاكياً عن الخليل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إِنِّي أَرى فِي الْمَنامِ أَنِّي أَذْبَحُكَ فَانْظُرْ ما ذا تَرى قالَ يا أَبَتِ‌</w:t>
      </w:r>
      <w:bookmarkStart w:id="432" w:name="pg16772_194535"/>
    </w:p>
    <w:p>
      <w:pPr>
        <w:pStyle w:val="BookText"/>
        <w:rPr/>
      </w:pPr>
      <w:bookmarkEnd w:id="432"/>
      <w:r>
        <w:rPr>
          <w:rFonts w:ascii="Amiri" w:hAnsi="Amiri" w:eastAsia="Amiri" w:cs="Amiri"/>
          <w:color w:val="111111"/>
          <w:sz w:val="28"/>
          <w:sz w:val="28"/>
          <w:szCs w:val="28"/>
          <w:rtl w:val="true"/>
          <w:lang w:bidi="ar-SA"/>
        </w:rPr>
        <w:t>اِفْعَلْ ما تُؤْمَرُ سَتَجِدُنِي إِنْ شاءَ اللّهُ مِنَ الصّابِرِينَ‌</w:t>
      </w:r>
      <w:r>
        <w:rPr>
          <w:rFonts w:eastAsia="Amiri" w:cs="Amiri" w:ascii="Amiri" w:hAnsi="Amiri"/>
          <w:color w:val="111111"/>
          <w:sz w:val="28"/>
          <w:szCs w:val="28"/>
          <w:rtl w:val="true"/>
          <w:lang w:bidi="ar-SA"/>
        </w:rPr>
        <w:t>)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فلو لم تكن رؤيا الخليل إدراكاً قطعياً واتّضح بها وجه الحقيقة كفلق الصبح، لما أخبر ولده بها ولا أجابه الولد بالامتثال طائعاً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أُشير إلى الملك الحامل لكلام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إنّ هناك مَن يحاول أن يفسّر الوحي بالأُصول المادّية والطرق الحسيّة، و لهم في ذلك آراء ونظريات يشبه كثيرها كلام بعض المشركين في تفهيم معنى الوحي والقرآن الكريم وإليك بيان اثنتين من هذه النظريات</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6963689_73709187"/>
      <w:bookmarkStart w:id="434" w:name="_Toc163"/>
      <w:bookmarkEnd w:id="433"/>
      <w:r>
        <w:rPr/>
        <w:t>1</w:t>
      </w:r>
      <w:r>
        <w:rPr>
          <w:rtl w:val="true"/>
        </w:rPr>
        <w:t xml:space="preserve">. </w:t>
      </w:r>
      <w:r>
        <w:rPr>
          <w:rtl w:val="true"/>
        </w:rPr>
        <w:t>الوحي وليد النبوغ</w:t>
      </w:r>
      <w:bookmarkEnd w:id="43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يتميّز بين أفراد الإنسان المتحضّر أشخاص يملكون فطرة سليمة، وعقولاً مشرقة، تهديهم إلى ما فيه صلاح المجتمع وسعادة الإنسان فيضعون قوانين، فيها مصلحة المجتمع وعمارة الدنيا، والإنسان المتصدّي لهذه الوظيفة هو النبي، والفكر المترشّح من مكامن عقله وومضات نبوغه، هو الوحي، والقوانين التي يسنّها لصلاح المجتمع هي الدين، والروح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نفسه الطاهرة التي تفيض هذه السنن والقوانين إلى مراكز إدراكه، والكتاب السماوي هو كتابه الذي يتضّمن تلك السنن والقوانين، والملائكة التي ترافقه في حلّه وترحاله هي القوى الطبيعية، والشيطان الذي ينابذه وينادده هو</w:t>
      </w:r>
    </w:p>
    <w:p>
      <w:pPr>
        <w:pStyle w:val="BookText"/>
        <w:rPr/>
      </w:pPr>
      <w:r>
        <w:rPr>
          <w:rFonts w:ascii="Amiri" w:hAnsi="Amiri" w:eastAsia="Amiri" w:cs="Amiri"/>
          <w:color w:val="111111"/>
          <w:sz w:val="28"/>
          <w:sz w:val="28"/>
          <w:szCs w:val="28"/>
          <w:rtl w:val="true"/>
          <w:lang w:bidi="ar-SA"/>
        </w:rPr>
        <w:t>النفس الأمّارة بالسوء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 النبوّة بالنبوغ، وإن صيغ في قالب علمي جديد، ليس نظرية جديدة بحدّ ذاتها فإن جذوره تمتد إلى عصر المشركين المعاصرين للنبي الأكرم صلى الله عليه و آله و سلم، فإنّهم كانوا يحسّون بحالة الانجذاب للقرآن وبلاغته الخلّابة فينسبونه إلى الشعر ويصفون قائله بالشاعر، قال سبحانه حاكياً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شاعِرٌ فَلْيَأْتِنا بِآيَةٍ كَما أُرْسِلَ الْأَوَّلُونَ‌</w:t>
      </w:r>
      <w:r>
        <w:rPr>
          <w:rFonts w:eastAsia="Amiri" w:cs="Amiri" w:ascii="Amiri" w:hAnsi="Amiri"/>
          <w:color w:val="111111"/>
          <w:sz w:val="28"/>
          <w:szCs w:val="28"/>
          <w:rtl w:val="true"/>
          <w:lang w:bidi="ar-SA"/>
        </w:rPr>
        <w:t>)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 يجيبهم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عَلَّمْناهُ الشِّعْرَ وَ ما يَنْبَغِي لَهُ إِنْ هُوَ إِلاّ ذِكْرٌ وَ قُرْآنٌ مُبِينٌ‌</w:t>
      </w:r>
      <w:r>
        <w:rPr>
          <w:rFonts w:eastAsia="Amiri" w:cs="Amiri" w:ascii="Amiri" w:hAnsi="Amiri"/>
          <w:color w:val="111111"/>
          <w:sz w:val="28"/>
          <w:szCs w:val="28"/>
          <w:rtl w:val="true"/>
          <w:lang w:bidi="ar-SA"/>
        </w:rPr>
        <w:t>)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إنّ هذه النظرية أُسّست على إنكار ما وراء الطبيعة حيث صار الوجود عندهم مساوقاً للمادّة فلم يجدوا منتدحاً عن تفسير الوحي بما جاء في هذه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أنّا إذا سبرنا تاريخ المصلحين في العالم نجدهم على فئتين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فئة تتكلّم باسم الدين الإلهي، وتخبر عن اللّه سبحانه وتنسب كلّ ما يأمر وينهى إلى عالم الغيب، ولايرى لنفسه شأناً سوى كونه مبلّغاً لرسالات اللّه ومؤدّياً لبلاغها وإنذارها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فئة تتكلم باسم المصلح الاجتماعي، وينسب كلّ ما يتفوّه به إلى بنات فكره وعقله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صحّت تلك النظرية لما كان لهذا التقسيم مفهوم صحيح، وعندئذ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نسبت الفئة الأُولى ما جاءُوا به من التعاليم إلى عالم الغيب</w:t>
      </w:r>
    </w:p>
    <w:p>
      <w:pPr>
        <w:pStyle w:val="BookText"/>
        <w:rPr/>
      </w:pPr>
      <w:r>
        <w:rPr>
          <w:rFonts w:ascii="Amiri" w:hAnsi="Amiri" w:eastAsia="Amiri" w:cs="Amiri"/>
          <w:color w:val="111111"/>
          <w:sz w:val="28"/>
          <w:sz w:val="28"/>
          <w:szCs w:val="28"/>
          <w:rtl w:val="true"/>
          <w:lang w:bidi="ar-SA"/>
        </w:rPr>
        <w:t>مع أنّه من ومضات فكرتهم‌؟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ومن جانب آخر أنّ المصلحين باسم الأنبياء كانوا رجالاً صادقين وصالحين لم يبدر منهم ما ينافي صدقهم وصلاحهم، وهذا إن دلّ على شيء فإنّما يدلّ على أنّهم كانوا يحسّون من صميم ذاتهم بأنّهم مبعوثون من جانبه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النظرية التي تفسّر الوحي بالنبوغ وتوسم الأنبياء بالنوابغ، لم تدرس أحوال النوابغ والعلل والمبادئ، التي يرتكز عليها النبوغ حتى تقف على أنّ أحوال الأنبياء على طرفي نقيض من أحوالهم، فإنّ أفكار النوابغ تتوقّد وتزدهر تحت لواء المجتمعات الراقية وظل الحضارات الإنسانية، وأمّا المجتمعات المتخلّفة فلو كانت تمتلك نوابغ بالذات لأخمد فيها ذكاؤهم وبارت فيها فطنتهم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الظروف التي كانت يعيش فيها الأنبياء خصوصاً النّبي الخاتم صلى الله عليه و آله و سلم فقد كانت على نقيض هذا الجانب فقد بعث صلى الله عليه و آله و سلم بين قوم يغطّون في سبات التخلّف والانحطاط فكيف يمكن تفسير النبوة الخاتمة بالنبوغ مع هذا البون الشاسع بين ظروف النوابغ وبيئة خاتم المرسلين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النوابغ تسودهم العزلة والانزواء مع أنّ النبي الأكرم صلى الله عليه و آله و سلم كان بين الناس يعيش معهم في حياتهم الاجتماعية وإن لم يكن على سيرتهم وسلوكهم فقد قضى عمره في الرعي والتجارة إلى أن بعثه اللّه سبحانه نبياً لهداية الأُمّة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أنّى للنوابغ الكتاب المُعجز الذي حارت فيه العقول وخرست الالسن عن النطق بمثله؛ وأين لهم هذه النُّظُم والتشريعات الحيّة النابضة التي تتلاءم</w:t>
      </w:r>
      <w:bookmarkStart w:id="435" w:name="pg16772_194538"/>
    </w:p>
    <w:p>
      <w:pPr>
        <w:pStyle w:val="BookText"/>
        <w:rPr/>
      </w:pPr>
      <w:bookmarkEnd w:id="435"/>
      <w:r>
        <w:rPr>
          <w:rFonts w:ascii="Amiri" w:hAnsi="Amiri" w:eastAsia="Amiri" w:cs="Amiri"/>
          <w:color w:val="111111"/>
          <w:sz w:val="28"/>
          <w:sz w:val="28"/>
          <w:szCs w:val="28"/>
          <w:rtl w:val="true"/>
          <w:lang w:bidi="ar-SA"/>
        </w:rPr>
        <w:t xml:space="preserve">وتنسجم مع جميع الحضارات الإنسانية فهي كما وصفها شبلي شمّيل اللبناني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إلى السيد محمد رشيد رضا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تنظر الى محمد كنبي وتجعله عظيماً، وأنا أنظر اليه كرجل واجعله أعظم، ونحن وإن كنّا في الاعتقاد على طرفي نقيض، فالجامع بيننا العقل الواسع والإخلاص في القول، وذلك أوثق لنا لعرى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أولى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من محمد في صدى آياته ما قد نحاه للحمة الغايات</w:t>
      </w:r>
    </w:p>
    <w:p>
      <w:pPr>
        <w:pStyle w:val="BookText"/>
        <w:rPr/>
      </w:pPr>
      <w:r>
        <w:rPr>
          <w:rFonts w:ascii="Amiri" w:hAnsi="Amiri" w:eastAsia="Amiri" w:cs="Amiri"/>
          <w:color w:val="111111"/>
          <w:sz w:val="28"/>
          <w:sz w:val="28"/>
          <w:szCs w:val="28"/>
          <w:rtl w:val="true"/>
          <w:lang w:bidi="ar-SA"/>
        </w:rPr>
        <w:t>إنّي وإن أكُ قد كفرت بدينه هل أكفرن بمحكم الآيات‌؟</w:t>
      </w:r>
    </w:p>
    <w:p>
      <w:pPr>
        <w:pStyle w:val="BookText"/>
        <w:rPr/>
      </w:pPr>
      <w:r>
        <w:rPr>
          <w:rFonts w:ascii="Amiri" w:hAnsi="Amiri" w:eastAsia="Amiri" w:cs="Amiri"/>
          <w:color w:val="111111"/>
          <w:sz w:val="28"/>
          <w:sz w:val="28"/>
          <w:szCs w:val="28"/>
          <w:rtl w:val="true"/>
          <w:lang w:bidi="ar-SA"/>
        </w:rPr>
        <w:t>أو ما حوت في ناصع الألفاظ من حِكَم روادع للهوى وعظات</w:t>
      </w:r>
    </w:p>
    <w:p>
      <w:pPr>
        <w:pStyle w:val="BookText"/>
        <w:rPr/>
      </w:pPr>
      <w:r>
        <w:rPr>
          <w:rFonts w:ascii="Amiri" w:hAnsi="Amiri" w:eastAsia="Amiri" w:cs="Amiri"/>
          <w:color w:val="111111"/>
          <w:sz w:val="28"/>
          <w:sz w:val="28"/>
          <w:szCs w:val="28"/>
          <w:rtl w:val="true"/>
          <w:lang w:bidi="ar-SA"/>
        </w:rPr>
        <w:t>و شرائع لو أنّهم عقلوا بها ما قيدوا العمران بالعادات</w:t>
      </w:r>
    </w:p>
    <w:p>
      <w:pPr>
        <w:pStyle w:val="BookText"/>
        <w:rPr/>
      </w:pPr>
      <w:r>
        <w:rPr>
          <w:rFonts w:ascii="Amiri" w:hAnsi="Amiri" w:eastAsia="Amiri" w:cs="Amiri"/>
          <w:color w:val="111111"/>
          <w:sz w:val="28"/>
          <w:sz w:val="28"/>
          <w:szCs w:val="28"/>
          <w:rtl w:val="true"/>
          <w:lang w:bidi="ar-SA"/>
        </w:rPr>
        <w:t>نعم المدبر والحكيم وإنّه رب الفصاحة مصطفى الكلمات</w:t>
      </w:r>
    </w:p>
    <w:p>
      <w:pPr>
        <w:pStyle w:val="BookText"/>
        <w:rPr/>
      </w:pPr>
      <w:r>
        <w:rPr>
          <w:rFonts w:ascii="Amiri" w:hAnsi="Amiri" w:eastAsia="Amiri" w:cs="Amiri"/>
          <w:color w:val="111111"/>
          <w:sz w:val="28"/>
          <w:sz w:val="28"/>
          <w:szCs w:val="28"/>
          <w:rtl w:val="true"/>
          <w:lang w:bidi="ar-SA"/>
        </w:rPr>
        <w:t>رجل الحجى رجل السياسة والدهاء بطل حليف النصر في الغارات</w:t>
      </w:r>
    </w:p>
    <w:p>
      <w:pPr>
        <w:pStyle w:val="BookText"/>
        <w:rPr/>
      </w:pPr>
      <w:r>
        <w:rPr>
          <w:rFonts w:ascii="Amiri" w:hAnsi="Amiri" w:eastAsia="Amiri" w:cs="Amiri"/>
          <w:color w:val="111111"/>
          <w:sz w:val="28"/>
          <w:sz w:val="28"/>
          <w:szCs w:val="28"/>
          <w:rtl w:val="true"/>
          <w:lang w:bidi="ar-SA"/>
        </w:rPr>
        <w:t>ببلاغة القرآن قد خلب النُّهى و بسيفه أنحى على الهامات</w:t>
      </w:r>
    </w:p>
    <w:p>
      <w:pPr>
        <w:pStyle w:val="BookText"/>
        <w:rPr/>
      </w:pPr>
      <w:r>
        <w:rPr>
          <w:rFonts w:ascii="Amiri" w:hAnsi="Amiri" w:eastAsia="Amiri" w:cs="Amiri"/>
          <w:color w:val="111111"/>
          <w:sz w:val="28"/>
          <w:sz w:val="28"/>
          <w:szCs w:val="28"/>
          <w:rtl w:val="true"/>
          <w:lang w:bidi="ar-SA"/>
        </w:rPr>
        <w:t>من دونه الأبطال في كل الورى من سابق أو غائب أو آت</w:t>
      </w:r>
    </w:p>
    <w:p>
      <w:pPr>
        <w:pStyle w:val="Heading5"/>
        <w:numPr>
          <w:ilvl w:val="4"/>
          <w:numId w:val="1"/>
        </w:numPr>
        <w:rPr/>
      </w:pPr>
      <w:bookmarkStart w:id="436" w:name="__RefHeading___Toc6963691_73709187"/>
      <w:bookmarkStart w:id="437" w:name="_Toc164"/>
      <w:bookmarkEnd w:id="436"/>
      <w:r>
        <w:rPr/>
        <w:t>2</w:t>
      </w:r>
      <w:r>
        <w:rPr>
          <w:rtl w:val="true"/>
        </w:rPr>
        <w:t xml:space="preserve">. </w:t>
      </w:r>
      <w:r>
        <w:rPr>
          <w:rtl w:val="true"/>
        </w:rPr>
        <w:t>الوحي ثمرة الأحوال الروحية</w:t>
      </w:r>
      <w:bookmarkEnd w:id="43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النظرية الثانية هي التي يعتمد عليها المستشرقون في تحليل نبوة النبي الأكرم صلى الله عليه و آله و سلم وفسّرها من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أميل درمنغام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الوحي إلهام يفيض من نفس النبي إليه لا من الخارج؛ وذلك أنّ سريرته الطاهرة، وقوة إيمانه باللّه، والاعتقاد بوجوب عبادته، وترك ما سواها من عبادة وثنية وتقاليد وراثية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موبوءة يحدث في عقله الباطن، الرؤى والأحوال الروحية فيتصّور ما يعتقد وجوبه، إرشاداً إليه، نازلاً عليه من السماء بدون وساطة، أو يتمثّل له رجل يلقِّنه ذلك، يعتقد أنّه ملك من عالم الغيب، وقد يسمعه يقول ذلك، ولكنّه إنّما يرى ويسمع مثل ذلك في المنام الذي هو مظهر من مظاهر الوحي، عند جميع الأنبياء فكلّما يخبر به النبي أنّه كلام أُلقي في روعه، أو ملك ألقاه على سمعه، فهو خبر صادق عنده</w:t>
      </w:r>
      <w:r>
        <w:rPr>
          <w:rFonts w:eastAsia="Amiri" w:cs="Amiri" w:ascii="Amiri" w:hAnsi="Amiri"/>
          <w:color w:val="111111"/>
          <w:sz w:val="28"/>
          <w:szCs w:val="28"/>
          <w:rtl w:val="true"/>
          <w:lang w:bidi="ar-SA"/>
        </w:rPr>
        <w:t>.</w:t>
      </w:r>
      <w:r>
        <w:rPr>
          <w:rStyle w:val="FootnoteAnchor"/>
          <w:rtl w:val="true"/>
        </w:rPr>
        <w:footnoteReference w:id="291"/>
      </w:r>
      <w:bookmarkStart w:id="438" w:name="pg16772_194540"/>
    </w:p>
    <w:p>
      <w:pPr>
        <w:pStyle w:val="Heading5"/>
        <w:numPr>
          <w:ilvl w:val="4"/>
          <w:numId w:val="1"/>
        </w:numPr>
        <w:rPr/>
      </w:pPr>
      <w:bookmarkStart w:id="439" w:name="__RefHeading___Toc6963693_73709187"/>
      <w:bookmarkStart w:id="440" w:name="_Toc165"/>
      <w:bookmarkEnd w:id="438"/>
      <w:bookmarkEnd w:id="439"/>
      <w:r>
        <w:rPr>
          <w:rtl w:val="true"/>
        </w:rPr>
        <w:t>نبوة أو أضغاث أحلام‌؟</w:t>
      </w:r>
      <w:r>
        <w:rPr>
          <w:rtl w:val="true"/>
        </w:rPr>
        <w:t>!</w:t>
      </w:r>
      <w:bookmarkEnd w:id="440"/>
    </w:p>
    <w:p>
      <w:pPr>
        <w:pStyle w:val="BookText"/>
        <w:rPr/>
      </w:pPr>
      <w:r>
        <w:rPr>
          <w:rFonts w:ascii="Amiri" w:hAnsi="Amiri" w:eastAsia="Amiri" w:cs="Amiri"/>
          <w:color w:val="111111"/>
          <w:sz w:val="28"/>
          <w:sz w:val="28"/>
          <w:szCs w:val="28"/>
          <w:rtl w:val="true"/>
          <w:lang w:bidi="ar-SA"/>
        </w:rPr>
        <w:t>و يلاحظ على تلك النظرية أنّها ليست بشيء جديد وإن كانت قد تنطلي على السُّذِّج من الناس بِأنّها نظرية جديدة ذات قيمة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الذكر الحكيم يحكي لنا مقالة المشركين في سالف عهدهم في حق النبي الأكرم صلى الله عليه و آله و سلم، وكتابه حيث كانوا يحلّلون نبوته والوحي المنزل عليه، بأنّها أضغاث أحلام، قال تعالى حكاية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أَضْغاثُ أَحْلامٍ‌</w:t>
      </w:r>
      <w:r>
        <w:rPr>
          <w:rFonts w:eastAsia="Amiri" w:cs="Amiri" w:ascii="Amiri" w:hAnsi="Amiri"/>
          <w:color w:val="111111"/>
          <w:sz w:val="28"/>
          <w:szCs w:val="28"/>
          <w:rtl w:val="true"/>
          <w:lang w:bidi="ar-SA"/>
        </w:rPr>
        <w:t xml:space="preserve">) * </w:t>
      </w:r>
      <w:r>
        <w:rPr>
          <w:rStyle w:val="FootnoteAnchor"/>
          <w:rtl w:val="true"/>
        </w:rPr>
        <w:footnoteReference w:id="292"/>
      </w:r>
      <w:r>
        <w:rPr>
          <w:rFonts w:ascii="Amiri" w:hAnsi="Amiri" w:eastAsia="Amiri" w:cs="Amiri"/>
          <w:color w:val="111111"/>
          <w:sz w:val="28"/>
          <w:sz w:val="28"/>
          <w:szCs w:val="28"/>
          <w:rtl w:val="true"/>
          <w:lang w:bidi="ar-SA"/>
        </w:rPr>
        <w:t>أي أنّ ما يحكيه عن اللّه تبارك وتعالى، إنّما هو وحي الأحلام يجري على لسانه، وعلى ذلك فليست تلك النظرية إلّاتفسير للنبوة بالجنون الذي هو منشأ لتجلّي النزعات الخيالية، فاستغله المستشرقون، واستعرضوه بثوب جديد يؤمّهم السُّذَج وصوّروه بأنّه تحليل علمي بُني على أساس علمي رصين، ولكنّ المساكين غير واقفين على أنّه نفس النظرية الجاهلية التي جوبه بها النبي حيث قالوا كما يحكيه عنهم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 نُزِّلَ عَلَيْهِ الذِّكْرُ إِنَّكَ لَمَجْنُونٌ‌</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حكيت هذه التهمة عن لسان المشركين في غير سورة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يا رب ما أعظم جناية الإنسان على الصالحين البالغين ذروة الكمال في العقل والدراية حتى وسمهم هؤلاء المفترون تارة بالخبطة، وأُخرى بالمسّ‌، وثالثة بالجنون</w:t>
      </w:r>
      <w:r>
        <w:rPr>
          <w:rFonts w:eastAsia="Amiri" w:cs="Amiri" w:ascii="Amiri" w:hAnsi="Amiri"/>
          <w:color w:val="111111"/>
          <w:sz w:val="28"/>
          <w:szCs w:val="28"/>
          <w:rtl w:val="true"/>
          <w:lang w:bidi="ar-SA"/>
        </w:rPr>
        <w:t>.</w:t>
      </w:r>
      <w:r>
        <w:rPr>
          <w:rStyle w:val="FootnoteAnchor"/>
          <w:rtl w:val="true"/>
        </w:rPr>
        <w:footnoteReference w:id="294"/>
      </w:r>
      <w:bookmarkStart w:id="441" w:name="pg16772_194541"/>
    </w:p>
    <w:p>
      <w:pPr>
        <w:pStyle w:val="Heading3"/>
        <w:numPr>
          <w:ilvl w:val="2"/>
          <w:numId w:val="1"/>
        </w:numPr>
        <w:rPr/>
      </w:pPr>
      <w:bookmarkStart w:id="442" w:name="__RefHeading___Toc6963695_73709187"/>
      <w:bookmarkStart w:id="443" w:name="_Toc166"/>
      <w:bookmarkEnd w:id="441"/>
      <w:bookmarkEnd w:id="442"/>
      <w:r>
        <w:rPr/>
        <w:t>3</w:t>
      </w:r>
      <w:r>
        <w:rPr>
          <w:rtl w:val="true"/>
        </w:rPr>
        <w:t xml:space="preserve"> </w:t>
      </w:r>
      <w:r>
        <w:rPr>
          <w:rtl w:val="true"/>
        </w:rPr>
        <w:t>نزول القرآن في شهر رمضان و بعثته في رجب</w:t>
      </w:r>
      <w:bookmarkEnd w:id="443"/>
    </w:p>
    <w:p>
      <w:pPr>
        <w:pStyle w:val="Heading4"/>
        <w:numPr>
          <w:ilvl w:val="3"/>
          <w:numId w:val="1"/>
        </w:numPr>
        <w:rPr/>
      </w:pPr>
      <w:bookmarkStart w:id="444" w:name="__RefHeading___Toc6963697_73709187"/>
      <w:bookmarkStart w:id="445" w:name="_Toc167"/>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بعث اللّه سبحانه نبيّه الأكرم صلى الله عليه و آله و سلم على حين فترة من الرسل، وطول هجعة من الأُمم، واعتزام من الفتن، وانتشار من الأُمور، وتلظ من الحروب، و الدنيا كاسفة النور، ظاهرة الغرور، على حين اصفرار من ورقها، وإياس من ثمرها، واغورار من مائها، قد درست منار الهدى، وظهرت أعلام الردى، فهي متجهمة لأهلها، عابسة في وجه طالبها، ثمرها الفتنة، وطعامها الجيفة، وشعارها الخوف، ودثارها السيف</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 على رأس الأربعين من عمره، وبُشّر بالنبوة والرسالة، وأمّا الشهر الذي بعث فيه، ففيه أقوال وآراء، فالشيعة الإمامية تبعاً لأئمة أهل البيت عليهم السلام على أنّه صلى الله عليه و آله و سلم بعث في سبع وعشرين من شهر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لاتدع صيام يوم سبع وعشرين من رجب، فإنّه اليوم الذي نزلت فيه النبوة على محمد صلى الله عليه و آله و سلم</w:t>
      </w:r>
      <w:r>
        <w:rPr>
          <w:rFonts w:eastAsia="Amiri" w:cs="Amiri" w:ascii="Amiri" w:hAnsi="Amiri"/>
          <w:color w:val="111111"/>
          <w:sz w:val="28"/>
          <w:szCs w:val="28"/>
          <w:rtl w:val="true"/>
          <w:lang w:bidi="ar-SA"/>
        </w:rPr>
        <w:t>».</w:t>
      </w:r>
      <w:r>
        <w:rPr>
          <w:rStyle w:val="FootnoteAnchor"/>
          <w:rtl w:val="true"/>
        </w:rPr>
        <w:footnoteReference w:id="296"/>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عن الإمام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اللّه عزّ وجلّ محمّداً رحمة للعالمين في سبع وعشرين من رجب</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روى المفيد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اليوم السابع والعشرين من رجب، نزلت النبوة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أمّا غيرهم فمن قائل بأنّه بعث في سبع عشر من شهر رمضان، أو ثمان عشر، أو أربع وعشرين من هذا الشهر، أو في الثاني عشر من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أهل البيت عليهم السلام أدرى بما في البيت، كيف وهم نجوم الهدى ومصابيح الدجى وأحد الثقلين اللّذين تركهما رسول اللّه صلى الله عليه و آله و سلم بعده، فيجب علينا الأخذ بقولهم ونظرهم ولا نتجاوزه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دلّ الذكر الحكيم على أنّ القرآن نزل في شهر رمضان،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إلى غير ذلك من الآيات الدالّة على نزوله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بهذه الايات على أنّه صلى الله عليه و آله و سلم بعث أيضاً في شهر رمضان مبني على اقتران البشارة بالنبوة، بنزول القرآن وهو بعد غير ثابت، فلو قلنا بالتفكيك وأنّه بُعث في شهر رجب، وبُشّر بالنبوة فيه، ونزل القرآن في شهر رمضان، لما كان هناك منافاة بين بعثته في رجب، ونزول القرآن في شهر رمضان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اقتران النبوة بنزول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غير واحد عن</w:t>
      </w:r>
      <w:bookmarkStart w:id="446" w:name="pg16772_194543"/>
    </w:p>
    <w:p>
      <w:pPr>
        <w:pStyle w:val="BookText"/>
        <w:rPr/>
      </w:pPr>
      <w:bookmarkEnd w:id="446"/>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بُدئ، به رسول اللّه من النبوة حين أراد اللّه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الصادقة، فكان لايرى رسول اللّه صلى الله عليه و آله و سلم رؤيا في نومه إلّاجاءت كفلق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وحبب اللّه تعالى إليه الخلوة، فلم يكن شيء أحب إليه من أن يخلو وحده</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لكن الظاهر من ذيل ما روته عائشة أنّ النبوة كانت مقترنة بنزول الوحي والقرآن الكريم، ولنذكر نصّ الحديث بتمامه ثم نذيله ببيان بعض الملاحظات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يخلو بغار حراء فيتحنّث فيه وهو التعبّد في الليالي ذوات العدد قبل أن ينزع إلى أهله، ويتزوّد لذلك ثم يرجع إلى خديجة فيتزوّد لمثلها حتى جاء الحق وهو في غار حراء، فجاءه الملك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فغطني حتى بلغ منّي الجَهد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فقلت ما أنا بقارئ، فأخذني فغطني الثالثة، ثم أرسلني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رَبُّكَ الْأَكْرَمُ‌</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4"/>
      </w:r>
    </w:p>
    <w:p>
      <w:pPr>
        <w:pStyle w:val="Heading4"/>
        <w:numPr>
          <w:ilvl w:val="3"/>
          <w:numId w:val="1"/>
        </w:numPr>
        <w:rPr/>
      </w:pPr>
      <w:bookmarkStart w:id="447" w:name="__RefHeading___Toc6963699_73709187"/>
      <w:bookmarkStart w:id="448" w:name="_Toc168"/>
      <w:bookmarkEnd w:id="447"/>
      <w:r>
        <w:rPr>
          <w:rtl w:val="true"/>
        </w:rPr>
        <w:t>و في الرواية تأمّلات واضحة</w:t>
      </w:r>
      <w:r>
        <w:rPr>
          <w:rtl w:val="true"/>
        </w:rPr>
        <w:t>:</w:t>
      </w:r>
      <w:bookmarkEnd w:id="4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المبرر لجبرئيل أن يروّع النبي الأعظم وأن يؤذيه بالعصر إلى حدٍّ أنّه يظن أنّه الموت‌؟ يفعل به ذلك وهو يراه عاجزاً عن القيام بما يأمره به، ولايرحمه ولايلين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يفعل ذلك ثلاث مرات لا أكثر ولا أقل‌؟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صدّقه في الثالثة، لا في المرة الأُولى ولا الثانية مع أنّه يعلم أنّ النبي لا يكذب‌؟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السند الذي روى به البخاري قابل للاحتجاج مع أنّ فيه الزُّهْري و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الزُّهْري فهو الذي عرف بعمالته للحكام، وارتزاقه من موائدهم، وكان كاتباً لهشام بن عبدالملك ومعلماً لأولاده، وجلس هو وعروة في مسجد المدينة، فنالا من علي فبلغ ذلك السجاد عليه السلام حتى وقف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عروة فإنّ أبي حاكم أباك، فحُكم لأبي، على أبيك، وأمّا أنت يا زُهْري فلو كنت أنا وأنت بمكة لأريتك كنّ أبيك</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وأمّا العروة بن الزبير فقد حكم عليه ابن عمر بالنفاق، وعدّه الأسكافي من التابعين الذي يضعون أخباراً قبيحة في علي عليه السلام</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نعم رواه ابن هشام والطبري في تفسيره وتاريخه</w:t>
      </w:r>
      <w:r>
        <w:rPr>
          <w:rStyle w:val="FootnoteAnchor"/>
          <w:rtl w:val="true"/>
        </w:rPr>
        <w:footnoteReference w:id="307"/>
      </w:r>
      <w:r>
        <w:rPr>
          <w:rFonts w:ascii="Amiri" w:hAnsi="Amiri" w:eastAsia="Amiri" w:cs="Amiri"/>
          <w:color w:val="111111"/>
          <w:sz w:val="28"/>
          <w:sz w:val="28"/>
          <w:szCs w:val="28"/>
          <w:rtl w:val="true"/>
          <w:lang w:bidi="ar-SA"/>
        </w:rPr>
        <w:t>بسند آخر ينتهي إلى أشخاص يستبعد سماعهم الحديث عن نفس الرسول الأكرم صلى الله عليه و آله و سلم، ودونك أسماؤهم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 بن عمير، ترجمه ابن الأثير،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البخاري أنّه رأى النبي، و ذكر مسلم أنّه ولد على عهد النبي، وهو معدود من كبار التابعين، يروي عن عمر</w:t>
      </w:r>
    </w:p>
    <w:p>
      <w:pPr>
        <w:pStyle w:val="BookText"/>
        <w:rPr/>
      </w:pP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شدّاد، ترجمه ابن الأثير،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على عهد النبي،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وعن عمر وعليّ‌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 زوجة النبي، حيث تفرّدت بنقل هذا الحديث، ومن المستبعد جدّاً أن لايحدّث النبي هذا الحديث غيرها مع تلهف غيرها إلى سماع أمثال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مضمون الحديث في تفسير الإمام العسكري عليه السلام</w:t>
      </w:r>
      <w:r>
        <w:rPr>
          <w:rStyle w:val="FootnoteAnchor"/>
          <w:rtl w:val="true"/>
        </w:rPr>
        <w:footnoteReference w:id="309"/>
      </w:r>
      <w:r>
        <w:rPr>
          <w:rFonts w:ascii="Amiri" w:hAnsi="Amiri" w:eastAsia="Amiri" w:cs="Amiri"/>
          <w:color w:val="111111"/>
          <w:sz w:val="28"/>
          <w:sz w:val="28"/>
          <w:szCs w:val="28"/>
          <w:rtl w:val="true"/>
          <w:lang w:bidi="ar-SA"/>
        </w:rPr>
        <w:t>ونقله من أعلام الطائفة ابن شهرآشوب في مناقبه</w:t>
      </w:r>
      <w:r>
        <w:rPr>
          <w:rStyle w:val="FootnoteAnchor"/>
          <w:rtl w:val="true"/>
        </w:rPr>
        <w:footnoteReference w:id="310"/>
      </w:r>
      <w:r>
        <w:rPr>
          <w:rFonts w:ascii="Amiri" w:hAnsi="Amiri" w:eastAsia="Amiri" w:cs="Amiri"/>
          <w:color w:val="111111"/>
          <w:sz w:val="28"/>
          <w:sz w:val="28"/>
          <w:szCs w:val="28"/>
          <w:rtl w:val="true"/>
          <w:lang w:bidi="ar-SA"/>
        </w:rPr>
        <w:t>، والمجلسي في بحاره</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لكن الكلام في صحّة نسبة التفسير المذكور إلى الإمام العسكري عليه السلام، و أمّا المناقب فإنّه يورد الأحاديث والتواريخ مرسلة لا مسندة، والمجلسي اعتمد على هذه المصادر، التي عرفت حالها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أنّه لا دليل على أنّ البشارة بالنبوة كانت مقترنة بنزول القرآن، وبذلك ينسجم نزول القرآن في شهر رمضان مع كون البعثة في شهر رجب، نعم أورد العلّامة الطباطبائي على هذه النظرية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النبي صلى الله عليه و آله و سلم في اليوم السابع والعشرين من شهر رجب وبينه وبين شهر رمضان أكثر من ثلاثين يوماً فكيف تخلو البعثة في هذه المدّة من نزول القرآن‌؟ على أنَّ سورة</w:t>
      </w:r>
      <w:bookmarkStart w:id="449" w:name="pg16772_194546"/>
    </w:p>
    <w:p>
      <w:pPr>
        <w:pStyle w:val="BookText"/>
        <w:rPr/>
      </w:pPr>
      <w:bookmarkEnd w:id="449"/>
      <w:r>
        <w:rPr>
          <w:rFonts w:ascii="Amiri" w:hAnsi="Amiri" w:eastAsia="Amiri" w:cs="Amiri"/>
          <w:color w:val="111111"/>
          <w:sz w:val="28"/>
          <w:sz w:val="28"/>
          <w:szCs w:val="28"/>
          <w:rtl w:val="true"/>
          <w:lang w:bidi="ar-SA"/>
        </w:rPr>
        <w:t>العلق أوّل سورة نزلت على رسول اللّه صلى الله عليه و آله و سلم وأنّها نزلت بمصاحبة البعثة</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يلاحظ على ما 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الوجه الأوّل من كلامه مجرّد استبعاد، فأيّ إشكال في أن يكون النبي قد بشِّر بالنبوة، ونزل القرآن بعد شهر وبضعة أيام‌؟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الوجه الثاني فلأنّ الروايات نطقت بأنّها أوّل سورة نزلت، وليس فيها ما يدلّ على اقتران نزولها بأوّل عهد البعثة</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6963701_73709187"/>
      <w:bookmarkStart w:id="451" w:name="_Toc169"/>
      <w:bookmarkEnd w:id="450"/>
      <w:r>
        <w:rPr>
          <w:rtl w:val="true"/>
        </w:rPr>
        <w:t>سؤال وإجابة</w:t>
      </w:r>
      <w:bookmarkEnd w:id="451"/>
    </w:p>
    <w:p>
      <w:pPr>
        <w:pStyle w:val="BookText"/>
        <w:rPr/>
      </w:pPr>
      <w:r>
        <w:rPr>
          <w:rFonts w:ascii="Amiri" w:hAnsi="Amiri" w:eastAsia="Amiri" w:cs="Amiri"/>
          <w:color w:val="111111"/>
          <w:sz w:val="28"/>
          <w:sz w:val="28"/>
          <w:szCs w:val="28"/>
          <w:rtl w:val="true"/>
          <w:lang w:bidi="ar-SA"/>
        </w:rPr>
        <w:t>إذا كان القرآن نازلاً في شهر رمضان فإنَّ معناه أنّ مجموعه نزل في هذا الشهر مع أنَّ نزوله كان خلال مدّة ثلاثة وعشرين سنة، فكيف التوفيق بين هذين الأمرين‌؟</w:t>
      </w:r>
    </w:p>
    <w:p>
      <w:pPr>
        <w:pStyle w:val="BookText"/>
        <w:rPr/>
      </w:pPr>
      <w:r>
        <w:rPr>
          <w:rFonts w:ascii="Amiri" w:hAnsi="Amiri" w:eastAsia="Amiri" w:cs="Amiri"/>
          <w:color w:val="111111"/>
          <w:sz w:val="28"/>
          <w:sz w:val="28"/>
          <w:szCs w:val="28"/>
          <w:rtl w:val="true"/>
          <w:lang w:bidi="ar-SA"/>
        </w:rPr>
        <w:t>و أمّا الإجابة فقد أُجيب عنه بأجوبة نذكرها واحداً تلو الآخر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للقرآن نزولين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دفعي، وقد عبّر عنه بلفظ الإنزال الدالّ على الدفعة؛ ونزول تدريجي، وهو الذي يعبّر عنه بالتنزيل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أُحْكِمَتْ آياتُهُ ثُمَّ فُصِّلَتْ مِنْ لَدُنْ حَكِيمٍ خَبِيرٍ</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فإنّ هذا الإحكام في مقابل التفصيل، والتفصيل هو جعله فصلاً فصلاً، وقطعة قطعة، والإحكام كونه على وجه لاينفصل فيه جزء عن جزء، ولايتميّز بعض من بعض، لرجوعه إلى معنى واحد، لا أجزاء ولا فصول فيه، فعلى ذلك فالقرآن نزل دفعة واحدة على قلب</w:t>
      </w:r>
    </w:p>
    <w:p>
      <w:pPr>
        <w:pStyle w:val="BookText"/>
        <w:rPr/>
      </w:pPr>
      <w:r>
        <w:rPr>
          <w:rFonts w:ascii="Amiri" w:hAnsi="Amiri" w:eastAsia="Amiri" w:cs="Amiri"/>
          <w:color w:val="111111"/>
          <w:sz w:val="28"/>
          <w:sz w:val="28"/>
          <w:szCs w:val="28"/>
          <w:rtl w:val="true"/>
          <w:lang w:bidi="ar-SA"/>
        </w:rPr>
        <w:t>النبي الأعظم صلى الله عليه و آله و سلم، ثم صار ينزل تدريجياً حسب المناسبات والوقائع والأحداث</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مبني على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الأوّل عبارة عن النزول الدفعي، والثاني عن النزول التدريجي مع أنّه لا دليل عليه، فإنّ الثاني أيضاً استعمل في النزول الدفعي، قال تعالى حاكياً عن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نُؤْمِنَ لِرُقِيِّكَ حَتّى تُنَزِّلَ عَلَيْنا كِتاباً نَقْرَؤُهُ‌</w:t>
      </w:r>
      <w:r>
        <w:rPr>
          <w:rFonts w:eastAsia="Amiri" w:cs="Amiri" w:ascii="Amiri" w:hAnsi="Amiri"/>
          <w:color w:val="111111"/>
          <w:sz w:val="28"/>
          <w:szCs w:val="28"/>
          <w:rtl w:val="true"/>
          <w:lang w:bidi="ar-SA"/>
        </w:rPr>
        <w:t>)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كَفَرُوا لَوْ لا نُزِّلَ عَلَيْهِ الْقُرْآنُ جُمْلَةً واحِدَةً‌</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فلو كان التنزيل هو النزول التدريجي فلماذا وصفه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جُمْلَةً واحِدَةً‌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نزل دفعة واحدة إلى البيت المعمور حسبما نطقت به الروايات الكثيرة ثم صار ينزل تدريجياً على الرسول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حفص بن غياث، عن الإمام الصادق عليه السلام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أُنزل في عشرين بين أوّله وآخره‌؟ فقال أبوعبداللّه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جملة واحدة في شهر رمضان إلى البيت المعمور، ثم نزل في طول عشرين سنة</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صحّت الرواية يجب التعبّد بها، وإلّا فما معنى نزول القرآن الذي هو هدى للناس إلى البيت المعمور، وأي صلة لهذا النزول بهداية الناس التي يتكلّم عنها القرآن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 هُدىً لِلنّاسِ وَ بَيِّناتٍ مِنَ‌</w:t>
      </w:r>
    </w:p>
    <w:p>
      <w:pPr>
        <w:pStyle w:val="BookText"/>
        <w:rPr/>
      </w:pPr>
      <w:r>
        <w:rPr>
          <w:rFonts w:ascii="Amiri" w:hAnsi="Amiri" w:eastAsia="Amiri" w:cs="Amiri"/>
          <w:color w:val="111111"/>
          <w:sz w:val="28"/>
          <w:sz w:val="28"/>
          <w:szCs w:val="28"/>
          <w:rtl w:val="true"/>
          <w:lang w:bidi="ar-SA"/>
        </w:rPr>
        <w:t>اَلْهُدى وَ الْفُرْقانِ‌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ذهب إليه أبوجعفر</w:t>
      </w:r>
      <w:r>
        <w:rPr>
          <w:rStyle w:val="FootnoteAnchor"/>
          <w:rtl w:val="true"/>
        </w:rPr>
        <w:footnoteReference w:id="318"/>
      </w:r>
      <w:r>
        <w:rPr>
          <w:rFonts w:ascii="Amiri" w:hAnsi="Amiri" w:eastAsia="Amiri" w:cs="Amiri"/>
          <w:color w:val="111111"/>
          <w:sz w:val="28"/>
          <w:sz w:val="28"/>
          <w:szCs w:val="28"/>
          <w:rtl w:val="true"/>
          <w:lang w:bidi="ar-SA"/>
        </w:rPr>
        <w:t>في هذا الباب أصله حديث واحد لايوجب علماً ولا عملاً، ونزول القرآن على الاسباب الحادثة حالاً فحالاً يدلّ على خلاف ما تضمّنه الحديث، وذلك أنّه قد تضمّن حكم ما حدث، وذكر ما جرى على وجهه، وذلك لايكون على الحقيقة إلّالحدوثه عند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ثم استعرض آيات كثيرة نزلت لحوادث متجدّدة</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يطلق على الكلّ والجزء، فمن الممكن أن يكون المراد بنزول القرآن في شهر رمضان هو شروع نزوله في ليلة مباركة وهي ليلة القدر، فكما تصحّ نسبة النزول إليه في شهر رمضان إذا نزل جملة واحدة، تصحّ نسبته إليه إذا نزل أوّل جزء منه في شهر رمضان واستمر نزوله في الأشهر القادمة طيلة حياة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في شهر رمضان أي بدء نزوله في هذا الشهر، وله نظائر في العرف فلو بدأ فيضان الماء في السيل يقال جرى السيل في يوم كذا، وإن استمر جريانه وفيضانه عدّة أيام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الظاهر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معنى إنزال القرآن، في رمضان مع أنّ المعروف باليقين أنّ القرآن نزل منجماً متفرّقاً في مدة البعثة</w:t>
      </w:r>
      <w:bookmarkStart w:id="452" w:name="pg16772_194549"/>
    </w:p>
    <w:p>
      <w:pPr>
        <w:pStyle w:val="BookText"/>
        <w:rPr/>
      </w:pPr>
      <w:bookmarkEnd w:id="452"/>
      <w:r>
        <w:rPr>
          <w:rFonts w:ascii="Amiri" w:hAnsi="Amiri" w:eastAsia="Amiri" w:cs="Amiri"/>
          <w:color w:val="111111"/>
          <w:sz w:val="28"/>
          <w:sz w:val="28"/>
          <w:szCs w:val="28"/>
          <w:rtl w:val="true"/>
          <w:lang w:bidi="ar-SA"/>
        </w:rPr>
        <w:t>كلّها، فهو أنّ ابتداء نزوله كان في رمضان، وذلك في ليلة منه سمّيت ليلة القدر أي الشرف، والليلة المباركة كما في آيات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ظاهر لا إشكال فيه، على أنّ لفظ القرآن يطلق على هذا الكتاب كلّه، ويطلق على بعضه</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القرآن وإن لم تنزل في تلك الليلة، لكن لمّا نزلت سورة الحمد بها وهي تشتمل على جلّ معارف القرآن، فكأنّ القرآن فيها جميعاً، فصحّ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سورة الحمد أوّل سورة نزلت على رسول اللّه صلى الله عليه و آله و سلم لكان حقّ الكلام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 هذا يعرب عن أنّ سورة الحمد ليست أوّل سورة نزلت على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الوجوه التي ذكرها المفسّرون المحقّقون، والثالث هو الأقوى</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6963703_73709187"/>
      <w:bookmarkStart w:id="454" w:name="_Toc170"/>
      <w:bookmarkEnd w:id="453"/>
      <w:r>
        <w:rPr/>
        <w:t>4</w:t>
      </w:r>
      <w:r>
        <w:rPr>
          <w:rtl w:val="true"/>
        </w:rPr>
        <w:t xml:space="preserve"> </w:t>
      </w:r>
      <w:r>
        <w:rPr>
          <w:rtl w:val="true"/>
        </w:rPr>
        <w:t>فرية انقطاع الوحي وفتوره وأُسطورة شق الصدر</w:t>
      </w:r>
      <w:bookmarkEnd w:id="45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5" w:name="__RefHeading___Toc6963705_73709187"/>
      <w:bookmarkStart w:id="456" w:name="_Toc171"/>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 xml:space="preserve">رابطة العالم الإسلامي مؤسسة دينية تبليغية، أُسّست عام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وتمثّل فيها كافة الشعوب الإسلاميّة، وقد انبثق إنشاؤها عن المؤتمر الإسلامي الذي عقد في مكة المكرّمة بعد الانتهاء من أداء مناسك الحجّ في ذلك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اجتمعنا في بعض أسفارنا إلى الديار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برئيس الرابطة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صالح 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ودار الحديث معه آنذاك حول كتاب المرتدّ سلمان رشدي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فيما يحويه العهدان من القصص والقضايا التي تتعلق بالأنبياء وخاصّةً بالنبيّ داود والنبي سليمان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خلال هذا الاجتماع قال رئيس الرابطة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اقترحت على علماء اليهود والنصارى تصحيح ما في العهدين حول حياة الأنبياء على ضوء ما ورد في القرآن الكريم، لأنّ ما فيهما ما لايصدّقه العقل ولا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الاقتراح كان أمراً حيوياً جميلاً تنتفع به عامّة الأُمم، ويؤيّده القرآن الكريم ويصوّبه،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يَقُصُّ عَلى بَنِي إِسْرائِيلَ أَكْثَرَ الَّذِي هُمْ فِيهِ يَخْتَلِفُونَ‌</w:t>
      </w:r>
      <w:r>
        <w:rPr>
          <w:rFonts w:eastAsia="Amiri" w:cs="Amiri" w:ascii="Amiri" w:hAnsi="Amiri"/>
          <w:color w:val="111111"/>
          <w:sz w:val="28"/>
          <w:szCs w:val="28"/>
          <w:rtl w:val="true"/>
          <w:lang w:bidi="ar-SA"/>
        </w:rPr>
        <w:t>) .</w:t>
      </w:r>
      <w:r>
        <w:rPr>
          <w:rStyle w:val="FootnoteAnchor"/>
          <w:rtl w:val="true"/>
        </w:rPr>
        <w:footnoteReference w:id="322"/>
      </w:r>
      <w:r>
        <w:rPr>
          <w:rFonts w:ascii="Amiri" w:hAnsi="Amiri" w:eastAsia="Amiri" w:cs="Amiri"/>
          <w:color w:val="111111"/>
          <w:sz w:val="28"/>
          <w:sz w:val="28"/>
          <w:szCs w:val="28"/>
          <w:rtl w:val="true"/>
          <w:lang w:bidi="ar-SA"/>
        </w:rPr>
        <w:t>إذ لا شكَّ أن بينَ الأحبار اختلافات كثيرة فيما يرجع إلى حياة الأنبياء وحياة بني إسرائيل، فالمرجع الوافي لحلّ هذه الاختلافات هو القرآن الكريم، فلو رجعوا إليه لوجدوا فيه ضالّتهم المنشودة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الكريم هو المهيمن على الكتب السماوية، أي أنّه الميزان التام</w:t>
      </w:r>
    </w:p>
    <w:p>
      <w:pPr>
        <w:pStyle w:val="BookText"/>
        <w:rPr/>
      </w:pPr>
      <w:r>
        <w:rPr>
          <w:rFonts w:ascii="Amiri" w:hAnsi="Amiri" w:eastAsia="Amiri" w:cs="Amiri"/>
          <w:color w:val="111111"/>
          <w:sz w:val="28"/>
          <w:sz w:val="28"/>
          <w:szCs w:val="28"/>
          <w:rtl w:val="true"/>
          <w:lang w:bidi="ar-SA"/>
        </w:rPr>
        <w:t>لتمييز الحق عن الباطل الوارد في الكتب المعروفة بالسماوية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w:t>
      </w:r>
      <w:r>
        <w:rPr>
          <w:rFonts w:eastAsia="Amiri" w:cs="Amiri" w:ascii="Amiri" w:hAnsi="Amiri"/>
          <w:color w:val="111111"/>
          <w:sz w:val="28"/>
          <w:szCs w:val="28"/>
          <w:rtl w:val="true"/>
          <w:lang w:bidi="ar-SA"/>
        </w:rPr>
        <w:t>)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فالكتاب العزيز بما أنّه مصدّق لما ورد فيما سبقه من الكتب ومسيطر عليها، فهو يقصّ ما ورد فيها على نهج صحيح، ويبيّن ما هو الحقّ من القصة عمّا أُلصق بها من زيادات أو وقع فيها من 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رغب كتابيٌّ في الوقوف على التوراة أو الإنجيل المنزّهين عن التحريف فعليه أن يرجع إلى القرآن الكريم وبخاصّة في الموضوعات المشتركة، فإنّه سوف يجد الحق الذي لا مرية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القرآن هو المسيطر على ما في العهدين يُعرف به الحق عن الباطل، فهو المسيطر أيضاً على ما في كتب التاريخ والسيرة الّتي جُمع فيها الغث والسمين حول حياة النبي الأعظم صلى الله عليه و آله و سلم ممّا لايليق أن ينسب إلى إنسان مؤمن، فكيف إلى سيد البشر وخاتم الرسل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المحقّق في حياة النبي صلى الله عليه و آله و سلم أن يعرض ما يجده في هذه الكتب على القرآن الكريم حتى ينزّه ساحة الرسول صلى الله عليه و آله و سلم عن القصص والخرافات الّتي ألصقها أعداء النبي صلى الله عليه و آله و سلم به، وقد استقبل رئيس الرابطة ما ذكرته بحفاوة و تأييد، حتّى أنّه 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اليهود والنصارى يستفيدون من هذه الخرافات في التهجّم على الإسلام والقرآن</w:t>
      </w:r>
      <w:r>
        <w:rPr>
          <w:rFonts w:eastAsia="Amiri" w:cs="Amiri" w:ascii="Amiri" w:hAnsi="Amiri"/>
          <w:color w:val="111111"/>
          <w:sz w:val="28"/>
          <w:szCs w:val="28"/>
          <w:rtl w:val="true"/>
          <w:lang w:bidi="ar-SA"/>
        </w:rPr>
        <w:t>.</w:t>
      </w:r>
      <w:bookmarkStart w:id="457" w:name="pg16772_194552"/>
    </w:p>
    <w:p>
      <w:pPr>
        <w:pStyle w:val="BookText"/>
        <w:rPr/>
      </w:pPr>
      <w:bookmarkEnd w:id="457"/>
      <w:r>
        <w:rPr>
          <w:rFonts w:ascii="Amiri" w:hAnsi="Amiri" w:eastAsia="Amiri" w:cs="Amiri"/>
          <w:color w:val="111111"/>
          <w:sz w:val="28"/>
          <w:sz w:val="28"/>
          <w:szCs w:val="28"/>
          <w:rtl w:val="true"/>
          <w:lang w:bidi="ar-SA"/>
        </w:rPr>
        <w:t>هذا ما دار بيننا وبين رئيس الرابطة الدكتور عبداللّه بن صالح العبيد، وإليك بيان إنموذج ممّا اقترحناه خلال هذا اللقاء، فنقول</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6963707_73709187"/>
      <w:bookmarkStart w:id="459" w:name="_Toc172"/>
      <w:bookmarkEnd w:id="458"/>
      <w:r>
        <w:rPr>
          <w:rtl w:val="true"/>
        </w:rPr>
        <w:t>فرية انقطاع الوحي وفتوره</w:t>
      </w:r>
      <w:bookmarkEnd w:id="45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مسألة انقطاع الوحي بعد نزول آيات من سورة العلق، أو سورة المدثر، أو سورة الحمد على اختلاف في أوّل سورة نزلت على رسول اللّه صلى الله عليه و آله و سلم، هي واحدة من الافتراءات الكثيرة الّتي حاولت تشويه صورة الرسول الأكرم صلى الله عليه و آله و سلم والرسالة الّتي جاء بها، وقد حازت هذه الفرية مكانةً في كتب السيرة والتفسير حتى أنَّ الدكتور محمدحسين هيكل، أرسلها إرسال المسلّمات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 هداية الوحي إيّاه في أمره، وإنارة سبيله، فإذا الوحي يفتَر، وإذا جبرئيل لاينزل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 خديجة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ربك إلّاقد قلاك، وتولّاه الخوف والوجل، فهما يَبتعثانه من جديد، يطوي الجبال وينقطع في حراء يرتفع بكلّ نفسه ابتغاء وجه ربه،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قلاه بعد أن اصطفاه، ولم تكن خديجة أقل منه إشفاقاً ووجلاً ويتمنّى الموت صادقاً لولا أنّه كان يشعر بما أُمر به، فيرجع إلى نفسه، ثم إلى ربه، ولقد قيل إنّه فكر في أن يلقي بنفسه من أعلى حراء أو أبي قبيس، وأي خير في الحياة وهذا أكبر أمله فيها يدوِي وينقضي، و أنّه كذلك تساوره هذه المخاوف، إذ جاءه الوحي بعد طول فتوره، إذ نزل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وَدَّعَكَ رَبُّكَ وَ ما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لَلْآخِرَةُ خَيْرٌ لَكَ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ضالاًّ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عائِلاً فَأَغْنى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الْيَتِيمَ‌</w:t>
      </w:r>
    </w:p>
    <w:p>
      <w:pPr>
        <w:pStyle w:val="BookText"/>
        <w:rPr/>
      </w:pPr>
      <w:r>
        <w:rPr>
          <w:rFonts w:ascii="Amiri" w:hAnsi="Amiri" w:eastAsia="Amiri" w:cs="Amiri"/>
          <w:color w:val="111111"/>
          <w:sz w:val="28"/>
          <w:sz w:val="28"/>
          <w:szCs w:val="28"/>
          <w:rtl w:val="true"/>
          <w:lang w:bidi="ar-SA"/>
        </w:rPr>
        <w:t xml:space="preserve">فَلا تَقْهَرْ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السّائِلَ فَلا تَنْهَرْ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هذا ما يذكره كاتب مثقف في القرن العشرين في حق النبي الأكرم صلى الله عليه و آله و سلم، فما ظنك بغيره ممّن سبقه من الذين يتعبّدون بالروايات ولايحيدون عن شاذّها وسقيمها قيد أنملة وقدر 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هذه الفرية يرجع إلى كتب السيرة والتفسير، وإليك ما يذكره واحد من أُولئك وهو الطبري حيث يصرح في تفسيره بما نصّه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زيد أنّ هذه السورة نزلت على رسول اللّه تكذيباً من اللّه قريشاً في قولهم لرسول اللّه لمّا أبطأ عليه الوحي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ودّع محمداً ربّه وقلاه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أبطأ جبرئيل على رسول اللّه فقالت امرأة من أهله أو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الشيطان محمداً، فأنزل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الضُّحى‌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وَدَّعَكَ رَبُّكَ وَ ما قَلى‌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جندب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 جبرئيل على النبي صلى الله عليه و آله و سلم حتى قال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 محمداً ربُه،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وعنه قالت امرأة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صاحبك إلّاقد أبطأ عنك، فنزلت هذه الآية، وفي رواية أُخرى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شيطانك إلّاقد تركك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عبداللّه 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خديجة قالت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ربك إلّاقد قَلاك،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الضُّحى‌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أبطأ عليه بالوحي، فقال ناس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w:t>
      </w:r>
    </w:p>
    <w:p>
      <w:pPr>
        <w:pStyle w:val="BookText"/>
        <w:rPr/>
      </w:pPr>
      <w:r>
        <w:rPr>
          <w:rFonts w:ascii="Amiri" w:hAnsi="Amiri" w:eastAsia="Amiri" w:cs="Amiri"/>
          <w:color w:val="111111"/>
          <w:sz w:val="28"/>
          <w:sz w:val="28"/>
          <w:szCs w:val="28"/>
          <w:rtl w:val="true"/>
          <w:lang w:bidi="ar-SA"/>
        </w:rPr>
        <w:t>صاحبك إلّاقد قلاك فودّعك،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وَدَّعَكَ رَبُّكَ وَ ما قَلى‌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جبرئيل عن محمد 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ودّعه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 جبرئيل على النبيّ صلى الله عليه و آله و سلم، فجزع جزعاً شديداً وقالت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ربّك قد قلاك، ممّا نرى من جزعك؛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الضُّحى‌</w:t>
      </w:r>
      <w:r>
        <w:rPr>
          <w:rFonts w:eastAsia="Amiri" w:cs="Amiri" w:ascii="Amiri" w:hAnsi="Amiri"/>
          <w:color w:val="111111"/>
          <w:sz w:val="28"/>
          <w:szCs w:val="28"/>
          <w:rtl w:val="true"/>
          <w:lang w:bidi="ar-SA"/>
        </w:rPr>
        <w:t>)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يلاحظ على هذه الروايات وعلى فرية انقطاع الوحي عدة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هذه الروايات التي ملأت التفاسير وكتب السير، رويت عن أُناس لايركن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كقتادة والضحاك فإنّهما كانا يأخذان عن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وجلّها بل كلّها مرسلة غير مسندة إلى الرسول صلى الله عليه و آله و سلم</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اختلفت في القائل الذي شمت برسول اللّه صلى الله عليه و آله و 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وَدَّعَكَ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يُسند إلى امرأة من أهله أو قومه، وأُخرى إلى المشركين، وثالثة إلى طائفة من الناس، ورابعة إلى زوجته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نسبة هذا القول إلى زوجته الطاهرة التي آمنت به يوم بعثته، وقد عرفت فضائله وملكاته النفسية عن كثب، بعيدٌ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اختلفت في مدة الفترة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 الوحي اثني عشر يوماً،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p>
    <w:p>
      <w:pPr>
        <w:pStyle w:val="BookText"/>
        <w:rPr/>
      </w:pPr>
      <w:r>
        <w:rPr>
          <w:rFonts w:ascii="Amiri" w:hAnsi="Amiri" w:eastAsia="Amiri" w:cs="Amiri"/>
          <w:color w:val="111111"/>
          <w:sz w:val="28"/>
          <w:sz w:val="28"/>
          <w:szCs w:val="28"/>
          <w:rtl w:val="true"/>
          <w:lang w:bidi="ar-SA"/>
        </w:rPr>
        <w:t>عشر يوماً،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وعشرين يوماً، وقال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ثلاث سنين كما في السيرة الحلبية، وفيها أيضاً أنّها كانت سنتين ونصفاً، وعلى قولٍ سنتين</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إلى غير ذلك من الأقوال المختلفة التي تحكي عن اضطراب في الرواية والنقل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اختلفت الرواية في سبب الفترة وانقطاع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زعموا أنّ سببها هو أنّ اليهود سألوا رسول اللّه صلى الله عليه و آله و سلم عن مسائل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أصحاب الكهف وعن الروح وعن قصّة ذي القرنين، فقال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سأُخبركم غداً ولم يستثنِ‌، فاحتبس عنه الوحي، فقال المشركون ما قالوا، فنزلت</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أهدى إليه عنقود عنب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عِذق تمر، فجاء سائل فأعطاه، ثم اشتراه عثمان بدرهم، فقدمه إليه عليه السلام ثانياً، ثم عاد السائل فأعطاه، وهكذا ثلاث مرات، فقال عليه السلام ملاطفاً لا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أسائل أنت يا فلان أم تاجر؟ فتأخّر الوحي أيّاماً، فاستوحش، فنزلت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عن ابن أبي شيبة في مسنده، والطبراني وابن مردويه من حديث خولة، وكانت تخدم رسول اللّه صلى الله عليه و آله و سلم أن جرْواً دخل تحت سرير رسول اللّه فمات ولم تشعر به، فكمث رسول اللّه صلى الله عليه و آله و سلم أربعة أيام لا ينزل عليه الوحي،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ماحدث في بيت رسول اللّه صلى الله عليه و آله و سلم‌؟ جبرئيل لايأتيني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يا</w:t>
      </w:r>
    </w:p>
    <w:p>
      <w:pPr>
        <w:pStyle w:val="BookText"/>
        <w:rPr/>
      </w:pPr>
      <w:r>
        <w:rPr>
          <w:rFonts w:ascii="Amiri" w:hAnsi="Amiri" w:eastAsia="Amiri" w:cs="Amiri"/>
          <w:color w:val="111111"/>
          <w:sz w:val="28"/>
          <w:sz w:val="28"/>
          <w:szCs w:val="28"/>
          <w:rtl w:val="true"/>
          <w:lang w:bidi="ar-SA"/>
        </w:rPr>
        <w:t>نبيَّ اللّه ما أتى علينا يوم خير عن هذا اليوم، فأخذ برده فلبسه وخرج، فقلت في نفسي؛ لو هيّأت البيت وكنسته، فأهويت بالمكنسة تحت السرير فإذا بشيء ثقيل، فلم أزل به حتى بدأ لي الجرو ميتاً، فأخذته بيدي فألقيته خلف الدار، فجاء النبيّ ترعد لحيته وكان إذا نزل عليه الوحي أخذته الرعدة،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دثّريني،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سَجى‌</w:t>
      </w:r>
      <w:r>
        <w:rPr>
          <w:rFonts w:eastAsia="Amiri" w:cs="Amiri" w:ascii="Amiri" w:hAnsi="Amiri"/>
          <w:color w:val="111111"/>
          <w:sz w:val="28"/>
          <w:szCs w:val="28"/>
          <w:rtl w:val="true"/>
          <w:lang w:bidi="ar-SA"/>
        </w:rPr>
        <w:t>)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لك لاينزل عليك الوحي‌؟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ينزل عليّ وأنتم لاتنقون رواجبكم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براجبكم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تقصّون أظفاركم، ولاتأخذون من شواربكم، فنزل جبرئيل بهذه السورة،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حتى اشتقت إليك،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كنت أشدّ إليك شوقاً ولكنّي عبد مأمور، ثم أنزل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نَتَنَزَّلُ إِلاّ بِأَمْرِ رَبِّكَ‌</w:t>
      </w:r>
      <w:r>
        <w:rPr>
          <w:rFonts w:eastAsia="Amiri" w:cs="Amiri" w:ascii="Amiri" w:hAnsi="Amiri"/>
          <w:color w:val="111111"/>
          <w:sz w:val="28"/>
          <w:szCs w:val="28"/>
          <w:rtl w:val="true"/>
          <w:lang w:bidi="ar-SA"/>
        </w:rPr>
        <w:t>)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إنّ الاضطراب في أسباب فتور الوحي يعرب عن عدم صحّة الروايات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صحّت فيلزم كون انقطاع الوحي في العام السابع من البعثة؛ لأنّ قريشاً أرسلت النضر بن الحارث وابن أبي معيط إلى أحبار اليهود في ذلك العام يسألانهم عن النبي الأكرم صلى الله عليه و آله و سلم، قالا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أهل التوراة وقد جئناكم لتخبرونا عن صاحبنا هذا، فقالت لهم أحبار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اسألوه عن ثلاث نأمركم بهنَّ‌، فجاءُوا إلى رسول اللّه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أخبرنا عن فتية ذهبوا في الدهر الأوّل قد كانت لهم قصة عجب، وعن رجل كان طوّافاً قد بلغ مشارق الأرض ومغاربها، وأخبرنا عن الروح ما هي‌؟ فقال لهم رسول</w:t>
      </w:r>
    </w:p>
    <w:p>
      <w:pPr>
        <w:pStyle w:val="BookText"/>
        <w:rPr/>
      </w:pPr>
      <w:r>
        <w:rPr>
          <w:rFonts w:ascii="Amiri" w:hAnsi="Amiri" w:eastAsia="Amiri" w:cs="Amiri"/>
          <w:color w:val="111111"/>
          <w:sz w:val="28"/>
          <w:sz w:val="28"/>
          <w:szCs w:val="28"/>
          <w:rtl w:val="true"/>
          <w:lang w:bidi="ar-SA"/>
        </w:rPr>
        <w:t>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أخبركم بما سألتم عنه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يستثن، فانصرفوا عنه</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نحن ننزّه ساحة النبي الأكرم الذي نشأ نشأة الأنبياء في عالم مليء بالطهر والقداسة أن يخبرهم على وجه قاطع بأنّه سيجيبهم غداً على أسئلتهم تلك، فمن أين علم أنّه سبحانه ينزل الوحي عليه غداً؟ أو أنّه سبحانه يجيب عن أسئلتهم عن طريق الوحي‌؟</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أشبه بالقصص الموضوعة، فهل من المعتاد أن يباع عنقود عنب ثلاث مرات في السوق‌؟ ومثله عذق تمر، ولعلّ الجاعل كان يهدف إلى اختلاق فضيلة لعثمان، فحسب أنّ هذا الموضع مناسب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فبعيدة جداً، إذ كيف يمكن أن يموت الجرو تحت سرير النبي أو في زاوية من البيت ولايلتفت اليه‌؟ على أنّ ظاهر الرواية أنّ انقطاع الوحي كان بعد تلقّي النبي لنزول الوحي مدّة مديدة حيث إنّ خولة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إذا نَزَلَ عَلَيه الوَحي أخَذَته الرَعدة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يعرب عن أنّ الحادثة كانت في أزمنة متأخّرة من بدء البعثة، أي بعد نزول سورة العلق أو آيات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أشبه بحمل النبي وِزر الغير، فإنّ عدم قصّ المسلمين شواربهم أو عدم تنظيف رواجبهم لايكون سبباً لانقطاع الوحي،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w:t>
      </w:r>
      <w:r>
        <w:rPr>
          <w:rStyle w:val="FootnoteAnchor"/>
          <w:rtl w:val="true"/>
        </w:rPr>
        <w:footnoteReference w:id="33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الوجوه كلّها تدفع بنا إلى القول بأنّ مسألة انقطاع الوحي فرية تاريخية صنعتها يد الجعل والوضع لغاية أو لغايات خاصّة، ولم تكن هناك أيّة</w:t>
      </w:r>
    </w:p>
    <w:p>
      <w:pPr>
        <w:pStyle w:val="BookText"/>
        <w:rPr/>
      </w:pPr>
      <w:r>
        <w:rPr>
          <w:rFonts w:ascii="Amiri" w:hAnsi="Amiri" w:eastAsia="Amiri" w:cs="Amiri"/>
          <w:color w:val="111111"/>
          <w:sz w:val="28"/>
          <w:sz w:val="28"/>
          <w:szCs w:val="28"/>
          <w:rtl w:val="true"/>
          <w:lang w:bidi="ar-SA"/>
        </w:rPr>
        <w:t>فترة، وإنّما المسألة كانت بصورة أُخرى،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تعلّقت مشيئته سبحانه على نزول الوحي نجوماً أي فترة بعد فترة حسب المقتضيات والأسباب الموجبة لنزوله أوّلاً، وتثبيت فؤاد النبي بذلك ثانياً،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مشيئته الحكيمة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قُرْآناً فَرَقْناهُ لِتَقْرَأَهُ عَلَى النّاسِ عَلى مُكْثٍ وَ نَزَّلْناهُ تَنْزِيلاً</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أنّ من بواعث نزول الوحي تدريجياً كونه سبباً لتثبيت فؤاده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كَفَرُوا لَوْ لا نُزِّلَ عَلَيْهِ الْقُرْآنُ جُمْلَةً واحِدَةً كَذلِكَ لِنُثَبِّتَ بِهِ فُؤادَكَ وَ رَتَّلْناهُ تَرْتِيلاً</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فعلى ضوء ذلك لم يكن هناك إلّامسألة طبيعية على صعيد الوحي وهو نزوله تدريجياً لا دفعة واحدة، غير أنّ المشركين الجاهلين بمشيئته سبحانه وأسرار نزول الوحي تدريجياً، كانوا يترقّبون نزول الوحي عليه دوماً وفي كلّ يوم وساعة، أو نزول مجموع الشريعة دفعة واحدة، كما نزلت التوراة على موسى،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لَهُ فِي الْأَلْواحِ مِنْ كُلِّ شَيْ‌ءٍ مَوْعِظَةً وَ تَفْصِيلاً لِكُلِّ شَيْ‌ءٍ فَخُذْها بِقُوَّةٍ وَ أْمُرْ قَوْمَكَ يَأْخُذُوا بِأَحْسَنِها سَأُرِيكُمْ دارَ الْفاسِقِينَ‌</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فلمّا شاهدوا خلاف ما كانوا يترقّبونه من مدّعي النبوة انصرفوا إلى اتّهام النبي بأنّه ودّعه ربه الذي ينزل إليه الوحي أو الشيطان الذي يلهمه على حدّ تعبيرهم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فحصيلة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هناك انقطاع ولا فتور ولا سبب من الأسباب المذكورة في الروايات، بل كان مجرد توهّم توهّموه</w:t>
      </w:r>
      <w:r>
        <w:rPr>
          <w:rFonts w:eastAsia="Amiri" w:cs="Amiri" w:ascii="Amiri" w:hAnsi="Amiri"/>
          <w:color w:val="111111"/>
          <w:sz w:val="28"/>
          <w:szCs w:val="28"/>
          <w:rtl w:val="true"/>
          <w:lang w:bidi="ar-SA"/>
        </w:rPr>
        <w:t>.</w:t>
      </w:r>
      <w:bookmarkStart w:id="460" w:name="pg16772_194559"/>
    </w:p>
    <w:p>
      <w:pPr>
        <w:pStyle w:val="BookText"/>
        <w:rPr/>
      </w:pPr>
      <w:bookmarkEnd w:id="460"/>
      <w:r>
        <w:rPr>
          <w:rFonts w:ascii="Amiri" w:hAnsi="Amiri" w:eastAsia="Amiri" w:cs="Amiri"/>
          <w:color w:val="111111"/>
          <w:sz w:val="28"/>
          <w:sz w:val="28"/>
          <w:szCs w:val="28"/>
          <w:rtl w:val="true"/>
          <w:lang w:bidi="ar-SA"/>
        </w:rPr>
        <w:t>ثم إنّ المعروف بين المفسّرين أنّ سورة الضحى حسب الترتيب النزولي، هي السورة الحادية عشرة، وكانت الأُولى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 فالقلم، فالمزمل، فالمدثر، فلهب، فالتكوير، فالانشراح، فالعصر، فالفجر، فالضحى</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والظاهر ممّن ينقل مسألة انقطاع الوحي وفتوره أنّها نزلت في بدء الوحي بعد انقطاعه، أي نزلت بعد العلق أو بعد المدثر مع أنّها نزلت متأخّرة وكان الوحي ينزل على النبي نجوماً، حسب مقتضيات الظروف والمناسبات والوقائع والأحداث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اليعقوبي أنّ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السورة الثالثة</w:t>
      </w:r>
      <w:r>
        <w:rPr>
          <w:rStyle w:val="FootnoteAnchor"/>
          <w:rtl w:val="true"/>
        </w:rPr>
        <w:footnoteReference w:id="339"/>
      </w:r>
      <w:r>
        <w:rPr>
          <w:rFonts w:ascii="Amiri" w:hAnsi="Amiri" w:eastAsia="Amiri" w:cs="Amiri"/>
          <w:color w:val="111111"/>
          <w:sz w:val="28"/>
          <w:sz w:val="28"/>
          <w:szCs w:val="28"/>
          <w:rtl w:val="true"/>
          <w:lang w:bidi="ar-SA"/>
        </w:rPr>
        <w:t>، ولعلّه متفرّد في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 المشركين اتّهموا النبي صلى الله عليه و آله و سلم بأنّه سبحانه وتعالى قد قلاه، وليس هذا الاتّهام أمراً فريداً في معاملة المشركين، فقد اتّهموه بالكهانة و السحر والجنون وغير ذلك، وأمّا ما هو السبب لإلصاق هذه التهمة به صلى الله عليه و آله و سلم‌؟ فلا يحتاج إلى سبب خاص، كما هو الحال في سائر التهم التي كالوها إليه، فجاء الوحي بتنزيه النبي عن هذه التهمة، كما جاء الوحي بنفي سائر التهم عنه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صاحِبُكُمْ بِمَجْنُونٍ‌</w:t>
      </w:r>
      <w:r>
        <w:rPr>
          <w:rFonts w:eastAsia="Amiri" w:cs="Amiri" w:ascii="Amiri" w:hAnsi="Amiri"/>
          <w:color w:val="111111"/>
          <w:sz w:val="28"/>
          <w:szCs w:val="28"/>
          <w:rtl w:val="true"/>
          <w:lang w:bidi="ar-SA"/>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1" w:name="__RefHeading___Toc6963709_73709187"/>
      <w:bookmarkStart w:id="462" w:name="_Toc173"/>
      <w:bookmarkEnd w:id="461"/>
      <w:r>
        <w:rPr>
          <w:rtl w:val="true"/>
        </w:rPr>
        <w:t>شقّ الصدر أو القلب أو البطن، أُسطورة أُخرى</w:t>
      </w:r>
      <w:bookmarkEnd w:id="462"/>
    </w:p>
    <w:p>
      <w:pPr>
        <w:pStyle w:val="BookText"/>
        <w:rPr/>
      </w:pPr>
      <w:r>
        <w:rPr>
          <w:rFonts w:ascii="Amiri" w:hAnsi="Amiri" w:eastAsia="Amiri" w:cs="Amiri"/>
          <w:color w:val="111111"/>
          <w:sz w:val="28"/>
          <w:sz w:val="28"/>
          <w:szCs w:val="28"/>
          <w:rtl w:val="true"/>
          <w:lang w:bidi="ar-SA"/>
        </w:rPr>
        <w:t>مرّت على حياة النبي صلى الله عليه و آله و سلم مراحل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حياته قبل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حياته بعد البعثة وقبل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حياته بعد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حياة النبي صلى الله عليه و آله و سلم في المرحلتين الأخيرتين امتازت بوجود من يؤمن به ويعشق منهجه ويراقب حركاته وسكناته ويحفظ أقواله وأفعاله، ولذلك صار بيان حياته في تينك المرحلتين من الأُمور الميسورة، حتى أنّ المحقّق إذا شاهد التعارض والخلاف فيما ينقل عنه خلال هاتين الفترتين يستطيع بقليل من العناء الوصول إلى الحقيقة، لوجود أكثر من راو لهذه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حياته صلى الله عليه و آله و سلم في المرحلة الأُولى خصوصاً حياته في البادية عند ضئره حليمة السعدية فهي لاتخلو من غموض، فلذلك لايمكن الاعتماد بما ينقل عن وقائع حياته في تلك المرحلة التي لايصدقها العقل ولا النقل والتي منها أُسطورة شقّ الصدر أو القلب أو البطن على اختلاف في التعبير في الزمن الذي كان النبي صلى الله عليه و آله و سلم في حجر حليمة يعيش في البادية ومعه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تنقل مسألة الشق عن لسان أولاد مرضعته، وأُخرى عن لسانها هي، وثالثة عن لسان النبي صلى الله عليه و آله و سلم،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المحبّ الطبري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سنتين، فبينما هو صلى الله عليه و آله و سلم وأخوه في بُهم لنا خلف بيوتنا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أتى أخوه يعدو فقال لي ولأبيه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أخي القرشي</w:t>
      </w:r>
    </w:p>
    <w:p>
      <w:pPr>
        <w:pStyle w:val="BookText"/>
        <w:rPr/>
      </w:pPr>
      <w:r>
        <w:rPr>
          <w:rFonts w:ascii="Amiri" w:hAnsi="Amiri" w:eastAsia="Amiri" w:cs="Amiri"/>
          <w:color w:val="111111"/>
          <w:sz w:val="28"/>
          <w:sz w:val="28"/>
          <w:szCs w:val="28"/>
          <w:rtl w:val="true"/>
          <w:lang w:bidi="ar-SA"/>
        </w:rPr>
        <w:t>قد أخذه رجلان عليهما ثياب بيض فاضجعاه، فشقّا بطنه فهما يسوطانه</w:t>
      </w:r>
      <w:r>
        <w:rPr>
          <w:rStyle w:val="FootnoteAnchor"/>
          <w:rtl w:val="true"/>
        </w:rPr>
        <w:footnoteReference w:id="340"/>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أنا وأبوه نحوه فوجدناه قائماً منتقعاً</w:t>
      </w:r>
      <w:r>
        <w:rPr>
          <w:rStyle w:val="FootnoteAnchor"/>
          <w:rtl w:val="true"/>
        </w:rPr>
        <w:footnoteReference w:id="341"/>
      </w:r>
      <w:r>
        <w:rPr>
          <w:rFonts w:ascii="Amiri" w:hAnsi="Amiri" w:eastAsia="Amiri" w:cs="Amiri"/>
          <w:color w:val="111111"/>
          <w:sz w:val="28"/>
          <w:sz w:val="28"/>
          <w:szCs w:val="28"/>
          <w:rtl w:val="true"/>
          <w:lang w:bidi="ar-SA"/>
        </w:rPr>
        <w:t>وجهه لما ناله من الفزع، أي من رؤية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فالتزمته والتزمه أبوه،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بني‌؟ فقال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جاءني رجلان عليهما ثياب 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جبرئيل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فأقبلا يبتدراني فأخذاني فأضجعاني فشقّا بطني، فالتمسا فيه شيئاً، فوجداه فأخذاه وطرحاه ولا أدري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أهل السيرة منهم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أخرجاه هي العلقة التي هي محل مغمز الشيطان عند الولادة، أي مطمعه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السيرة الحلبية بسط الكلام في الأقوال المختلفة في هذا الباب بما يزيد على عشرين صفحة</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ثم إنّ المؤلّف حاول الجمع بين الروايات المختلفة التي تدلّ تارة على أنّه كان في حجر حليمة، وأخرى أنّه كان ابن عشر سنين، وثالثة أنّه كان ابن عشرين سنة، كما حاول الجمع بين شقّ الصدر والبطن والقلب كما تكلّم في كيفية الشق وغسل أحشاء البطن ثم إعادتها إلى محلّها، إلى غير ذلك من الأُمور المتعارضة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كثر رواة هذا الأمر، لايمكن الاعتماد على هذه النقول، وذلك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عظمة النبي الأكرم صلى الله عليه و آله و سلم في أنّه مع قدرته على العصيان</w:t>
      </w:r>
    </w:p>
    <w:p>
      <w:pPr>
        <w:pStyle w:val="BookText"/>
        <w:rPr/>
      </w:pPr>
      <w:r>
        <w:rPr>
          <w:rFonts w:ascii="Amiri" w:hAnsi="Amiri" w:eastAsia="Amiri" w:cs="Amiri"/>
          <w:color w:val="111111"/>
          <w:sz w:val="28"/>
          <w:sz w:val="28"/>
          <w:szCs w:val="28"/>
          <w:rtl w:val="true"/>
          <w:lang w:bidi="ar-SA"/>
        </w:rPr>
        <w:t xml:space="preserve">والخلاف، لايعصي ولايخالف، وقد قلنا في محلّه إنّ العصمة لا تسلب الاختيار والقدرة عن المعصوم، فلو صحّ ما في هذه الروايات من أنّ الملائكة أخرجت ما هو حظ الشيطان ومغمزه ومطمعه، أو صحّ ما يقولون أخرج الغلّ والحسد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أُخرى </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فمعنى ذلك أنّ النبي صلى الله عليه و آله و سلم صار غير قادر على الإتيان بكلّ المعاصي أو بعضها كالغل والحسد فهذا يحطّ من عظمة النبي صلى الله عليه و آله و سلم، فالنبي الأكرم صلى الله عليه و آله و سلم أعلى وأفضل من النبي يوسف عليه السلام حيث إنّه في قمّة شبابه وقوة شهوته، استعصم وقطع الطريق أمام إغراء امرأة العزيز التي هيّأت نفسها وتزيّنت بأجمل أنواع الزينة،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إِنَّهُ رَبِّي أَحْسَنَ مَثْوايَ إِنَّهُ لا يُفْلِحُ الظّالِمُونَ‌</w:t>
      </w:r>
      <w:r>
        <w:rPr>
          <w:rFonts w:eastAsia="Amiri" w:cs="Amiri" w:ascii="Amiri" w:hAnsi="Amiri"/>
          <w:color w:val="111111"/>
          <w:sz w:val="28"/>
          <w:szCs w:val="28"/>
          <w:rtl w:val="true"/>
          <w:lang w:bidi="ar-SA"/>
        </w:rPr>
        <w:t>)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فلو لم يكن في النبي يوسف عليه السلام حاجة جنسية شديدة لما كان لهذا الردّ قيمة ولا فضل في سوق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النبي صلى الله عليه و آله و سلم إنّما بلغ هذه المرتبة والمكانة لأنّه كان ذا قدرة على المعصية إلّاأنّه لم يعص اللّه طرفة عين حتى لقائه بالرفيق الأعلى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أعرف بحالات النبي صلى الله عليه و آله و سلم في عامّة المراحل لأنّه ربيب بيت النبي صلى الله عليه و آله و سلم، إذ ربّاه في حجره يصف أيام طفولته بعد الفطام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قرن اللّه به صلى الله عليه و آله و سلم من لدن أن كان فطيماً أعظم ملك من ملائكته يسلك به طريق المكارم ومحاسن أخلاق العالم ليله ونهاره</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فإذا كان للنبي صلى الله عليه و آله و سلم عند اللّه تلك المنزلة فأيّ حاجة لنزول ملكين ينزلان ويشقّان بطنه أو صدره على وجه يدخل الخوف والفزع عليه ويصير لون وجهه كلون النقع، ويخرجان مغمز الشيطان من بطنه أو صدره، أو يغسلان أحشاءه، إلى غير ذلك ممّا يشبه الأساطير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خلال كلام عليٍّ عليه السلام يُعرف صحّة ما نقله العلّامة المجلسي حول توحيده صلى الله عليه و آله و سلم ورفضه الوثنية والأوثان، روى عن المنتقى للكازروني أنّ النبي صلى الله عليه و آله و سلم قال يوماً لحليمة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مالي لا أرى أخويّ بالنهار؟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إنّهما يرعيان غنيمات،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لا أخرج معهما؟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فلمّا أصبح دهّنته وكحّلته، وعلّقت في عنقه خيطاً فيه جزع يمانيّة، فنزعها،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أُمّاه فإنّ معي من يحفظني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بعد ذلك مسألة شق البطن أو الصدر بتفصيل</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فمن كان في هذا العمر على تلك المرتبة من التوحيد والرفض للوثنية، فأي حاجة إلى شقّ صدره لاستخراج مغمز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يدفع المحقّقين الّذين يكتبون سيرة النبي صلى الله عليه و آله و سلم وحياته ويقدّمونها إلى هذا الجيل والأجيال الآتية أن يتحرّوا ما هو الموافق للكتاب والسنّة المتواترة والعقل الحصيف وما أجمع عليه المسلمون، ويجتنبوا عن الروايات الشاذّة التي حيكت لأغراض خاصّة إمّا من محب جاهل يريد رفع قيمة النبي وإكرامه، أو من عدو ماكر يريد بذلك الإساءة إلى سيرته وصفاته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يتبادر إلى أوهام البعض أنّ هذه الأُسطورة هي المراد من قوله</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تشير إلى خصائص نفسية رسول اللّه صلى الله عليه و آله و سلم من انشراح قلبه وتمتعه بالقوة والصلابة أمام المصاعب القارعة، ويحتمل أن يكون المراد هو جعله بحيث يسع ما يُلقى إليه من حقائق ولايضيق بما ينزل عليه من المعارف وما يصيبه من أذى الناس في تبليغها</w:t>
      </w:r>
      <w:r>
        <w:rPr>
          <w:rFonts w:eastAsia="Amiri" w:cs="Amiri" w:ascii="Amiri" w:hAnsi="Amiri"/>
          <w:color w:val="111111"/>
          <w:sz w:val="28"/>
          <w:szCs w:val="28"/>
          <w:rtl w:val="true"/>
          <w:lang w:bidi="ar-SA"/>
        </w:rPr>
        <w:t>.</w:t>
      </w:r>
      <w:r>
        <w:rPr>
          <w:rStyle w:val="FootnoteAnchor"/>
          <w:rtl w:val="true"/>
        </w:rPr>
        <w:footnoteReference w:id="34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أحسن الدكتور محمدحسين هيكل بعد أن نقل قصة الشق وكلمات بعض المستشرقين فيها، فصار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في حاجة إلى مَن يشق بطنه أو صدره مادام اللّه قد أعدّه من يوم خلقه لتلقّي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حياة محمّد صلى الله عليه و آله و سلم كانت كلّها إنسانية سامية، وأنّه لم يلجأ في إتيان رسالته إلى ما لجأ إليه من سبقه من أصحاب الخوارق</w:t>
      </w:r>
      <w:r>
        <w:rPr>
          <w:rFonts w:eastAsia="Amiri" w:cs="Amiri" w:ascii="Amiri" w:hAnsi="Amiri"/>
          <w:color w:val="111111"/>
          <w:sz w:val="28"/>
          <w:szCs w:val="28"/>
          <w:rtl w:val="true"/>
          <w:lang w:bidi="ar-SA"/>
        </w:rPr>
        <w:t>.</w:t>
      </w:r>
      <w:r>
        <w:rPr>
          <w:rStyle w:val="FootnoteAnchor"/>
          <w:rtl w:val="true"/>
        </w:rPr>
        <w:footnoteReference w:id="349"/>
      </w:r>
      <w:bookmarkStart w:id="463" w:name="pg16772_194565"/>
    </w:p>
    <w:p>
      <w:pPr>
        <w:pStyle w:val="Heading3"/>
        <w:numPr>
          <w:ilvl w:val="2"/>
          <w:numId w:val="1"/>
        </w:numPr>
        <w:rPr/>
      </w:pPr>
      <w:bookmarkStart w:id="464" w:name="__RefHeading___Toc6963711_73709187"/>
      <w:bookmarkStart w:id="465" w:name="_Toc174"/>
      <w:bookmarkEnd w:id="463"/>
      <w:bookmarkEnd w:id="464"/>
      <w:r>
        <w:rPr/>
        <w:t>5</w:t>
      </w:r>
      <w:r>
        <w:rPr>
          <w:rtl w:val="true"/>
        </w:rPr>
        <w:t xml:space="preserve"> </w:t>
      </w:r>
      <w:r>
        <w:rPr>
          <w:rtl w:val="true"/>
        </w:rPr>
        <w:t>غار حراء، وذكريات النبي صلى الله عليه و آله و سلم فيه</w:t>
      </w:r>
      <w:bookmarkEnd w:id="465"/>
    </w:p>
    <w:p>
      <w:pPr>
        <w:pStyle w:val="Heading4"/>
        <w:numPr>
          <w:ilvl w:val="3"/>
          <w:numId w:val="1"/>
        </w:numPr>
        <w:rPr/>
      </w:pPr>
      <w:bookmarkStart w:id="466" w:name="__RefHeading___Toc6963713_73709187"/>
      <w:bookmarkStart w:id="467" w:name="_Toc175"/>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 xml:space="preserve">يقع جبل النور في شمال شرق المسجد الحرام في حَيٍّ سمّي باسمه، و يطلّ على طريق العدل، وسمّي بجبل النور لظهور أنوار النبوة فيه، فقد كان النبي صلى الله عليه و آله و سلم يختلي بنفسه قبل البعثة في غار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غار 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ليعبد اللّه، وفيه نزل الوحي عليه لأوّل مرّة، ومنه أُرسل إلى الناس كافّة بشيراً ونذيراً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يبلغ ارتفاع جبل النور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ويصير انحدار الجبل شديداً من ارتفاع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حتى يصل إلى ارتفاع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وتبلغ مساحة الجبل خمسة كيلومترات ومائتين وخمسين متراً مربعاً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الحموي أنّ الجبل يقع على مبعدة ثلاثة أميال من مكة المكرمة</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 قال غيره على مبعدة نحو ميلين من مكة، وأمّا اليوم فقد اتّسعت المدينة وانتهت قريباً من سفح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غار حراء فطوله أربعة أذرع، وعرضه ذراع وثلاثة أرباع ذراع، من ذراع الحديد</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مَن يعتمر أو يحج يغمره الشوق لزيارة مكان عبادة النبي صلى الله عليه و آله و سلم قبل</w:t>
      </w:r>
      <w:bookmarkStart w:id="468" w:name="pg16772_194566"/>
    </w:p>
    <w:p>
      <w:pPr>
        <w:pStyle w:val="BookText"/>
        <w:rPr/>
      </w:pPr>
      <w:bookmarkEnd w:id="468"/>
      <w:r>
        <w:rPr>
          <w:rFonts w:ascii="Amiri" w:hAnsi="Amiri" w:eastAsia="Amiri" w:cs="Amiri"/>
          <w:color w:val="111111"/>
          <w:sz w:val="28"/>
          <w:sz w:val="28"/>
          <w:szCs w:val="28"/>
          <w:rtl w:val="true"/>
          <w:lang w:bidi="ar-SA"/>
        </w:rPr>
        <w:t>بعثته، ومحلّ انطلاق دعوته المباركة، وهذا الغار يحمل في رحابه ذكريات كثيرة عن صاحبه الذي طالما تردّد إليه، وقضى ساعات بل أياماً وأشهراً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ذكريات يشتاق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هذه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سماعها من ذلك الغار، ولذلك تجدهم يسارعون إليه عندما يؤمّون تلك الديار المشرّفة، متحملين في هذا السبيل كل عناء، للوصول إلى رحابه، لكي يستنطقونه عمّا جرى فيه عند نزول الوحي، ويسألونه عمّا تحتفظ به ذاكرته من تاريخ رسول الإنسانية الأكبر، وعمّا جرت من حوادث في ذلك المكان المقدّس، غير أنّ في كتب السير والحديث حول نزول الوحي على النبي صلى الله عليه و آله و سلم في ذلك المكان أُموراً لايصدقها العقل ولا النقل، وإليك بيانها</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6963715_73709187"/>
      <w:bookmarkStart w:id="470" w:name="_Toc176"/>
      <w:bookmarkEnd w:id="469"/>
      <w:r>
        <w:rPr/>
        <w:t>1</w:t>
      </w:r>
      <w:r>
        <w:rPr>
          <w:rtl w:val="true"/>
        </w:rPr>
        <w:t xml:space="preserve">. </w:t>
      </w:r>
      <w:r>
        <w:rPr>
          <w:rtl w:val="true"/>
        </w:rPr>
        <w:t>تغطية جبرئيل النبي صلى الله عليه و آله و سلم</w:t>
      </w:r>
      <w:bookmarkEnd w:id="470"/>
    </w:p>
    <w:p>
      <w:pPr>
        <w:pStyle w:val="BookText"/>
        <w:rPr/>
      </w:pP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و سلم يخلو بغار حراء فيتحنّث فيه، وهو التعبّد في الليالي ذوات العدد قبل أن ينزع إلى أهله، ويتزوّد لذلك ثم يرجع إلى خديجة فيتزوّد لمثلها حتى جاءه الحق وهو في غار حراء فجاءه الملك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فغطّني حتى بلغ منّي الجَهد،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 فأخذني فغطّني الثانية حتى بلغ منّي الجَهد،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 فأخذني فغطّني الثالثة، ثم أرسلني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رَبُّكَ الْأَكْرَمُ‌</w:t>
      </w:r>
      <w:r>
        <w:rPr>
          <w:rFonts w:eastAsia="Amiri" w:cs="Amiri" w:ascii="Amiri" w:hAnsi="Amiri"/>
          <w:color w:val="111111"/>
          <w:sz w:val="28"/>
          <w:szCs w:val="28"/>
          <w:rtl w:val="true"/>
          <w:lang w:bidi="ar-SA"/>
        </w:rPr>
        <w:t>) .</w:t>
      </w:r>
      <w:r>
        <w:rPr>
          <w:rStyle w:val="FootnoteAnchor"/>
          <w:rtl w:val="true"/>
        </w:rPr>
        <w:footnoteReference w:id="35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مضموناً وسنداً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تأمّلات واضحة ذكرناها في المقال</w:t>
      </w:r>
      <w:bookmarkStart w:id="471" w:name="pg16772_194567"/>
    </w:p>
    <w:p>
      <w:pPr>
        <w:pStyle w:val="BookText"/>
        <w:rPr/>
      </w:pPr>
      <w:bookmarkEnd w:id="471"/>
      <w:r>
        <w:rPr>
          <w:rFonts w:ascii="Amiri" w:hAnsi="Amiri" w:eastAsia="Amiri" w:cs="Amiri"/>
          <w:color w:val="111111"/>
          <w:sz w:val="28"/>
          <w:sz w:val="28"/>
          <w:szCs w:val="28"/>
          <w:rtl w:val="true"/>
          <w:lang w:bidi="ar-SA"/>
        </w:rPr>
        <w:t>المتقدّم،</w:t>
      </w:r>
      <w:r>
        <w:rPr>
          <w:rStyle w:val="FootnoteAnchor"/>
          <w:rtl w:val="true"/>
        </w:rPr>
        <w:footnoteReference w:id="353"/>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4"/>
        <w:numPr>
          <w:ilvl w:val="3"/>
          <w:numId w:val="1"/>
        </w:numPr>
        <w:rPr/>
      </w:pPr>
      <w:bookmarkStart w:id="472" w:name="__RefHeading___Toc6963717_73709187"/>
      <w:bookmarkStart w:id="473" w:name="_Toc177"/>
      <w:bookmarkEnd w:id="472"/>
      <w:r>
        <w:rPr/>
        <w:t>2</w:t>
      </w:r>
      <w:r>
        <w:rPr>
          <w:rtl w:val="true"/>
        </w:rPr>
        <w:t xml:space="preserve">. </w:t>
      </w:r>
      <w:r>
        <w:rPr>
          <w:rtl w:val="true"/>
        </w:rPr>
        <w:t>شكّ النبي صلى الله عليه و آله و سلم في نبوته ورسالته</w:t>
      </w:r>
      <w:bookmarkEnd w:id="473"/>
    </w:p>
    <w:p>
      <w:pPr>
        <w:pStyle w:val="BookText"/>
        <w:rPr/>
      </w:pPr>
      <w:r>
        <w:rPr>
          <w:rFonts w:ascii="Amiri" w:hAnsi="Amiri" w:eastAsia="Amiri" w:cs="Amiri"/>
          <w:color w:val="111111"/>
          <w:sz w:val="28"/>
          <w:sz w:val="28"/>
          <w:szCs w:val="28"/>
          <w:rtl w:val="true"/>
          <w:lang w:bidi="ar-SA"/>
        </w:rPr>
        <w:t>هناك أُسطورة ثانية تعرب عن أنّ النبي صلى الله عليه و آله و سلم بعد أن بشّره جبرئيل بالنبوة، رجف فؤاده حتى أنّه أراد أن يلقي نفسه من الجبل إلى غير ذلك من الأساطير التي حاكها مسلمة أهل الكتاب وأدخلوها في كتب السيرة، مع أنّ الأدلة النقلية والآيات القرآنية دلّت على صيانة الأنبياء عن الخطاء والاشتباه فى تلقّي الوحي أوّلاً، وضبطه في ذاكرته ثانياً، وإبلاغه إلى الناس ثالثاً، وإنّهم لايشكّون فيما يُلقى في روعهم من أنّه نداء رب العالمين، وأنّ ما يبصرونه، هو رسول إله العالمين، والكلام كلامه، لايشكّون في ذلك طرفة عين، ولايتردّدون بل يتلقّونها بنفس مطمئنة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القرآن الكريم يذكر كيفية بدء نزول الوحي على موسى عليه السلام، وأنّه تلقّاه بلاتردّد ولا تريّث، وقد ذكره في سور مختلفة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أَتاها نُودِيَ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رَبُّكَ فَاخْلَعْ نَعْلَيْكَ إِنَّكَ بِالْوادِ الْمُقَدَّسِ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اخْتَرْتُكَ فَاسْتَمِعْ لِما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أَنَا اللّهُ لا إِلهَ إِلاّ أَنَا فَاعْبُدْنِي وَ أَقِمِ الصَّلاةَ لِذِكْرِي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آتِيَةٌ أَكادُ أُخْفِيها لِتُجْزى كُلُّ نَفْسٍ بِما 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يَصُدَّنَّكَ عَنْها مَنْ لا يُؤْمِنُ بِها وَ اتَّبَعَ هَواهُ فَتَرْدى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تِلْكَ بِيَمِينِكَ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عَصايَ أَتَوَكَّؤُا عَلَيْها وَ أَهُشُّ بِها عَلى غَنَمِي وَ لِيَ‌</w:t>
      </w:r>
    </w:p>
    <w:p>
      <w:pPr>
        <w:pStyle w:val="BookText"/>
        <w:rPr/>
      </w:pPr>
      <w:r>
        <w:rPr>
          <w:rFonts w:ascii="Amiri" w:hAnsi="Amiri" w:eastAsia="Amiri" w:cs="Amiri"/>
          <w:color w:val="111111"/>
          <w:sz w:val="28"/>
          <w:sz w:val="28"/>
          <w:szCs w:val="28"/>
          <w:rtl w:val="true"/>
          <w:lang w:bidi="ar-SA"/>
        </w:rPr>
        <w:t xml:space="preserve">فِيها مَآرِبُ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أَلْقِها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فَأَلْقاها فَإِذا هِيَ حَيَّةٌ 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خُذْها وَ لا تَخَفْ سَنُعِيدُها سِيرَتَهَا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اضْمُمْ يَدَكَ إِلى جَناحِكَ تَخْرُجْ بَيْضاءَ مِنْ غَيْرِ سُوءٍ آيَةً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لِنُرِيَكَ مِنْ آياتِنَا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بِنا بَصِيراً</w:t>
      </w:r>
      <w:r>
        <w:rPr>
          <w:rFonts w:eastAsia="Amiri" w:cs="Amiri" w:ascii="Amiri" w:hAnsi="Amiri"/>
          <w:color w:val="111111"/>
          <w:sz w:val="28"/>
          <w:szCs w:val="28"/>
          <w:rtl w:val="true"/>
          <w:lang w:bidi="ar-SA"/>
        </w:rPr>
        <w:t>)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ترى أنّ الكليم عندما فُوجئ، بنزول الوحي، تلقّاه بصدر رحب، ولم يتردّد في أنّه وحيه سبحانه وأمره، ولذلك سأل اللّه سبحانه أن يشرح له صدره، وييسِّر له أمره، ويَحلّ العقدة التي في لسانه، ويجعل له وزيراً من أهله، يَشُدّ به أزره، ويُشركه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جاءَها نُودِيَ أَنْ بُورِكَ مَنْ فِي النّارِ وَ مَنْ حَوْلَها وَ سُبْحانَ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إِنَّهُ أَنَا اللّهُ الْعَزِيزُ الْحَكِيمُ‌</w:t>
      </w:r>
      <w:r>
        <w:rPr>
          <w:rFonts w:eastAsia="Amiri" w:cs="Amiri" w:ascii="Amiri" w:hAnsi="Amiri"/>
          <w:color w:val="111111"/>
          <w:sz w:val="28"/>
          <w:szCs w:val="28"/>
          <w:rtl w:val="true"/>
          <w:lang w:bidi="ar-SA"/>
        </w:rPr>
        <w:t>)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 جاءت هذه القصة في سورة القصص على وفق ما وردت في السورتين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لاحظ الآيات يقف على أنّ موقف الأنبياء من الوحي هو موقف الإنسان المتيقّن المطمئن، وهذه خاصية تعمّ جميع الأنبياء عليهم السلام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نرى أنّه سبحانه يذكر رؤية النبي الأكرم صلى الله عليه و آله و سلم، ومواجهته لمعلّمه الذي</w:t>
      </w:r>
    </w:p>
    <w:p>
      <w:pPr>
        <w:pStyle w:val="BookText"/>
        <w:rPr/>
      </w:pPr>
      <w:r>
        <w:rPr>
          <w:rFonts w:ascii="Amiri" w:hAnsi="Amiri" w:eastAsia="Amiri" w:cs="Amiri"/>
          <w:color w:val="111111"/>
          <w:sz w:val="28"/>
          <w:sz w:val="28"/>
          <w:szCs w:val="28"/>
          <w:rtl w:val="true"/>
          <w:lang w:bidi="ar-SA"/>
        </w:rPr>
        <w:t xml:space="preserve">وصفه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فَتُمارُونَهُ عَلى ما يَرى‌</w:t>
      </w:r>
      <w:r>
        <w:rPr>
          <w:rFonts w:eastAsia="Amiri" w:cs="Amiri" w:ascii="Amiri" w:hAnsi="Amiri"/>
          <w:color w:val="111111"/>
          <w:sz w:val="28"/>
          <w:szCs w:val="28"/>
          <w:rtl w:val="true"/>
          <w:lang w:bidi="ar-SA"/>
        </w:rPr>
        <w:t>)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فأي كلمة أصرح في وصف إيمان النبي وإذعانه في مجال الوحي ومواجهته الملك بعينه،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صدّق القلب عمل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رآه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بالفؤاد، فؤاد النبي صلى الله عليه و آله و سلم وضمير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الفؤاد، والرؤيا رؤيته ولا بدع في نسبة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مشاهدة العيان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الفؤاد، فإنّ للإنسان نوعاً من الإدراك الشهودي وراء الإدراك بإحدى الحواس الظاهرة، والتخيّل والتفكّر بالقوى الباطنة، كما أنّنا نشاهد من أنفسنا أنّنا نرى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هذه المشاهدة العيانية رؤية بالبصر ولا معلوماً بالفكر، وكذا نرى من انفسنا أننا نسمع ونشم ونذوق ونلمس، ونشاهد أنّنا نتخيّل ونتفكّر، وليست هذه الرؤية ببصر أو بشيء من الحواس الظاهرة أو الباطنة</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فاللّه سبحانه يؤيد صدق النبي فيما يدّعيه من الوحي ورؤية آيات اللّه الكبرى، سواء كانت بالعين أو بالفؤاد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تقدير فهذه الآيات وغيرها تدلّ على أنّ الأنبياء لا يشكّون و لا</w:t>
      </w:r>
    </w:p>
    <w:p>
      <w:pPr>
        <w:pStyle w:val="BookText"/>
        <w:rPr/>
      </w:pPr>
      <w:r>
        <w:rPr>
          <w:rFonts w:ascii="Amiri" w:hAnsi="Amiri" w:eastAsia="Amiri" w:cs="Amiri"/>
          <w:color w:val="111111"/>
          <w:sz w:val="28"/>
          <w:sz w:val="28"/>
          <w:szCs w:val="28"/>
          <w:rtl w:val="true"/>
          <w:lang w:bidi="ar-SA"/>
        </w:rPr>
        <w:t>يتردّدون فيما يواجهون من الأُمور 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تقف على أنّ ما ملأ كتب السيرة وبعض التفاسير في مجال بدء الوحي، ونزول الوحي عليه في غار حراء من أنّ النبيّ تردّد وشكّ عندما بُشّر بالنبوة وشاهد ملك الوحي وامتلأ روعاً وخوفاً، إلى حد حاول أن يلقي نفسه من شاهق، وعاد إلى البيت فكلّم زوجته فيما واجهه، وعادت زوجته، تُسلّيه وتقنعه، بأنّه رسول رب العالمين، وأنّ ما رآه ليس إلّاأمراً حقّاً، كلّ ذلك أساطير وخرافات، قد دسّها الأحبار والرهبان وسماسرة الحديث والقصّاصون في كتب القصص والسير والحديث، ونحن نكتفي في المقام بما ذكره البخاري في صحيحه وابن هشام في سيرته، فإنّ استقصاء كلّ ما ورد حول هذا الموضوع من الروايات المدسوسة يدفع بنا إلى تأليف رسالة مفردة ولكن فيما ذكرنا غنى وكفاية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البخاري عن عائشة في باب كيف كان بدء الوحي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نزول أمين الوحي عليه في جبل 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بها رسول اللّه صلى الله عليه و آله و سلم يرجف فؤاده، فدخل على خديجة بنت خويلد رضي اللّه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زمّلوني زمّلوني، فزمّلوه حتى ذهب عنه الروع فقال لخديجة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خشيت على نفسي، فقالت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ما يخزيك اللّه أبداً إنّك لتصل الرحم، وتحمل الكَلّ‌، وتكسب المعدوم، وتُقري الضيف، وتُعين على نوائب الحق؛ فانطلقتْ به خديجة حتى أتت به ورقة بن نوفل بن أسد بن عبدالعزّى ابن عمّ خديجة وكان امرءاً تنصّر في الجاهلية، وكان يكتب الكتاب العبراني، فيكتب من الإنجيل بالعبرانية ما شاء اللّه أن يكتب، وكان شيخاً كبيراً قد عمي فقالت له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ابن عمّ اسمع من ابن أخيك، فقال له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ماذا ترى‌؟ فأخبره رسول اللّه صلى الله عليه و آله و سلم خبرما رأى، فقال له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الناموس الذي نزّل اللّه على موسى يا ليتني فيها جَذَعاً ليتني أكون حيّاً، إذ يخرجك قومك،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مخرجيّ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يأتِ رجل قط بمثل ما جئت به إلّاعودي، وإن يدركني يومك، أنصرك نصراً مؤزّراً، ثم لم ينشب</w:t>
      </w:r>
      <w:r>
        <w:rPr>
          <w:rStyle w:val="FootnoteAnchor"/>
          <w:rtl w:val="true"/>
        </w:rPr>
        <w:footnoteReference w:id="358"/>
      </w:r>
      <w:r>
        <w:rPr>
          <w:rFonts w:ascii="Amiri" w:hAnsi="Amiri" w:eastAsia="Amiri" w:cs="Amiri"/>
          <w:color w:val="111111"/>
          <w:sz w:val="28"/>
          <w:sz w:val="28"/>
          <w:szCs w:val="28"/>
          <w:rtl w:val="true"/>
          <w:lang w:bidi="ar-SA"/>
        </w:rPr>
        <w:t>ورقة أن توفّي وفتر الوحي</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هذا ما لدى البخاري، وأمّا صاحب السيرة النبوية فبعدما ذكر مسألة الغتّ ينقل عن النبي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إذا كنت في وسطالجبل سمعت صوتاً من السماء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رسول اللّه وأنا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أنظر إليه، فما أتقدّم وما أتأخّر، وجعلت أصرف وجهي عنه في آفاق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أنظر في ناحية منها إلّارأيته كذلك، فما زلت واقفاً، ما أتقدّم أمامي، و ما أرجع ورائي، حتى بعثت خديجة رسلها في طلبي، فبلغوا أعلى مكة ورجعوا إليها، وأنا واقف في مكاني ذلك، ثم انصرف عنّي وانصرفت راجعاً الى أهلي حتى أتيت خديجة فجلست إلى فخذها مضيفاً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ملتصقاً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أين كنت‌؟ فواللّه لقد بعثت رسلي في طلبك حتى بلغوا أعلى مكة ورجعوا إليّ‌، ثم حدّثتها بالذي رأيت،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أبن عم وأثبت، فوالذي نفس خديجة بيده إنّي لأرجو أن تكون نبيَّ هذه الأُمة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يذكر انطلاق خديجة إلى ورقة بن نوفل، وما أجابها به ورقة بنفس</w:t>
      </w:r>
    </w:p>
    <w:p>
      <w:pPr>
        <w:pStyle w:val="BookText"/>
        <w:rPr/>
      </w:pPr>
      <w:r>
        <w:rPr>
          <w:rFonts w:ascii="Amiri" w:hAnsi="Amiri" w:eastAsia="Amiri" w:cs="Amiri"/>
          <w:color w:val="111111"/>
          <w:sz w:val="28"/>
          <w:sz w:val="28"/>
          <w:szCs w:val="28"/>
          <w:rtl w:val="true"/>
          <w:lang w:bidi="ar-SA"/>
        </w:rPr>
        <w:t>النصّ الذي ذكره البخاري، ثم يذكر لقاء النبي ورقة بن نوفل وهو يطوف بالكعبة فسأله ورقة بما رأى وسمع فأخبره النبيّ صلى الله عليه و آله و سلم، فقال له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إنّك لنبي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عقبه بذكر ما قامت به خديجة من امتحان صدق نبوته فذكر أنّها قالت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عم، أ تستطيع أن تخبرني بصاحبك هذا إذا جاءك‌؟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جاءك فأخبرني به، فجاءه جبرئيل، فقال رسول اللّه لخديجة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قدجاءني،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ابن عم فاجلس على فخذي اليسرى،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فجلس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فاجلسْ على فخذي اليمنى، فجلس على فخذها اليمنى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فتحوَّلْ واجلس في حجري، فتحَّول فجلس في حجرها،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فتحسرت وألقت خمارها ورسول اللّه جالس في حجرها، ثم قالت له، هل 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أثبت وأبشر، فو اللّه هذا ملك وما هذا بشيطان</w:t>
      </w:r>
      <w:r>
        <w:rPr>
          <w:rFonts w:eastAsia="Amiri" w:cs="Amiri" w:ascii="Amiri" w:hAnsi="Amiri"/>
          <w:color w:val="111111"/>
          <w:sz w:val="28"/>
          <w:szCs w:val="28"/>
          <w:rtl w:val="true"/>
          <w:lang w:bidi="ar-SA"/>
        </w:rPr>
        <w:t>.</w:t>
      </w:r>
      <w:r>
        <w:rPr>
          <w:rStyle w:val="FootnoteAnchor"/>
          <w:rtl w:val="true"/>
        </w:rPr>
        <w:footnoteReference w:id="36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الطبري عن النبي صلى الله عليه و آله و سلم أنّه عندما نزل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رسول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أطرح نفسي من حالق من جبل، فتبدّى لي حين هممت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أنا جبرئيل وأنت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فغتني ثلاث مرات حتى بلغ منّي الجهد،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 فقرأت فأتيت خديجة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أشفقت على نفسي، فأخبرتها خبري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فو اللّه لايخزيك الله أبداً، و واللّه إنّك لتصل</w:t>
      </w:r>
      <w:bookmarkStart w:id="474" w:name="pg16772_194573"/>
    </w:p>
    <w:p>
      <w:pPr>
        <w:pStyle w:val="BookText"/>
        <w:rPr/>
      </w:pPr>
      <w:bookmarkEnd w:id="474"/>
      <w:r>
        <w:rPr>
          <w:rFonts w:ascii="Amiri" w:hAnsi="Amiri" w:eastAsia="Amiri" w:cs="Amiri"/>
          <w:color w:val="111111"/>
          <w:sz w:val="28"/>
          <w:sz w:val="28"/>
          <w:szCs w:val="28"/>
          <w:rtl w:val="true"/>
          <w:lang w:bidi="ar-SA"/>
        </w:rPr>
        <w:t>الرحم، وتصدق الحديث، وتؤدّي الأمانة وتحمل الكَلّ‌، وتقري الضيف، وتعين على نوائب الحق، ثم انطلقت بي إلى ورقة بن نوفل بن أسد،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 ابن أخيك، فسألني فأخبرته خبري،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الناموس الذي أنزل على موسى بن عمران</w:t>
      </w:r>
      <w:r>
        <w:rPr>
          <w:rFonts w:eastAsia="Amiri" w:cs="Amiri" w:ascii="Amiri" w:hAnsi="Amiri"/>
          <w:color w:val="111111"/>
          <w:sz w:val="28"/>
          <w:szCs w:val="28"/>
          <w:rtl w:val="true"/>
          <w:lang w:bidi="ar-SA"/>
        </w:rPr>
        <w:t>....</w:t>
      </w:r>
      <w:r>
        <w:rPr>
          <w:rStyle w:val="FootnoteAnchor"/>
          <w:rtl w:val="true"/>
        </w:rPr>
        <w:footnoteReference w:id="361"/>
      </w:r>
    </w:p>
    <w:p>
      <w:pPr>
        <w:pStyle w:val="Heading4"/>
        <w:numPr>
          <w:ilvl w:val="3"/>
          <w:numId w:val="1"/>
        </w:numPr>
        <w:rPr/>
      </w:pPr>
      <w:bookmarkStart w:id="475" w:name="__RefHeading___Toc6963719_73709187"/>
      <w:bookmarkStart w:id="476" w:name="_Toc178"/>
      <w:bookmarkEnd w:id="475"/>
      <w:r>
        <w:rPr>
          <w:rtl w:val="true"/>
        </w:rPr>
        <w:t>نظرة تحليلية حول هذه النصوص</w:t>
      </w:r>
      <w:r>
        <w:rPr>
          <w:rtl w:val="true"/>
        </w:rPr>
        <w:t>:</w:t>
      </w:r>
      <w:bookmarkEnd w:id="476"/>
    </w:p>
    <w:p>
      <w:pPr>
        <w:pStyle w:val="BookText"/>
        <w:rPr/>
      </w:pPr>
      <w:r>
        <w:rPr>
          <w:rFonts w:ascii="Amiri" w:hAnsi="Amiri" w:eastAsia="Amiri" w:cs="Amiri"/>
          <w:color w:val="111111"/>
          <w:sz w:val="28"/>
          <w:sz w:val="28"/>
          <w:szCs w:val="28"/>
          <w:rtl w:val="true"/>
          <w:lang w:bidi="ar-SA"/>
        </w:rPr>
        <w:t>إنّ هذه النصوص التاريخية التي نقلها المشايخ كالبخاري وابن هشام و الطبري، وتلقّاها الآخرون من بعدهم على أنّها حادثة متسالم عليها، تضاد ما يستشفه الإنسان من التدبّر في حالات الأنبياء في القرآن الكريم، وتناقض البديهة العقلية، وإليك بيان ما فيها من نقاط الضعف وعلائم الجعل والتهافت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إلهي لايفيضه اللّه إلّاعلى من امتلك زخماً هائلاً من القدرات الروحية والقوى النفسية العالية حتى يقوى على معاينة الوحي ومشاهدة الملائكة، فعندئذ فلا معنى لما ذكره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خشيت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أفيمكن أن ينزل الوحي الإلهي على من لا يفرّق بين لقاء الملك، ولقاء الجن ومكالمته حتى يخشى على نفسه الجنون أو الموت‌؟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وأسوأ منه ما ذكره الطبري من أنه صلى الله عليه و آله و سلم همّ أن يرمي بنفسه من شاهق من جبل، فندم عليه ورجع عنه حين سمع كلام جبرئيل،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أنا جبرئيل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الكلام يعرب عن أنّ نفسه صلى الله عليه و آله و سلم لم تكن مستعدة لتحمّل الوحي</w:t>
      </w:r>
    </w:p>
    <w:p>
      <w:pPr>
        <w:pStyle w:val="BookText"/>
        <w:rPr/>
      </w:pPr>
      <w:r>
        <w:rPr>
          <w:rFonts w:ascii="Amiri" w:hAnsi="Amiri" w:eastAsia="Amiri" w:cs="Amiri"/>
          <w:color w:val="111111"/>
          <w:sz w:val="28"/>
          <w:sz w:val="28"/>
          <w:szCs w:val="28"/>
          <w:rtl w:val="true"/>
          <w:lang w:bidi="ar-SA"/>
        </w:rPr>
        <w:t>إلى درجة همّ أن يقتل نفسه بالإلقاء من حالق، وهل هذا هو إلّانفس الجنون الذي كان المشركون يصفونه به طيلة بعثته‌؟ فواعجباً مانسمعه من أعوانه وأنصاره وأخيراً من لسان زوجته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قول خديجة لرسول اللّه صلى الله عليه و آله و سلم كلا واللّه ما يخزيك اللّه أبداً، يعرب عن أنّها كانت أوثق إيماناً بنبوته من نفس الرسول، فهل يمكن التفوّه بذلك‌؟ وما حاجة النبي الأعظم الذي قال تعالى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عَلَّمَكَ ما لَمْ تَكُنْ تَعْلَمُ وَ كانَ فَضْلُ اللّهِ عَلَيْكَ عَظِيماً</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إلى هذا التسلّي‌؟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البخاري أنّ خديجة انطلقت مع رسول اللّه إلى ورقة فأخبره رسول اللّه بما وقع، فأجاب ورقة بما ذكره، وإنّ ما نزل عليه هو الناموس الذي نزّل اللّه على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معنى هذا أن يكون ورقة أعلم بالسرّ المودع في قلب رسول اللّه من نفسه، كما أنّ معنى ذلك أنّ كلّاً من الزوجين كانا شاكّين في صحّة الرسالة، فانطلقا إلى متنصّر قرأ وريقات من العهدين حتى يستفتياه ليزيل عنهما حجاب الشكّ وغشاوة الريب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معنى ما ذكره البخاري من أنّ ورقة أخبر النبي بأنّه سيخرجك قومك فتعجّب الرسول من هذا الكلام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مخرجيّ هم‌؟ كون المرسل إليه أعلم من الرسول وأفضل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ما ذكره ابن هشام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الرسول كلّما رفع رأسه إلى السماء لينظر، ما رأى إلّارجلاً صافّاً قدميه في أُفق السماء فلاينظر في ناحية من السماء إلّارآه</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كلام المصابين في عقولهم وشعورهم، والمتخلّفين في أفكارهم، فلايرون في كلّ جهة إلّاالصورة المتخيّلة، لطغيانها على مخيلتهم وشعورهم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أعاذنا اللّه من نسبة الشنائع إلى مقام النبوة بنحو لايليق بساحة العاديين من الناس، فضلاً عن النبي الأكرم خاتم النبيين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إلى امتحان خديجة لبرهان النبوة فإنّ ظاهرها أنّها كانت شاكّة في نبوة زوجها ولكنها استحصلت اليقين على الوجه الذي سمعته في كلام ابن هشام والطبري، ولكن أي صلة بين رفع الخمار وإلقائه وعدم رؤية جبرئيل‌؟ وهل لرفع الخمار وتعرية شعر الرأس تأثير في غياب أمين الوحي عن البيت‌؟</w:t>
      </w:r>
    </w:p>
    <w:p>
      <w:pPr>
        <w:pStyle w:val="BookText"/>
        <w:rPr/>
      </w:pPr>
      <w:r>
        <w:rPr>
          <w:rFonts w:ascii="Amiri" w:hAnsi="Amiri" w:eastAsia="Amiri" w:cs="Amiri"/>
          <w:color w:val="111111"/>
          <w:sz w:val="28"/>
          <w:sz w:val="28"/>
          <w:szCs w:val="28"/>
          <w:rtl w:val="true"/>
          <w:lang w:bidi="ar-SA"/>
        </w:rPr>
        <w:t>ترى أنّه سبحانه ينقل في غير سورة من سور القرآن الكريم محادثة الملائكة زوجة الخليل وتبشيرها بالولد، فهل يمكن لنا أن نقول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زوجة الخليل لو كانت مكشوفة الرأس لامتنعت الملائكة من دخول بيت الخليل عليه السلام‌؟</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ورقة بن نوفل على حد تصريح نصّ الرواية كان أول أمره نصرانياً بعدما كان مشركاً، فمقتضى الحال أن يشبّه الرسول الأعظم بالمسيح الذي كان يعتقد بنبوته، لا بالكليم، أو ليس هذا يعرب عن لعب يد الأحبار في الخفاء في اصطناع هذه الأحاديث، ودورهم في تشويش صفاء رسالة الرسول الأعظم بأمثال هذه الأساطير والمهاترات والخرافات‌؟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على ثقة ويقين بأنّ النبوة منصب إلهي لايتحمّله إلّاالأمثل والأكمل فالأكمل من الناس، ولايقوم بأعباء مهماتها إلّامن امتلك قدرة روحية خاصّة</w:t>
      </w:r>
    </w:p>
    <w:p>
      <w:pPr>
        <w:pStyle w:val="BookText"/>
        <w:rPr/>
      </w:pPr>
      <w:r>
        <w:rPr>
          <w:rFonts w:ascii="Amiri" w:hAnsi="Amiri" w:eastAsia="Amiri" w:cs="Amiri"/>
          <w:color w:val="111111"/>
          <w:sz w:val="28"/>
          <w:sz w:val="28"/>
          <w:szCs w:val="28"/>
          <w:rtl w:val="true"/>
          <w:lang w:bidi="ar-SA"/>
        </w:rPr>
        <w:t>تبعث في نفسه الإذعان والتسليم، والانقياد حينما يتمثّل له رسول ربه وأمين وحيه فلا يأخذه الهلع ولايستولي عليه الخوف عند سماع كلامه ووحيه، وقد درسنا وضع الكليم عندما فوجئ بالوحي، فما حاق به الروع ولا أحاط به الخوف، ولا همّ بإلقاء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ورد في هذه الروايات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القرآن هو المرجع الفصل في تمييز الصحيح من الزائف في جملة هذه الروايات، فهذا يحتم علينا الصفح عنها وضربها عرض الجدار، مضافاً إلى ما فيها من التناقض والاختلاف في حكاية القصة، كما هو معلوم لمن تدبّر فيها وتأمّل نصّها</w:t>
      </w:r>
      <w:r>
        <w:rPr>
          <w:rFonts w:eastAsia="Amiri" w:cs="Amiri" w:ascii="Amiri" w:hAnsi="Amiri"/>
          <w:color w:val="111111"/>
          <w:sz w:val="28"/>
          <w:szCs w:val="28"/>
          <w:rtl w:val="true"/>
          <w:lang w:bidi="ar-SA"/>
        </w:rPr>
        <w:t>.</w:t>
      </w:r>
      <w:bookmarkStart w:id="477" w:name="pg16772_194577"/>
    </w:p>
    <w:p>
      <w:pPr>
        <w:pStyle w:val="Heading3"/>
        <w:numPr>
          <w:ilvl w:val="2"/>
          <w:numId w:val="1"/>
        </w:numPr>
        <w:rPr/>
      </w:pPr>
      <w:bookmarkStart w:id="478" w:name="__RefHeading___Toc6963721_73709187"/>
      <w:bookmarkStart w:id="479" w:name="_Toc179"/>
      <w:bookmarkEnd w:id="477"/>
      <w:bookmarkEnd w:id="478"/>
      <w:r>
        <w:rPr/>
        <w:t>6</w:t>
      </w:r>
      <w:r>
        <w:rPr>
          <w:rtl w:val="true"/>
        </w:rPr>
        <w:t xml:space="preserve"> </w:t>
      </w:r>
      <w:r>
        <w:rPr>
          <w:rtl w:val="true"/>
        </w:rPr>
        <w:t>صيانة القرآن من التحريف</w:t>
      </w:r>
      <w:bookmarkEnd w:id="479"/>
    </w:p>
    <w:p>
      <w:pPr>
        <w:pStyle w:val="Heading4"/>
        <w:numPr>
          <w:ilvl w:val="3"/>
          <w:numId w:val="1"/>
        </w:numPr>
        <w:rPr/>
      </w:pPr>
      <w:bookmarkStart w:id="480" w:name="__RefHeading___Toc6963723_73709187"/>
      <w:bookmarkStart w:id="481" w:name="_Toc180"/>
      <w:bookmarkEnd w:id="480"/>
      <w:r>
        <w:rPr>
          <w:rtl w:val="true"/>
        </w:rPr>
        <w:t>اشارة</w:t>
      </w:r>
      <w:bookmarkEnd w:id="481"/>
    </w:p>
    <w:p>
      <w:pPr>
        <w:pStyle w:val="BookText"/>
        <w:rPr/>
      </w:pPr>
      <w:r>
        <w:rPr>
          <w:rFonts w:ascii="Amiri" w:hAnsi="Amiri" w:eastAsia="Amiri" w:cs="Amiri"/>
          <w:color w:val="111111"/>
          <w:sz w:val="28"/>
          <w:sz w:val="28"/>
          <w:szCs w:val="28"/>
          <w:rtl w:val="true"/>
          <w:lang w:bidi="ar-SA"/>
        </w:rPr>
        <w:t>إنّ القرآن هو المصدر الرئيسي والمنبع الأوّل للعقيدة والشريعة عند كافّة المسلمين، وهو القول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وللقرآن مكانة سامية في نفوس المؤمنين من شيعة أهل البيت عليهم السلام، وهم على صلة وثيقة بهذا الكتاب المقدّس، لأنّهم وجدوا فيه الدواء لشفاء داء صدورهم، والمعراج لأرواحهم، والنور الّذي يضيء عتمة حياتهم، والسبيل الأقوم لعزّتهم وكرامتهم، والينبوع الّذي يفيض عليهم بالحكمة والمعارف والأخلاق والمواعظ، والدستور الّذي يكفل لهم التشريعات والأحكام، وهو فوق ذلك، المعجزة الخالدة لنبيّهم ولرسالتهم والّتي يتحدّوْن بها المعاندين ويقارعونهم بها، ولهذا كلّه عشقوه أيّما عشق، فلهجوا بذكره، وأنِسوا بتلاوته، وتسابقوا إلى حفظه، ثمّ اهتمّوا بكتابته وضبطه وإتقانه ونشره، فكثُر حفّاظُه، وتكاثرت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صدروا في ذلك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الآيات الحاثّة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رواه أئمة أهل البيت عليهم السلام عن النبي الخاتم صلى الله عليه و آله و سلم من أحاديث وروايات،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عن علي بن إبراهيم، عن أبيه، عن النوفلي، عن السكوني، عن أبي عبداللّه عليه السلام عن آبائه عليهم السلام، قال، قال رسول اللّه صلى الله عليه و آله و سلم في</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التبست عليكم الفتن كقطع الليل المظلم فعليكم بالقرآن فإنّه شافع مشفّع، ماحِلٌ مصدَّق، من جعله أمامه قاده إلى الجنّة، ومن جعله خلفه ساقه إلى النار، وهو الدليل يدلُّ على خير سبيل، وهو كتاب فيه تفصيل وبيان وتحصيل، وهو الفصل ليس بالهزل، وله ظهر وبطن، فظاهره حكم، وباطنه علم، ظاهره أنيق، وباطنه عميق، له نجوم وعلى نجومه نجوم، لا تُحصى عجائبه ولا تبلى غرائبه، فيه مصابيح الهدى ومنار الحكمة</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هدى من الضلالة، وتبيان من العمى‌، واستقالة من العثرة، ونور من الظلمة، وضياء من الأحداث، وعصمةٌ من الهلكة، ورشد من الغواية، وبيان من الفتن، وبلاغ من الدنيا إلى الآخرة، وفيه كمال دينكم، وما عدل أحدٌ عن القرآن إلّاإلى النار</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خلّف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رَبِّكُمْ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حَلَالَهُ وَحَرَامَهُ‌، وَفَرَائِضَهُ وَفَضَائِلَهُ‌، وَنَاسِخَهُ وَمَنْسُوخَهُ‌، وَرُخَصَهُ وَعَزَائِمَهُ‌، وَخَاصَّهُ وَعَامَّهُ‌، وَعِبَرَهُ وَأَمْثَالَهُ‌، وَمُرْسَلَهُ وَمَحْدُودَهُ‌، وَمُحْكَمَهُ وَمُتَشَابِهَهُ‌، مُفَسِّراً مُجْمَلَهُ‌، وَمُبَيِّناً غَوَامِضَهُ‌، بَيْنَ مَأْخُوذٍ مِيثَاقُ عِلْمِهِ‌، وَمُوَسَّعٍ عَلَى الْعِبَادِ فِي جَهْلِهِ‌</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 مُحَمَّداً عَبْدُهُ وَرَسُولُهُ‌، أَرْسَلَهُ بِالدِّينِ الْمَشْهُورِ،</w:t>
      </w:r>
    </w:p>
    <w:p>
      <w:pPr>
        <w:pStyle w:val="BookText"/>
        <w:rPr/>
      </w:pPr>
      <w:r>
        <w:rPr>
          <w:rFonts w:ascii="Amiri" w:hAnsi="Amiri" w:eastAsia="Amiri" w:cs="Amiri"/>
          <w:color w:val="111111"/>
          <w:sz w:val="28"/>
          <w:sz w:val="28"/>
          <w:szCs w:val="28"/>
          <w:rtl w:val="true"/>
          <w:lang w:bidi="ar-SA"/>
        </w:rPr>
        <w:t>وَ الْعَلَمِ الْمَأْثُورِ، وَالْكِتَابِ الْمَسْطُورِ، وَالنُّورِ السَّاطِعِ‌، وَالضِّيَاءِ اللَّامِعِ‌، وَالأَمْرِ الصَّادِعِ‌، إزَاحَةً لِلشُّبُهَاتِ‌، وَاحْتِجَاجاً بِالبَيِّنَاتِ‌، وَتَحْذِيراً بِالْآيَاتِ‌، وَتَخْوِيفاً بِالْمَثُلَاتِ‌</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هذَا الْقُرْآنَ هُوَ النَّاصِحُ الَّذِي لَايَغُشُّ‌، وَالْهَادِي الَّذِي لَايُضِلُّ‌، وَالُْمحَدِّثُ الَّذِي لَايَكْذِبُ‌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جَالَسَ هذَا الْقُرْآنَ أَحَدٌ إِلَّا قَامَ عَنْهُ بِزِيَادَةٍ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هُدًى، أَوْ نُقْصَانٍ مِنْ 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أَنَّهُ لَيْسَ عَلَى أَحَدٍ بَعْدَ الْقُرْآنِ مِنْ فَاقَةٍ‌، وَلَا لِأَحَدٍ قَبْلَ الْقُرْآنِ مِنْ غِنىً‌؛ فَاسْتَشْفُوهُ مِنْ أَدْوَائِكُمْ‌، وَاسْتَعِينُوا بِهِ عَلَى لَأْوَائِكُمْ‌، فَإِنَّ فِيهِ شِفَاءً مِنْ أَكْبَرِ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الْكُفْرُ وَالنِّفَاقُ‌، وَالْغَيُّ وَالضَّلَالُ‌، فَاسْأَلُوا اللّهَ بِهِ‌، وَتَوَجَّهُوا إِلَيْهِ بِحُبِّهِ‌، وَلَا تَسْأَلُوا بِهِ خَلْقَهُ‌، إِنَّهُ مَا تَوَجَّهَ الْعِبَادُ إِلَى اللّهِ تَعَالى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أَنَّهُ شَافِعٌ مُشَفَّعٌ‌، وَقَائِلٌ مُصَدَّقٌ‌، وَأَنَّهُ مَنْ شَفَعَ لَهُ الْقُرْآنُ يَوْمَ الْقِيَامَةِ شُفِّعَ فِيهِ‌، وَمَنْ مَحَلَ بِهِ الْقُرْآنُ يَوْمَ الْقِيَامَةِ صُدِّقَ عَلَيْهِ‌، فَإِنَّهُ يُنَادِي مُنَادٍ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كُلَّ حَارِثٍ مُبْتَلىً فِي حَرْثِهِ وَعَاقِبَةِ عَمَلِهِ‌، غَيْرَ حَرَثَةِ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فَكُونُوا مِنْ حَرَثَتِهِ وَأَتْبَاعِهِ‌، وَاسْتَدِلُّوهُ عَلَى رَبِّكُمْ‌، وَاسْتَنْصِحُوهُ عَلَى أَنْفُسِكُمْ‌، وَاتَّهِمُوا عَلَيْهِ آرَاءَكُمْ‌، وَاسْتَغِشُّوا فِيهِ أَهْوَاءَكُمْ‌</w:t>
      </w:r>
      <w:r>
        <w:rPr>
          <w:rFonts w:eastAsia="Amiri" w:cs="Amiri" w:ascii="Amiri" w:hAnsi="Amiri"/>
          <w:color w:val="111111"/>
          <w:sz w:val="28"/>
          <w:szCs w:val="28"/>
          <w:rtl w:val="true"/>
          <w:lang w:bidi="ar-SA"/>
        </w:rPr>
        <w:t>».</w:t>
      </w:r>
      <w:r>
        <w:rPr>
          <w:rStyle w:val="FootnoteAnchor"/>
          <w:rtl w:val="true"/>
        </w:rPr>
        <w:footnoteReference w:id="368"/>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نقتصر على هذه الأحاديث الخمسة الصادرة عن خاتم الأنبياء صلى الله عليه و آله و سلم وأوّل الأوصياء عليه السلام، ونحيل القارئ إلى مطالعة ما رواه الكليني</w:t>
      </w:r>
      <w:r>
        <w:rPr>
          <w:rStyle w:val="FootnoteAnchor"/>
          <w:rtl w:val="true"/>
        </w:rPr>
        <w:footnoteReference w:id="369"/>
      </w:r>
      <w:bookmarkStart w:id="482" w:name="pg16772_194580"/>
    </w:p>
    <w:p>
      <w:pPr>
        <w:pStyle w:val="BookText"/>
        <w:rPr/>
      </w:pPr>
      <w:bookmarkEnd w:id="482"/>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روايات كثيرة، في هذا المجال، عن أئمة أهل البيت عليهم السلام، على أنّ الكليني لم يذكر في كتابه هذا كلّ ما صدر عن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وأجمع كتاب في ذلك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البروجردي، فقد جمع ما صدر عنهم حول القرآن الكريم في أبواب مختلفة</w:t>
      </w:r>
      <w:r>
        <w:rPr>
          <w:rStyle w:val="FootnoteAnchor"/>
          <w:rtl w:val="true"/>
        </w:rPr>
        <w:footnoteReference w:id="370"/>
      </w:r>
      <w:r>
        <w:rPr>
          <w:rFonts w:ascii="Amiri" w:hAnsi="Amiri" w:eastAsia="Amiri" w:cs="Amiri"/>
          <w:color w:val="111111"/>
          <w:sz w:val="28"/>
          <w:sz w:val="28"/>
          <w:szCs w:val="28"/>
          <w:rtl w:val="true"/>
          <w:lang w:bidi="ar-SA"/>
        </w:rPr>
        <w:t xml:space="preserve">عددها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وكلّ ذلك يدلّ على عناية أئمة أهل البيت عليهم السلام بالمصحف الموجود ودعوة شيعتهم إلى الاستنارة به وتعلّمه وتعليمه وحفظه وكتابته والتأمّل في مضامينه</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6963725_73709187"/>
      <w:bookmarkStart w:id="484" w:name="_Toc181"/>
      <w:bookmarkEnd w:id="483"/>
      <w:r>
        <w:rPr>
          <w:rtl w:val="true"/>
        </w:rPr>
        <w:t>القرآن الكريم عند أهل البيت عليهم السلام</w:t>
      </w:r>
      <w:bookmarkEnd w:id="484"/>
    </w:p>
    <w:p>
      <w:pPr>
        <w:pStyle w:val="BookText"/>
        <w:rPr/>
      </w:pPr>
      <w:r>
        <w:rPr>
          <w:rFonts w:ascii="Amiri" w:hAnsi="Amiri" w:eastAsia="Amiri" w:cs="Amiri"/>
          <w:color w:val="111111"/>
          <w:sz w:val="28"/>
          <w:sz w:val="28"/>
          <w:szCs w:val="28"/>
          <w:rtl w:val="true"/>
          <w:lang w:bidi="ar-SA"/>
        </w:rPr>
        <w:t>إنّ نقل ما صدر عن أهل البيت عليهم السلام في هذا الشأن لا يناسب حجم رسالتنا هذه، ولذا سنكتفي بالإشارة إلى عناوين الأبواب الّتي وردت فيها تلك الأحاديث الدالّة على عظمة القرآن ومكانته عند أئمة أهل البيت عليهم السلام وشيعتهم، وأنّ مَن يعتقد بمضامين هذه الأحاديث يجلّ القرآن ويعظمه ويوقن أنّه هو كتاب اللّه العزيز على مدى العصور والأجيال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المهم من عناوين تلك الأبواب، الّتي يتضمّن كلّ باب منها روايات متعددة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القرآن وتعظيمه وتعلّمه وتعليمه وقراءته وختمه واستماعه والعمل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تعلم القرآن بالعربية وقراءته كما أُنزل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حفظ القرآن وتحمّل المشقّة لحفظه وتعلّمه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الدعاء والصلاة لحفظ القرآن وعدم نسيانه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فيمن نسي القرآن أو تركه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من قرأ القرآن وهو شاب مؤمن اختلط القرآن بلحمه ودمه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ثواب من علّم ولده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القرآن عهد اللّه تعالى إلى خلقه فينبغي للمسلم أن ينظر في عهده ويقرأ منه كلّ يوم خمسين آية أو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استحباب قراءة سورة أو آيات من القرآن في كلّ 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استحباب ختم القرآن بمكة المكرمة والإكثار من تلاوته في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القرآن يقرأ بالترتيل والحزن والرقة والبكاء والوجل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تحريم القراءة بألحان أهل الفسق والكبائر واستحباب القراءة بألحان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ورد من الحثّ على اتّباع القرآن والتمسّك به والتدبّر والتفكّر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جواز قراءة القرآن سرّاً وجهراً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قرأ القرآن في المصحف تخفف العذاب عن والديه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استحباب قراءة القرآن مع الطهارة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استحباب الاستعاذة عند قراءة القرآن وكيفيتها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من الأدعية حين الشروع في قراءة القرآن، وبعد الفراغ منها وعند ختمه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استحباب قراءة القرآن في البيت، وأمر الأولاد بقراءته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ورد في فضائل سور القرآن وفوائدها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ورد في ثواب قراءة عدة من السور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لحامل القرآن حقّاً في بيت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أنّ حامل القرآن أحقّ الناس بالعمل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من ختم القرآن وجعله للمعصومين كان معهم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الإنصات والاستماع إذا قُرئ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استحباب البكاء عند سماع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الراكع والساجد ومن في الكنيف والحمام لا يقرأون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وجوب السجود عند قراءة العزائم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كراهة السفر بالقرآن إلى أرض العدو، وعدم جواز بيع المصحف من الكافر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كيفية كتابة بسم اللّه الرحمن الرحيم وتجويدها بإعراب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حكم تزيين القرآن وكتابته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الأبواب الّتي عقدها مؤلّف هذه الموسوعة الحديثية وذكر فيها الروايات المناسبة لعنوان الباب</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تضافر هذه الروايات في الأبواب المختلفة يغنينا عن دراسة أسانيدها، إذ ليس هنا حديث أو حديثان أو ثلاثة أو عشرة، بل هي تتجاوز المئات، وكلٌّ يشدّ بعضه بعضاً، والجميع يهدف إلى أنّ كتاب اللّه هو الحبل المتين والنور المبين والشفاء النافع والريّ الناقع، لا يعوجّ فيُقام، ولا يزيغ</w:t>
      </w:r>
    </w:p>
    <w:p>
      <w:pPr>
        <w:pStyle w:val="BookText"/>
        <w:rPr/>
      </w:pPr>
      <w:r>
        <w:rPr>
          <w:rFonts w:ascii="Amiri" w:hAnsi="Amiri" w:eastAsia="Amiri" w:cs="Amiri"/>
          <w:color w:val="111111"/>
          <w:sz w:val="28"/>
          <w:sz w:val="28"/>
          <w:szCs w:val="28"/>
          <w:rtl w:val="true"/>
          <w:lang w:bidi="ar-SA"/>
        </w:rPr>
        <w:t>فيستعتب، وأنّ على المسلمين استنطاق القرآن ففيه دواء دائهم ونظم أمرهم، وكيف لا يكون كذلك وهو سراج لا يخبو توقّده، وبحر لا يُدرك قعره، ومنهاج لا يضل نهجه، وفرقان لا يخمد برهانه، وشفاء لا تُخشى أسقامه، وعزّ لا تهزم أنصاره، وحقّ لا تخذل أعوانه، فهو معدن الإيمان وبحبوحته وينابيع العلم وبحوره، وبحر لا ينزفه المستنزفون، كما ورد في كلمات مولانا أمير المؤمنين وأولاده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الروايات هي مرآة عقيدة الشيعة في القرآن الكريم وميزان قضائهم في كتاب اللّه العزيز لا تشذّ نظرتهم إلى كتاب اللّه عن أحاديث الرسول صلى الله عليه و آله و سلم وخطب الوصي عليه السلام وكلمات أئمة أهل البيت عليهم السلام من أوّلهم إلى آخرهم، ولذلك ترى أنّهم منذ نشأتهم وإلى الآن، يهتمون بالقرآن كتابة وحفظاً وتفسيراً ونشراً ومصدراً للعقيدة والشريعة، حتّى أنّ قسماً من المكتبات الشيعية خصّصت جناحاً كبيراً لنسخ القرآن المخطوطة، وهذا ما نراه في مكتبة العتبة الرضوية المقدّسة في مشهد، حيث ضمّت أكثر من ستة آلاف نسخة من القرآن الكريم بخطوط أئمة الخط ومشاهيره، يرجع تاريخ بعضها إلى القرن الأوّل، وقيل إنّ بعضها بخط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تفسير القرآن بمناهجه المختلفة فهم أبناء عذرته، حيث اقتبسوا ذلك من الإمام علي عليه السلام الّذي يُعدّ أوّل مفسّرٍ للقرآن الكريم وتلاه أبناؤه المعصومون عليهم السلام ثم شيعتهم الأقدمون بأسانيدهم الموصولة إلى النبي صلى الله عليه و آله و سلم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صنّف علماء الشيعة، عبر القرون، مؤلفات في غريب القرآن، ومجازاته، ومحكمه ومتشابهه، وناسخه ومنسوخه، وآيات أحكامه، وأمثاله،</w:t>
      </w:r>
      <w:bookmarkStart w:id="485" w:name="pg16772_194584"/>
    </w:p>
    <w:p>
      <w:pPr>
        <w:pStyle w:val="BookText"/>
        <w:rPr/>
      </w:pPr>
      <w:bookmarkEnd w:id="485"/>
      <w:r>
        <w:rPr>
          <w:rFonts w:ascii="Amiri" w:hAnsi="Amiri" w:eastAsia="Amiri" w:cs="Amiri"/>
          <w:color w:val="111111"/>
          <w:sz w:val="28"/>
          <w:sz w:val="28"/>
          <w:szCs w:val="28"/>
          <w:rtl w:val="true"/>
          <w:lang w:bidi="ar-SA"/>
        </w:rPr>
        <w:t>وأقسامه، وقصصه، ومعارفه، وأسباب نزوله، ولو جُمع ما ألّفوا حول هذه المواضيع لشكّل مكتبة ضخمة تبهر العقول، وتخرس ألسنة الذين يقولون بغير علم</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6963727_73709187"/>
      <w:bookmarkStart w:id="487" w:name="_Toc182"/>
      <w:bookmarkEnd w:id="486"/>
      <w:r>
        <w:rPr>
          <w:rtl w:val="true"/>
        </w:rPr>
        <w:t>صيانة القرآن من التحريف</w:t>
      </w:r>
      <w:bookmarkEnd w:id="487"/>
    </w:p>
    <w:p>
      <w:pPr>
        <w:pStyle w:val="BookText"/>
        <w:rPr/>
      </w:pPr>
      <w:r>
        <w:rPr>
          <w:rFonts w:ascii="Amiri" w:hAnsi="Amiri" w:eastAsia="Amiri" w:cs="Amiri"/>
          <w:color w:val="111111"/>
          <w:sz w:val="28"/>
          <w:sz w:val="28"/>
          <w:szCs w:val="28"/>
          <w:rtl w:val="true"/>
          <w:lang w:bidi="ar-SA"/>
        </w:rPr>
        <w:t>إنّ القول بصيانة القرآن الكريم من التحريف بالزيادة والنقيصة هو من خصائص كلّ مسلم قرأ تاريخ المسلمين وعرف اهتمامهم بالقرآن وارتباطهم به ارتباطاً وثيقاً في عصر الرسالة وبعده، ولايشكّ المسلم الواعي في أنّ فكرة التحريف أُسطورة صنعها اليهود، وروّجها المنافقون، وخُدع بها السذّج من المحدّثين من غير فرق بين شيعيّ أو 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وكفانا في ذلك ما ذكره الشريف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الشأن،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بصحّة نقل القرآن كالعلم بالبلدان والحوادث الكبار، والوقائع العظام، والكتب المشهورة، وأشعار العرب المسطورة، فإنّ العناية اشتهرت والدواعي توفّرت على نقله وحراسته، وبلغت إلى حدّ لم يبلغه غيره فيما ذكرناه، لأنّ القرآن معجزة النبوّة، ومأخذ العلوم الشرعية والأحكام الدينية، وعلماء المسلمين قد بلغوا في حفظه وحمايته الغاية، حتّى عرفوا كلّ شيء اختلف فيه من إعرابه وقراءته وحروفه وآيه، فكيف يجوز أن يكون مغيّراً ومنقوصاً مع العناية الصادقة والضبط الشديد؟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بتفسير القرآن وأبعاضه في صحّة نقله كالعلم بجملته، وجرى ذلك مجرى ما علم ضرورة من الكتب المصنّفة ككتاب سيبويه</w:t>
      </w:r>
    </w:p>
    <w:p>
      <w:pPr>
        <w:pStyle w:val="BookText"/>
        <w:rPr/>
      </w:pPr>
      <w:r>
        <w:rPr>
          <w:rFonts w:ascii="Amiri" w:hAnsi="Amiri" w:eastAsia="Amiri" w:cs="Amiri"/>
          <w:color w:val="111111"/>
          <w:sz w:val="28"/>
          <w:sz w:val="28"/>
          <w:szCs w:val="28"/>
          <w:rtl w:val="true"/>
          <w:lang w:bidi="ar-SA"/>
        </w:rPr>
        <w:t>والمُزَني، فإنّ أهل العناية بهذا الشأن يعلمون من تفصيلهما ما يعلمونه من جملتهما، ومعلوم أنّ العناية بنقل القرآن وضبطه أصدق من العناية بضبط كتاب سيبويه ودواوين الشعراء</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وليس السيد المرتضى فريداً بين العلماء بل أصفق على رأيه هذا أعاظم المحدّثين والمفسّرين، منهم من وصلتنا كلماتهم من القرن الثالث إلى يومنا هذا، ومنهم من لم يصلنا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صيانة القرآن من التحريف في مذهبه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قام مجمع البحوث الإسلامية في المشهد الرضوي بتخصيص جزءٍ من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لموضوع صيانة القرآن من التحريف، فذكر أقوال ما يربو على تسعين شخصية علمية شيعية صرّحوا بصيانة القرآن من التحريف، وألّفوا في ذلك رسائل أو كتباً أو ذكروه في مقدّمات تفاسيرهم أو في غضون بحوثهم، خاصّة عندما يصلون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يسعنا ذكر نصوص أقوالهم وما احتجّوا به على ما يرتؤونه، فلنقتصر على ذكر أسمائهم فقط، لكي نجعل القارئ على بصيرة من واقع الأمر، حتّى يعلم أنّ الناصّين على عدم التحريف من الشيعة أكثر من غيرهم، لأنّهم مستهدفون بهذه التهمة الباطلة، حيث عقد مؤلّف الموسوعة لكلّ واحد فصلاً</w:t>
      </w:r>
    </w:p>
    <w:p>
      <w:pPr>
        <w:pStyle w:val="BookText"/>
        <w:rPr/>
      </w:pPr>
      <w:r>
        <w:rPr>
          <w:rFonts w:ascii="Amiri" w:hAnsi="Amiri" w:eastAsia="Amiri" w:cs="Amiri"/>
          <w:color w:val="111111"/>
          <w:sz w:val="28"/>
          <w:sz w:val="28"/>
          <w:szCs w:val="28"/>
          <w:rtl w:val="true"/>
          <w:lang w:bidi="ar-SA"/>
        </w:rPr>
        <w:t>خاصّاً أتى بكلّ أو جلّ كلامه فيه، وإليك فحوى الباب الثالث الّذي يحتوي على أسماء العلماء النافين للتحريف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ابن شاذان</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الباقّلانيّ‌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القاضي عبدالجبّار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الماوَرْديّ‌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العاصميّ‌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الطَّبرسيّ‌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أبي الفتوح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الرّاونديّ‌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ابن شهرآشوب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الفَخْر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الشَّيبانيّ‌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الخازن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البياضيّ‌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الكاشفيّ‌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الحسينيّ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المقدّس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الجرجانيّ‌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الشريف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الشيخ بهاء الدين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صدر المتألهين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الفاضل التونيّ‌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ملاّ صالح المازندرانيّ‌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الطريحيّ‌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الفيض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الحادي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الشريف اللاهيجيّ‌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والأبعون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المشهدي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البروسوي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النراقيّ‌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السادس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بحر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المحقّق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 والأبعون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الميرزا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الطباطبائيّ‌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الحادي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الكلباسي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الآلوسي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الكوه كمريّ‌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التنكابني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الدهلويّ‌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التبريزيّ‌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الشهرستانيّ‌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الآشتيانيّ‌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الحادي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المامقانيّ‌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البلاغيّ‌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الإيراونيّ‌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الأمين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النهاونديّ‌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الرشتيّ‌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آل كاشف الغطاء</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التاسع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آية اللّه البروجرديّ‌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الحادي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شرف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الشهرستاني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الرابع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الشيخ آغا بزرگ الطهراني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الخامس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الأمينيّ‌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آية اللّه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سلطان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الشعراني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أبي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آية اللّه الميلانيّ‌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الحادي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الشهيد المطهري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مغنية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الشهيد البهشتي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الكرديّ‌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عزَّة دروزة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العلّامة الطباطبائي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معروف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الشريعتي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الإمام الخمينيّ‌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الحادي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آية اللّه المرعشي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آية اللّه الخوئي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الثالث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آية اللّه الگلبايگانيّ‌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الرابع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الشيخ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آية اللّه الوحيدي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السيد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الشيخ الوائلي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البهنساوي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التاسع والتسعون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الدرّاز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حسن زادة الآمليّ‌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المائة والواحد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الجواديّ الآملي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المائة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الشيخ الفاني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المائة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لبيب السعيد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المائة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المدني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المائة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التيجاني</w:t>
      </w:r>
      <w:r>
        <w:rPr>
          <w:rFonts w:eastAsia="Amiri" w:cs="Amiri" w:ascii="Amiri" w:hAnsi="Amiri"/>
          <w:color w:val="111111"/>
          <w:sz w:val="28"/>
          <w:szCs w:val="28"/>
          <w:rtl w:val="true"/>
          <w:lang w:bidi="ar-SA"/>
        </w:rPr>
        <w:t>.</w:t>
      </w:r>
      <w:bookmarkStart w:id="488" w:name="pg16772_194592"/>
    </w:p>
    <w:p>
      <w:pPr>
        <w:pStyle w:val="BookText"/>
        <w:rPr/>
      </w:pPr>
      <w:bookmarkEnd w:id="488"/>
      <w:r>
        <w:rPr>
          <w:rFonts w:ascii="Amiri" w:hAnsi="Amiri" w:eastAsia="Amiri" w:cs="Amiri"/>
          <w:color w:val="111111"/>
          <w:sz w:val="28"/>
          <w:sz w:val="28"/>
          <w:szCs w:val="28"/>
          <w:rtl w:val="true"/>
          <w:lang w:bidi="ar-SA"/>
        </w:rPr>
        <w:t>الفصل المائة 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العلّامة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المائة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الشيخ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المائة 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مكارم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المائة والتاسع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الفاضل اللنكراني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المائة والعاشر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السيد فضل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المائة والحادي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الشيخ الصافي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المائة والثاني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الشيخ السبحاني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المائة والثالث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الهيدجي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المائة والرابع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المدرس التبريزي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المائة والخامس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مرتضى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المائة والسادس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الحسيني الميلاني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المائة والسابع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الميرمحمدي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المائة والثامن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علي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المائة والتاسع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عليّ السالوس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المائة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جعفريان</w:t>
      </w:r>
      <w:r>
        <w:rPr>
          <w:rFonts w:eastAsia="Amiri" w:cs="Amiri" w:ascii="Amiri" w:hAnsi="Amiri"/>
          <w:color w:val="111111"/>
          <w:sz w:val="28"/>
          <w:szCs w:val="28"/>
          <w:rtl w:val="true"/>
          <w:lang w:bidi="ar-SA"/>
        </w:rPr>
        <w:t>.</w:t>
      </w:r>
      <w:r>
        <w:rPr>
          <w:rStyle w:val="FootnoteAnchor"/>
          <w:rtl w:val="true"/>
        </w:rPr>
        <w:footnoteReference w:id="375"/>
      </w:r>
    </w:p>
    <w:p>
      <w:pPr>
        <w:pStyle w:val="Heading4"/>
        <w:numPr>
          <w:ilvl w:val="3"/>
          <w:numId w:val="1"/>
        </w:numPr>
        <w:rPr/>
      </w:pPr>
      <w:bookmarkStart w:id="489" w:name="__RefHeading___Toc6963729_73709187"/>
      <w:bookmarkStart w:id="490" w:name="_Toc183"/>
      <w:bookmarkEnd w:id="489"/>
      <w:r>
        <w:rPr>
          <w:rtl w:val="true"/>
        </w:rPr>
        <w:t>القرآن مقياس الحق والباطل</w:t>
      </w:r>
      <w:bookmarkEnd w:id="490"/>
    </w:p>
    <w:p>
      <w:pPr>
        <w:pStyle w:val="Heading5"/>
        <w:numPr>
          <w:ilvl w:val="4"/>
          <w:numId w:val="1"/>
        </w:numPr>
        <w:rPr/>
      </w:pPr>
      <w:bookmarkStart w:id="491" w:name="__RefHeading___Toc6963731_73709187"/>
      <w:bookmarkStart w:id="492" w:name="_Toc184"/>
      <w:bookmarkEnd w:id="491"/>
      <w:r>
        <w:rPr>
          <w:rtl w:val="true"/>
        </w:rPr>
        <w:t>اشارة</w:t>
      </w:r>
      <w:bookmarkEnd w:id="49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الروايات الدالّة على أنّ القرآن مصون عن التحريف في مدرسة أهل</w:t>
      </w:r>
      <w:bookmarkStart w:id="493" w:name="pg16772_194593"/>
    </w:p>
    <w:p>
      <w:pPr>
        <w:pStyle w:val="BookText"/>
        <w:rPr/>
      </w:pPr>
      <w:bookmarkEnd w:id="493"/>
      <w:r>
        <w:rPr>
          <w:rFonts w:ascii="Amiri" w:hAnsi="Amiri" w:eastAsia="Amiri" w:cs="Amiri"/>
          <w:color w:val="111111"/>
          <w:sz w:val="28"/>
          <w:sz w:val="28"/>
          <w:szCs w:val="28"/>
          <w:rtl w:val="true"/>
          <w:lang w:bidi="ar-SA"/>
        </w:rPr>
        <w:t>البيت عليهم السلام كثيرة نشير إليها في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كون القرآن هو الفصل والحكم عند الاختلاف</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6963733_73709187"/>
      <w:bookmarkStart w:id="495" w:name="_Toc185"/>
      <w:bookmarkEnd w:id="494"/>
      <w:r>
        <w:rPr/>
        <w:t>1</w:t>
      </w:r>
      <w:r>
        <w:rPr>
          <w:rtl w:val="true"/>
        </w:rPr>
        <w:t xml:space="preserve">. </w:t>
      </w:r>
      <w:r>
        <w:rPr>
          <w:rtl w:val="true"/>
        </w:rPr>
        <w:t>عرض الروايات المتعارضة على القرآن</w:t>
      </w:r>
      <w:bookmarkEnd w:id="495"/>
    </w:p>
    <w:p>
      <w:pPr>
        <w:pStyle w:val="BookText"/>
        <w:rPr/>
      </w:pPr>
      <w:r>
        <w:rPr>
          <w:rFonts w:ascii="Amiri" w:hAnsi="Amiri" w:eastAsia="Amiri" w:cs="Amiri"/>
          <w:color w:val="111111"/>
          <w:sz w:val="28"/>
          <w:sz w:val="28"/>
          <w:szCs w:val="28"/>
          <w:rtl w:val="true"/>
          <w:lang w:bidi="ar-SA"/>
        </w:rPr>
        <w:t>قد تضافرت الروايات عن أئمة أهل البيت عليهم السلام على وجوب عرض الروايات على القرآن والأخذ بما وافقه منها، وردّ ما خالفه، وهي روايات كثيرة نذكر ثلاثاً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عن السكوني،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كلّ حقّ حقيقة، وعلى كلّ صواب نوراً، فما وافق كتاب اللّه فخذوه، وما خالف كتاب اللّه فدعوه</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أيّوب بن راشد،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يوافق من الحديث القرآن فهو زخرف</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أيوب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مردود إلى الكتاب والسنّة، وكلّ حديث لا يوافق كتاب اللّه فهو زخرف</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والدلالة من وجهين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أخبار العرض أنّ القرآن مقياس سالم لم تنله يد التبديل والتحريف والتصرّف، والقول بالتحريف لا يلائم القول بسلامة المقيس عليه</w:t>
      </w:r>
      <w:r>
        <w:rPr>
          <w:rFonts w:eastAsia="Amiri" w:cs="Amiri" w:ascii="Amiri" w:hAnsi="Amiri"/>
          <w:color w:val="111111"/>
          <w:sz w:val="28"/>
          <w:szCs w:val="28"/>
          <w:rtl w:val="true"/>
          <w:lang w:bidi="ar-SA"/>
        </w:rPr>
        <w:t>.</w:t>
      </w:r>
      <w:bookmarkStart w:id="496" w:name="pg16772_194594"/>
    </w:p>
    <w:p>
      <w:pPr>
        <w:pStyle w:val="BookText"/>
        <w:rPr/>
      </w:pPr>
      <w:bookmarkEnd w:id="496"/>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الإمعان في مجموع روايات العرض يثبت أنّ الشرط اللازم هو عدم المخالفة، لا وجود الموافقة، وإلّا لزم ردّ أخبار كثيرة لعدم تعرّض القرآن إليها بالإثبات والنفي، ولا تعلم المخالفة وعدمها إلّاإذا كان المقيس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بعامّة سوره وأجزائه موجوداً عندنا، وإلّا فإنّ احتمال مخالفة الخبر لما سقط وحُرّف يظلّ قائماً</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6963735_73709187"/>
      <w:bookmarkStart w:id="498" w:name="_Toc186"/>
      <w:bookmarkEnd w:id="497"/>
      <w:r>
        <w:rPr/>
        <w:t>2</w:t>
      </w:r>
      <w:r>
        <w:rPr>
          <w:rtl w:val="true"/>
        </w:rPr>
        <w:t xml:space="preserve">. </w:t>
      </w:r>
      <w:r>
        <w:rPr>
          <w:rtl w:val="true"/>
        </w:rPr>
        <w:t>حديث الثقلين</w:t>
      </w:r>
      <w:bookmarkEnd w:id="498"/>
    </w:p>
    <w:p>
      <w:pPr>
        <w:pStyle w:val="BookText"/>
        <w:rPr/>
      </w:pPr>
      <w:r>
        <w:rPr>
          <w:rFonts w:ascii="Amiri" w:hAnsi="Amiri" w:eastAsia="Amiri" w:cs="Amiri"/>
          <w:color w:val="111111"/>
          <w:sz w:val="28"/>
          <w:sz w:val="28"/>
          <w:szCs w:val="28"/>
          <w:rtl w:val="true"/>
          <w:lang w:bidi="ar-SA"/>
        </w:rPr>
        <w:t>إنّ النبي صلى الله عليه و آله و سلم أمر أُمّته بالتمسّك بالقرآن، وبالعترة الطاهرة، حيث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ما إن تمسّكتم بهما لن تضلّوا</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وإمكان التمسّك بالقرآن يستلزم عدم تطرّق التحريف إليه،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بالتمسّك بالقرآن، فرع وجود القرآن بين المتمسّكين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بسقوط قسم من آياته وسُوَره، يورث عدم الاطمئنان فيما يستفاد من القرآن الموجود، إذ من المحتمل أن يكون المحذوف قرينة على المراد من الموجود</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6963737_73709187"/>
      <w:bookmarkStart w:id="500" w:name="_Toc187"/>
      <w:bookmarkEnd w:id="499"/>
      <w:r>
        <w:rPr/>
        <w:t>3</w:t>
      </w:r>
      <w:r>
        <w:rPr>
          <w:rtl w:val="true"/>
        </w:rPr>
        <w:t xml:space="preserve">. </w:t>
      </w:r>
      <w:r>
        <w:rPr>
          <w:rtl w:val="true"/>
        </w:rPr>
        <w:t>كمال الدين بكمال القرآن</w:t>
      </w:r>
      <w:bookmarkEnd w:id="500"/>
    </w:p>
    <w:p>
      <w:pPr>
        <w:pStyle w:val="Heading6"/>
        <w:numPr>
          <w:ilvl w:val="5"/>
          <w:numId w:val="1"/>
        </w:numPr>
        <w:rPr/>
      </w:pPr>
      <w:bookmarkStart w:id="501" w:name="__RefHeading___Toc6963739_73709187"/>
      <w:bookmarkStart w:id="502" w:name="_Toc188"/>
      <w:bookmarkEnd w:id="501"/>
      <w:r>
        <w:rPr>
          <w:rtl w:val="true"/>
        </w:rPr>
        <w:t>اشارة</w:t>
      </w:r>
      <w:bookmarkEnd w:id="50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الإمعان في خطب الإمام أمير المؤمنين عليه السلام الّتي ينقلها علماء الشيعة</w:t>
      </w:r>
      <w:bookmarkStart w:id="503" w:name="pg16772_194595"/>
    </w:p>
    <w:p>
      <w:pPr>
        <w:pStyle w:val="BookText"/>
        <w:rPr/>
      </w:pPr>
      <w:bookmarkEnd w:id="503"/>
      <w:r>
        <w:rPr>
          <w:rFonts w:ascii="Amiri" w:hAnsi="Amiri" w:eastAsia="Amiri" w:cs="Amiri"/>
          <w:color w:val="111111"/>
          <w:sz w:val="28"/>
          <w:sz w:val="28"/>
          <w:szCs w:val="28"/>
          <w:rtl w:val="true"/>
          <w:lang w:bidi="ar-SA"/>
        </w:rPr>
        <w:t>يكشف عن اعتبار القرآن الموجود بين المسلمين، هو كتاب اللّه المنزل على رسوله بلا زيادة ولا نقصان، فهاك شذرات من كلماته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تِبْياناً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وَعَمَّرَ فِيكُمْ نَبِيَّهُ أَزْمَاناً، حَتَّى أَكْمَلَ لَهُ وَلَكُمْ فِيَما أَنْزَلَ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الَّذِي رَضِيَ لِنَفْسِهِ‌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والخطبة صريحة في إكمال الدين تحت ظل كتابه، فكيف يكون الدين كاملاً ومصدره محرّفاً غير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ويوضح ذلك أنّ الإمام يحثّ على التمسّك بالدين الكامل بعد رحيله، وهو فرع كمال مصدره وسنده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اللّهِ بَيْنَ أَظْهُرِكُمْ نَاطِقٌ لَايَعْيَا لِسَانُهُ‌، وَبَيْتٌ لَاتُهْدَمُ أَرْكَانُهُ‌، وَعِزٌّ لَاتُهْزَمُ أَعْوَانُهُ‌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وأنت ترى أنّ القرآن الذي يذكره أمير المؤمنين عليه السلام ويعظّمه ويرشد إليه، هو نفس القرآن الموجود عند الناس، المتداول بينهم، ويدّل على ذلك تصريحه عليه السلام بأنّه بين أظهرهم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فَاجْتَمَعَ الْقَوْمُ عَلَى الْفُرْقَةِ‌، وَافْتَرَقُوا عَلَى الْجَمَاعَةِ‌، كَأَنَّهُمْ أَئِمَّةُ الْكِتَابِ وَلَيْسَ الْكِتَابُ إِمَامَهُمْ‌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04" w:name="__RefHeading___Toc6963741_73709187"/>
      <w:bookmarkStart w:id="505" w:name="_Toc189"/>
      <w:bookmarkEnd w:id="504"/>
      <w:r>
        <w:rPr>
          <w:rtl w:val="true"/>
        </w:rPr>
        <w:t>شتّان بينهما</w:t>
      </w:r>
      <w:bookmarkEnd w:id="50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الإصرار على لصق تهمة القول بالتحريف إلى أي طائفة من الطوائف</w:t>
      </w:r>
      <w:bookmarkStart w:id="506" w:name="pg16772_194596"/>
    </w:p>
    <w:p>
      <w:pPr>
        <w:pStyle w:val="BookText"/>
        <w:rPr/>
      </w:pPr>
      <w:bookmarkEnd w:id="506"/>
      <w:r>
        <w:rPr>
          <w:rFonts w:ascii="Amiri" w:hAnsi="Amiri" w:eastAsia="Amiri" w:cs="Amiri"/>
          <w:color w:val="111111"/>
          <w:sz w:val="28"/>
          <w:sz w:val="28"/>
          <w:szCs w:val="28"/>
          <w:rtl w:val="true"/>
          <w:lang w:bidi="ar-SA"/>
        </w:rPr>
        <w:t>الإسلامية يشكّل ضرراً كبيراً على الإسلام والمسلمين ولا يستفيد منه إلّا المستعمرون وأذنابهم، حيث يتّخذونه ذريعة لإبطال الحجة البالغة إلى يوم القيامة، فيأخذون من السنّة قولهم بأنّ الشيعة تقول بالتحريف، ويأخذون من بعض الشيعة القول بأنّ السنّة هم القائلون بالتحريف، فيحتجون بكلا النقلين ويصوّرون أنّ في المقام إجماعاً مركباً من الطائفتين على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يا أبناء الإسلام لصالح الإسلام وصالح المسلمين‌؟ ألا تدعو مصلحة الإسلام العليا إلى التركيز على تبرئة عامّة الطوائف من القول بالتحريف، والقول بأنّ ما ورد من الروايات عند الفريقين المُشعرة بالتحريف إمّا ساقطة ضعيفة مكذوبة، وإمّا مؤوّلة مفسّرة للآية كما هو الحق في كلا الطرفين، وحيث قام غير واحد من علمائنا بتوضيح حال هذه الروايات الّتي اتّخذها المغرضون الموقدون لنار الشحناء والتفرقة بين المسلمين، حجّة على مدّعاهم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بين عالم واع منصف يركّز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قرن، بل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تنزيه الشيعة عن القول بالتحريف، وبين من يصب الزيت على النار ويستميت لإثبات هذه التهمة وإلصاقها بالشيعة، بنفَس حاقد، وقلم غير نزيه، وكأنّه لا مشكلة على وجه الأرض إلّاالشيعة واتّهامهم بالقول بالتحريف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نحن نعرض أمام القارئ أُنموذجين من المنصفين ثم نتبعهما بأُنموذجين من غيرهم</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6963743_73709187"/>
      <w:bookmarkStart w:id="508" w:name="_Toc190"/>
      <w:bookmarkEnd w:id="507"/>
      <w:r>
        <w:rPr>
          <w:rtl w:val="true"/>
        </w:rPr>
        <w:t>أقوال العلماء السنّة في مسألة القول بالتحريف عند الشيعة</w:t>
      </w:r>
      <w:bookmarkEnd w:id="508"/>
    </w:p>
    <w:p>
      <w:pPr>
        <w:pStyle w:val="Heading5"/>
        <w:numPr>
          <w:ilvl w:val="4"/>
          <w:numId w:val="1"/>
        </w:numPr>
        <w:rPr/>
      </w:pPr>
      <w:bookmarkStart w:id="509" w:name="__RefHeading___Toc6963745_73709187"/>
      <w:bookmarkStart w:id="510" w:name="_Toc191"/>
      <w:bookmarkEnd w:id="509"/>
      <w:r>
        <w:rPr/>
        <w:t>1</w:t>
      </w:r>
      <w:r>
        <w:rPr>
          <w:rtl w:val="true"/>
        </w:rPr>
        <w:t xml:space="preserve">. </w:t>
      </w:r>
      <w:r>
        <w:rPr>
          <w:rtl w:val="true"/>
        </w:rPr>
        <w:t>العلّامة الدهلوي الكيرانوي</w:t>
      </w:r>
      <w:bookmarkEnd w:id="51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العلّامة الشيخ رحمة اللّه بن خليل الرحمن الهندي الدهلوي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المبشرين النصارى في شبه القارة الهندية، وقد قال فيه ما يلي</w:t>
      </w:r>
      <w:r>
        <w:rPr>
          <w:rFonts w:eastAsia="Amiri" w:cs="Amiri" w:ascii="Amiri" w:hAnsi="Amiri"/>
          <w:color w:val="111111"/>
          <w:sz w:val="28"/>
          <w:szCs w:val="28"/>
          <w:rtl w:val="true"/>
          <w:lang w:bidi="ar-SA"/>
        </w:rPr>
        <w:t>:</w:t>
      </w:r>
      <w:bookmarkStart w:id="511" w:name="pg16772_194597"/>
    </w:p>
    <w:p>
      <w:pPr>
        <w:pStyle w:val="BookText"/>
        <w:rPr/>
      </w:pPr>
      <w:bookmarkEnd w:id="511"/>
      <w:r>
        <w:rPr>
          <w:rFonts w:ascii="Amiri" w:hAnsi="Amiri" w:eastAsia="Amiri" w:cs="Amiri"/>
          <w:color w:val="111111"/>
          <w:sz w:val="28"/>
          <w:sz w:val="28"/>
          <w:szCs w:val="28"/>
          <w:rtl w:val="true"/>
          <w:lang w:bidi="ar-SA"/>
        </w:rPr>
        <w:t>إنّ القرآن المجيد عند جمهور علماء الشيعة الإمامية الاثني عشرية محفوظ عن التغيير والتبديل، ومن قال منهم بوقوع النقصان فيه، فقوله مردود غير مقبول عندهم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ذكر قول الشيخ الصدوق والسيد المرتضى والقاضي التستري والشيخ الحرّ العامليّ‌، كما تقدم عنهم،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المذهب المحقّق عند علماء الفرقة الإمامية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الّذي أنزله اللّه على نبيّه، هو ما بين الدفتين، وهو ما في أيدي الناس ليس بأكثر من ذلك، وأنّه كان مجموعاً مؤلّفاً في عهد رسول اللّه صلى الله عليه و آله و سلم وحفظه ونقله أُلوف من الصحابة كعبد اللّه بن مسعود وأُبيّ بن كعب وغيرهما ختموا القرآن على النبيّ عدّة ختمات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القرآن ويشهد بهذا الترتيب عند ظهور الإمام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والشرذمة القليلة الّتي قالت بوقوع التغيير فقولهم مردود، ولا اعتداد بهم فيما بينهم، وبعض الأخبار الضعيفة الّتي رويت في مذهبهم لا يرجع بمثلها عن المعلوم المقطوع على صحّته وهو حقّ‌، لأنّ خبر الواحد إذا لم يقتض علماً ولم يوجد في الأدلّة القاطعة ما يدلّ عليه، وجب ردّه على ما صرّح ابن المطهّر الحلّيّ في كتابه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مبادئ الوصول إلى علم الأُصول</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ترى أنّ الرجل كيف يدافع عن الإسلام ومذهب الشيعة ويذب عنهم تلك الأُكذوبة الباطلة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12" w:name="__RefHeading___Toc6963747_73709187"/>
      <w:bookmarkStart w:id="513" w:name="_Toc192"/>
      <w:bookmarkEnd w:id="512"/>
      <w:r>
        <w:rPr/>
        <w:t>2</w:t>
      </w:r>
      <w:r>
        <w:rPr>
          <w:rtl w:val="true"/>
        </w:rPr>
        <w:t xml:space="preserve">. </w:t>
      </w:r>
      <w:r>
        <w:rPr>
          <w:rtl w:val="true"/>
        </w:rPr>
        <w:t xml:space="preserve">الدكتورة عائشة يوسف المناعي </w:t>
      </w:r>
      <w:r>
        <w:rPr>
          <w:rtl w:val="true"/>
        </w:rPr>
        <w:t>(</w:t>
      </w:r>
      <w:r>
        <w:rPr>
          <w:rtl w:val="true"/>
        </w:rPr>
        <w:t>المعاصرة</w:t>
      </w:r>
      <w:r>
        <w:rPr>
          <w:rtl w:val="true"/>
        </w:rPr>
        <w:t>)</w:t>
      </w:r>
      <w:bookmarkStart w:id="514" w:name="pg16772_194598"/>
      <w:bookmarkEnd w:id="513"/>
    </w:p>
    <w:p>
      <w:pPr>
        <w:pStyle w:val="BookText"/>
        <w:rPr/>
      </w:pPr>
      <w:bookmarkEnd w:id="514"/>
      <w:r>
        <w:rPr>
          <w:rFonts w:ascii="Amiri" w:hAnsi="Amiri" w:eastAsia="Amiri" w:cs="Amiri"/>
          <w:color w:val="111111"/>
          <w:sz w:val="28"/>
          <w:sz w:val="28"/>
          <w:szCs w:val="28"/>
          <w:rtl w:val="true"/>
          <w:lang w:bidi="ar-SA"/>
        </w:rPr>
        <w:t>وهي عميدة كلية الشريعة والدراسات الإسلامية في جامعة قطر، وقد ألّفت كتاباً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موقف الإمامية من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 فيه موقف شيعة أهل البيت عليهم السلام من كتاب اللّه تعالى، وأنّ أكابر علمائهم ينفون فكرة تحريفه، ويصفون ما ورد من الروايات الّتي تشير إلى ذلك بالضعف والدسّ والتزوير، ثم خلصت إلى 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الدراسة أردت بها وجه اللّه تعالى، لا دفاعاً عن الشيعة ضد أهل السُّنة، ولا تأكيداً وبياناً لموقف أهل السُّنة ضد الشيعة، بل أردت منها البحث عن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يلتقي حولها الفريقان، وهي كتاب اللّه تعالى ودستور الأُمة الإسلامية، الّذي لا يأتيه الباطل من بين يديه ولا من خلفه، والّذي أجزم تمام الجزم بأنّ من قال واعتقد فيه غير ذلك فهو كافر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كفر بكتاب اللّه تعالى كفر باللّه تعالى لا محالة، سواء في ذلك الشيعي أو السنيّ‌، أو غيرهما ممّن يتسمّى باسم الإسلام</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هذان أُنموذجان من المنصفين الذين تنبض قلوبهم بتوحيد الكلمة ورصّ الصفوف وحشد القوى وصبها في سبيل هدف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الأسف في مقابل هؤلاء نجد من ليس له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تحريف الكلمة، وتشتيت القوى، ورمي شيعة آل البيت بما هم براء منه كبراءة يوسف ممّا اتّهم به، وها نحن نذكر أُنموذجين منهم</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6963749_73709187"/>
      <w:bookmarkStart w:id="516" w:name="_Toc193"/>
      <w:bookmarkEnd w:id="515"/>
      <w:r>
        <w:rPr/>
        <w:t>3</w:t>
      </w:r>
      <w:r>
        <w:rPr>
          <w:rtl w:val="true"/>
        </w:rPr>
        <w:t xml:space="preserve">. </w:t>
      </w:r>
      <w:r>
        <w:rPr>
          <w:rtl w:val="true"/>
        </w:rPr>
        <w:t>عبداللّه بن علي القصيمي</w:t>
      </w:r>
      <w:bookmarkEnd w:id="51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القصيمي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بين الإسلام والوثنية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هذا</w:t>
      </w:r>
    </w:p>
    <w:p>
      <w:pPr>
        <w:pStyle w:val="BookText"/>
        <w:rPr/>
      </w:pPr>
      <w:r>
        <w:rPr>
          <w:rFonts w:ascii="Amiri" w:hAnsi="Amiri" w:eastAsia="Amiri" w:cs="Amiri"/>
          <w:color w:val="111111"/>
          <w:sz w:val="28"/>
          <w:sz w:val="28"/>
          <w:szCs w:val="28"/>
          <w:rtl w:val="true"/>
          <w:lang w:bidi="ar-SA"/>
        </w:rPr>
        <w:t xml:space="preserve">الاسم دلالة واضحة على نفسية مؤلّفه، فأوّل جنايته على المسلمين عامّة تسميته بالوثنية أُمماً من المسلمين، يُعدّ كُلّ منهم بالملايين، وفيهم الأئمة والقادة والعلماء والحكماء والمفسّرون والحفّاظ والأدلّاء على دين اللّه الخالص، وفي مقدّمتهم أُمّة من الصحابة والتابعين لهم بإحسان، والعجب أنّه ألف كتابه هذا ردّاً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الارتياب في أتباع محمد 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محسن الأمين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وركّز جهده على دعم ما ذكره ابن تيمية وما ورثه محمد بن عبد الوهاب من كتبه، وطبع الكتاب على نفقة آل سعود ووزع توزيعاً 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اتّهم فيه الشيعة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في كتب القوم علم أنّهم لا يرفعون بكتاب اللّه رأساً، وذلك أنّه يقل جدّاً أن يستشهدوا بآية من القرآن فتأتي صحيحة غير ملحونة مغلوطة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أحد منهم يسلم من التحريف والغلط، ولا يوجد فيهم مَن يحفظون القرآن، وتندر جدّاً أن توجد بينهم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مبلغ علمه بالشيعة مع وضوح اهتمامهم بالقرآن عبر القرون بوجوه مختلفة، ولذا لا نعلّق على كلامه شيئاً؛ لأنّه صفر من الإنصاف وكذب ودجل، ومن مرّ على بلاد الشيعة وخالطهم يقف على أنّ ما ذكره القصيمي فرية بلا مرية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أنّ هذا الرجل عاش عمراً طويلاً، فكان في شبابه وكمال عمره وهابياً مروّجاً للوهابية ومدافعاً عن آل سعود بقلمه ولسانه، ولكنّه في آخر عمره انقلب ملحداً، منكراً لأكثر الأُصول الّتي اتّفق عليها المسلمون، وعاد يروّج الثقافة الغربية، وذلك ظاهر من كتابه المعنون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 بعده</w:t>
      </w:r>
      <w:bookmarkStart w:id="517" w:name="pg16772_194600"/>
    </w:p>
    <w:p>
      <w:pPr>
        <w:pStyle w:val="BookText"/>
        <w:rPr/>
      </w:pPr>
      <w:bookmarkEnd w:id="517"/>
      <w:r>
        <w:rPr>
          <w:rFonts w:ascii="Amiri" w:hAnsi="Amiri" w:eastAsia="Amiri" w:cs="Amiri"/>
          <w:color w:val="111111"/>
          <w:sz w:val="28"/>
          <w:sz w:val="28"/>
          <w:szCs w:val="28"/>
          <w:rtl w:val="true"/>
          <w:lang w:bidi="ar-SA"/>
        </w:rPr>
        <w:t xml:space="preserve">كتاباً آخر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الأغلال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أثار هذا الكتاب غضب الوهابيين، فقام الشيخ عبداللّه يابس بالردّ عليه بكتاب أسماه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القويم على ملحد القصيم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توالت الردود على كتابه حتّى أنهم أنشأوا فيه قصائد، في أحدها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القصيمي في الأغلال قد كفرا وفاه بالزيغ والإلحاد مشتهرا</w:t>
      </w:r>
    </w:p>
    <w:p>
      <w:pPr>
        <w:pStyle w:val="Heading5"/>
        <w:numPr>
          <w:ilvl w:val="4"/>
          <w:numId w:val="1"/>
        </w:numPr>
        <w:rPr/>
      </w:pPr>
      <w:bookmarkStart w:id="518" w:name="__RefHeading___Toc6963751_73709187"/>
      <w:bookmarkStart w:id="519" w:name="_Toc194"/>
      <w:bookmarkEnd w:id="518"/>
      <w:r>
        <w:rPr/>
        <w:t>4</w:t>
      </w:r>
      <w:r>
        <w:rPr>
          <w:rtl w:val="true"/>
        </w:rPr>
        <w:t xml:space="preserve">. </w:t>
      </w:r>
      <w:r>
        <w:rPr>
          <w:rtl w:val="true"/>
        </w:rPr>
        <w:t>عبدالملك بن عبدالرحمن الشافعي</w:t>
      </w:r>
      <w:bookmarkEnd w:id="519"/>
    </w:p>
    <w:p>
      <w:pPr>
        <w:pStyle w:val="BookText"/>
        <w:rPr/>
      </w:pPr>
      <w:r>
        <w:rPr>
          <w:rFonts w:ascii="Amiri" w:hAnsi="Amiri" w:eastAsia="Amiri" w:cs="Amiri"/>
          <w:color w:val="111111"/>
          <w:sz w:val="28"/>
          <w:sz w:val="28"/>
          <w:szCs w:val="28"/>
          <w:rtl w:val="true"/>
          <w:lang w:bidi="ar-SA"/>
        </w:rPr>
        <w:t>قد وضع هذا المؤلّف رسالتين بخصوص القرآن،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الفصام النكد، دراسة لحقيقة الأزمة بين علماء الشيعة والقرآن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الشيعية النافية لتحريف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راجع الرسالتين يرى فيهما أنّ الكاتب أخذ بالقلم الّذي يحمل الحقد والضغينة بأعلى مراتبها، حتّى أنّه لم ينزّه قلمه عن الاستهزاء والسخرية، وهذا واضح من وصفه علماء الشيعة بألفاظ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ثقتهم، علّامتهم، مفكّرهم، إلى غير ذلك من الكلمات الّتي لا تنسجم مع أدب الحوار والمناظرة والدراسة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نتناول بالدراسة ما ورد في هاتين الرسالتين، لأجل إيضاح ما عمد مؤلّفهما إلى تدليسه وإيهام ذهن القارئ به، وهدفنا هو تنوير القارئ الكريم بالحق الصريح في هذا الموضوع</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6963753_73709187"/>
      <w:bookmarkStart w:id="521" w:name="_Toc195"/>
      <w:bookmarkEnd w:id="520"/>
      <w:r>
        <w:rPr>
          <w:rtl w:val="true"/>
        </w:rPr>
        <w:t>مناقشة الرسالة الأُولى</w:t>
      </w:r>
      <w:bookmarkEnd w:id="52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22" w:name="__RefHeading___Toc6963755_73709187"/>
      <w:bookmarkStart w:id="523" w:name="_Toc196"/>
      <w:bookmarkEnd w:id="522"/>
      <w:r>
        <w:rPr>
          <w:rtl w:val="true"/>
        </w:rPr>
        <w:t>اشارة</w:t>
      </w:r>
      <w:bookmarkStart w:id="524" w:name="pg16772_194601"/>
      <w:bookmarkEnd w:id="523"/>
    </w:p>
    <w:p>
      <w:pPr>
        <w:pStyle w:val="BookText"/>
        <w:rPr/>
      </w:pPr>
      <w:bookmarkEnd w:id="524"/>
      <w:r>
        <w:rPr>
          <w:rFonts w:ascii="Amiri" w:hAnsi="Amiri" w:eastAsia="Amiri" w:cs="Amiri"/>
          <w:color w:val="111111"/>
          <w:sz w:val="28"/>
          <w:sz w:val="28"/>
          <w:szCs w:val="28"/>
          <w:rtl w:val="true"/>
          <w:lang w:bidi="ar-SA"/>
        </w:rPr>
        <w:t xml:space="preserve">رتّب المؤلّف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الفصام النكد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فصول؛ وها نحن نبدأ بمناقشة الفصل الأوّل منها</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6963757_73709187"/>
      <w:bookmarkStart w:id="526" w:name="_Toc197"/>
      <w:bookmarkEnd w:id="525"/>
      <w:r>
        <w:rPr>
          <w:rtl w:val="true"/>
        </w:rPr>
        <w:t>مناقشة الفصل الأوّل</w:t>
      </w:r>
      <w:bookmarkEnd w:id="526"/>
    </w:p>
    <w:p>
      <w:pPr>
        <w:pStyle w:val="Heading6"/>
        <w:numPr>
          <w:ilvl w:val="5"/>
          <w:numId w:val="1"/>
        </w:numPr>
        <w:rPr/>
      </w:pPr>
      <w:bookmarkStart w:id="527" w:name="__RefHeading___Toc6963759_73709187"/>
      <w:bookmarkStart w:id="528" w:name="_Toc198"/>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يذكر عبدالملك الشافعي هنا أنّ عقيدة الشيعة بأصل الإمامة صارت سبباً للقول باستحالة صدور أي موقف إيجابي من صحابة النبي الأكرم صلى الله عليه و آله و سلم لصالح الإسلام والمسلمين حتّى وإن صَغُر، ثم يذكر من باب المثال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تعاملوا مع أكبر المناقب الّتي قام بها الخلفاء الراشدون رضي اللّه عنهم على مرّ التاريخ، وهي جمعهم لكتاب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الشيعة أمام مفترق خطير، إذ سيفرض عليهم الالتزام بأحد الخيارين التاليين وهما</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6963761_73709187"/>
      <w:bookmarkStart w:id="530" w:name="_Toc199"/>
      <w:bookmarkEnd w:id="529"/>
      <w:r>
        <w:rPr>
          <w:rtl w:val="true"/>
        </w:rPr>
        <w:t>الخيار الأوّل</w:t>
      </w:r>
      <w:r>
        <w:rPr>
          <w:rtl w:val="true"/>
        </w:rPr>
        <w:t>:</w:t>
      </w:r>
      <w:bookmarkEnd w:id="530"/>
    </w:p>
    <w:p>
      <w:pPr>
        <w:pStyle w:val="BookText"/>
        <w:rPr/>
      </w:pPr>
      <w:r>
        <w:rPr>
          <w:rFonts w:ascii="Amiri" w:hAnsi="Amiri" w:eastAsia="Amiri" w:cs="Amiri"/>
          <w:color w:val="111111"/>
          <w:sz w:val="28"/>
          <w:sz w:val="28"/>
          <w:szCs w:val="28"/>
          <w:rtl w:val="true"/>
          <w:lang w:bidi="ar-SA"/>
        </w:rPr>
        <w:t>الاعتراف بأنّ جمع الخلفاء للقرآن كان على الوجه المرضيّ عند اللّه تعالى ورسوله، ومن ثم لم يقرّوا لهم بتلك الفضيلة والمنقبة التاريخية والّتي ستظل أجيال البشرية إلى قيام الساعة تدين لهم بالفضل والامتنان، ألا وهي جمعهم وحفظهم لكتاب اللّه تعالى</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6963763_73709187"/>
      <w:bookmarkStart w:id="532" w:name="_Toc200"/>
      <w:bookmarkEnd w:id="531"/>
      <w:r>
        <w:rPr>
          <w:rtl w:val="true"/>
        </w:rPr>
        <w:t>الخيار الثاني</w:t>
      </w:r>
      <w:r>
        <w:rPr>
          <w:rtl w:val="true"/>
        </w:rPr>
        <w:t>:</w:t>
      </w:r>
      <w:bookmarkEnd w:id="53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يعملوا بأصلهم فيجهزوا على تلك المنقبة ليقلبوها إلى مثلبة بحقّهم زاعمين أنّ جمعهم للقرآن لم يكن على الوجه المرضيّ عند اللّه تعالى ورسوله، قاصدين بذلك طمس الحق وإضلال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بنى على ذلك ما بنى من كلمات لاذعة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عصارة كلامه في الفصل الأوّل، وسيوافيك الكلام حول ما ذكره في الفصول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بنى ما ذهب إليه على أصل باطل، وهو أنّ الصحابة هم الذين قاموا بجمع القرآن الكريم بعد رحيل النبي الأكرم صلى الله عليه و آله و سلم، وعلى ذلك جعل الشيعة بين خيارين فقط، ولكنّ المسكين غفل عن أنّ الآيات القرآنية والروايات الصحيحة تدلّ على أنّ القرآن جمع في أيام حياته صلى الله عليه و آله و سلم، وأنّ نسبة جمعه إلى الخليفتين الأوّل والثاني أمر لا دليل عليه، بل الدليل قائم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أشبه قول الكاتب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أصبحت أم الخيار تدعي عليّ ذنباً كلّه لم أصنعِ‌</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أساس ما ذكره هو زعمه أنّ جمع القرآن كان بأمر من أبي بكر بعد أن قتل سبعون رجلاً من القرّاء في بئر معونة وأربعون نفراً في حرب اليمامة، فخيف ضياع القرآن وذهابه من الناس، فتصدّى عمر وزيد بن ثابت لجمع القرآن من العسب، والرقاع، واللخاف، ومن صدور الناس، بشرط أن يشهد شاهدان بأنّه من القرآن، وهذا هو الّذي رواه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بن ثابت الأنصاري رضى الله عنه وكان ممّن يكتب الوحي،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أبو بكر بعد مقتل أهل اليمامة وعنده عمر،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القتل قد استحرّ يوم اليمامة بالناس، وإنّي أخشى أن يستحرّ القتل بالقرّاء في المواطن فيذهب كثيرٌ من القرآن إلّاأن تجمعوه، وإنّي لأرى أن تجمع القرآن،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p>
    <w:p>
      <w:pPr>
        <w:pStyle w:val="BookText"/>
        <w:rPr/>
      </w:pP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أفعل شيئاً لم يفعله رسول اللّه صلى الله عليه و آله و سلم‌؟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خيرٌ، فلم يزل عمر يراجعني فيه حتّى شرح اللّه لذلك صدري ورأيت الّذي رأى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عنده جالس لا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شابٌ عاقل، ولا نتهمُك كنت تكتب الوحي لرسول اللّه صلى الله عليه و آله و سلم فتتبع القرآن فاجمعه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كلفني نقل جبل من الجبال ما كان أثقل عليّ ممّا أمرني به من جمع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تفعلان شيئاً لم يفعله النبي صلى الله عليه و آله و سلم‌؟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أراجعه حتّى شرح اللّه صدري للذي شرح اللّه له صدر أبي بكر وعمر، فقمت فتتبعت القرآن أجمع من الرقاع والأكتاف والعسب</w:t>
      </w:r>
      <w:r>
        <w:rPr>
          <w:rStyle w:val="FootnoteAnchor"/>
          <w:rtl w:val="true"/>
        </w:rPr>
        <w:footnoteReference w:id="382"/>
      </w:r>
      <w:r>
        <w:rPr>
          <w:rFonts w:ascii="Amiri" w:hAnsi="Amiri" w:eastAsia="Amiri" w:cs="Amiri"/>
          <w:color w:val="111111"/>
          <w:sz w:val="28"/>
          <w:sz w:val="28"/>
          <w:szCs w:val="28"/>
          <w:rtl w:val="true"/>
          <w:lang w:bidi="ar-SA"/>
        </w:rPr>
        <w:t xml:space="preserve">وصدور الرجال حتّى وجدت من سورة التوبة آيتين مع خُزيمة الأنصاري لم أجدها مع أحد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البخاري أيضاً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خارجة بن زيد بن ثابت أنّه سمع زيد بن ثابت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آية من الأحزاب حين نسخنا المصحف كُنت أسمع رسول اللّه صلى الله عليه و آله و سلم يقرؤها بها، فالتمسناها فوجدناها مع خزيمة بن ثابت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فألحقناها في سورتها في المصحف</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هو الأساس لما رتّب عليه الكاتب من آراء وقضاء باطل، ولكنّه ليس بصحيح جدّاً وإن كان قد ورد في أصحّ الكتب عندهم، لأنّه مخالف للكتاب العزيز أوّلاً، والتاريخ الصحيح ثانياً، وحكم العقل الحصيف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فثمّة آيات قرآنية كثيرة تدلّ على جمع القرآن في عصر الرسول صلى الله عليه و آله و سلم وانّه كان آنذاك مكتوباً،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ومعنى ذلك أنّه كان عند نزول الوحي كتّاب يكتبون القرآن كسائر الكتب السماوية، وأنّه كان مكتوباً مجموعاً؛ لأنّه لا يصحّ إطلاق الكتاب على القرآن، وهو في الصدور، بل لا يصح على ما كُتب على العسب والأكتاف والرقاع إلّاعلى نحو المجاز والعناية، والمجاز لا يُحمل اللفظ عليه من غير قرينة، فإنّ لفظ الكتاب ظاهر فيما كان له وجود واحد جمعي، ولا يُطلق على المكتوب إذا كان مجزّأً فضلاً عمّا إذا لم يُكتب، وكان محفوظاً في الصدور</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مِنَ اللّهِ يَتْلُوا صُحُفاً مُطَهَّرَةً‌</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جاء في أوّل ما نزل على رسول اللّه صلى الله عليه و آله و سلم من آيات، ذكر القراءة والكتابة بالقلم، فهل يمكن، بعد ذلك، أن لا يُكتب قرآنه طيلة حياته في صحف مكرّمة‌؟</w:t>
      </w:r>
    </w:p>
    <w:p>
      <w:pPr>
        <w:pStyle w:val="BookText"/>
        <w:rPr/>
      </w:pPr>
      <w:r>
        <w:rPr>
          <w:rFonts w:ascii="Amiri" w:hAnsi="Amiri" w:eastAsia="Amiri" w:cs="Amiri"/>
          <w:color w:val="111111"/>
          <w:sz w:val="28"/>
          <w:sz w:val="28"/>
          <w:szCs w:val="28"/>
          <w:rtl w:val="true"/>
          <w:lang w:bidi="ar-SA"/>
        </w:rPr>
        <w:t>وكيف يقسم سبحانه في كتابه المجيد بالقلم وبما يكتبون،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 وَ ما يَسْطُرُونَ‌</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يُكتب شيءٌ منه، بل يبقى في صدور الرجال والعسب واللخاف، المبعثرة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ونرى أنّه سبحانه يأمر بكتابة الدين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تَدايَنْتُمْ بِدَيْنٍ إِلى أَجَلٍ مُسَمًّى فَاكْتُبُوهُ وَ لْيَكْتُبْ بَيْنَكُمْ كاتِبٌ بِالْعَدْلِ‌</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أمر سبحانه المسلمين بكتابة الدين من الدراهم والدينار، فأولى أن يكتبوا آيات القرآن وهي دستورهم ومنهجهم، كلّ ذلك يبعّد أن يكون الرسول قد رحل ولم يجمع القرآن في صحف أو كتاب وبقي في صدور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فهناك روايات تدلّ على جمع القرآن في حياة الرسول صلى الله عليه و آله و سلم، ومن يقرأ المجاميع الحديثية عند الفريقين يجد عدداً من الروايات التي تدلّ على أنّ القرآن كان قد جمع في حياة رسول اللّه صلى الله عليه و آله و سلم،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البراء أنّ النبي صلى الله عليه و آله و سلم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لي زيداً وقل له يأتي بالكتف</w:t>
      </w:r>
    </w:p>
    <w:p>
      <w:pPr>
        <w:pStyle w:val="BookText"/>
        <w:rPr/>
      </w:pPr>
      <w:r>
        <w:rPr>
          <w:rFonts w:ascii="Amiri" w:hAnsi="Amiri" w:eastAsia="Amiri" w:cs="Amiri"/>
          <w:color w:val="111111"/>
          <w:sz w:val="28"/>
          <w:sz w:val="28"/>
          <w:szCs w:val="28"/>
          <w:rtl w:val="true"/>
          <w:lang w:bidi="ar-SA"/>
        </w:rPr>
        <w:t>والدواة واللوح، فلمّا جاء،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الْقاعِدُونَ‌</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عباس عن عثمان بن عفان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دعا بعض من كان يكتب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ضعوا هؤلاء الآيات في السورة الّتي يذكر فيها كذا وكذا</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البخاري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القرآن على عهد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كلّهم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ومعاذ بن جبل، وأبو زيد، وزيد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عمومتي</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ابن النديم أسماء الذين جمعوا القرآن على عهد النبي صلى الله عليه و آله و سلم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رضى الله عنه، وسعد بن عبيد بن النعمان بن عمرو بن زيد، وأبو الدرداء عويمر بن زيد، ومعاذ بن جبل بن أوس، وأبو زيد ثابت بن زيد بن النعمان، وأُبيّ بن كعب بن قيس بن مالك بن امرئ القيس، وعبيد بن معاوية، وزيد بن ثابت بن الضحّاك</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آله و سلم نؤلّف القرآن من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 آخر عند الحاكم عن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حول رسول اللّه صلى الله عليه و آله و سلم نؤلف القرآن،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3" w:name="pg16772_194607"/>
    </w:p>
    <w:p>
      <w:pPr>
        <w:pStyle w:val="BookText"/>
        <w:rPr/>
      </w:pPr>
      <w:bookmarkEnd w:id="533"/>
      <w:r>
        <w:rPr>
          <w:rFonts w:ascii="Amiri" w:hAnsi="Amiri" w:eastAsia="Amiri" w:cs="Amiri"/>
          <w:color w:val="111111"/>
          <w:sz w:val="28"/>
          <w:sz w:val="28"/>
          <w:szCs w:val="28"/>
          <w:rtl w:val="true"/>
          <w:lang w:bidi="ar-SA"/>
        </w:rPr>
        <w:t>وتدلّ هذه الروايات على أنّ القرآن قد جُمع على عهد رسول اللّه صلى الله عليه و آله و سلم</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6963765_73709187"/>
      <w:bookmarkStart w:id="535" w:name="_Toc201"/>
      <w:bookmarkEnd w:id="534"/>
      <w:r>
        <w:rPr>
          <w:rtl w:val="true"/>
        </w:rPr>
        <w:t>ختم القرآن في العهد النبوي</w:t>
      </w:r>
      <w:bookmarkEnd w:id="535"/>
    </w:p>
    <w:p>
      <w:pPr>
        <w:pStyle w:val="BookText"/>
        <w:rPr/>
      </w:pPr>
      <w:r>
        <w:rPr>
          <w:rFonts w:ascii="Amiri" w:hAnsi="Amiri" w:eastAsia="Amiri" w:cs="Amiri"/>
          <w:color w:val="111111"/>
          <w:sz w:val="28"/>
          <w:sz w:val="28"/>
          <w:szCs w:val="28"/>
          <w:rtl w:val="true"/>
          <w:lang w:bidi="ar-SA"/>
        </w:rPr>
        <w:t>قد ورد في غير واحدة من الروايات أنّ أُناساً ختموا القرآن في العهد النبوي، نذكر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البخاري عن عبداللّه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تختم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في كلّ شهر ثلاثة، واقرأ القرآن في كلّ شهر</w:t>
      </w:r>
      <w:r>
        <w:rPr>
          <w:rFonts w:eastAsia="Amiri" w:cs="Amiri" w:ascii="Amiri" w:hAnsi="Amiri"/>
          <w:color w:val="111111"/>
          <w:sz w:val="28"/>
          <w:szCs w:val="28"/>
          <w:rtl w:val="true"/>
          <w:lang w:bidi="ar-SA"/>
        </w:rPr>
        <w:t>»</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ختم القرآن يدلّ على أنّه كان مبوّباً من حيث السور والآيات، معلوماً أوّلها من آخرها، أفيمكن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يختم القرآن، في كلّ ليلة، وهو في العسب واللخاف وصدور الرجال‌؟</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6963767_73709187"/>
      <w:bookmarkStart w:id="537" w:name="_Toc202"/>
      <w:bookmarkEnd w:id="536"/>
      <w:r>
        <w:rPr>
          <w:rtl w:val="true"/>
        </w:rPr>
        <w:t>قراءة القرآن في المصحف</w:t>
      </w:r>
      <w:bookmarkEnd w:id="537"/>
    </w:p>
    <w:p>
      <w:pPr>
        <w:pStyle w:val="BookText"/>
        <w:rPr/>
      </w:pPr>
      <w:r>
        <w:rPr>
          <w:rFonts w:ascii="Amiri" w:hAnsi="Amiri" w:eastAsia="Amiri" w:cs="Amiri"/>
          <w:color w:val="111111"/>
          <w:sz w:val="28"/>
          <w:sz w:val="28"/>
          <w:szCs w:val="28"/>
          <w:rtl w:val="true"/>
          <w:lang w:bidi="ar-SA"/>
        </w:rPr>
        <w:t>دلّت غير واحدة من الروايات على أنّ هناك جماعة في عهد النبي صلى الله عليه و آله و سلم كانوا يقرأون القرآن في المصحف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عبداللّه بن عمرو أنّ رجلاً أتى النبي صلى الله عليه و آله و سلم بابن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ابني هذا يقرأ المصحف بالنهار ويبيت بالليل، فقال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تنقم أنّ ابنك يظل ذاكراً ويبيت سالماً</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عثمان بن عبداللّه بن أوس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القرآن في المصحف كانت له ألفا حسنة، ومن قرأه في غير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كألف حسنة</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داود بسنده عن عائشة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الكعبة عبادة، والنظر في وجه الوالدين عبادة، والنظر في المصحف 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يدلّ على وجود المصحف في زمان النبي الأكرم صلى الله عليه و آله و سلم سواء أكان مصحفاً تامّاً أو مصحفاً ناقصاً، وأنّ الصحابة كانوا يتسابقون في كتابة القرآن وإعداد المصحف حتّى يقرأوا فيه، فلو كان القرآن مبثوثاً في العسب واللخاف وصدور الرجال، فما معنى هذه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المتقيّ الهندي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الغرباء في الدنيا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في جوف ظالم، ومسجد في نادي قوم لا يصلّى فيه، ومصحف في بيت لا يُقرأ فيه، ورجل صالح مع قوم 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يدلّ على أنّ القرآن كان مجموعاً في مصحف في حياة النبي صلى الله عليه و آله و سلم، وعندئذٍ لم تكن ثمة حاجة إلى قيام زيد بن ثابت بجمعه من العسب واللخاف وصدور الرجال وربّما عثر على بعض الآيات عند بعض الأصحاب</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الرافعي المصري الملمّ بعلوم 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أنّ مَن كتب القرآن فأكمله وكان قرآنه أصلاً للمصاحف المتأخّرة؛ علي بن أُبّي طالب، وأُبيّ بن كعب، وزيد بن ثابت، وعبداللّه بن مسعود</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والمتبادر من كلامه أنّ هذه المصاحف قد كانت مجموعة قبل قيام زيد بجمع القرآن بعد رحلة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فما هو الداعي إلى جمع القرآن من العسب واللخاف والأكتاف، وقد كان بإمكانهم أن يرجعوا إلى تلك المصاحف الّتي كتبها كتّاب الوحي في عصر رسول اللّه صلى الله عليه و آله و سلم، ولا يضطروا إلى الرجوع إلى خزيمة بن ثابت، الّذي زُعم أنّه وجدت معه آخر سورة التوبة، ولم توجد مع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وجود مصاحف في عصر النبي صلى الله عليه و آله و سلم ما يذكره ابن الأثير في الكامل،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يقرأون على مصحف ابن مسعود، وأهل البصرة على مصحف أبي موسى الأشعري، وأهل الشام على مصحف أُبيّ‌، وأهل دمشق خاصّة على مصحف المقداد، وعند ابن الأثير أنّ أهل حمص كانوا على قراءة المقداد</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ثم كيف يقول الرسول في الحديث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لم يترك في أمته كتاباً مجموعاً؟ وقد مرّ عليك القول بأن الكتاب ظاهر فيما كان له وجود واحد جمعي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دليل قوّي على جمع القرآن في العهد النبوي، وهو أنّ الصحف الّتي قالوا إنّ زيد بن ثابت كتب فيها القرآن، كانت عند أبي بكر احتفظ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أن يستنسخها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صارت إلى عمر، ثم كانت بعدُ عند حفصة، يقول</w:t>
      </w:r>
    </w:p>
    <w:p>
      <w:pPr>
        <w:pStyle w:val="BookText"/>
        <w:rPr/>
      </w:pPr>
      <w:r>
        <w:rPr>
          <w:rFonts w:ascii="Amiri" w:hAnsi="Amiri" w:eastAsia="Amiri" w:cs="Amiri"/>
          <w:color w:val="111111"/>
          <w:sz w:val="28"/>
          <w:sz w:val="28"/>
          <w:szCs w:val="28"/>
          <w:rtl w:val="true"/>
          <w:lang w:bidi="ar-SA"/>
        </w:rPr>
        <w:t>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الصحف عند أبي بكر حتّى توفّاه اللّه، ثم عند عمر حتّى قُبض، ثم عند حفصة بنت عمر</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وبمثله قال السيوطي في الإتقان</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حاول عثمان توحيد القراءات أرسل إلى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أرسلي إلينا الصحف ننسخها في المصاحف ثم نردّها إليكِ‌، فأرسلت بها حفصة إلى عثمان، فأمر زيد بن ثابت وعبداللّه بن الزبير وسعيد بن العاص وعبدالرحمن بن الحارث بن هشام فنسخوها في المصاحف، حتّى إذا نسخوا الصحف في المصاحف ردّ عثمان الصحف إلى حفصة</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ومعنى ذلك أنّ الصحف الّتي جمعها زيد بن ثابت لم تُستنسخ إلى عصر عثمان وإنّما جعلها عثمان أصلاً في الاستنساخ مع شروط خاصة مذكورة في محلّها، حيث قال عثمان للرهط القرشيين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اختلفتم انتم وزيد بن ثابت في شيء من القرآن فاكتبوه بلسان قريش</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الّذي يُثار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أبو بكر هو الّذي أمر زيداً بجمع القرآن في صحف، وأنّ تلك الصحف قد احتفظوا بها إلى عهد عثمان، فمن أين أتت كلُّ تلك المصاحف الّتي انتشرت في بلاد الإسلام، والّتي أمر عثمان بإحراقها، ليعتمد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المصاحف الّتي أمر عثمان باستنساخها من صحف زيد الّتي كانت عند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عند الناس أنّ جامع القرآن عثمان، وليس كذلك وإنّما حمل عثمان الناس على القراءة بوجه واحد، وأمّا قبل ذلك فكانت المصاحف بوجوه من القراءات المطلقات على الحروف السبعة الّتي أُنزل بها القرآن</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وعندئذٍ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الأصل لهذه المصاحف بعدما كانت صحف زيد محفوظة في بيت أبي بكر ثم في بيت عمر ثم في بيت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الأصل لمصحف أُبيّ ومصحف ابن مسعود اللذين عقد السيوطي باباً لهما لبيان ترتيبهما</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ما هو الأصل للمصاحف الّتي أحرقها عثمان خدمة لتوحيد القراءة، حتّى عُدّ الإحراق من فضائله، يقول 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تعلّق الروافض بأنّ عثمان أحرق المصاحف، فإنّه جهل منهم وعمى‌، فإنّ هذا من فضائله وعلمه، فإنّه أصلح ولمّ الشعث، وكان ذلك واجباً عليه ولو تركه لعصى‌، لما فيه من التضييع وحاشاه من ذلك</w:t>
      </w:r>
      <w:r>
        <w:rPr>
          <w:rFonts w:eastAsia="Amiri" w:cs="Amiri" w:ascii="Amiri" w:hAnsi="Amiri"/>
          <w:color w:val="111111"/>
          <w:sz w:val="28"/>
          <w:szCs w:val="28"/>
          <w:rtl w:val="true"/>
          <w:lang w:bidi="ar-SA"/>
        </w:rPr>
        <w:t>.</w:t>
      </w:r>
      <w:r>
        <w:rPr>
          <w:rStyle w:val="FootnoteAnchor"/>
          <w:rtl w:val="true"/>
        </w:rPr>
        <w:footnoteReference w:id="408"/>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لا نتكلّم عن الإحراق، هل كان فضيلة أو لا؟ ولكن نتكلّم حول جذور هذه المصاحف فكيف استنسخت وتكثرت مع انحصار الجمع بمصحف زيد بن ثابت وحبسه في بيت الخليفتين، أليس هذا يدلّ على وجود مصاحف في عصر الرسول صلى الله عليه و آله و سلم ناقصة وكاملة حتّى صارت مبدأً لمصاحف</w:t>
      </w:r>
    </w:p>
    <w:p>
      <w:pPr>
        <w:pStyle w:val="BookText"/>
        <w:rPr/>
      </w:pPr>
      <w:r>
        <w:rPr>
          <w:rFonts w:ascii="Amiri" w:hAnsi="Amiri" w:eastAsia="Amiri" w:cs="Amiri"/>
          <w:color w:val="111111"/>
          <w:sz w:val="28"/>
          <w:sz w:val="28"/>
          <w:szCs w:val="28"/>
          <w:rtl w:val="true"/>
          <w:lang w:bidi="ar-SA"/>
        </w:rPr>
        <w:t>كثيرة‌؟</w:t>
      </w:r>
    </w:p>
    <w:p>
      <w:pPr>
        <w:pStyle w:val="BookText"/>
        <w:rPr/>
      </w:pPr>
      <w:r>
        <w:rPr>
          <w:rFonts w:ascii="Amiri" w:hAnsi="Amiri" w:eastAsia="Amiri" w:cs="Amiri"/>
          <w:color w:val="111111"/>
          <w:sz w:val="28"/>
          <w:sz w:val="28"/>
          <w:szCs w:val="28"/>
          <w:rtl w:val="true"/>
          <w:lang w:bidi="ar-SA"/>
        </w:rPr>
        <w:t>وقد نسبوا إلى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اللّه اللّه إيّاكم والغلو في أمر عثمان، وقولكم حرّق المصاحف، فواللّه ما حرّقها إلّاعن ملأ من أصحاب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وهذا هو أبو بكر السجستاني يحدّثنا عن مصاحف مختلفة يذكرها بالنحو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مصحف عمر بن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مصحف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مصحف أُبيّ بن كعب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مصحف عبداللّه 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مصحف عبداللّه 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يذكر اختلافات هذه المصاحف في كثير من الآيات</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فما هي جذور هذه المصاحف المكتوبة في عصر الخلافة ولم تستنسخ ممّا جمعه زيد بن ثابت‌؟ دع عنك سائر المصاحف الّتي أحرقها الخليفة الثالث، وأمر الناس أن يعتمدوا على المصاحف الّتي أرسلها إلى البلدان المختلفة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يعرب عن وجود مصحف أو مصاحف في عصر الرسول صلى الله عليه و آله و سلم استنسخت منها هذه المصاحف</w:t>
      </w:r>
      <w:r>
        <w:rPr>
          <w:rFonts w:eastAsia="Amiri" w:cs="Amiri" w:ascii="Amiri" w:hAnsi="Amiri"/>
          <w:color w:val="111111"/>
          <w:sz w:val="28"/>
          <w:szCs w:val="28"/>
          <w:rtl w:val="true"/>
          <w:lang w:bidi="ar-SA"/>
        </w:rPr>
        <w:t>.</w:t>
      </w:r>
      <w:bookmarkStart w:id="538" w:name="pg16772_194613"/>
    </w:p>
    <w:p>
      <w:pPr>
        <w:pStyle w:val="Heading6"/>
        <w:numPr>
          <w:ilvl w:val="5"/>
          <w:numId w:val="1"/>
        </w:numPr>
        <w:rPr/>
      </w:pPr>
      <w:bookmarkStart w:id="539" w:name="__RefHeading___Toc6963769_73709187"/>
      <w:bookmarkStart w:id="540" w:name="_Toc203"/>
      <w:bookmarkEnd w:id="538"/>
      <w:bookmarkEnd w:id="539"/>
      <w:r>
        <w:rPr>
          <w:rtl w:val="true"/>
        </w:rPr>
        <w:t>وأمّا الثالث</w:t>
      </w:r>
      <w:r>
        <w:rPr>
          <w:rtl w:val="true"/>
        </w:rPr>
        <w:t xml:space="preserve">: </w:t>
      </w:r>
      <w:r>
        <w:rPr>
          <w:rtl w:val="true"/>
        </w:rPr>
        <w:t>قضاء العقل الحصيف</w:t>
      </w:r>
      <w:bookmarkEnd w:id="540"/>
    </w:p>
    <w:p>
      <w:pPr>
        <w:pStyle w:val="BookText"/>
        <w:rPr/>
      </w:pPr>
      <w:r>
        <w:rPr>
          <w:rFonts w:ascii="Amiri" w:hAnsi="Amiri" w:eastAsia="Amiri" w:cs="Amiri"/>
          <w:color w:val="111111"/>
          <w:sz w:val="28"/>
          <w:sz w:val="28"/>
          <w:szCs w:val="28"/>
          <w:rtl w:val="true"/>
          <w:lang w:bidi="ar-SA"/>
        </w:rPr>
        <w:t>إنّ القرآن الكريم هو المعجزة الكبرى والبرهان الأعظم للنبي الأكرم صلى الله عليه و آله و سلم على كونه حجة إلهية إلى يوم القيامة، وهو في كلّ عصر وجيل برهان واضح ودليل قاطع على صدق نبوته، وصلته باللّه سبحانه، فمثل هذا الأمر الّذي عليه يعتمد بقاء الشريعة إلى يوم القيامة يجب أن يقع موقع اهتمام النبي صلى الله عليه و آله و سلم حتّى يجمعه في مصحف أو مصاحف ويبقى بعده بين الأُمة تستضيء به وينقل مرامه وشريعته إلى سائر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الأكرم صلى الله عليه و آله و سلم هو أحكم الحكماء، أفيصح أن يجاهد قائد ويعاني من شتّى المشاكل ويواجه المصاعب في بقاء شريعته وديمومتها عبر الأجيال، ثم يترك عماد شريعته وبرهان نبوته مبعثراً بين العُسب واللخاف وصدور الرجال، وتقرّ عينه بذلك ويرضى به، حتّى تعرج روحه للقاء اللّه‌؟ إنّ هذا لَعمر النبي يُعدّ استهانة بالمعجزة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عبدالحسين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عرف النبي في حكمته البالغة ونبوته الخاتمة ونصحه للّه ولكتابه ولعباده، وعرف مبلغ نظره في العواقب، واحتياطه على أُمّته في مستقبلها، أنّ من المحال عليه أن يترك القرآن منثوراً مبثوثاً، وحاشا هِمَمه وعزائمه وحكمته المعجزة عن ذلك</w:t>
      </w:r>
      <w:r>
        <w:rPr>
          <w:rFonts w:eastAsia="Amiri" w:cs="Amiri" w:ascii="Amiri" w:hAnsi="Amiri"/>
          <w:color w:val="111111"/>
          <w:sz w:val="28"/>
          <w:szCs w:val="28"/>
          <w:rtl w:val="true"/>
          <w:lang w:bidi="ar-SA"/>
        </w:rPr>
        <w:t>.</w:t>
      </w:r>
      <w:r>
        <w:rPr>
          <w:rStyle w:val="FootnoteAnchor"/>
          <w:rtl w:val="true"/>
        </w:rPr>
        <w:footnoteReference w:id="411"/>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من أنّ جمع القرآن قد تمّ في حياة النبي صلى الله عليه و آله و سلم ظهر أنّ الشيعة</w:t>
      </w:r>
      <w:bookmarkStart w:id="541" w:name="pg16772_194614"/>
    </w:p>
    <w:p>
      <w:pPr>
        <w:pStyle w:val="BookText"/>
        <w:rPr/>
      </w:pPr>
      <w:bookmarkEnd w:id="541"/>
      <w:r>
        <w:rPr>
          <w:rFonts w:ascii="Amiri" w:hAnsi="Amiri" w:eastAsia="Amiri" w:cs="Amiri"/>
          <w:color w:val="111111"/>
          <w:sz w:val="28"/>
          <w:sz w:val="28"/>
          <w:szCs w:val="28"/>
          <w:rtl w:val="true"/>
          <w:lang w:bidi="ar-SA"/>
        </w:rPr>
        <w:t>ليسوا أمام مفترق خطير، وغير ملزمين بالاعتراف بأحد الخيارين اللّذين حدّدهما، بعقله المحدود المقلِّد، عبد الملك الشافعي، بل لهم خيار آخر، بل هو الخيار الوحيد الذي يسنده الكتاب والسنّة وينسجم مع حكمة الرسول وحرصهِ على رسالته وأُمّته، وهو أنّ المصحف الموجود هو المصحف الّذي جُمع في عهد الرسول صلى الله عليه و آله و سلم وتوارثه الصحابة والتابعون لهم بإحسان، ثم انتقل منهم إلى سائر الأجيال، وأنّه ليس هناك أي فضيلة لأحد، من غير فرق بين من أمر بالجمع أو ائتمر به، فقد كانت الأُمّة في غنى عن هذا الآمر ومن امتثل</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6963771_73709187"/>
      <w:bookmarkStart w:id="543" w:name="_Toc204"/>
      <w:bookmarkEnd w:id="542"/>
      <w:r>
        <w:rPr>
          <w:rtl w:val="true"/>
        </w:rPr>
        <w:t>النتائج السلبية لرواية جمع القرآن بعد وفاة النبي صلى الله عليه و آله و سلم</w:t>
      </w:r>
      <w:bookmarkEnd w:id="543"/>
    </w:p>
    <w:p>
      <w:pPr>
        <w:pStyle w:val="BookText"/>
        <w:rPr/>
      </w:pPr>
      <w:r>
        <w:rPr>
          <w:rFonts w:ascii="Amiri" w:hAnsi="Amiri" w:eastAsia="Amiri" w:cs="Amiri"/>
          <w:color w:val="111111"/>
          <w:sz w:val="28"/>
          <w:sz w:val="28"/>
          <w:szCs w:val="28"/>
          <w:rtl w:val="true"/>
          <w:lang w:bidi="ar-SA"/>
        </w:rPr>
        <w:t>لو افترضنا أنّ القرآن الموجود هو الّذي جمعه زيد بن ثابت من هنا وهناك، وأنّه كتب كل آية بشهادة شاهدين، وكتب آية أو آيتين بشهادة رجل واحد وهو خزيمة بن ثابت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ذلك لترتبت عليه النتائج الفاسدة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تواتر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قسم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قسماً منه ثبت بشهادة رجلين أو رجل واحد، وهذا يخالف ما أجمع عليه المسلمون من أنّ طريق إثبات القرآن هو التواتر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 فوات شيء من القرآن الكريم، فإنّه إذا كان القرآن متفرّقاً بين الناس، وأقدم إنسان على جمعه ربّما يفوت منه بعضه لعدم قدرته على الاتّصال بكل من كان عنده شيء من القرآن، مع تفرّق القرّاء بين المدن والبوادي، واستشهاد قسم منهم في المغازي في قتال أهل اليمامة</w:t>
      </w:r>
      <w:r>
        <w:rPr>
          <w:rFonts w:eastAsia="Amiri" w:cs="Amiri" w:ascii="Amiri" w:hAnsi="Amiri"/>
          <w:color w:val="111111"/>
          <w:sz w:val="28"/>
          <w:szCs w:val="28"/>
          <w:rtl w:val="true"/>
          <w:lang w:bidi="ar-SA"/>
        </w:rPr>
        <w:t>.</w:t>
      </w:r>
      <w:bookmarkStart w:id="544" w:name="pg16772_194615"/>
    </w:p>
    <w:p>
      <w:pPr>
        <w:pStyle w:val="Heading6"/>
        <w:numPr>
          <w:ilvl w:val="5"/>
          <w:numId w:val="1"/>
        </w:numPr>
        <w:rPr/>
      </w:pPr>
      <w:bookmarkStart w:id="545" w:name="__RefHeading___Toc6963773_73709187"/>
      <w:bookmarkStart w:id="546" w:name="_Toc205"/>
      <w:bookmarkEnd w:id="544"/>
      <w:bookmarkEnd w:id="545"/>
      <w:r>
        <w:rPr>
          <w:rtl w:val="true"/>
        </w:rPr>
        <w:t>فرية بعد مرية</w:t>
      </w:r>
      <w:bookmarkEnd w:id="546"/>
    </w:p>
    <w:p>
      <w:pPr>
        <w:pStyle w:val="BookText"/>
        <w:rPr/>
      </w:pPr>
      <w:r>
        <w:rPr>
          <w:rFonts w:ascii="Amiri" w:hAnsi="Amiri" w:eastAsia="Amiri" w:cs="Amiri"/>
          <w:color w:val="111111"/>
          <w:sz w:val="28"/>
          <w:sz w:val="28"/>
          <w:szCs w:val="28"/>
          <w:rtl w:val="true"/>
          <w:lang w:bidi="ar-SA"/>
        </w:rPr>
        <w:t>ذكر المؤلّف في الفصل الثاني فرية أُخرى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اعتقاد الشيعة بأنّ القرآن الموجود من جمع الخلفاء يورث التشكيك به والنفرة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في منأى عن التشكيك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والنفرة عنه؛ لأنّهم يعتقدون بأنّ القرآن الموجود بين أيديهم حالياً هو القرآن المجموع في عصر النبي صلى الله عليه و آله و سلم دون أن يكون لأحد فضيلة في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فالأساس باطل وما بُني ورُتِّب عليه أبطل، وهذا ما بسط المؤلّف الكلام فيه وإليك مناقشته</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6963775_73709187"/>
      <w:bookmarkStart w:id="548" w:name="_Toc206"/>
      <w:bookmarkEnd w:id="547"/>
      <w:r>
        <w:rPr>
          <w:rtl w:val="true"/>
        </w:rPr>
        <w:t>مناقشة الفصل الثاني</w:t>
      </w:r>
      <w:bookmarkEnd w:id="548"/>
    </w:p>
    <w:p>
      <w:pPr>
        <w:pStyle w:val="Heading6"/>
        <w:numPr>
          <w:ilvl w:val="5"/>
          <w:numId w:val="1"/>
        </w:numPr>
        <w:rPr/>
      </w:pPr>
      <w:bookmarkStart w:id="549" w:name="__RefHeading___Toc6963777_73709187"/>
      <w:bookmarkStart w:id="550" w:name="_Toc207"/>
      <w:bookmarkEnd w:id="549"/>
      <w:r>
        <w:rPr>
          <w:rtl w:val="true"/>
        </w:rPr>
        <w:t>اشارة</w:t>
      </w:r>
      <w:bookmarkEnd w:id="550"/>
    </w:p>
    <w:p>
      <w:pPr>
        <w:pStyle w:val="BookText"/>
        <w:rPr/>
      </w:pPr>
      <w:r>
        <w:rPr>
          <w:rFonts w:ascii="Amiri" w:hAnsi="Amiri" w:eastAsia="Amiri" w:cs="Amiri"/>
          <w:color w:val="111111"/>
          <w:sz w:val="28"/>
          <w:sz w:val="28"/>
          <w:szCs w:val="28"/>
          <w:rtl w:val="true"/>
          <w:lang w:bidi="ar-SA"/>
        </w:rPr>
        <w:t>تعرّض الكاتب في هذا الفصل إلى إعادة ذكر الفرية بوجود الشك والنفرة من هذا القرآن في نفوس الشيعة؛ وذلك لأنّهم يعتقدون أنّ جمع الخلفاء لهذا القرآن قد حصل بعد مجيء عليٍّ لهم بالقرآن الّذي أوصاه رسول اللّه بجمعه، والّذي رفضوه بعدما اطّلعوا على ما فيه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قرآنك سنجمع لنا قرآناً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الّذي جمعه عليٌّ ورفضه الخلفاء يحتوي على زيادات تفسيرية لمعاني القرآن وأسباب نزولها والّتي بيّنها له النبي صلى الله عليه و آله و سلم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الّذي جمعه الخلفاء يخالف القرآن الّذي جمعه الإمام المعصوم في ترتيب آياته وسوره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على ما ذكره من الجمل بكلمات علماء الشيعة، لكن بكلام لاذع وساخر،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نبدأ في مناقشة كلام المؤلّف، نطرح سؤالاً ونطلب جوابه منه،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كان وليد بيت النبوة ملازماً للنبي مذ بعث في غار حراء إلى أن ارتحل صلى الله عليه و آله و سلم إلى جوار ربه، وكان يلازمه كملازمة الظل لذي الظل، ويكتب الوحي النازل من أوّل يومه إلى آخر ما نزل عليه، وقد علم حتّى الأبكم والأصم أن عليّاً أوّل من آمن برسول اللّه صلى الله عليه و آله و سلم وأعلم الأُمّة وأقواهم، إلى غير ذلك من صفات جعلته في ذروة 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نسأل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يشرك الخلفاء عليّاً في جمع القرآن، لا في الجمع المنسوب إلى أبي بكر، ولا في الجمع الّذي قام به عثمان لتوحيد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عليك هل كان علي عليه السلام أقل علماً بالقرآن من زيد بن ثابت، فلماذا رجعوا إلى صدور الناس من هنا وهناك وجمعوا القرآن من أفواه الرجال ولم يرجعوا إلى أعلم الأُمّة وأعرفها؟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يمكن أن تكون هناك دعوة من الخلفاء ولم يُجب إليها علي عليه السلام‌؟ كلا واللّه، فإنّ علياً كان يرشد الخلفاء ويعلّمهم في معضلات المسائل، وعويصات المشاكل، مع يقينه بأنّه الأولى والأليق بإدارة الحكم، وأنّه الإمام المنصوب، ومع ذلك كلّه لم يترك مساندة الأُمّة بما أُوتي من علم وحكمة</w:t>
      </w:r>
      <w:r>
        <w:rPr>
          <w:rFonts w:eastAsia="Amiri" w:cs="Amiri" w:ascii="Amiri" w:hAnsi="Amiri"/>
          <w:color w:val="111111"/>
          <w:sz w:val="28"/>
          <w:szCs w:val="28"/>
          <w:rtl w:val="true"/>
          <w:lang w:bidi="ar-SA"/>
        </w:rPr>
        <w:t>.</w:t>
      </w:r>
      <w:bookmarkStart w:id="551" w:name="pg16772_194617"/>
    </w:p>
    <w:p>
      <w:pPr>
        <w:pStyle w:val="BookText"/>
        <w:rPr/>
      </w:pPr>
      <w:bookmarkEnd w:id="551"/>
      <w:r>
        <w:rPr>
          <w:rFonts w:ascii="Amiri" w:hAnsi="Amiri" w:eastAsia="Amiri" w:cs="Amiri"/>
          <w:color w:val="111111"/>
          <w:sz w:val="28"/>
          <w:sz w:val="28"/>
          <w:szCs w:val="28"/>
          <w:rtl w:val="true"/>
          <w:lang w:bidi="ar-SA"/>
        </w:rPr>
        <w:t>إن من هوان الدنيا على اللّه أن يشتغل علي عليه السلام بغرس النخل والحراثة وسقي البساتين، ويكلَّف شاب كان عمره عند هجرة النبي صلى الله عليه و آله و سلم أحد عشر عاماً، بمهمة جمع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يدلّ على أنّ وراء هذا المخطط هدفاً ما؟</w:t>
      </w:r>
    </w:p>
    <w:p>
      <w:pPr>
        <w:pStyle w:val="BookText"/>
        <w:rPr/>
      </w:pPr>
      <w:r>
        <w:rPr>
          <w:rFonts w:ascii="Amiri" w:hAnsi="Amiri" w:eastAsia="Amiri" w:cs="Amiri"/>
          <w:color w:val="111111"/>
          <w:sz w:val="28"/>
          <w:sz w:val="28"/>
          <w:szCs w:val="28"/>
          <w:rtl w:val="true"/>
          <w:lang w:bidi="ar-SA"/>
        </w:rPr>
        <w:t>لا أظن أنّه يتيسّر للكاتب الجواب عن هذا السؤال، ونحن أيضاً نترك السؤال بلا جواب، وندخل في صلب الموضوع</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6963779_73709187"/>
      <w:bookmarkStart w:id="553" w:name="_Toc208"/>
      <w:bookmarkEnd w:id="552"/>
      <w:r>
        <w:rPr>
          <w:rtl w:val="true"/>
        </w:rPr>
        <w:t>واقع مصحف عليّ عليه السلام</w:t>
      </w:r>
      <w:bookmarkEnd w:id="553"/>
    </w:p>
    <w:p>
      <w:pPr>
        <w:pStyle w:val="BookText"/>
        <w:rPr/>
      </w:pPr>
      <w:r>
        <w:rPr>
          <w:rFonts w:ascii="Amiri" w:hAnsi="Amiri" w:eastAsia="Amiri" w:cs="Amiri"/>
          <w:color w:val="111111"/>
          <w:sz w:val="28"/>
          <w:sz w:val="28"/>
          <w:szCs w:val="28"/>
          <w:rtl w:val="true"/>
          <w:lang w:bidi="ar-SA"/>
        </w:rPr>
        <w:t xml:space="preserve">قد تضافرت الروايات على أنّه كان لعلي مصحف خاصٌّ به، وليس هذا أمراً بديعاً، فقد كان لكلٍّ من ابن مسعود، وأُبيّ بن كعب، مصحف خاصٌّ به، وقد ذكر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مصحفَي أُبيّ وابن مسعود، وكانا يختلفان في ترتيب السور عمّا هو الموجود في المصحف الرائج، حتّى أنّ مصحف ابن مسعود كان خالياً من الحمد والمعوذتين</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وعلى هذا فالقول بأنّ للإمام عليّاً مصحفاً يختلف ترتيب السور فيه عمّا هو الرائج، ليس أمراً فريداً، وقد اتّفقت كلمات المحقّقين على أنّ ترتيب السور لم يكن توقيفياً، ولذلك نرى اختلاف المصاحف الثلاثة في ترتيب السور مع الرائج</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كان ترتيب الآيات في كلّ سورة توقيفياً</w:t>
      </w:r>
      <w:r>
        <w:rPr>
          <w:rStyle w:val="FootnoteAnchor"/>
          <w:rtl w:val="true"/>
        </w:rPr>
        <w:footnoteReference w:id="413"/>
      </w:r>
      <w:r>
        <w:rPr>
          <w:rFonts w:ascii="Amiri" w:hAnsi="Amiri" w:eastAsia="Amiri" w:cs="Amiri"/>
          <w:color w:val="111111"/>
          <w:sz w:val="28"/>
          <w:sz w:val="28"/>
          <w:szCs w:val="28"/>
          <w:rtl w:val="true"/>
          <w:lang w:bidi="ar-SA"/>
        </w:rPr>
        <w:t>، صادراً عن النبي صلى الله عليه و آله و سلم حيث كان يأمر بوضع آيات في سورة كذا ومحلّ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بجمع القرآن بعد</w:t>
      </w:r>
    </w:p>
    <w:p>
      <w:pPr>
        <w:pStyle w:val="BookText"/>
        <w:rPr/>
      </w:pPr>
      <w:r>
        <w:rPr>
          <w:rFonts w:ascii="Amiri" w:hAnsi="Amiri" w:eastAsia="Amiri" w:cs="Amiri"/>
          <w:color w:val="111111"/>
          <w:sz w:val="28"/>
          <w:sz w:val="28"/>
          <w:szCs w:val="28"/>
          <w:rtl w:val="true"/>
          <w:lang w:bidi="ar-SA"/>
        </w:rPr>
        <w:t>حياة الرسول صلى الله عليه و آله و سلم، يكون زيد قد جمع آيات كلّ سورة في محلّها، وإن لم يكن هناك ترتيب في جمع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استدلّ به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السور ليس توقيفياً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مصاحف السلف في الترتيب، فمنهم من رتّبها على النزول، وهو مصحف عليّ‌، كان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ثم المدثر، ثم المزمل، ثم تبّت، ثم التكوير، وهكذا إلى آخر المكّي والمدنيّ‌، وكان أوّل مصحف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ثم النساء، ثم آل عمران، على اختلاف شديد، وكذا مصحف أُبيّ وغيره</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فإذا كان القول بوجود مصحف لعلي يختلف في الترتيب مع المصحف الموجود، يزرع في نفوس من يعتقده الشكّ والنفرة من هذا القرآن، فليكن القول بوجود مصحف لابن مسعود ومصحف لأُبيّ بن كعب اللّذين يختلفان ترتيباً مع المصحف الموجود، زارعاً في نفوس المعتقد الشكّ والنفرة من هذا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لماذا باؤك تجر وباؤنا لا تجر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القول بوجود مصحف لعليّ أمر اتّفق عليه أغلب من كتب وألّف في علوم القرآن والتفسير، وقد مرّ عليك كلام السيوطي، وأمّا غيره، من غير الشيعة فمنهم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سور القرآن في مصحف أمير المؤمنين</w:t>
      </w:r>
    </w:p>
    <w:p>
      <w:pPr>
        <w:pStyle w:val="BookText"/>
        <w:rPr/>
      </w:pPr>
      <w:r>
        <w:rPr>
          <w:rFonts w:ascii="Amiri" w:hAnsi="Amiri" w:eastAsia="Amiri" w:cs="Amiri"/>
          <w:color w:val="111111"/>
          <w:sz w:val="28"/>
          <w:sz w:val="28"/>
          <w:szCs w:val="28"/>
          <w:rtl w:val="true"/>
          <w:lang w:bidi="ar-SA"/>
        </w:rPr>
        <w:t>علي بن أبي طالب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عبدالرحمن بن أبي حمّاد عن الحكم بن ظهير السدوسي عن عبد خير عن علي عليه السلام أنّه رأى من الناس طَيْرَةً عند وفاة النبي صلى الله عليه و آله و سلم فأقسم أنّه لا يضع عن ظهره رداءه حتّى يجمع القرآن، فجلس في بيته ثلاثة أيام حتّى جمع القرآن، فهو أوّل مصحف جمع فيه القرآن من قلبه، وكان المصحف عند أهل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أنا في زماننا عند أبي يعلى حمزة الحسني رحمه الله مصحفاً قد سقط منه أوراق بخط عليّ بن أبي طالب يتوارثه بنو حسن على مرّ الزمان، وهذا ترتيب السور من ذلك المصحف</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أعلام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رأى من الناس طيرة عند وفاة رسول اللّه صلى الله عليه و آله و سلم فأقسم أن لا يضع على ظهره رداءً حتّى يجمع القرآن، فجلس في بيته حتّى جمع القرآن، فهو أوّل مصحف جُمع فيه القرآن، جمعه من قلبه وكان عند آل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سيرين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أنّه كتب المنسوخ وكتب الناسخ في أثره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بيمين أن لا ارتدي بردائي إلّاإلى الصلاة حتّى أجمع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أنّه كتبه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أصبت ذلك الكتاب كان فيه</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أبو القاسم محمد بن أحمد بن جُزيّ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القرآن على عهد رسول اللّه صلى الله عليه و آله و سلم متفرّقاً في الصحف وفي صدور الرجال، فلمّا توفّي رسول اللّه صلى الله عليه و آله و سلم قعد علي بن أبي طالب في بيته فجمعه على ترتيب نزوله، ولو وجد مصحفه لكان فيه علم كبير</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عن محمد بن سيرين،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النبي صلى الله عليه و آله و سلم أقسم عليّ أن لا يرتدي برداء إلّابجمعة حتّى يجمع القرآن في مصحف ففعل</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هذا بعض ما عثرنا عليه ممّن ذكر وجود مصحف لعلي يمتاز عن المصحف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إذن، لم تتفرّد بهذا الاعتقاد، ولم يدّعوا ذلك من عند انفسهم، وإنّما هو أمر واقع لا ينكره إلّامن لم يكن له إلمام بالتاريخ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لماذا صارت العقيدة بوجود هذا المصحف سبباً لزرع الشكّ في نفوس الشيعة دون نفوس غيرهم، أو سبباً للنفرة من هذا القرآن عندهم دون غيرهم‌؟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وحقيقة الأمر أنّه لو وجد هذا المصحف بين أيدي المسلمين لانتفعوا به كما مرّ نقله عن الكلبي وغيره، غير أنّ التعصب حال بين المسلمين وبين</w:t>
      </w:r>
    </w:p>
    <w:p>
      <w:pPr>
        <w:pStyle w:val="BookText"/>
        <w:rPr/>
      </w:pPr>
      <w:r>
        <w:rPr>
          <w:rFonts w:ascii="Amiri" w:hAnsi="Amiri" w:eastAsia="Amiri" w:cs="Amiri"/>
          <w:color w:val="111111"/>
          <w:sz w:val="28"/>
          <w:sz w:val="28"/>
          <w:szCs w:val="28"/>
          <w:rtl w:val="true"/>
          <w:lang w:bidi="ar-SA"/>
        </w:rPr>
        <w:t>مصحفه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كيفية مصحف علي عليه السلام فالأمر المقطوع به أنّه يختلف ترتيب السور فيه؛ لأنّه جمعه على ترتيب النزول، إنّما الكلام في الاختلاف في ترتيب آيات السور، فهذا أمر غير مقطوع، وإن ذكر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الناسخ بعد المنسوخ، ولو تمّ لكان الاختلاف بسيطاً لقلّة وجود النَّسخ في القرآن الكريم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ترتيب السور في مصحف علي عليه السلام السيوطي في إتقانه، وقبله اليعقوبي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بعضهم أنّ علي بن أبي طالب عليه السلام كان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 آله و سلم، وأتى وحمله على 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القرآن جمعته، وكان قد جزأه سبعة أجزاء، ثم ذكر كلّ جزء، والسور الواردة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والإمعان في ما ذكر اليعقوبي يظهر أنّ مصحف علي لا يخالف المصحف الموجود في سوره وآياته، وإنّما يختلف في ترتيب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أنّ الفرق بين مصحفه وسائر المصاحف كان منحصراً في كيفية ترتيب السور، ما رواه الشيخ المفيد عن أبي جعفر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 آل محمد، ضرب فساطيط لمن يُعلّم الناس القرآن على ما أنزل اللّه جلّ جلاله، فأصعب ما يكون على من حفظه اليوم لأنّه يخالف فيه التأليف</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فالاختلاف إمّا في ترتيب السور فقط كما هو الأظهر، وإمّا في ترتيب آيات بعض السور، بتقديم المنسوخ على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هذا الاعتقاد لا يورث أي شكّ وترديد في قداسة القرآن الموجود، ويشهد لذلك، الواقع الملموس من علماء الشيعة ومفسّريهم ومتكلّميهم وعباقرتهم، فكلّهم يجلّون القرآن الموجود، ويستشهدون بهداه، ولا يجدون في أنفسهم أي نفرة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غاية ما في الباب أنّ الإمام علي عليه السلام فسّر في هامش هذا المصحف، مجمله ومتشابهه، وما يمكن أن يفيد الأُمّة، وليس هذا أمراً بديعاً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أنّ قصّة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الشيعة في دعواه بأنّ الشيعة يشكّون في قداسة القرآن الموجود، وهم ينفون عنهم ذلك بشكل قاطع وجازم، كيف ينسب الشكّ إلى الشيعة وهم اعرف بحالهم من غيره، إنّ ذلك من العجب، وإنّ قصته معهم تشبه قصة ذينك الصاحبين اللّذين التقيا بعد فراق 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مرحباً بك يا صاحبي،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اشتقتُ 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وشُيّعت جنازته، ووُري جثمانه في التراب منذ زمن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 أنذا أمامك، تسمع صوتي بأُذنيك، وتُبصرني بعينيك، وأنا حيٌّ‌، معافى‌، والحمد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أُصدّقك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أخبرني من أثق به أن الموت قد طواك، ولم تعد من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أدار وجهه عنه، ومشى في طريقه مسرعاً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فاغر الفم، لا يدري ما يقول لمن لم يوهب قلباً عقولاً</w:t>
      </w:r>
      <w:r>
        <w:rPr>
          <w:rFonts w:eastAsia="Amiri" w:cs="Amiri" w:ascii="Amiri" w:hAnsi="Amiri"/>
          <w:color w:val="111111"/>
          <w:sz w:val="28"/>
          <w:szCs w:val="28"/>
          <w:rtl w:val="true"/>
          <w:lang w:bidi="ar-SA"/>
        </w:rPr>
        <w:t>!!</w:t>
      </w:r>
      <w:bookmarkStart w:id="554" w:name="pg16772_194624"/>
    </w:p>
    <w:p>
      <w:pPr>
        <w:pStyle w:val="Heading5"/>
        <w:numPr>
          <w:ilvl w:val="4"/>
          <w:numId w:val="1"/>
        </w:numPr>
        <w:rPr/>
      </w:pPr>
      <w:bookmarkStart w:id="555" w:name="__RefHeading___Toc6963781_73709187"/>
      <w:bookmarkStart w:id="556" w:name="_Toc209"/>
      <w:bookmarkEnd w:id="554"/>
      <w:bookmarkEnd w:id="555"/>
      <w:r>
        <w:rPr>
          <w:rtl w:val="true"/>
        </w:rPr>
        <w:t>مناقشة الفصل الثالث</w:t>
      </w:r>
      <w:bookmarkEnd w:id="556"/>
    </w:p>
    <w:p>
      <w:pPr>
        <w:pStyle w:val="Heading6"/>
        <w:numPr>
          <w:ilvl w:val="5"/>
          <w:numId w:val="1"/>
        </w:numPr>
        <w:rPr/>
      </w:pPr>
      <w:bookmarkStart w:id="557" w:name="__RefHeading___Toc6963783_73709187"/>
      <w:bookmarkStart w:id="558" w:name="_Toc210"/>
      <w:bookmarkEnd w:id="557"/>
      <w:r>
        <w:rPr>
          <w:rtl w:val="true"/>
        </w:rPr>
        <w:t>اشارة</w:t>
      </w:r>
      <w:bookmarkEnd w:id="558"/>
    </w:p>
    <w:p>
      <w:pPr>
        <w:pStyle w:val="BookText"/>
        <w:rPr/>
      </w:pPr>
      <w:r>
        <w:rPr>
          <w:rFonts w:ascii="Amiri" w:hAnsi="Amiri" w:eastAsia="Amiri" w:cs="Amiri"/>
          <w:color w:val="111111"/>
          <w:sz w:val="28"/>
          <w:sz w:val="28"/>
          <w:szCs w:val="28"/>
          <w:rtl w:val="true"/>
          <w:lang w:bidi="ar-SA"/>
        </w:rPr>
        <w:t>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تبنّاه علماء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آتت أُكلها ضعفين بصرف الشيعة عن كتاب اللّه تعالى، وإضعاف هيبته وتعظيمه في قلوبهم، ثم ذكر مظاهر لتلك العقيدة، وقال</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6963785_73709187"/>
      <w:bookmarkStart w:id="560" w:name="_Toc211"/>
      <w:bookmarkEnd w:id="559"/>
      <w:r>
        <w:rPr>
          <w:rtl w:val="true"/>
        </w:rPr>
        <w:t>المظهر الأوّل</w:t>
      </w:r>
      <w:r>
        <w:rPr>
          <w:rtl w:val="true"/>
        </w:rPr>
        <w:t>:</w:t>
      </w:r>
      <w:bookmarkEnd w:id="560"/>
    </w:p>
    <w:p>
      <w:pPr>
        <w:pStyle w:val="BookText"/>
        <w:rPr/>
      </w:pPr>
      <w:r>
        <w:rPr>
          <w:rFonts w:ascii="Amiri" w:hAnsi="Amiri" w:eastAsia="Amiri" w:cs="Amiri"/>
          <w:color w:val="111111"/>
          <w:sz w:val="28"/>
          <w:sz w:val="28"/>
          <w:szCs w:val="28"/>
          <w:rtl w:val="true"/>
          <w:lang w:bidi="ar-SA"/>
        </w:rPr>
        <w:t>رفضهم تكفير القائل بتحريف القرآن، حيث إنّهم لم يكفّروا بعض القائلين بالتحريف من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 منهم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أفاض الكلام في أنّهم بدل أن يكفرّونهما يمدحونهما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للتكفير ملاكاً خاصّاً محدّداً بين فقهاء الإسلام ولم يفوض تكفير مسلم لأحد، حتّى يحكم بإيمان شخص وكفر آخر، وإلّا فيكون من مصاديق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امرئ قال لأخيه ياكافر، فقد باء بها أحدهما إن كان كما قال، وإلّا رجعت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فلأجل ذلك نقوم بتحرير ما عليه فقهاء المسلمين في ملاك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ممّا رواه البخاري أنّ من أجرى الشهادتين على لسانه فقد دخل في حظيرة الإسلام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عمر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أقاتل الناس حتّى يشهدوا أن لا إله إلّااللّه وأنّ محمداً رسول اللّه، ويقيموا الصلاة ويؤتوا الزكاة، فإذا فعلوا ذلك عصموا منّي دماءهم وأموالهم إلّا</w:t>
      </w:r>
    </w:p>
    <w:p>
      <w:pPr>
        <w:pStyle w:val="BookText"/>
        <w:rPr/>
      </w:pPr>
      <w:r>
        <w:rPr>
          <w:rFonts w:ascii="IRNazanin" w:hAnsi="IRNazanin" w:eastAsia="IRNazanin"/>
          <w:color w:val="111111"/>
          <w:sz w:val="28"/>
          <w:sz w:val="28"/>
          <w:szCs w:val="28"/>
          <w:rtl w:val="true"/>
          <w:lang w:bidi="fa-IR"/>
        </w:rPr>
        <w:t>بحق الإسلام وحسابهم على اللّه</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الإيمان بالتوحيد مقروناً برسالة النبي الأكرم صلى الله عليه و آله و سلم كان الناس يدخلون في دين اللّه أفواجاً وشعارهم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الإيمان بالمعاد ويوم الجزاء من أركان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يتحقّق 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الوسيع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ما لم يوجد فيه عنصر العقيدة بيوم المعاد، ولا تكتسب العقيدة سمة الدين إلّابه، ولأجل ذلك قُرن الإيمان به بالإيمان باللّه في غير واحدة من الآيات،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تُؤْمِنُونَ بِاللّهِ وَ الْيَوْمِ الْآخِرِ</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مِنْكُمْ يُؤْمِنُ بِاللّهِ وَ الْيَوْمِ الْآخِرِ</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فإذا آمن إنسانٌ بالأُصول الثلاثة من صميم القلب واعترف بها فهو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آمن بها ولكن أنكر ما هو من ضروريات الإسلام الّتي يعترف بها كلّ المسلمين في عامّة البلاد الإسلامية بحيث يكون إنكاره ملازماً لإنكار الرسالة، كما إذا أنكر وجوب الصلاة والزكاة، يُعدّ كافراً خارجاً عن حظيرة الإسلام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العمل بالأحكام كإقامة الصلاة وإيتاء الزكاة والحج وصوم شهر رمضان فهو من شرائط النجاة في الآخرة، فلو تساهل وتسامح فيكون فاسقاً مستحقّاً للنار، ولا يوصف بالكفر ما لم ينكر إحدى الضروريات</w:t>
      </w:r>
      <w:r>
        <w:rPr>
          <w:rFonts w:eastAsia="Amiri" w:cs="Amiri" w:ascii="Amiri" w:hAnsi="Amiri"/>
          <w:color w:val="111111"/>
          <w:sz w:val="28"/>
          <w:szCs w:val="28"/>
          <w:rtl w:val="true"/>
          <w:lang w:bidi="ar-SA"/>
        </w:rPr>
        <w:t>.</w:t>
      </w:r>
      <w:bookmarkStart w:id="561" w:name="pg16772_194626"/>
    </w:p>
    <w:p>
      <w:pPr>
        <w:pStyle w:val="BookText"/>
        <w:rPr/>
      </w:pPr>
      <w:bookmarkEnd w:id="561"/>
      <w:r>
        <w:rPr>
          <w:rFonts w:ascii="Amiri" w:hAnsi="Amiri" w:eastAsia="Amiri" w:cs="Amiri"/>
          <w:color w:val="111111"/>
          <w:sz w:val="28"/>
          <w:sz w:val="28"/>
          <w:szCs w:val="28"/>
          <w:rtl w:val="true"/>
          <w:lang w:bidi="ar-SA"/>
        </w:rPr>
        <w:t>إذا عرفت هذا فاعلم أنّ صيانة القرآن من التحريف وإن كان أمراً قطعياً لا يداخله الشك والترديد إلّالمن أغمض عينيه عن الأدلّة القاطعة الدالّة عليه، ولكنّها ليست على حدّ وجوب الصلاة ووجوب الزكاة على نحو لولم يعترف بها لخرج عن ربقة الإسلام، وإلّا لزم تكفير جمع كثير ممّن سُجلت أسماؤهم في التاريخ من الذين قالوا بالتحريف، وهم من أبناء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في شكّ ممّا أقول فاستمع إلى ما سنذكره تالياً، فإنّ أُم المؤمنين عائشة والخليفة الثاني وأُبيّ بن كعب من القائلين بالتحريف، وإليك ما يدلّ على ذلك</w:t>
      </w:r>
      <w:r>
        <w:rPr>
          <w:rFonts w:eastAsia="Amiri" w:cs="Amiri" w:ascii="Amiri" w:hAnsi="Amiri"/>
          <w:color w:val="111111"/>
          <w:sz w:val="28"/>
          <w:szCs w:val="28"/>
          <w:rtl w:val="true"/>
          <w:lang w:bidi="ar-SA"/>
        </w:rPr>
        <w:t>:</w:t>
      </w:r>
    </w:p>
    <w:p>
      <w:pPr>
        <w:pStyle w:val="Heading6"/>
        <w:numPr>
          <w:ilvl w:val="5"/>
          <w:numId w:val="1"/>
        </w:numPr>
        <w:rPr/>
      </w:pPr>
      <w:bookmarkStart w:id="562" w:name="__RefHeading___Toc6963787_73709187"/>
      <w:bookmarkStart w:id="563" w:name="_Toc212"/>
      <w:bookmarkEnd w:id="562"/>
      <w:r>
        <w:rPr>
          <w:rtl w:val="true"/>
        </w:rPr>
        <w:t>عائشة وتحريف القرآن</w:t>
      </w:r>
      <w:bookmarkEnd w:id="5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عمرة بنت عبدالرحمن،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أُنزل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رضعات معلومات يُحرِّمن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نُسخن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رسول اللّه، وهنّ فيما يُقرأ من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أفيصح لقائل أن يعترض على المؤلّف وغيره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تكفّرون أُم المؤمنين مع قولها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مسلم كلام عائشة هذا في صحيحه عن طريق مالك وعن طريق يحيى بن سعيد، ولكن مالكاً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على هذا العمل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الزيعلي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على رواية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في هذا الحديث؛ لأنّ عائشة أحالتها على أنّه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في صحيفة تحت سريري، فلّما</w:t>
      </w:r>
      <w:bookmarkStart w:id="564" w:name="pg16772_194627"/>
    </w:p>
    <w:p>
      <w:pPr>
        <w:pStyle w:val="BookText"/>
        <w:rPr/>
      </w:pPr>
      <w:bookmarkEnd w:id="564"/>
      <w:r>
        <w:rPr>
          <w:rFonts w:ascii="Amiri" w:hAnsi="Amiri" w:eastAsia="Amiri" w:cs="Amiri"/>
          <w:color w:val="111111"/>
          <w:sz w:val="28"/>
          <w:sz w:val="28"/>
          <w:szCs w:val="28"/>
          <w:rtl w:val="true"/>
          <w:lang w:bidi="ar-SA"/>
        </w:rPr>
        <w:t>مات رسول اللّه صلى الله عليه و آله و سلم وتشاغلنا بموته دخل داجن البيت فأكلها</w:t>
      </w:r>
      <w:r>
        <w:rPr>
          <w:rFonts w:eastAsia="Amiri" w:cs="Amiri" w:ascii="Amiri" w:hAnsi="Amiri"/>
          <w:color w:val="111111"/>
          <w:sz w:val="28"/>
          <w:szCs w:val="28"/>
          <w:rtl w:val="true"/>
          <w:lang w:bidi="ar-SA"/>
        </w:rPr>
        <w:t>!</w:t>
      </w:r>
      <w:r>
        <w:rPr>
          <w:rStyle w:val="FootnoteAnchor"/>
          <w:rtl w:val="true"/>
        </w:rPr>
        <w:footnoteReference w:id="425"/>
      </w:r>
    </w:p>
    <w:p>
      <w:pPr>
        <w:pStyle w:val="Heading6"/>
        <w:numPr>
          <w:ilvl w:val="5"/>
          <w:numId w:val="1"/>
        </w:numPr>
        <w:rPr/>
      </w:pPr>
      <w:bookmarkStart w:id="565" w:name="__RefHeading___Toc6963789_73709187"/>
      <w:bookmarkStart w:id="566" w:name="_Toc213"/>
      <w:bookmarkEnd w:id="565"/>
      <w:r>
        <w:rPr>
          <w:rtl w:val="true"/>
        </w:rPr>
        <w:t>عمر بن الخطاب والقول بنقص القرآن</w:t>
      </w:r>
      <w:bookmarkEnd w:id="566"/>
    </w:p>
    <w:p>
      <w:pPr>
        <w:pStyle w:val="BookText"/>
        <w:rPr/>
      </w:pPr>
      <w:r>
        <w:rPr>
          <w:rFonts w:ascii="Amiri" w:hAnsi="Amiri" w:eastAsia="Amiri" w:cs="Amiri"/>
          <w:color w:val="111111"/>
          <w:sz w:val="28"/>
          <w:sz w:val="28"/>
          <w:szCs w:val="28"/>
          <w:rtl w:val="true"/>
          <w:lang w:bidi="ar-SA"/>
        </w:rPr>
        <w:t>ذكر البخاري وغيره أنّ عمر بن الخطاب كان يقول بسقوط آيات أربع من القرآن الكريم، وكان يصرّ على ذلك حتّى بعد رحيل النبي صلى الله عليه و آله و سلم، وإليك ما ذكروه</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6963791_73709187"/>
      <w:bookmarkStart w:id="568" w:name="_Toc214"/>
      <w:bookmarkEnd w:id="567"/>
      <w:r>
        <w:rPr/>
        <w:t>1</w:t>
      </w:r>
      <w:r>
        <w:rPr>
          <w:rtl w:val="true"/>
        </w:rPr>
        <w:t xml:space="preserve">. </w:t>
      </w:r>
      <w:r>
        <w:rPr>
          <w:rtl w:val="true"/>
        </w:rPr>
        <w:t>آية الشيخ والشيخة</w:t>
      </w:r>
      <w:bookmarkEnd w:id="568"/>
    </w:p>
    <w:p>
      <w:pPr>
        <w:pStyle w:val="BookText"/>
        <w:rPr/>
      </w:pPr>
      <w:r>
        <w:rPr>
          <w:rFonts w:ascii="Amiri" w:hAnsi="Amiri" w:eastAsia="Amiri" w:cs="Amiri"/>
          <w:color w:val="111111"/>
          <w:sz w:val="28"/>
          <w:sz w:val="28"/>
          <w:szCs w:val="28"/>
          <w:rtl w:val="true"/>
          <w:lang w:bidi="ar-SA"/>
        </w:rPr>
        <w:t>أخرج البخاري ومسلم بإسنادهما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عمر خطبته بعد مرجعه من آخر حجّة حجّها،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صلى الله عليه و آله و سلم بالحقّ‌، وأنزل عليه الكتاب، فكان ممّا أنزل اللّه آية الرجم، فقرأناها وعقلناها ووعيناها، فلذا رجم رسول اللّه صلى الله عليه و آله و سلم ورجمنا بعده، فأخشى إن طال بالناس زمان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نجد آية الرجم في كتاب اللّه، فيضلّوا بترك فريضة أنزلها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والرجم في كتاب اللّه حقّ على من زنى‌، إذا أحصن من الرجال والنساء إذا قامت البيّنة أو كان الحبل أو الاعتراف</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موطأ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عمر عند منصرفه من الحجّ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تهلكوا عن آية الرجم،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حدّين في كتاب اللّه، فقد رجم رسول اللّه صلى الله عليه و آله و سلم ورجمنا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لولا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عمر في كتاب اللّه</w:t>
      </w:r>
      <w:bookmarkStart w:id="569" w:name="pg16772_194628"/>
    </w:p>
    <w:p>
      <w:pPr>
        <w:pStyle w:val="BookText"/>
        <w:rPr/>
      </w:pPr>
      <w:bookmarkEnd w:id="569"/>
      <w:r>
        <w:rPr>
          <w:rFonts w:ascii="Amiri" w:hAnsi="Amiri" w:eastAsia="Amiri" w:cs="Amiri"/>
          <w:color w:val="111111"/>
          <w:sz w:val="28"/>
          <w:sz w:val="28"/>
          <w:szCs w:val="28"/>
          <w:rtl w:val="true"/>
          <w:lang w:bidi="ar-SA"/>
        </w:rPr>
        <w:t>تعالى لكتبتها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والشيخة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فارجموهما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قرأناها</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الطريف أنّ عمر جاء بآية الرجم عند الجمع الأوّل على عهد أبي بكر، فلم تقبل منه، وطلب زيد بن ثابت منه شاهدين يشهدان بأنّها آية من كتاب اللّه، فلم يتمكن عمر من إقامتهما</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ومع ذلك فقد بقيت كامنة في نفسه يبوح بها بين آونة وأُخرى، حتّى أعلن بها صريحاً في أواخر عمره</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6963793_73709187"/>
      <w:bookmarkStart w:id="571" w:name="_Toc215"/>
      <w:bookmarkEnd w:id="570"/>
      <w:r>
        <w:rPr/>
        <w:t>2</w:t>
      </w:r>
      <w:r>
        <w:rPr>
          <w:rtl w:val="true"/>
        </w:rPr>
        <w:t xml:space="preserve">. </w:t>
      </w:r>
      <w:r>
        <w:rPr>
          <w:rtl w:val="true"/>
        </w:rPr>
        <w:t>آية الرغبة</w:t>
      </w:r>
      <w:bookmarkEnd w:id="571"/>
    </w:p>
    <w:p>
      <w:pPr>
        <w:pStyle w:val="BookText"/>
        <w:rPr/>
      </w:pPr>
      <w:r>
        <w:rPr>
          <w:rFonts w:ascii="Amiri" w:hAnsi="Amiri" w:eastAsia="Amiri" w:cs="Amiri"/>
          <w:color w:val="111111"/>
          <w:sz w:val="28"/>
          <w:sz w:val="28"/>
          <w:szCs w:val="28"/>
          <w:rtl w:val="true"/>
          <w:lang w:bidi="ar-SA"/>
        </w:rPr>
        <w:t>وزعم أيضاً أنّ آية ثانية أُسقطت فيما أُسقط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كنّا نقرأ فيما نقرأ من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ترغبوا عن آبائكم، فإنّه كفرٌ بكم أن ترغبوا عن آبائكم، أو إنّ كُفراً بكم أن ترغبوا عن آبائكم</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انتفاءكم من آبائكم كفر بكم</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2" w:name="__RefHeading___Toc6963795_73709187"/>
      <w:bookmarkStart w:id="573" w:name="_Toc216"/>
      <w:bookmarkEnd w:id="572"/>
      <w:r>
        <w:rPr/>
        <w:t>3</w:t>
      </w:r>
      <w:r>
        <w:rPr>
          <w:rtl w:val="true"/>
        </w:rPr>
        <w:t xml:space="preserve">. </w:t>
      </w:r>
      <w:r>
        <w:rPr>
          <w:rtl w:val="true"/>
        </w:rPr>
        <w:t>آية الجهاد</w:t>
      </w:r>
      <w:bookmarkEnd w:id="57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وآية ثالثة زعمها محذوفة من القرآن، هي آية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تجد فيما أنزل علينا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جاهدوا كما جاهدتم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نجدها؟ قال</w:t>
      </w:r>
      <w:r>
        <w:rPr>
          <w:rFonts w:eastAsia="Amiri" w:cs="Amiri" w:ascii="Amiri" w:hAnsi="Amiri"/>
          <w:color w:val="111111"/>
          <w:sz w:val="28"/>
          <w:szCs w:val="28"/>
          <w:rtl w:val="true"/>
          <w:lang w:bidi="ar-SA"/>
        </w:rPr>
        <w:t>:</w:t>
      </w:r>
      <w:bookmarkStart w:id="574" w:name="pg16772_194629"/>
    </w:p>
    <w:p>
      <w:pPr>
        <w:pStyle w:val="BookText"/>
        <w:rPr/>
      </w:pPr>
      <w:bookmarkEnd w:id="574"/>
      <w:r>
        <w:rPr>
          <w:rFonts w:ascii="Amiri" w:hAnsi="Amiri" w:eastAsia="Amiri" w:cs="Amiri"/>
          <w:color w:val="111111"/>
          <w:sz w:val="28"/>
          <w:sz w:val="28"/>
          <w:szCs w:val="28"/>
          <w:rtl w:val="true"/>
          <w:lang w:bidi="ar-SA"/>
        </w:rPr>
        <w:t>أُسقطت فيما أُسقط من القرآن</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5" w:name="__RefHeading___Toc6963797_73709187"/>
      <w:bookmarkStart w:id="576" w:name="_Toc217"/>
      <w:bookmarkEnd w:id="575"/>
      <w:r>
        <w:rPr/>
        <w:t>4</w:t>
      </w:r>
      <w:r>
        <w:rPr>
          <w:rtl w:val="true"/>
        </w:rPr>
        <w:t xml:space="preserve">. </w:t>
      </w:r>
      <w:r>
        <w:rPr>
          <w:rtl w:val="true"/>
        </w:rPr>
        <w:t>آية الفراش</w:t>
      </w:r>
      <w:bookmarkEnd w:id="576"/>
    </w:p>
    <w:p>
      <w:pPr>
        <w:pStyle w:val="BookText"/>
        <w:rPr/>
      </w:pPr>
      <w:r>
        <w:rPr>
          <w:rFonts w:ascii="Amiri" w:hAnsi="Amiri" w:eastAsia="Amiri" w:cs="Amiri"/>
          <w:color w:val="111111"/>
          <w:sz w:val="28"/>
          <w:sz w:val="28"/>
          <w:szCs w:val="28"/>
          <w:rtl w:val="true"/>
          <w:lang w:bidi="ar-SA"/>
        </w:rPr>
        <w:t>وآية رابعة زعمها ساقطة، هي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آيات أربع زعم عمر بن الخطاب أنّها أُسقطت من القرآن، أفيمكن في منطق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أُم المؤمنين، وعمر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الآيات نسخت تلاوتها، فصارت منسوخة التلاوة، فهذا ما يكرره كثير ممّن يريد تبرير قول الخليفة، ولكنّها محاولة فاشلة، لأنّ ذلك تعبير آخر عن التحريف، وغطاء لهذا القول الساقط، إذ لسائل أن يسأل لماذا نسخت تلاوتها؟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 نقص في لفظها؟ أو نقص في مضمونها؟</w:t>
      </w:r>
    </w:p>
    <w:p>
      <w:pPr>
        <w:pStyle w:val="BookText"/>
        <w:rPr/>
      </w:pPr>
      <w:r>
        <w:rPr>
          <w:rFonts w:ascii="Amiri" w:hAnsi="Amiri" w:eastAsia="Amiri" w:cs="Amiri"/>
          <w:color w:val="111111"/>
          <w:sz w:val="28"/>
          <w:sz w:val="28"/>
          <w:szCs w:val="28"/>
          <w:rtl w:val="true"/>
          <w:lang w:bidi="ar-SA"/>
        </w:rPr>
        <w:t>أمّا الأوّل فساقط جدّاً، لأنّ معناه أنّ قسماً من الوحي الإلهي كان ذا تعبير سطحي لا يناسب القرآن الكريم فلذلك 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فالمفروض أنّ الحكم باق حيث إنّ الرجم غير منسوخ باتّفاق الفقهاء</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77" w:name="__RefHeading___Toc6963799_73709187"/>
      <w:bookmarkStart w:id="578" w:name="_Toc218"/>
      <w:bookmarkEnd w:id="577"/>
      <w:r>
        <w:rPr>
          <w:rtl w:val="true"/>
        </w:rPr>
        <w:t>أُبيّ بن كعب والقول بنقص سورة الأحزاب</w:t>
      </w:r>
      <w:bookmarkStart w:id="579" w:name="pg16772_194630"/>
      <w:bookmarkEnd w:id="578"/>
    </w:p>
    <w:p>
      <w:pPr>
        <w:pStyle w:val="BookText"/>
        <w:rPr/>
      </w:pPr>
      <w:bookmarkEnd w:id="579"/>
      <w:r>
        <w:rPr>
          <w:rFonts w:ascii="Amiri" w:hAnsi="Amiri" w:eastAsia="Amiri" w:cs="Amiri"/>
          <w:color w:val="111111"/>
          <w:sz w:val="28"/>
          <w:sz w:val="28"/>
          <w:szCs w:val="28"/>
          <w:rtl w:val="true"/>
          <w:lang w:bidi="ar-SA"/>
        </w:rPr>
        <w:t>نسب إلى أُبيّ بن كعب أنّه كان يعتقد أنّ سورة الأحزاب كانت تضاهي سورة البقرة أو أطول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أحمد بن حنبل باسناده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كائن تقرأ سورة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كائن تعدّها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وسبعين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 لقد رأيتها وأنّها لتعادل سورة البقرة، ولقد قرأنا فيها</w:t>
      </w:r>
      <w:r>
        <w:rPr>
          <w:rStyle w:val="FootnoteAnchor"/>
          <w:rtl w:val="true"/>
        </w:rPr>
        <w:footnoteReference w:id="4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والشيخة إذا زنيا فارجموهما البتة نكالاً من اللّه واللّه عليم حكيم</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اكتفينا بهذا النزر اليسير، وإلّا فالقائلين بالتحريف، بين الصحابة والتابعين غير قليل، وقد نقل ذلك عنهم أصحاب الصحاح والمسانيد من غير ترديد، ولم يكفّروا قائليها كما لم يفسقوا ناقلها، كيف وقد ألّف أخيراً بعض المشايخ في مصر المحمية كتاباً في تحريف القرآن،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عام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نعم صادره الأزهر، ولم تكفّر مشيخة الأزهر مؤلّفه</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6963801_73709187"/>
      <w:bookmarkStart w:id="581" w:name="_Toc219"/>
      <w:bookmarkEnd w:id="580"/>
      <w:r>
        <w:rPr>
          <w:rtl w:val="true"/>
        </w:rPr>
        <w:t>تبرير القول بالتحريف بالقول بنسخ التلاوة</w:t>
      </w:r>
      <w:bookmarkEnd w:id="581"/>
    </w:p>
    <w:p>
      <w:pPr>
        <w:pStyle w:val="BookText"/>
        <w:rPr/>
      </w:pPr>
      <w:r>
        <w:rPr>
          <w:rFonts w:ascii="Amiri" w:hAnsi="Amiri" w:eastAsia="Amiri" w:cs="Amiri"/>
          <w:color w:val="111111"/>
          <w:sz w:val="28"/>
          <w:sz w:val="28"/>
          <w:szCs w:val="28"/>
          <w:rtl w:val="true"/>
          <w:lang w:bidi="ar-SA"/>
        </w:rPr>
        <w:t>ثم إنّ بعض من يريد الجمع بين القول بصيانة القرآن من التحريف وحفظ مكانة أصحاب هذه الروايات، يحاول أن يبرر تلك النقول بأنّها من قبيل نسخ التلاوة، بمعنى أنّها كانت جزءاً من القرآن الكريم ثم نسخت قراءتها وتلاوتها وحذفت من المصاحف، أو لم تُكتب من أوّل الأمر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ونكرّر السؤال هنا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نسخت‌؟ أكان لنقص في المضمون </w:t>
      </w:r>
      <w:r>
        <w:rPr>
          <w:rFonts w:eastAsia="Amiri" w:cs="Amiri" w:ascii="Amiri" w:hAnsi="Amiri"/>
          <w:color w:val="111111"/>
          <w:sz w:val="28"/>
          <w:szCs w:val="28"/>
          <w:rtl w:val="true"/>
          <w:lang w:bidi="ar-SA"/>
        </w:rPr>
        <w:t>-</w:t>
      </w:r>
      <w:bookmarkStart w:id="582" w:name="pg16772_194631"/>
    </w:p>
    <w:p>
      <w:pPr>
        <w:pStyle w:val="BookText"/>
        <w:rPr/>
      </w:pPr>
      <w:bookmarkEnd w:id="582"/>
      <w:r>
        <w:rPr>
          <w:rFonts w:ascii="Amiri" w:hAnsi="Amiri" w:eastAsia="Amiri" w:cs="Amiri"/>
          <w:color w:val="111111"/>
          <w:sz w:val="28"/>
          <w:sz w:val="28"/>
          <w:szCs w:val="28"/>
          <w:rtl w:val="true"/>
          <w:lang w:bidi="ar-SA"/>
        </w:rPr>
        <w:t xml:space="preserve">والمفروض أنّه باق في الشريعة الإسلامية كرجم المحصن والمحصنة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لنقص 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سامح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القرآن معجز بلفظه ومعناه، متّحدٍ بفصاحته وبلاغته، وقد أدهشت فصاحة ألفاظه وجمال عبارته، وبلاغة معانيه وسموها، وروعة نظمه وتأليفه، وبداعة أسلوبه، عقول البلغاء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تلك الآيات المزعومة لا تداني، في عباراتها، آيات القرآن في الفصاحة والبلاغة، والروعة والجمال، وإن نسج بعضها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والشيخة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منوال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 وَ لا تَأْخُذْكُمْ بِهِما رَأْفَةٌ فِي دِينِ اللّهِ‌</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ولكن أين ذلك الكلام الذي بدا أنّه من كلام البشر، من كلام ربّ الأرباب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القول، هو نفس القول بالتحريف، ومَن اخترع هذا المصطلح فقد حاول أن يبرر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أنّ القوم يجوّزون هذا النوع من النسخ الّذي هو عبارة عن نوع من التحريف، ثمّ يتّهمون الشيعة بالتحريف</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6963803_73709187"/>
      <w:bookmarkStart w:id="584" w:name="_Toc220"/>
      <w:bookmarkEnd w:id="583"/>
      <w:r>
        <w:rPr>
          <w:rtl w:val="true"/>
        </w:rPr>
        <w:t>المظهر الثاني</w:t>
      </w:r>
      <w:r>
        <w:rPr>
          <w:rtl w:val="true"/>
        </w:rPr>
        <w:t xml:space="preserve">: </w:t>
      </w:r>
      <w:r>
        <w:rPr>
          <w:rtl w:val="true"/>
        </w:rPr>
        <w:t>مدحهم وثناؤهم على القائل بتحريف القرآن</w:t>
      </w:r>
      <w:bookmarkEnd w:id="58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المؤلّف في هذا المظهر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الشيعة راحوا يثنون على القائل بالتحريف مكان أن يكفِّروه،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يتوقّف الموقف المخزي من كتاب اللّه تعالى عند رفضهم الطعن بمن قال بتحريفه من علمائهم وعدم تكفيره، بل تعدّت الخزايا موقفهم ذاك بكثير حين راحوا يثنون عليهم ويطلقون بحقّهم</w:t>
      </w:r>
    </w:p>
    <w:p>
      <w:pPr>
        <w:pStyle w:val="BookText"/>
        <w:rPr/>
      </w:pPr>
      <w:r>
        <w:rPr>
          <w:rFonts w:ascii="Amiri" w:hAnsi="Amiri" w:eastAsia="Amiri" w:cs="Amiri"/>
          <w:color w:val="111111"/>
          <w:sz w:val="28"/>
          <w:sz w:val="28"/>
          <w:szCs w:val="28"/>
          <w:rtl w:val="true"/>
          <w:lang w:bidi="ar-SA"/>
        </w:rPr>
        <w:t>أسمى عبارات المدح والثناء عند ورود ذكرهم</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ثم راح يستشهد بكلمات عدّة من العلماء يصفون الشيخ المجلسي أو النوري بكلمات مدح وإطراء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الإنصاف يقتضي أن ينظر الإنسان إلى أعمال الآخرين بعين العدل، لا بعين الرضى أو بعين السخط، وأن يزن الأعمال بميزان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والموقف الذي يُفترض أن يتخذه ممّن نجمت بين حسناته الكثيرة سيئة واحدة مثلاً، ينبغي أن تحدّده طبيعة تلك الأعمال، فيضع تلك في موضعها، وهذه في موضعها، حتّى لا يجور في الحكم، فيواجه بالنقد والاستنكار العمل السيّئ، ويكيل المدح والثناء للأعمال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أشار إليه الكاتب بخصوص بعض علمائنا القائلين بالتحريف، هو من هذا القبيل، فلا يحلّ بخس حقوقهم في مجال الحسنات فيما لو صدر عنهم رأي خاطئ،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لِلّهِ شُهَداءَ بِالْقِسْطِ وَ لا يَجْرِمَنَّكُمْ شَنَآنُ قَوْمٍ عَلى أَلاّ تَعْدِلُوا اعْدِلُوا هُوَ أَقْرَبُ لِلتَّقْوى وَ اتَّقُوا اللّهَ إِنَّ اللّهَ خَبِيرٌ بِما تَعْمَلُونَ‌</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القائل لم يقرأ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عَمِلُوا الصّالِحاتِ وَ آمَنُوا بِما نُزِّلَ عَلى مُحَمَّدٍ وَ هُوَ الْحَقُّ مِنْ رَبِّهِمْ كَفَّرَ عَنْهُمْ سَيِّئاتِهِمْ وَ أَصْلَحَ بالَهُمْ‌</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وقد مرّ أنّ مسألة عدم التحريف ليست من المسائل الضرورية وإنّما هي مسألة نظرية اجتهادية، فلو انتهى اجتهاد إنسان إلى وجود نقص في القرآن</w:t>
      </w:r>
    </w:p>
    <w:p>
      <w:pPr>
        <w:pStyle w:val="BookText"/>
        <w:rPr/>
      </w:pPr>
      <w:r>
        <w:rPr>
          <w:rFonts w:ascii="Amiri" w:hAnsi="Amiri" w:eastAsia="Amiri" w:cs="Amiri"/>
          <w:color w:val="111111"/>
          <w:sz w:val="28"/>
          <w:sz w:val="28"/>
          <w:szCs w:val="28"/>
          <w:rtl w:val="true"/>
          <w:lang w:bidi="ar-SA"/>
        </w:rPr>
        <w:t>فغاية ما يمكن، تخطئة فكرته ونقد كلامه وإبطال عقيدته، وليس لنا تسمية عمله سيئة وإنّما هو اجتهاد منه وإن كان اجتهاداً خاطئاً، وإنّما استدللنا بالآية جدلاً، وإبطالاً لفكرة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المؤسف جداً أنّ الكاتب غير مُلمٍّ بما قام به علماء الشيعة في نقد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النوري، والمجال لا يسع أن نذكر جميع ما رُدّ به على كتابه ونكتفي بذكر بعض هذه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الارتياب في عدم تحريف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الشيخ محمود بن أبي القاسم الشهير بالمعرّب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الكتاب عام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الكتاب الشريف عن شبهة القول بالتحريف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محمد حسين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آلاء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الحجّة محمد جواد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صيانة القرآن من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محمد هادي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التحقيق في نفي التحريف عن القرآن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المحقّق السيد علي الميلاني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اكذوبة 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رسول جعفريان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الكتب والرسائل الّتي أُلفت بهذا الصدد، ولا بأس أن نشير هنا إلى كلمات بعض مَن وجّهوا نقداً واعتراضاً على هذه الفكرة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البلاغي، حيث وصف مساعي الشيخ النوري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p>
    <w:p>
      <w:pPr>
        <w:pStyle w:val="BookText"/>
        <w:rPr/>
      </w:pP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في جمع الروايات وكثّر أعداد مسانيدها بأعداد المراسيل، مع أنّ المتتبع المحقّق يجزم بأنّ هذه المراسيل مأخوذة من تلك المسانيد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جملة ما أورده ما لا يتيسّر احتمال صدقه، ومنها ما يؤول إلى التنافي والتعارض، وإنّ قسماً وافراً منها ترجع إلى عدّة أنفار، وقد وصف علماء الرجال كلّاً منهم، إمّا بأنّه ضعيف الحديث، فاسد المذهب، مجفوّ الرواية، وإمّا بأنّه مضطرب الحديث والمذهب، يعرف حديثه وينكر، ويروي عن الضعفاء، وإمّا بأنّه كذّاب متّهم لا يستحل أن يُروى من تفسير حديث واحد، وربّما كان معروفاً بالوقف شديد العداوة للإمام علي بن موسى الرضا عليهما السلام، وإمّا بأنّه كان غالياً كذّاباً، وإمّا بأنّه ضعيف لا يلتفت إليه ولا يعوّل عليه ومن الكذابين، وإمّا بأنّه فاسد الرواية يُرمى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أمثال هؤلاء لا تجدي كثرتهم شيئاً</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الإمام روح اللّه الخميني قدس سره،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النوري شخص صالح متتبع إلّاأنّ اشتياقه بجمع الضعاف والغرائب والعجائب وما لا يقبله العقل السليم والرأي المستقيم أكثر من الكلام النافع</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هبة الدين الشهرستاني قال بحقّ الكتاب ومؤلّفه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كان طالباً شاباً في حوزة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طبع هذا الكتاب، لا ندخل مجلساً في الحوزة العلمية إلّاونسمع الضجّة والعجّة ضد الكتاب ومؤلّفه وناشره، يلقونه بألسنة حداد</w:t>
      </w:r>
      <w:r>
        <w:rPr>
          <w:rFonts w:eastAsia="Amiri" w:cs="Amiri" w:ascii="Amiri" w:hAnsi="Amiri"/>
          <w:color w:val="111111"/>
          <w:sz w:val="28"/>
          <w:szCs w:val="28"/>
          <w:rtl w:val="true"/>
          <w:lang w:bidi="ar-SA"/>
        </w:rPr>
        <w:t>.</w:t>
      </w:r>
      <w:r>
        <w:rPr>
          <w:rStyle w:val="FootnoteAnchor"/>
          <w:rtl w:val="true"/>
        </w:rPr>
        <w:footnoteReference w:id="441"/>
      </w:r>
      <w:bookmarkStart w:id="585" w:name="pg16772_194635"/>
    </w:p>
    <w:p>
      <w:pPr>
        <w:pStyle w:val="BookText"/>
        <w:rPr/>
      </w:pPr>
      <w:bookmarkEnd w:id="585"/>
      <w:r>
        <w:rPr>
          <w:rFonts w:ascii="Amiri" w:hAnsi="Amiri" w:eastAsia="Amiri" w:cs="Amiri"/>
          <w:color w:val="111111"/>
          <w:sz w:val="28"/>
          <w:sz w:val="28"/>
          <w:szCs w:val="28"/>
          <w:rtl w:val="true"/>
          <w:lang w:bidi="ar-SA"/>
        </w:rPr>
        <w:t>ونقتصر بما ذكرنا، ففيه غنىً وكفاية لمن أراد الحق</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6963805_73709187"/>
      <w:bookmarkStart w:id="587" w:name="_Toc221"/>
      <w:bookmarkEnd w:id="586"/>
      <w:r>
        <w:rPr>
          <w:rtl w:val="true"/>
        </w:rPr>
        <w:t>وشهد شاهد من أهلها</w:t>
      </w:r>
      <w:bookmarkEnd w:id="587"/>
    </w:p>
    <w:p>
      <w:pPr>
        <w:pStyle w:val="BookText"/>
        <w:rPr/>
      </w:pPr>
      <w:r>
        <w:rPr>
          <w:rFonts w:ascii="Amiri" w:hAnsi="Amiri" w:eastAsia="Amiri" w:cs="Amiri"/>
          <w:color w:val="111111"/>
          <w:sz w:val="28"/>
          <w:sz w:val="28"/>
          <w:szCs w:val="28"/>
          <w:rtl w:val="true"/>
          <w:lang w:bidi="ar-SA"/>
        </w:rPr>
        <w:t>قال الشيخ علي السالوس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المهم هو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إخواننا الجعفرية قد تصدّوا لهذه الحركة قديماً وحديثاً وكشفوا القناع عن هذا الباطل، وفنّدوا مزاعم القائلين بالتحريف، وبيّنوا أنّ ما ذكر من روايات منسوبة لأهل البيت عليهم السلام تمسّك بها القائلون بالتحريف، منها ما يحتمل التأويل ولا يفيد وقوع التحريف، وأشهر من تصدّى منهم لحركة التضليل في القديم، محمد بن بابويه القمّي الملقّب بالصدوق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الشريف المرتضى‌، وتلميذه الشيخ الطوسي، وشيخ مفسّري الجعفرية أبي علي الفضل بن الحسن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موقف المعتدلين في القديم، أمّا في الحديث فأكثر شيعة اليوم يتفقّون مع جمهور المسلمين في أنّ القرآن هو ما بين الدفتين بلا زيادة أو نقصان</w:t>
      </w:r>
      <w:r>
        <w:rPr>
          <w:rFonts w:eastAsia="Amiri" w:cs="Amiri" w:ascii="Amiri" w:hAnsi="Amiri"/>
          <w:color w:val="111111"/>
          <w:sz w:val="28"/>
          <w:szCs w:val="28"/>
          <w:rtl w:val="true"/>
          <w:lang w:bidi="ar-SA"/>
        </w:rPr>
        <w:t>.</w:t>
      </w:r>
      <w:r>
        <w:rPr>
          <w:rStyle w:val="FootnoteAnchor"/>
          <w:rtl w:val="true"/>
        </w:rPr>
        <w:footnoteReference w:id="442"/>
      </w:r>
    </w:p>
    <w:p>
      <w:pPr>
        <w:pStyle w:val="Heading6"/>
        <w:numPr>
          <w:ilvl w:val="5"/>
          <w:numId w:val="1"/>
        </w:numPr>
        <w:rPr/>
      </w:pPr>
      <w:bookmarkStart w:id="588" w:name="__RefHeading___Toc6963807_73709187"/>
      <w:bookmarkStart w:id="589" w:name="_Toc222"/>
      <w:bookmarkEnd w:id="588"/>
      <w:r>
        <w:rPr>
          <w:rtl w:val="true"/>
        </w:rPr>
        <w:t>المظهر الثالث</w:t>
      </w:r>
      <w:r>
        <w:rPr>
          <w:rtl w:val="true"/>
        </w:rPr>
        <w:t xml:space="preserve">: </w:t>
      </w:r>
      <w:r>
        <w:rPr>
          <w:rtl w:val="true"/>
        </w:rPr>
        <w:t>الإعراض عن دراسة القرآن في الحوزات الشيعية</w:t>
      </w:r>
      <w:bookmarkEnd w:id="589"/>
    </w:p>
    <w:p>
      <w:pPr>
        <w:pStyle w:val="BookText"/>
        <w:rPr/>
      </w:pPr>
      <w:r>
        <w:rPr>
          <w:rFonts w:ascii="Amiri" w:hAnsi="Amiri" w:eastAsia="Amiri" w:cs="Amiri"/>
          <w:color w:val="111111"/>
          <w:sz w:val="28"/>
          <w:sz w:val="28"/>
          <w:szCs w:val="28"/>
          <w:rtl w:val="true"/>
          <w:lang w:bidi="ar-SA"/>
        </w:rPr>
        <w:t xml:space="preserve">يذكر المؤلّف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كلمات علماء الشيعة الكبار الذين يحثّون على دراسة القرآن دراسة معمّقة والتعرّض إلى شؤونه وأبعاده المختلفة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استنبط من ذلك أنّ الحوزات الشيعية كانت مُعرِضة عن القرآن الكريم، تلاوة وقراءة، وتفسيراً، وكلّ ما يتعرض إلى المجالات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أخذ بعرض بعض كلمات علمائنا الّتي صدرت عنهم في موضع التواضع، والّتي قالوها لكي تؤثر في نفوس المخاطبين، وهو اسلوب فعّال في اقناع المستمعين، فليس من الانصاف الاستفادة من هذه الكلمات في الإهانة والتشفيّ‌، ولذا لا نعطي أي أهمية لما قاله ويقوله أضرابه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استنبطه من كلمات علمائنا هو استنباط خاطئ، حيث إنّ دُور القرآن الكريم تعج بآلاف القرّاء والحفّاظ صغاراً وكباراً وهم يشاركون في المسابقات الدولية لحفظ القرآن وقراءته، وقد نالوا المراتب العليا والجوائز النفيسة في الكثير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الجمهورية الإسلامية إذاعة للقرآن الكريم، وكذلك توجد قناة فضائية لبثّ القرآن وتفسيره، وبرامج حول علومه ومفاهيمه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شكّ أنّه قد كثرت الرغبة إلى تلاوة القرآن وحفظه بعد الثورة الإسلامية، وهذا من خصائص هذا النظام، فلكلّ نظام خصيصته، وقد كان النظام السابق في إيران نظاماً علمانياً معارضاً للإسلام ومعادياً له، ولذلك كان التوجّه في المدارس والجامعات غير لائق بشأن القرآن الكريم، وأمّا بعد الثورة فبحمد اللّه تغيّر الوضع وتطورت الأُمور وازداد الاهتمام بالقرآن وعلومه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أمر نريد أن ننبه المؤلّف عليه، وهو أنّ عدم الاهتمام بالقرآن كان أمراً متفشياً في القرون السابقة حتّى القرن الثالث عشر في كلّ البلاد الإسلامية من غير فرق بين الشيعي والسنّي، وإنّما ظهرت الرغبة بعد الصحوة الإسلامية في أوائل القرن الرابع عشر، فبدأ المسلمون بتأليف التفاسير على غرار يوافق روح العصر وحاجاته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الشيخ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ينعى على المسلمين عزوفهم عن القرآن،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نظيف، والإسلام نظيف، وإنّما لوّثه المسلمون بإعراضهم عن كلّ ما في القرآن، واشتغالهم بسفاسف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أقرأ التفسير وكان يحضره بعض طلبة 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 طلبة المدارس الأميرية، وكنت أذكر كثيراً من الفوائد الّتي تحتاج إليها حالة العصر، فما اهتمّ لها أحد فيما أعلم مع أنّها كان من حقّها أن تُكتب، وما علمت أحداً كتب شيئاً خلا تلميذين قبطيين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مدرسة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المسلمون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تلميذه السيد محمد رشيد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نعتقد أنّ المسلمين ما ضعفوا وما زال ما كان لهم من الملك الواسع إلّابإعراضهم عن هداية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السيد محمد رشيد رضا بنقد عامّة المسلمين، بل وجّه سهام نقده للمفسّرين،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سوء حظ المسلمين أنّ أكثر ما كتب في التفسير يُشغل قارئه عن هذه المقاصد العالية والهداية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أكثر ما روي في التفسير المأثور أو كثيره حجاب على القرآن وشاغل لقارئيه عن مقاصده العالية، المزكّية للأنفس، المنوّرة للعقول</w:t>
      </w:r>
      <w:r>
        <w:rPr>
          <w:rFonts w:eastAsia="Amiri" w:cs="Amiri" w:ascii="Amiri" w:hAnsi="Amiri"/>
          <w:color w:val="111111"/>
          <w:sz w:val="28"/>
          <w:szCs w:val="28"/>
          <w:rtl w:val="true"/>
          <w:lang w:bidi="ar-SA"/>
        </w:rPr>
        <w:t>.</w:t>
      </w:r>
      <w:r>
        <w:rPr>
          <w:rStyle w:val="FootnoteAnchor"/>
          <w:rtl w:val="true"/>
        </w:rPr>
        <w:footnoteReference w:id="44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يجب الاعتراف به هو أنّ المسلمين عادوا إلى القرآن واهتموا به في العصور الحاضرة، وتشهد لذلك المحطّات الإذاعية والقنوات الفضائية</w:t>
      </w:r>
    </w:p>
    <w:p>
      <w:pPr>
        <w:pStyle w:val="BookText"/>
        <w:rPr/>
      </w:pPr>
      <w:r>
        <w:rPr>
          <w:rFonts w:ascii="Amiri" w:hAnsi="Amiri" w:eastAsia="Amiri" w:cs="Amiri"/>
          <w:color w:val="111111"/>
          <w:sz w:val="28"/>
          <w:sz w:val="28"/>
          <w:szCs w:val="28"/>
          <w:rtl w:val="true"/>
          <w:lang w:bidi="ar-SA"/>
        </w:rPr>
        <w:t>والمدارس القرآنية وكثرة التفاسير المطبوعة في مختلف اختصاصاتها، وتصاعد عدد القرّاء والحفّاظ في كلّ بلد ومدينة، وناحية وقرية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تمّ استعراض ما ذكره الكاتب في رسالته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الفصام النكد، دراسة لحقيقة الأزمة بين علماء الشيعة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أنّه ليس هناك أي أزمة بين علماء الشيعة والقرآن، ولو وجدت أزمة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بين القرآن وبين من يقول بأنّ النبي الأكرم صلى الله عليه و آله و سلم ارتحل إلى الرفيق الأعلى وقد ترك القرآن مفرّقاً على العُسب واللّخاف والاكتاف، ولم يقم بجمعه</w:t>
      </w:r>
      <w:r>
        <w:rPr>
          <w:rFonts w:eastAsia="Amiri" w:cs="Amiri" w:ascii="Amiri" w:hAnsi="Amiri"/>
          <w:color w:val="111111"/>
          <w:sz w:val="28"/>
          <w:szCs w:val="28"/>
          <w:rtl w:val="true"/>
          <w:lang w:bidi="ar-SA"/>
        </w:rPr>
        <w:t>.</w:t>
      </w:r>
      <w:bookmarkStart w:id="590" w:name="pg16772_194639"/>
    </w:p>
    <w:p>
      <w:pPr>
        <w:pStyle w:val="Heading4"/>
        <w:numPr>
          <w:ilvl w:val="3"/>
          <w:numId w:val="1"/>
        </w:numPr>
        <w:rPr/>
      </w:pPr>
      <w:bookmarkStart w:id="591" w:name="__RefHeading___Toc6963809_73709187"/>
      <w:bookmarkStart w:id="592" w:name="_Toc223"/>
      <w:bookmarkEnd w:id="590"/>
      <w:bookmarkEnd w:id="591"/>
      <w:r>
        <w:rPr>
          <w:rtl w:val="true"/>
        </w:rPr>
        <w:t>مناقشة الرسالة الثانية</w:t>
      </w:r>
      <w:bookmarkEnd w:id="592"/>
    </w:p>
    <w:p>
      <w:pPr>
        <w:pStyle w:val="Heading5"/>
        <w:numPr>
          <w:ilvl w:val="4"/>
          <w:numId w:val="1"/>
        </w:numPr>
        <w:rPr/>
      </w:pPr>
      <w:bookmarkStart w:id="593" w:name="__RefHeading___Toc6963811_73709187"/>
      <w:bookmarkStart w:id="594" w:name="_Toc224"/>
      <w:bookmarkEnd w:id="593"/>
      <w:r>
        <w:rPr>
          <w:rtl w:val="true"/>
        </w:rPr>
        <w:t>اشارة</w:t>
      </w:r>
      <w:bookmarkEnd w:id="594"/>
    </w:p>
    <w:p>
      <w:pPr>
        <w:pStyle w:val="BookText"/>
        <w:rPr/>
      </w:pPr>
      <w:r>
        <w:rPr>
          <w:rFonts w:ascii="Amiri" w:hAnsi="Amiri" w:eastAsia="Amiri" w:cs="Amiri"/>
          <w:color w:val="111111"/>
          <w:sz w:val="28"/>
          <w:sz w:val="28"/>
          <w:szCs w:val="28"/>
          <w:rtl w:val="true"/>
          <w:lang w:bidi="ar-SA"/>
        </w:rPr>
        <w:t>والآن نتعرض لمناقشة رسالته الثانية الّتي أسماها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الروايات الشيعية النافية لتحريف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المؤلّف زعم أنّ الشيعة يستدلّون على صيانة القرآن الكريم بروايتين إحداهما ضعيفة سنداً، والأُخرى ضعيفة مضموناً لاحتمال أنّها صدرت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نذكر الروايتين وكلام الكاتب حولهما، نعيد ما ذكرناه في صدر رسالتنا هذه، وهو أنّ جمهور الشيعة يعتقدون بصيانة القرآن من التحريف ويستدلّون على ذلك بوجوه مختلفة،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العزيز، الّذي ذكر أنّ اللّه سبحانه قد جعل مهمة حفظه وصيانته بيده عزوجل،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وعد سبحانه أنّ القرآن كتاب لا يدانيه الباطل،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بِالذِّكْرِ لَمّا جاءَهُمْ وَ 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إسقاط آيات من القرآن أو حذف سور منه من أوضح مصاديق البطلان، مع أنّه سبحانه نفى تطرّق البطلان إليه</w:t>
      </w:r>
      <w:r>
        <w:rPr>
          <w:rFonts w:eastAsia="Amiri" w:cs="Amiri" w:ascii="Amiri" w:hAnsi="Amiri"/>
          <w:color w:val="111111"/>
          <w:sz w:val="28"/>
          <w:szCs w:val="28"/>
          <w:rtl w:val="true"/>
          <w:lang w:bidi="ar-SA"/>
        </w:rPr>
        <w:t>.</w:t>
      </w:r>
      <w:bookmarkStart w:id="595" w:name="pg16772_194640"/>
    </w:p>
    <w:p>
      <w:pPr>
        <w:pStyle w:val="BookText"/>
        <w:rPr/>
      </w:pPr>
      <w:bookmarkEnd w:id="59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النبوية الشريفة، وخطب الإمام علي عليه السلام وكلمات أهل البيت عليهم السلام الّتي وردت بصور مختلفة، وجمَعها المحدّثون في أبواب متنوعة تدلّ على أنّ القرآن الموجود بين الدفتين هو كلام اللّه الّذي يضمن سعادة البشر وهدايتهم إلى الحق المبين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بما يحكم به العقل الحصيف من أنّه من الممتنع أن يتعرض إنسان للقرآن فيزيد أو ينقص فيه، وهو في صدور مئات الحفّاظ، أو في مصاحف الصحابة والتابعين، ويتلى في كلّ يوم في كلّ مسجد، إلى غير ذلك ممّا سبق تفصيله في رسالتنا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يستدلّ البعض بروايات خاصّة، وهذا هو الّذي وقع في مطمع المؤلّف ومطمحه فأراد تضعيفه، وها نحن نذكر كلامه، مع ما يمكن من التعقيب عليه</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6963813_73709187"/>
      <w:bookmarkStart w:id="597" w:name="_Toc225"/>
      <w:bookmarkEnd w:id="596"/>
      <w:r>
        <w:rPr>
          <w:rtl w:val="true"/>
        </w:rPr>
        <w:t>الرواية الأُولى</w:t>
      </w:r>
      <w:bookmarkEnd w:id="597"/>
    </w:p>
    <w:p>
      <w:pPr>
        <w:pStyle w:val="Heading6"/>
        <w:numPr>
          <w:ilvl w:val="5"/>
          <w:numId w:val="1"/>
        </w:numPr>
        <w:rPr/>
      </w:pPr>
      <w:bookmarkStart w:id="598" w:name="__RefHeading___Toc6963815_73709187"/>
      <w:bookmarkStart w:id="599" w:name="_Toc226"/>
      <w:bookmarkEnd w:id="598"/>
      <w:r>
        <w:rPr>
          <w:rtl w:val="true"/>
        </w:rPr>
        <w:t>اشارة</w:t>
      </w:r>
      <w:bookmarkEnd w:id="599"/>
    </w:p>
    <w:p>
      <w:pPr>
        <w:pStyle w:val="BookText"/>
        <w:rPr/>
      </w:pPr>
      <w:r>
        <w:rPr>
          <w:rFonts w:ascii="Amiri" w:hAnsi="Amiri" w:eastAsia="Amiri" w:cs="Amiri"/>
          <w:color w:val="111111"/>
          <w:sz w:val="28"/>
          <w:sz w:val="28"/>
          <w:szCs w:val="28"/>
          <w:rtl w:val="true"/>
          <w:lang w:bidi="ar-SA"/>
        </w:rPr>
        <w:t>روى الكليني عن علي بن إبراهيم، عن محمد بن عيسى، عن يونس وعلي بن محمد، عن سهل بن زياد أبي سعيد، عن محمد بن عيسى، عن يونس،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4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علي بن أبي طالب والحسن والحسين عليهم السلام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لم يسمِّ عليًّا وأهل بيته عليهم السلام في كتاب اللّه عزوجل‌؟</w:t>
      </w:r>
      <w:bookmarkStart w:id="600" w:name="pg16772_194641"/>
    </w:p>
    <w:p>
      <w:pPr>
        <w:pStyle w:val="BookText"/>
        <w:rPr/>
      </w:pPr>
      <w:bookmarkEnd w:id="60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صلى الله عليه و آله و سلم نزلت عليه الصلاة ولم يسمّ اللّه لهم ثلاثاً ولا أربعاً، حتّى كان رسول اللّه صلى الله عليه و آله و سلم هو الّذي فسّر ذلك لهم، ونزلت عليه الزكاة ولم يُسَمّ لهم من كلّ أربعين درهماً درهم، حتّى كان رسول اللّه صلى الله عليه و آله و سلم هو الّذي فسّر ذلك لهم، ونزل الحج فلم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طوفوا أُسبوعاً حتّى كان رسول اللّه صلى الله عليه و آله و سلم هو الّذي فسّر ذلك لهم، 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ونزلت في علي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الدلالة في هذه الرواية هو أنّ الإمام الصادق قد اعترف بصحّة كلام المعترض،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اسم علي وأهل بيته في القرآن الكريم، ومن ثم تكون الرواية دليلاً صحيحاً عن الأئمة، تثبت عدم ذكر اسم الإمام في القرآن لتطرح في مقابله جميع الروايات الّتي تقول إنّ اسم الإمام كان مذكوراً في القرآن ولكن تم إسقاطه وحذفه بالتحريف</w:t>
      </w:r>
      <w:r>
        <w:rPr>
          <w:rFonts w:eastAsia="Amiri" w:cs="Amiri" w:ascii="Amiri" w:hAnsi="Amiri"/>
          <w:color w:val="111111"/>
          <w:sz w:val="28"/>
          <w:szCs w:val="28"/>
          <w:rtl w:val="true"/>
          <w:lang w:bidi="ar-SA"/>
        </w:rPr>
        <w:t>.</w:t>
      </w:r>
      <w:r>
        <w:rPr>
          <w:rStyle w:val="FootnoteAnchor"/>
          <w:rtl w:val="true"/>
        </w:rPr>
        <w:footnoteReference w:id="447"/>
      </w:r>
    </w:p>
    <w:p>
      <w:pPr>
        <w:pStyle w:val="Heading6"/>
        <w:numPr>
          <w:ilvl w:val="5"/>
          <w:numId w:val="1"/>
        </w:numPr>
        <w:rPr/>
      </w:pPr>
      <w:bookmarkStart w:id="601" w:name="__RefHeading___Toc6963817_73709187"/>
      <w:bookmarkStart w:id="602" w:name="_Toc227"/>
      <w:bookmarkEnd w:id="601"/>
      <w:r>
        <w:rPr>
          <w:rtl w:val="true"/>
        </w:rPr>
        <w:t>مناقشة الكاتب للرواية</w:t>
      </w:r>
      <w:r>
        <w:rPr>
          <w:rtl w:val="true"/>
        </w:rPr>
        <w:t>:</w:t>
      </w:r>
      <w:bookmarkEnd w:id="602"/>
    </w:p>
    <w:p>
      <w:pPr>
        <w:pStyle w:val="BookText"/>
        <w:rPr/>
      </w:pPr>
      <w:r>
        <w:rPr>
          <w:rFonts w:ascii="Amiri" w:hAnsi="Amiri" w:eastAsia="Amiri" w:cs="Amiri"/>
          <w:color w:val="111111"/>
          <w:sz w:val="28"/>
          <w:sz w:val="28"/>
          <w:szCs w:val="28"/>
          <w:rtl w:val="true"/>
          <w:lang w:bidi="ar-SA"/>
        </w:rPr>
        <w:t>ثم إنّ الكاتب ناقش في سند الرواية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وردت بسندين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محمد بن عيسى‌، عن يونس وعلي بن محمد، عن سهل بن زياد أبي سعيد، عن محمد بن عيسى، عن يونس، عن ابن مسكان،</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خالد والحسين بن سعيد، عن النضر بن سويد، عن يحيى بن عمران الحلبي، عن أيوب بن الحر وعمران بن علي الحلبي، عن أبي بصير، عن أبي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للسند الأوّل فالكثير يضعفه بسبب سهل بن زياد الّذي صرّح الخوئي بضعفه في عدة مواضع</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لا يعرف أبجدية علم الرجال عند الشيعة لا يحقّ له ولا يمكنه أن ينقض ويبرم في سند الرواية، وبالتالي يحكم على أحد السندين بالضعف وعلى الآخر بالصحة، مع أنّ كلا السندين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دقّق النظر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الكاتب زعم أنّ السند الأوّل من البدء إلى الختام سند واحد، وهو أنّ علي بن إبراهيم يروي عن أبي بصير بسند واحد، ولكنّه غفل عن أنّ للكليني إلى يونس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محمد بن عيسى، عن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ينتهي كلا الطريقين إلى يونس الّذي يروي عن ابن مسكان، عن أبي بصير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في الطريقين ضعف، فإنّما هو لأجل سهل بن زياد وهو في الطريق الثاني، وليس في الأوّل</w:t>
      </w:r>
      <w:r>
        <w:rPr>
          <w:rFonts w:eastAsia="Amiri" w:cs="Amiri" w:ascii="Amiri" w:hAnsi="Amiri"/>
          <w:color w:val="111111"/>
          <w:sz w:val="28"/>
          <w:szCs w:val="28"/>
          <w:rtl w:val="true"/>
          <w:lang w:bidi="ar-SA"/>
        </w:rPr>
        <w:t>.</w:t>
      </w:r>
      <w:bookmarkStart w:id="603" w:name="pg16772_194643"/>
    </w:p>
    <w:p>
      <w:pPr>
        <w:pStyle w:val="BookText"/>
        <w:rPr/>
      </w:pPr>
      <w:bookmarkEnd w:id="603"/>
      <w:r>
        <w:rPr>
          <w:rFonts w:ascii="Amiri" w:hAnsi="Amiri" w:eastAsia="Amiri" w:cs="Amiri"/>
          <w:color w:val="111111"/>
          <w:sz w:val="28"/>
          <w:sz w:val="28"/>
          <w:szCs w:val="28"/>
          <w:rtl w:val="true"/>
          <w:lang w:bidi="ar-SA"/>
        </w:rPr>
        <w:t xml:space="preserve">ويشهد على ذلك أنّ الكليني بعد ما نقل طريقه إلى يونس شرع في الطريق الثاني بحرف العطف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يسمّى في علم الدراية بالحيلولة في أثناء السند، وهو ممّا غفل عنه المؤلّف، أو ليس له به علم</w:t>
      </w:r>
      <w:r>
        <w:rPr>
          <w:rFonts w:eastAsia="Amiri" w:cs="Amiri" w:ascii="Amiri" w:hAnsi="Amiri"/>
          <w:color w:val="111111"/>
          <w:sz w:val="28"/>
          <w:szCs w:val="28"/>
          <w:rtl w:val="true"/>
          <w:lang w:bidi="ar-SA"/>
        </w:rPr>
        <w:t>.</w:t>
      </w:r>
    </w:p>
    <w:p>
      <w:pPr>
        <w:pStyle w:val="Heading6"/>
        <w:numPr>
          <w:ilvl w:val="5"/>
          <w:numId w:val="1"/>
        </w:numPr>
        <w:rPr/>
      </w:pPr>
      <w:bookmarkStart w:id="604" w:name="__RefHeading___Toc6963819_73709187"/>
      <w:bookmarkStart w:id="605" w:name="_Toc228"/>
      <w:bookmarkEnd w:id="604"/>
      <w:r>
        <w:rPr>
          <w:rtl w:val="true"/>
        </w:rPr>
        <w:t>مناقشة الكاتب للمضمون</w:t>
      </w:r>
      <w:bookmarkEnd w:id="605"/>
    </w:p>
    <w:p>
      <w:pPr>
        <w:pStyle w:val="BookText"/>
        <w:rPr/>
      </w:pPr>
      <w:r>
        <w:rPr>
          <w:rFonts w:ascii="Amiri" w:hAnsi="Amiri" w:eastAsia="Amiri" w:cs="Amiri"/>
          <w:color w:val="111111"/>
          <w:sz w:val="28"/>
          <w:sz w:val="28"/>
          <w:szCs w:val="28"/>
          <w:rtl w:val="true"/>
          <w:lang w:bidi="ar-SA"/>
        </w:rPr>
        <w:t>وهلم معي لننظر مناقشته للمضمون، فقد بنى كلامه على قاعدة لم يدلّ عليها دليل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النقطة الجوهرية تكمن بمعرفة الجهة الّتي صدر منها الاعتراض، هل هم أتباعه الشيعة أو المخالفون لهم من سائر المسلمين‌؟</w:t>
      </w:r>
    </w:p>
    <w:p>
      <w:pPr>
        <w:pStyle w:val="BookText"/>
        <w:rPr/>
      </w:pPr>
      <w:r>
        <w:rPr>
          <w:rFonts w:ascii="Amiri" w:hAnsi="Amiri" w:eastAsia="Amiri" w:cs="Amiri"/>
          <w:color w:val="111111"/>
          <w:sz w:val="28"/>
          <w:sz w:val="28"/>
          <w:szCs w:val="28"/>
          <w:rtl w:val="true"/>
          <w:lang w:bidi="ar-SA"/>
        </w:rPr>
        <w:t>فإن كان صادراً من الشيعة فيكون الاستدلال بالرواية تامّاً بتقرير المعصوم على عدم ذكر أسماء الأئمة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صادراً من غير الشيعة ممّن يخالفهم من سائر المسلمين، فلا شكّ أنّ جوابه كان خارجاً مخرج التقية، والّذي يفرض عليه إخفاء معتقده في تحريف القرآن بأنّ اللّه تعالى قد ذكر أسماء الأئمة في القرآن ولكنّ الصحابة أسقطوها طمساً للحق وإخفاءً لحق الأئمة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كان جوابه وفق عقيدة المعترض بخلو القرآن من أسماء الأئمة </w:t>
      </w:r>
      <w:r>
        <w:rPr>
          <w:rFonts w:eastAsia="Amiri" w:cs="Amiri" w:ascii="Amiri" w:hAnsi="Amiri"/>
          <w:color w:val="111111"/>
          <w:sz w:val="28"/>
          <w:szCs w:val="28"/>
          <w:rtl w:val="true"/>
          <w:lang w:bidi="ar-SA"/>
        </w:rPr>
        <w:t>.</w:t>
      </w:r>
      <w:r>
        <w:rPr>
          <w:rStyle w:val="FootnoteAnchor"/>
          <w:rtl w:val="true"/>
        </w:rPr>
        <w:footnoteReference w:id="44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استمات المؤلّف ليثبت أنّ المعترض كان من غير الشيعة، مع عدم الحاجة إلى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العقلائي في كلّ متكلّم أنّه بصدد بيان ما يعتقده، فما لم يدلّ دليل قطعي على الخلاف يؤخذ بهذا الأصل، وعلى هذا تدور رحى المحاورة بين العقلاء، فكلّ يحمل كلام الآخر على أنّه يبيّن عقيدته ومعتقداته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الصادق عليه السلام كان إماماً للمسلمين، إماماً في نقل الحديث والفقه والتفسير والأخلاق، وكان يجتمع تحت منبره مئات المسلمين بينهم من يوافق عقيدته في الإمامة ومن يخالفها، وكان الجميع يستضيئوون بضوء كلامه من دون أن يدور في خلد أحدهم بأنّ كلام الإمام مع المخالف كلام صوري غير نابع عن عقيدة راسخة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للتقية مجالاً خاصّاً وهو الخوف على النفس والنفيس، فعند ذلك يجوز للمتكلّم أن يصون نفسه وعرضه وماله بإظهار الموافقة، كما سار عليه عمار بن ياسر حيث اتّقى ونزل في حقّه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الإمام الصادق عليه السلام 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خوف لا على نفسه ولا على نفيسه، لأنّ القول بالتحريف تذهب إليه أُمّة من المخالفين حتّى قالوا بأنّه حُذف من سورة الأحزاب مائتا آية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لم يكن، في جوابه، بصدد إقناع المعترض فقط، بل هو بصدد تفهيم بعض خواصّه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دخلت الشبهة في ذهنه أيضاً، فأجاب الإمام عليه السلام بجواب يُقنع به كلّاً منهما، وهو أنّ القرآن الكريم مع</w:t>
      </w:r>
      <w:bookmarkStart w:id="606" w:name="pg16772_194645"/>
    </w:p>
    <w:p>
      <w:pPr>
        <w:pStyle w:val="BookText"/>
        <w:rPr/>
      </w:pPr>
      <w:bookmarkEnd w:id="606"/>
      <w:r>
        <w:rPr>
          <w:rFonts w:ascii="Amiri" w:hAnsi="Amiri" w:eastAsia="Amiri" w:cs="Amiri"/>
          <w:color w:val="111111"/>
          <w:sz w:val="28"/>
          <w:sz w:val="28"/>
          <w:szCs w:val="28"/>
          <w:rtl w:val="true"/>
          <w:lang w:bidi="ar-SA"/>
        </w:rPr>
        <w:t>علو مقامه وسمو مكانته لم يرد فيه كلّ الضروريات والواضحات بين المسلمين، وما ذلك إلّالأنّ الشريعة قائمة على أساسين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وبذلك ظهر أنّ ما سوّد به المؤلّف كتابه بصحائف حتّى يثبت أنّ المعترض كان من السنّة أمر لا طائل فيه، ونحن ندري قبل الشواهد الّتي أقامها المؤلّف بأن المعترض هو من المخالفين، ولكن معرفة ذلك لا تضر أبداً بالمقصود؛ لأنّ الإمام لم يكن بصدد إفهام المعترض فقط، بل كان بصدد إقناع الناقل للاعتراض أيضاً</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6963821_73709187"/>
      <w:bookmarkStart w:id="608" w:name="_Toc229"/>
      <w:bookmarkEnd w:id="607"/>
      <w:r>
        <w:rPr>
          <w:rtl w:val="true"/>
        </w:rPr>
        <w:t>الرواية الثانية</w:t>
      </w:r>
      <w:bookmarkEnd w:id="608"/>
    </w:p>
    <w:p>
      <w:pPr>
        <w:pStyle w:val="Heading6"/>
        <w:numPr>
          <w:ilvl w:val="5"/>
          <w:numId w:val="1"/>
        </w:numPr>
        <w:rPr/>
      </w:pPr>
      <w:bookmarkStart w:id="609" w:name="__RefHeading___Toc6963823_73709187"/>
      <w:bookmarkStart w:id="610" w:name="_Toc230"/>
      <w:bookmarkEnd w:id="609"/>
      <w:r>
        <w:rPr>
          <w:rtl w:val="true"/>
        </w:rPr>
        <w:t>اشارة</w:t>
      </w:r>
      <w:bookmarkEnd w:id="610"/>
    </w:p>
    <w:p>
      <w:pPr>
        <w:pStyle w:val="BookText"/>
        <w:rPr/>
      </w:pPr>
      <w:r>
        <w:rPr>
          <w:rFonts w:ascii="Amiri" w:hAnsi="Amiri" w:eastAsia="Amiri" w:cs="Amiri"/>
          <w:color w:val="111111"/>
          <w:sz w:val="28"/>
          <w:sz w:val="28"/>
          <w:szCs w:val="28"/>
          <w:rtl w:val="true"/>
          <w:lang w:bidi="ar-SA"/>
        </w:rPr>
        <w:t>روى الكليني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بن بزيع، عن عمّه حمزة بن بزيع</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بن محمد الأشعري، عن أحمد بن محمد بن عبداللّه، عن يزيد بن عبداللّه،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جعفر عليه السلام إلى سعد الخير</w:t>
      </w:r>
      <w:r>
        <w:rPr>
          <w:rFonts w:eastAsia="Amiri" w:cs="Amiri" w:ascii="Amiri" w:hAnsi="Amiri"/>
          <w:color w:val="111111"/>
          <w:sz w:val="28"/>
          <w:szCs w:val="28"/>
          <w:rtl w:val="true"/>
          <w:lang w:bidi="ar-SA"/>
        </w:rPr>
        <w:t>:</w:t>
      </w:r>
      <w:bookmarkStart w:id="611" w:name="pg16772_194646"/>
    </w:p>
    <w:p>
      <w:pPr>
        <w:pStyle w:val="BookText"/>
        <w:rPr/>
      </w:pPr>
      <w:bookmarkEnd w:id="611"/>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أمّا بعد فإنّي أُوصيك بتقوى اللّه فإنّ فيها السلامة من التلف، والغنيمة في المنقلب، إنّ اللّه عزوجل يقي بالتقوى عن العبد ما عزب عنه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أُمّة قد رفع اللّه عنهم علم الكتاب حين نبذوه وولّاهم عدوهم حين تولوه، وكان من نبذهم الكتاب، أن أقاموا حروفه وحرّفوا حدوده، فهم يرونه ولا يرعونه، والجهال يعجبهم حفظهم للرواية، والعلماء يحزنهم تركهم للرعاية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6"/>
        <w:numPr>
          <w:ilvl w:val="5"/>
          <w:numId w:val="1"/>
        </w:numPr>
        <w:rPr/>
      </w:pPr>
      <w:bookmarkStart w:id="612" w:name="__RefHeading___Toc6963825_73709187"/>
      <w:bookmarkStart w:id="613" w:name="_Toc231"/>
      <w:bookmarkEnd w:id="612"/>
      <w:r>
        <w:rPr>
          <w:rtl w:val="true"/>
        </w:rPr>
        <w:t>مناقشة المؤلّف للسند</w:t>
      </w:r>
      <w:bookmarkEnd w:id="613"/>
    </w:p>
    <w:p>
      <w:pPr>
        <w:pStyle w:val="BookText"/>
        <w:rPr/>
      </w:pPr>
      <w:r>
        <w:rPr>
          <w:rFonts w:ascii="Amiri" w:hAnsi="Amiri" w:eastAsia="Amiri" w:cs="Amiri"/>
          <w:color w:val="111111"/>
          <w:sz w:val="28"/>
          <w:sz w:val="28"/>
          <w:szCs w:val="28"/>
          <w:rtl w:val="true"/>
          <w:lang w:bidi="ar-SA"/>
        </w:rPr>
        <w:t>إنّ السند الأوّل ضعيف بسبب حمزة بن بزيع، لأنّ حمزة بن بزيع لم يدرك أبا جعفر سواء أُريد به الإمام الباقر أو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السند الثاني فهو أيضاً ضعيف لوجود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نذكر حال سند الرواية نذكر شيئاً وهو التعرّف على سعد الخير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أبو جعفر عليه السلام يسمّيه سعد الخير، وهو من ولد عبدالعزيز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جعفر عليه السلام فبينا ينشج كما تنشج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أبكي وأنا من الشجرة الملعونة في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منهم، أنت أموي منّا</w:t>
      </w:r>
    </w:p>
    <w:p>
      <w:pPr>
        <w:pStyle w:val="BookText"/>
        <w:rPr/>
      </w:pPr>
      <w:r>
        <w:rPr>
          <w:rFonts w:ascii="Amiri" w:hAnsi="Amiri" w:eastAsia="Amiri" w:cs="Amiri"/>
          <w:color w:val="111111"/>
          <w:sz w:val="28"/>
          <w:sz w:val="28"/>
          <w:szCs w:val="28"/>
          <w:rtl w:val="true"/>
          <w:lang w:bidi="ar-SA"/>
        </w:rPr>
        <w:t>أهل البيت، أما سمعت قول اللّه عزّوجل يحكي عن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فظاهر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ولد عبدالعزيز بن مروان، أنّه ولده المباشر، فيكون معاصراً للإمام الباقر عليه السلام، لأنّ عمر بن عبدالعزيز توفّي عام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فيكون سعد معاصراً للإمام الباقر عليه السلام الّذي توفّي عام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ويحتمل أن يكون هو من أحفاده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يكون المراد من أبي جعفر عليه السلام هو الإمام الباقر، وعلى الثاني يحتمل أن يكون المراد من أبي جعفر هو أبو جعفر الثاني أي الإمام الجواد عليه السلام المتوفّى عام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صياغة الحديث تشبه أن تكون من مكاتيب الإمام الجواد عليه السلام، لكن الّذي يبعده أنّ حمزة بن بزيع مات في أيام الرضا عليه السلام ولم يدرك إمامة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حمزة بن بزيع فقد اختلفت كلمات أصحابنا في حقّه، فقد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صالحي هذه الطائفة وثقاتهم كثير العمل، وروى الكشي بسنده عن الحسن بن صالح الخثعمي أنّه ذُكر بين يدي أبي الحسن الرضا عليه السلام حمزة بن بزيع فترحّم عليه</w:t>
      </w:r>
      <w:r>
        <w:rPr>
          <w:rFonts w:eastAsia="Amiri" w:cs="Amiri" w:ascii="Amiri" w:hAnsi="Amiri"/>
          <w:color w:val="111111"/>
          <w:sz w:val="28"/>
          <w:szCs w:val="28"/>
          <w:rtl w:val="true"/>
          <w:lang w:bidi="ar-SA"/>
        </w:rPr>
        <w:t>.</w:t>
      </w:r>
      <w:r>
        <w:rPr>
          <w:rStyle w:val="FootnoteAnchor"/>
          <w:rtl w:val="true"/>
        </w:rPr>
        <w:footnoteReference w:id="455"/>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وأقصى ما في الرواية أنّها مرسلة، إذ لو كان المراد بأبي جعفر هو الإمام</w:t>
      </w:r>
    </w:p>
    <w:p>
      <w:pPr>
        <w:pStyle w:val="BookText"/>
        <w:rPr/>
      </w:pPr>
      <w:r>
        <w:rPr>
          <w:rFonts w:ascii="Amiri" w:hAnsi="Amiri" w:eastAsia="Amiri" w:cs="Amiri"/>
          <w:color w:val="111111"/>
          <w:sz w:val="28"/>
          <w:sz w:val="28"/>
          <w:szCs w:val="28"/>
          <w:rtl w:val="true"/>
          <w:lang w:bidi="ar-SA"/>
        </w:rPr>
        <w:t>الباقر عليه السلام فحمزة بن بزيع في طبقة متأخّرة، ولو كان هو الإمام الجواد فهو في طبقة متقدّمة عليه، ومع ذلك يمكن تأييد الحديث بالوجه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للحديث سنداً آخر وهو أيضاً مرسل إذ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حدّثه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من السندين يعاضد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المكاتبة أشبه بكلام الأئمة، فمن أنس بكلامهم وخطبهم ومكاتيبهم يعرف الدخيل من الأصيل، والموضوع من الصحيح، فكلّ ما في هذه المكاتبة يشبه سائر كلماتهم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السيد الخوئي قدس سره لم يستدلّ بهذا الحديث على عدم التحريف، وإنّما استدلّ به على معنى التحريف وأنّه ربّما يطلق على نقل الشيء عن موضعه وتحويله إلى غيره،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بين المسلمين في وقوع مثل هذا التحريف في كتاب اللّه، فإنّ كلّ من فسّر القرآن بغير حقيقته وحمله على غير معناه فقد حرّفه، وترى كثيراً من أهل البدع والمذاهب الفاسدة قد حرّفوا القرآن بتأويلهم آياته على آرائهم وأهوائهم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قدس سره بهذا الحديث أي بالفقرة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حرّفوا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بالفقرة الأُولى الّتي هي محط كلام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مَن استدلّ بالفقرة الأُولى من الحديث،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أقاموا 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بعض الوجوه الّذي ذكرناها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للمؤلّف مناقشة حول مضمون الحديث خارجة عن موضوع البحث تركنا التعرّض لها</w:t>
      </w:r>
      <w:r>
        <w:rPr>
          <w:rFonts w:eastAsia="Amiri" w:cs="Amiri" w:ascii="Amiri" w:hAnsi="Amiri"/>
          <w:color w:val="111111"/>
          <w:sz w:val="28"/>
          <w:szCs w:val="28"/>
          <w:rtl w:val="true"/>
          <w:lang w:bidi="ar-SA"/>
        </w:rPr>
        <w:t>.</w:t>
      </w:r>
      <w:bookmarkStart w:id="614" w:name="pg16772_194649"/>
    </w:p>
    <w:p>
      <w:pPr>
        <w:pStyle w:val="Heading6"/>
        <w:numPr>
          <w:ilvl w:val="5"/>
          <w:numId w:val="1"/>
        </w:numPr>
        <w:rPr/>
      </w:pPr>
      <w:bookmarkStart w:id="615" w:name="__RefHeading___Toc6963827_73709187"/>
      <w:bookmarkStart w:id="616" w:name="_Toc232"/>
      <w:bookmarkEnd w:id="614"/>
      <w:bookmarkEnd w:id="615"/>
      <w:r>
        <w:rPr>
          <w:rtl w:val="true"/>
        </w:rPr>
        <w:t>الآن حصص الحق</w:t>
      </w:r>
      <w:bookmarkEnd w:id="616"/>
    </w:p>
    <w:p>
      <w:pPr>
        <w:pStyle w:val="BookText"/>
        <w:rPr/>
      </w:pPr>
      <w:r>
        <w:rPr>
          <w:rFonts w:ascii="Amiri" w:hAnsi="Amiri" w:eastAsia="Amiri" w:cs="Amiri"/>
          <w:color w:val="111111"/>
          <w:sz w:val="28"/>
          <w:sz w:val="28"/>
          <w:szCs w:val="28"/>
          <w:rtl w:val="true"/>
          <w:lang w:bidi="ar-SA"/>
        </w:rPr>
        <w:t>قد ظهر من هذا البحث أيضاً أنّ للقرآن مكانة سامية في نفوس المؤمنين، وأنّهم خدموا المعجزة الكبرى لنبيهم صلى الله عليه و آله و سلم من بعده، بتأسيس أنواع العلوم على وجه لم يُرَ مثله بين سائر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أكابر علماء الفريقين قد أصفقوا على سلامة القرآن عن التحريف، وأنّ القائلين به عدّة من المحدّثين الذين اغترّوا بكثرة الأحاديث وروايتها دون درايتها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القرآن المجيد قد حفظ من التحريف؛ لأنّه جُمع في عهد رسول اللّه صلى الله عليه و آله و سلم، بترتيب آيات كلّ سورة في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والاعتقاد بهذا الأصل يجعل للقرآن في النفوس منزلة راقية، على خلاف ما رواه بعض المحدّثين من أنّ القرآن لم يجمع في عهد الرسالة، بل جمعه زيد بن ثابت، من العُسب واللخاف والأكتاف وصدور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مصحف علي عليه السلام فلا يختلف مع القرآن الموجود إلّافي ترتيب السور، وهو ليس أمراً بديعاً، إذ أنّ الاعتقاد بذلك لا يسبب نفرة ولا شكّاً في القرآن الموجود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اتهام كلّ طائفة للأُخرى بالقول بالتحريف لا يعود بالنفع إلّا إلى الأعداء، دون المسلمين من الشيعة والسنّة، ولذلك فالواجب على علماء المسلمين وكتّابهم التركيز على تنزيه كلّ طائفة عن القول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نسأل الكاتب وأمثاله عن الهدف الذي يبتغونه من وراء تأليف أمثال هذه الرسائل والكتب، هل هي تصبّ في خدمة الإسلام والمسلمين كما يدّعون، أم تصبّ في خدمة أعداء الإسلام وخاصّة المبشّرين من النصارى واليهود الذين يقفون بالمرصاد للصق التهم الباطلة بالدين الإسلامي وكتابه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ندعو أصحاب هذه الأقلام بصرف أعمارهم الثمينة فيما ينفع الإسلام والمسلمين ليدفعوا بذلك السهام المرشوقة من جانب الأعداء، كما نوصيهم بأن لا يمسكوا بالقلم إلّابعد التجرّد عن العقيدة المسبّقة في حقّ كلّ طائفة من الطوائف الإسلامية ثم يرجعوا إلى مصادرها الأصلية ويأخذوا بالقول المشهور عندهم ويطرحوا القول الشاذ، وليكن قضاؤهم قضاءً عادلاً مرضياً عند اللّه تعالى، فإنّ الكلّ مسؤولون أمام اللّه وأمام رسوله صلى الله عليه و آله و سلم، والأُمّة الإسلامية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أدعو اللّه سبحانه أن يؤلّف بين أهل الإسلام ويجعل كلمتهم هي العليا، ليعيشوا أُخوة متحابّين متمثّلين قول شاعر الأهرام محمد عبدالغني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لتجمعنا العقيدة أُمّة ويضمّنا دين الهُدى أتباعا</w:t>
      </w:r>
    </w:p>
    <w:p>
      <w:pPr>
        <w:pStyle w:val="BookText"/>
        <w:rPr/>
      </w:pPr>
      <w:r>
        <w:rPr>
          <w:rFonts w:ascii="Amiri" w:hAnsi="Amiri" w:eastAsia="Amiri" w:cs="Amiri"/>
          <w:color w:val="111111"/>
          <w:sz w:val="28"/>
          <w:sz w:val="28"/>
          <w:szCs w:val="28"/>
          <w:rtl w:val="true"/>
          <w:lang w:bidi="ar-SA"/>
        </w:rPr>
        <w:t>ويؤلّف الإسلام بين قلوبنا مهما ذهبنا في الهوى أشياعا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617" w:name="pg16772_194652"/>
    </w:p>
    <w:p>
      <w:pPr>
        <w:pStyle w:val="Heading3"/>
        <w:numPr>
          <w:ilvl w:val="2"/>
          <w:numId w:val="1"/>
        </w:numPr>
        <w:rPr/>
      </w:pPr>
      <w:bookmarkStart w:id="618" w:name="__RefHeading___Toc6963829_73709187"/>
      <w:bookmarkStart w:id="619" w:name="_Toc233"/>
      <w:bookmarkEnd w:id="617"/>
      <w:bookmarkEnd w:id="618"/>
      <w:r>
        <w:rPr/>
        <w:t>7</w:t>
      </w:r>
      <w:r>
        <w:rPr>
          <w:rtl w:val="true"/>
        </w:rPr>
        <w:t xml:space="preserve"> </w:t>
      </w:r>
      <w:r>
        <w:rPr>
          <w:rtl w:val="true"/>
        </w:rPr>
        <w:t>الإعجاز البياني للقرآن الكريم</w:t>
      </w:r>
      <w:bookmarkEnd w:id="619"/>
    </w:p>
    <w:p>
      <w:pPr>
        <w:pStyle w:val="Heading4"/>
        <w:numPr>
          <w:ilvl w:val="3"/>
          <w:numId w:val="1"/>
        </w:numPr>
        <w:rPr/>
      </w:pPr>
      <w:bookmarkStart w:id="620" w:name="__RefHeading___Toc6963831_73709187"/>
      <w:bookmarkStart w:id="621" w:name="_Toc234"/>
      <w:bookmarkEnd w:id="620"/>
      <w:r>
        <w:rPr>
          <w:rtl w:val="true"/>
        </w:rPr>
        <w:t>اشارة</w:t>
      </w:r>
      <w:bookmarkEnd w:id="621"/>
    </w:p>
    <w:p>
      <w:pPr>
        <w:pStyle w:val="BookText"/>
        <w:rPr/>
      </w:pPr>
      <w:r>
        <w:rPr>
          <w:rFonts w:ascii="Amiri" w:hAnsi="Amiri" w:eastAsia="Amiri" w:cs="Amiri"/>
          <w:color w:val="111111"/>
          <w:sz w:val="28"/>
          <w:sz w:val="28"/>
          <w:szCs w:val="28"/>
          <w:rtl w:val="true"/>
          <w:lang w:bidi="ar-SA"/>
        </w:rPr>
        <w:t>إنّ إعجاز القرآن في عصر الرسالة، كان يتمثّل في فصاحة ألفاظه، وبلاغة معانيه، وروعة نظمه، وبداعة أُسلوبه الخاص، فَعَرَبُ عَصْر الرسالة وبُلَغاؤهم وحذّاقُهم في الخطابة والشعر، لمسوا أنّ القرآن في ظل عُذوبة ألفاظه وسحر معانيه وجمال تأليفه ونظمه، وبداعة سبكه، لا يُشبه الشعر ولا النثر، وأنّه كتاب جاء في قالب، لم يسبق له نظير فله جذابية خاصة، وهيبة رائعة تهتزّ بها النفوس تارة، وتقشعرّ منها الجلود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فأحسّوا بضعف الفطرة عن معارضته، ولمسوا أنّه جنس من الكلام غير ما هم فيه، ووجدوا منه ما يغمر القوة، ويخاذل النفس، مصادمةً‌، لا حيلةً ولا خدعة، مع أنّه مؤلّف من نفس الحروف الّتي هي المادة الأُولى لكلماتهم وكلمهم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المحقّقين في علوم القرآن، ومبيّني وجوه إعجازه، وإن ذكروا وجوهاً كثيرة لكون هذا الكتاب معجزاً، غير أنّ جهة إعجازه في عصر الرسالة كان متمركزاً في جانبه البياني الّذي يتمثّل في لفظه الجميل، ومعناه البليغ، ونظمه المعجب، وأُسلوبه الرائق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أدهش عُقول الفصحاء والبُلغاء في عصر النبي، ولم يزل يدهش كلَّ عربي مُلِمّ بلغته، أو غير عربي عارف باللغة العربية، من غير فرق بين جيل وجيل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للقرآن في مجالي اللفظ والمعنى كيفية خاصّة يمتاز بها عن كلّ كلام</w:t>
      </w:r>
    </w:p>
    <w:p>
      <w:pPr>
        <w:pStyle w:val="BookText"/>
        <w:rPr/>
      </w:pPr>
      <w:r>
        <w:rPr>
          <w:rFonts w:ascii="Amiri" w:hAnsi="Amiri" w:eastAsia="Amiri" w:cs="Amiri"/>
          <w:color w:val="111111"/>
          <w:sz w:val="28"/>
          <w:sz w:val="28"/>
          <w:szCs w:val="28"/>
          <w:rtl w:val="true"/>
          <w:lang w:bidi="ar-SA"/>
        </w:rPr>
        <w:t xml:space="preserve">سواه، سواء أصدر من أعظم الفُصَحاء والبُلغاء أو من غيرهم، وهذا هو الّذي لمسه العرب المعاصرون لعصر الرسالة، كما أنّهم أذعنوا بأنّ القرآن كتاب سماوي معجز، لا يقدر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عظمت طاقاته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الإتيان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عندما يُتسَاءل عن سرّ إعجازه، يتوقّف الكثير منهم في ذلك ولا يأتون بكلمة شافية تغني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ذهب إلى أنّ شأن الإعجاز عجيب، يُدْرَك ولا يمكن وصفه، كاستقامة الوزن، تُدرك ولا يمكن وصفها، وكالملاحة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مُدرك الإعجاز هو الذوق ليس إلّا، وطريق اكتساب الذوق، طول خدمة علمَيْ المعاني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للبلاغة وجوه متلثمة، وربّما تيسرت إماطة اللثام عنها لتتجلّى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نفس الإعجاز، فلا</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يحيل سبب الإعجاز إلى فرط الفصاحة والبلاغة، من دون أن يشرح السبب، ويطرحَ آيات من القرآن على منضدة التشريح، ويقارنها بكلام من كلم فصحاء العرب وبلغائهم، وأقصى ما عندهم هو التصديق بكونه معجزاً بحجة أنّ أساطين البلاغة وأساتذتها عجزوا عن الإتيان بمثله في عصر نزول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دليل إقناعي، ورجوع إلى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هناك جماعة من المحقّقين لم يقنعوا بهذا القدر دون البحث عن حقيقة إعجازه، فبحثوا ونقبوا حتى رفعوا اللثام عن وجه إعجازه، وبيّنوا الدعائم والأركان الّتي يقوم عليها تفوّقه على كلام البشر، قائلين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يمكن أن يُعَرِّف سبحانه كتابَه النازلَ على نبيّه، معجزاً وخارقاً،</w:t>
      </w:r>
    </w:p>
    <w:p>
      <w:pPr>
        <w:pStyle w:val="BookText"/>
        <w:rPr/>
      </w:pPr>
      <w:r>
        <w:rPr>
          <w:rFonts w:ascii="Amiri" w:hAnsi="Amiri" w:eastAsia="Amiri" w:cs="Amiri"/>
          <w:color w:val="111111"/>
          <w:sz w:val="28"/>
          <w:sz w:val="28"/>
          <w:szCs w:val="28"/>
          <w:rtl w:val="true"/>
          <w:lang w:bidi="ar-SA"/>
        </w:rPr>
        <w:t>ويباري الناس ويدعوهم إلى مقابلته والإتيان بمثله، ثم لا يوجد فيه حتى إشارات إلى ملاك إعجازه ووجه تفوّقه‌؟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لا يصدر عن الحكيم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ضوء ذلك، لا بُدّ لنا من الإمعان في آيات القرآن الكريم حتى نلمس ونستكشف ملاك إعجازه وخرقه للعادة، وهذا هو ما نتعاطاه في هذا التحليل والّذي تَبَيَّن لنا بعد دراسة ما كتبه المحقّقون حول إعجاز القرآن، وبعد الإمعان في نفس آيات الذكر الحكيم، أنّ ملاك تفوّقه هو الأُمور الأربعة الّتي نذكرها بعد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إنّ ما نركّز البحث عليه في المقام راجع إلى الإعجاز البياني للقرآن، الّذي كان هو محور الإعجاز في عصر النزول وعند فصحاء الجزيرة، وبُلغائهم، وبه وقع 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إعجازه من جهات أُخرى، ككون حامله أُميّاً، وكونه مبيِّناً للعلوم الكونية الّتي وصل إليها البشر بعد أحقاب من الزمن، أو إخباره عن المُغَيَّبات، أو كونه مصدراً لتشريع مُتْقَن ومتكامل، أو غير ذلك من الجهات، فلا يمكن أن نعدّها ملاكاً للتحدّي يوم ذاك، ووجه ذلك أنّ القرآن أبهر عقول العرب منذ اللحظة الأُولى لنزوله، سواء منهم في ذلك من شرح اللّه صدره للإسلام، أو من جعل على بصره غشاوة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القرآن هو العامل الحاسم في أوائل أيام الدعوة، يوم لم يكن للنبي حول ولا طول، ولم يكن للإسلام قوة ولا منعة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أن نبحث عن منبع ذلك في القرآن، قبل التشريع المُحكَم، وقبل النبوءة الغيبيَّة، وقبل العلوم الكونية، وقبل أن يصبح القرآن وحدة مكتملة تشتمل</w:t>
      </w:r>
    </w:p>
    <w:p>
      <w:pPr>
        <w:pStyle w:val="BookText"/>
        <w:rPr/>
      </w:pPr>
      <w:r>
        <w:rPr>
          <w:rFonts w:ascii="Amiri" w:hAnsi="Amiri" w:eastAsia="Amiri" w:cs="Amiri"/>
          <w:color w:val="111111"/>
          <w:sz w:val="28"/>
          <w:sz w:val="28"/>
          <w:szCs w:val="28"/>
          <w:rtl w:val="true"/>
          <w:lang w:bidi="ar-SA"/>
        </w:rPr>
        <w:t>على هذه المزايا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فقليل القرآن الّذي كان في أيام الدعوة الأُولى، كان مجرّداً عن هذه الأشياء الّتي جاءت فيما بعد، وكان مع ذلك محتوياً على هذا النبع الأصيل الّذي تذوقه العرب،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إلّاسحر يُؤثَر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نقرأ الآيات الكثيرة في هذه السور فلا نجد فيها تشريعاً محكماً، ولا علوماً كونية، ولا نجد إخباراً بالغيب يقع بعد سنين، ومع ذلك أدهش عقول العرب وتحدث عنه ابن المغيرة بعد التفكير والتقدير، بما ذكره عنه في الكتاب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إِنْ هذا إِلاّ سِحْرٌ يُؤْثَرُ</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لا بدّ إذن أنّ السحر الّذي عناه، كان كامناً في مظهر آخر غير التشريع والغيبيات والعلوم الكونية، لا بدّ أنّه كامن في صميم النسق القرآني ذاته، وكان هذا يتجلّى من خلال التعبير الجميل المؤثر المعتبر المصوّر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فالجمال الفنّي الخاص، عنصر مستقل في إثبات إعجاز القرآن</w:t>
      </w:r>
      <w:r>
        <w:rPr>
          <w:rStyle w:val="FootnoteAnchor"/>
          <w:rtl w:val="true"/>
        </w:rPr>
        <w:footnoteReference w:id="458"/>
      </w:r>
      <w:r>
        <w:rPr>
          <w:rFonts w:ascii="Amiri" w:hAnsi="Amiri" w:eastAsia="Amiri" w:cs="Amiri"/>
          <w:color w:val="111111"/>
          <w:sz w:val="28"/>
          <w:sz w:val="28"/>
          <w:szCs w:val="28"/>
          <w:rtl w:val="true"/>
          <w:lang w:bidi="ar-SA"/>
        </w:rPr>
        <w:t xml:space="preserve">، ويتجلّى ذلك في أُمور أربعة تضفي على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إعجازه وتفوّقه،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فصاحةُ ألفاظه وجمالُ عباراته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معانيه وسموُّها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روعة نظمه</w:t>
      </w:r>
      <w:r>
        <w:rPr>
          <w:rStyle w:val="FootnoteAnchor"/>
          <w:rtl w:val="true"/>
        </w:rPr>
        <w:footnoteReference w:id="459"/>
      </w:r>
      <w:r>
        <w:rPr>
          <w:rFonts w:ascii="Amiri" w:hAnsi="Amiri" w:eastAsia="Amiri" w:cs="Amiri"/>
          <w:color w:val="111111"/>
          <w:sz w:val="28"/>
          <w:sz w:val="28"/>
          <w:szCs w:val="28"/>
          <w:rtl w:val="true"/>
          <w:lang w:bidi="ar-SA"/>
        </w:rPr>
        <w:t>وتأليفه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ترابط كلماته وجُمَله، وتناسق آياته، وتآخي مضامينه، حتى كأنّها بناء واحد، متلاصق الأجزاء، متناسب الأشكال، لا</w:t>
      </w:r>
    </w:p>
    <w:p>
      <w:pPr>
        <w:pStyle w:val="BookText"/>
        <w:rPr/>
      </w:pPr>
      <w:r>
        <w:rPr>
          <w:rFonts w:ascii="Amiri" w:hAnsi="Amiri" w:eastAsia="Amiri" w:cs="Amiri"/>
          <w:color w:val="111111"/>
          <w:sz w:val="28"/>
          <w:sz w:val="28"/>
          <w:szCs w:val="28"/>
          <w:rtl w:val="true"/>
          <w:lang w:bidi="ar-SA"/>
        </w:rPr>
        <w:t>تجد فيه صَدْعاً ولا انشقاقاً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بداعة أُسلوبه الّذي ليس له مثيل في كلام العرب، فإنّ لكل من الشعر والنثر بأقسامه، أسلوباً وسبكاً خاصاً، والقرآن على أُسلوب لا يماثل واحداً من الأساليب الكلامية والمناهج الشعرية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الدعائم الأربع إذا اجتمعت، تخلق كلاماً له وقع في القلوب، وتأثير في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قرع السمع، ووصل إلى القلب، يحسّ الإنسان فيه لذّة وحلاوة في حال، وروعةً ومهابةً في أُخرى، تقشعرّ منه الجلود، وتلين به القلوب، وتنشرح به الصدور، وتغشى النفوس خشية ورهبة ووجداً وانبساطاً، ويحسّ البليغ بعجزه عن المباراة والمقابلة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كم من عدوّ للرسول صلى الله عليه و آله و سلم من رجال العرب وفُتّاكها أقبلوا يريدون اغتياله وقتله، فسمعوا آيات من القرآن، فلم يلبثوا حين قرعت مسامعهم؛ أن تَحَوّلوا عن رأيهم الأوّل، ومالوا إلى مسالمته، ودخلوا في دينه، وانقلب عداءهم موالاةً‌، وكفرهم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 قُلُوبُهُمْ إِلى ذِكْرِ اللّهِ‌</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سَمِعُوا ما أُنْزِلَ إِلَى الرَّسُولِ تَرى أَعْيُنَهُمْ تَفِيضُ مِنَ‌</w:t>
      </w:r>
      <w:bookmarkStart w:id="622" w:name="pg16772_194657"/>
    </w:p>
    <w:p>
      <w:pPr>
        <w:pStyle w:val="BookText"/>
        <w:rPr/>
      </w:pPr>
      <w:bookmarkEnd w:id="622"/>
      <w:r>
        <w:rPr>
          <w:rFonts w:ascii="Amiri" w:hAnsi="Amiri" w:eastAsia="Amiri" w:cs="Amiri"/>
          <w:color w:val="111111"/>
          <w:sz w:val="28"/>
          <w:sz w:val="28"/>
          <w:szCs w:val="28"/>
          <w:rtl w:val="true"/>
          <w:lang w:bidi="ar-SA"/>
        </w:rPr>
        <w:t>اَلدَّمْعِ مِمّا عَرَفُوا مِنَ الْحَقِّ‌</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يثبته التحليل الآتي لكلٍّ من هذه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المُدَّعى كون كلّ واحدة منها، وجهاً مستقلاً للإعجاز، وإنّما المراد أنّ كلّ واحدةٍ منها توجِد أَرْضِيَّةً خاصةً‌، ليتشكّل باجتماعها كلامٌ معجزٌ خارق، مُبهر للعقول، ومدهش للنفوس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فيجد الإنسان في نفسه العجز عن المباراة، والضعف عن التحدّي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توضيح هذه الدعائم الأربع نأتي بمقدمة نبينّ فيها معنى الفصاحة والبلاغة، حتى يتبيّن نسبة كلّ واحدة من هذه الدعائم إلى الأُخرى</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6963833_73709187"/>
      <w:bookmarkStart w:id="624" w:name="_Toc235"/>
      <w:bookmarkEnd w:id="623"/>
      <w:r>
        <w:rPr>
          <w:rtl w:val="true"/>
        </w:rPr>
        <w:t>تعريف الفصاحة</w:t>
      </w:r>
      <w:bookmarkEnd w:id="624"/>
    </w:p>
    <w:p>
      <w:pPr>
        <w:pStyle w:val="BookText"/>
        <w:rPr/>
      </w:pPr>
      <w:r>
        <w:rPr>
          <w:rFonts w:ascii="Amiri" w:hAnsi="Amiri" w:eastAsia="Amiri" w:cs="Amiri"/>
          <w:color w:val="111111"/>
          <w:sz w:val="28"/>
          <w:sz w:val="28"/>
          <w:szCs w:val="28"/>
          <w:rtl w:val="true"/>
          <w:lang w:bidi="ar-SA"/>
        </w:rPr>
        <w:t>الفصاحة يوصف بها المفرد كما يوصف بها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والفصاحة في المفرد عبارة عن خلوصه من تنافر الحروف، والغرابة، ومخالفة القياس اللغوي المستنبط من استقراء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القوم للتنافر وجهاً أو وجوهاً، والحق أنّه أمْر ذوقي، وليس رهن قرب المخارج، ولا بعدها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الفصاحة في الكلام، فهي خلوصه من ضعف التأليف وتنافر الكلمات والتعقيد، مع فصاحتها، أي يشترط مضافاً إلى الشرائط المعتبرة في فصاحة المفرد، الأُمور الثلاثة الواردة في صدر التعريف</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التعقيد تارة يحصل بسبب خلل في نظم الكلام، بمعنى تقديم ما حقّه التأخير وبالعكس، وأُخرى بسبب بُعْد المناسبة بين المعنى اللغوي والمعنى</w:t>
      </w:r>
      <w:bookmarkStart w:id="625" w:name="pg16772_194658"/>
    </w:p>
    <w:p>
      <w:pPr>
        <w:pStyle w:val="BookText"/>
        <w:rPr/>
      </w:pPr>
      <w:bookmarkEnd w:id="625"/>
      <w:r>
        <w:rPr>
          <w:rFonts w:ascii="Amiri" w:hAnsi="Amiri" w:eastAsia="Amiri" w:cs="Amiri"/>
          <w:color w:val="111111"/>
          <w:sz w:val="28"/>
          <w:sz w:val="28"/>
          <w:szCs w:val="28"/>
          <w:rtl w:val="true"/>
          <w:lang w:bidi="ar-SA"/>
        </w:rPr>
        <w:t>الكنائي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والمتكفّل لبيان الخلل في النظم هو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والمتكفّل لبيان الخلل في الانتقال من المعنى اللغوي إلى المقصود هو علم البيان، فبما أنّه علم يبحث فيه عن إيراد المعنى الواحد بطرق مختلفة في وضوح الدلالة عليه وخفائه، يشرح لنا التعقيد المعنوي ومراتبه، فإنّ لكل معنى لوازم، بعضها بلا واسطة، وبعضها بواسطة، فيمكن إيراده بعبارات مختلفة في الوضوح والخفاء</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6963835_73709187"/>
      <w:bookmarkStart w:id="627" w:name="_Toc236"/>
      <w:bookmarkEnd w:id="626"/>
      <w:r>
        <w:rPr>
          <w:rtl w:val="true"/>
        </w:rPr>
        <w:t>تعريف البلاغة</w:t>
      </w:r>
      <w:bookmarkEnd w:id="627"/>
    </w:p>
    <w:p>
      <w:pPr>
        <w:pStyle w:val="BookText"/>
        <w:rPr/>
      </w:pPr>
      <w:r>
        <w:rPr>
          <w:rFonts w:ascii="Amiri" w:hAnsi="Amiri" w:eastAsia="Amiri" w:cs="Amiri"/>
          <w:color w:val="111111"/>
          <w:sz w:val="28"/>
          <w:sz w:val="28"/>
          <w:szCs w:val="28"/>
          <w:rtl w:val="true"/>
          <w:lang w:bidi="ar-SA"/>
        </w:rPr>
        <w:t>البلاغة في الكلام عبارة عن مطابقته لمقتضى الحال، أي مطابقته للغرض الداعي إلى التكلّم على وجه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المخاطب منكراً للحكم، حال يقتضي تأكيده، والتأكيد مقتضى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كون المخاطب مستعداً لقبول الحكم، يقتضي كون الكلام عارياً عن التأكيد، والإطلاق مقتضاها، وهكذا في سائر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لزوم اعتبار فصاحة الكلام في تحقّق البلاغة، فالبلاغة لها عمادان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الكلام لمقتضى الحال،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هنا نكتة وهي أنّ القوم حصروا معنى البلاغة في هذا المعنى،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عرض المعنى موافقاً للغرض الداعي إلى التكلّم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فصاحة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وجعلوا للبلاغة بهذا المعنى طرفين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وهو حدّ الإعجاز، وهو أن يرتقي الكلام في بلاغته إلى أن يخرج عن طوق البشر ويعجزهم عن معارضته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يبلغ إلى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واحد درجات ومراتب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جعل البلاغة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العرض الصحيح المطابق للغرض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ركن الإعجاز وإن بلغ الكلام إلى نهاية الإتقان في العرض، ما لم يضمّ إليه شيء آخر، وهو إتقان المعاني وسموّ المضامين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فالمعاني المبتذلة، والمضامين المتوفّرة بين الناس إذا عرضت بشكل مطابق للغرض الداعي إلى التكلّم، لا يصير الكلام معها معجزاً خارقاً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كان على القوم الذين جعلوا الفصاحة والبلاغة ركنين للإعجاز، وملاكين له، إضافة قيد آخر، وهو كون المعاني والمضامين عالية وسامية، تسرح فيها النفوس، وتغوص فيها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نرى أنّ بعض أساتذة هذا الفن المعاصرين، عرّفوا البلاغة بشكل آخر،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تأدية المعنى الجليل واضحاً بعبارة صحيحة فصيحة، مع ملائمة كلّ كلام للموطن الّذي يقال فيه، والأشخاص الذين يخاطبون</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فترى أنّه أُضيف في التعريف وراء ملائمة كلّ كلام للموطن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مطابقة الكلام لمقتضى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كون المعنى جليلاً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المقدار من التعريف أيضاً غير وافٍ للرقيّ بالكلام إلى حدّ الإعجاز، بل يحتاج إلى دعامة أُخرى وهي بداعة الأُسلوب ورقيّه</w:t>
      </w:r>
      <w:r>
        <w:rPr>
          <w:rFonts w:eastAsia="Amiri" w:cs="Amiri" w:ascii="Amiri" w:hAnsi="Amiri"/>
          <w:color w:val="111111"/>
          <w:sz w:val="28"/>
          <w:szCs w:val="28"/>
          <w:rtl w:val="true"/>
          <w:lang w:bidi="ar-SA"/>
        </w:rPr>
        <w:t>.</w:t>
      </w:r>
      <w:bookmarkStart w:id="628" w:name="pg16772_194660"/>
    </w:p>
    <w:p>
      <w:pPr>
        <w:pStyle w:val="BookText"/>
        <w:rPr/>
      </w:pPr>
      <w:bookmarkEnd w:id="628"/>
      <w:r>
        <w:rPr>
          <w:rFonts w:ascii="Amiri" w:hAnsi="Amiri" w:eastAsia="Amiri" w:cs="Amiri"/>
          <w:color w:val="111111"/>
          <w:sz w:val="28"/>
          <w:sz w:val="28"/>
          <w:szCs w:val="28"/>
          <w:rtl w:val="true"/>
          <w:lang w:bidi="ar-SA"/>
        </w:rPr>
        <w:t xml:space="preserve">ثم إنّ علماء الإسلام قديمهم وحديثهم 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تحليل الإعجاز البياني للقرآن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بتأسيس علمي المعاني والبيان حتّى يتعرّف الناشئ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دراسة هذين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القرآن معجزة خالدة لا يمكن لأحد من البشر تحدّيه ومعارضته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بذل علماء الإسلام جهوداً مضنية لإغناء المكتبة الإسلامية بكتب البلاغة وما يتعلّق بها من علوم المعاني والبيان والبديع، فقاموا بتأليف المطوّلات والمختصرات، وكان للشيعة قدم السبق في هذا المجال كما هو شأنهم دائماً، ولأجل إيقاف القارئ على ما قدّموه نستعرض أبرز إنجازاتهم بشكل موجز</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6963837_73709187"/>
      <w:bookmarkStart w:id="630" w:name="_Toc237"/>
      <w:bookmarkEnd w:id="629"/>
      <w:r>
        <w:rPr>
          <w:rtl w:val="true"/>
        </w:rPr>
        <w:t>تقدّم الشيعة في علم البيان والمعاني والبديع</w:t>
      </w:r>
      <w:bookmarkEnd w:id="63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للشيعة دور أساسي في ازدهار العلوم الإسلامية، وكان علماؤهم في طليعة مَن تقدّموا في تأسيس فنون العلم منذ الصدر الأوّل لبزوغ الإسلام إلى وقتنا الحاضر، وأغنوا المكتبة الإسلامية في مختلف العلوم، كعلم الحديث، والفقه، وأُصول الفقه، والدراية، والرجال، والكلام والعقائد، والفرق والأديان، والنحو، والصرف، واللغة، والمعاني والبيان والبديع، والعروض، والشعر، وغيرها وقد كتبنا بحثاً مفصّلاً حول هذا الموضوع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الشيعة في بناء الحضارة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الجزء السادس من موسوعتنا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تناول تاريخ الشيعة وعقائدهم وفرقهم وشخصياتهم،</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كما طبع على شكل رسالة مستقلة، وقد سلّطنا الضوء على أبرز علمائهم وكتبهم الّتي ألّفوها، فمن أراد المزيد فليرجع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الشيعة في علم البيان والفصاحة والبديع، ومن أبرز علمائهم في هذا المضمار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المرزباني أبو عبداللّه محمد بن عمران بن موسى بن سعيد بن عبداللّه المرزباني الخراساني الأصل، البغدادي المولد والمنشأ والمدفن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صنّف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المفضّل في علم البيان والفصاحة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ابن النديم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نحو ثلاثمائة ورقة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أحمد العميدي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العلمان على عبدالقاهر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صنّف من السنّة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قدامة بن جعفر بن زياد البغدادي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بنقد قدامة، وهو في البديع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رسالة صغيرة الحجم، كبيرة المضمون حول الفصاحة والبلاغة، بترتيب خاصّ‌</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والرسالة هي من آثار علماء القرن السابع الهجري، الّذي عمّت فيه الفتن والمصائب أكثر البلدان الإسلامية، وذلك بسبب استيلاء الوثنيين عليها، ومع</w:t>
      </w:r>
    </w:p>
    <w:p>
      <w:pPr>
        <w:pStyle w:val="BookText"/>
        <w:rPr/>
      </w:pPr>
      <w:r>
        <w:rPr>
          <w:rFonts w:ascii="Amiri" w:hAnsi="Amiri" w:eastAsia="Amiri" w:cs="Amiri"/>
          <w:color w:val="111111"/>
          <w:sz w:val="28"/>
          <w:sz w:val="28"/>
          <w:szCs w:val="28"/>
          <w:rtl w:val="true"/>
          <w:lang w:bidi="ar-SA"/>
        </w:rPr>
        <w:t>ذلك نرى أنّ علمائنا لم تثن عزائمهم هذه الظروف الصعبة عن خدمة الدين وإبلاغ رسالتهم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العلّامة ميثم البحراني الّذي ألّف هذه الرسالة في أظلم العصور وأدهمها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قامت مؤسسة الإمام الصادق عليه السلام في قم المقدسة بتحقيق هذه الرسالة وطبعها في سنة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حسام الدين المؤذني، شرح مفتاح السكاكي وفرغ منه سنة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قطب الدين محمد بن محمد الرازي البويهي، من تلامذة العلّامة الحلّي، له شرح مفتاح السكاكي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بدر الدين حسن بن جعفر بن فخر الدين حسن بن نجم الدين بن الأعرج الحسيني العاملي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 الطلاب في ما يتعلّق بكلام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حسن الترتيب، ضخم في النحو والتصريف والمعاني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أئمة علم البديع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صفي الدين الحلّي، الشاعر 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 البديعية في مدح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فيها جميع أنواع البديع على نمط بديع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إبراهيم بن علي بن الحسن بن محمد بن صالح العاملي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شرح بديعيته الّتي نهج فيها منهج صفي الدين الحلي في نظم البديعية</w:t>
      </w:r>
    </w:p>
    <w:p>
      <w:pPr>
        <w:pStyle w:val="BookText"/>
        <w:rPr/>
      </w:pPr>
      <w:r>
        <w:rPr>
          <w:rFonts w:ascii="IRNazanin" w:hAnsi="IRNazanin" w:eastAsia="IRNazanin"/>
          <w:color w:val="111111"/>
          <w:sz w:val="28"/>
          <w:sz w:val="28"/>
          <w:szCs w:val="28"/>
          <w:rtl w:val="true"/>
          <w:lang w:bidi="fa-IR"/>
        </w:rPr>
        <w:t>وشرحها</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علي خان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السلافة، نظم فيه بديعيته وشرحها وطبعت مع الشرح،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الربيع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وكذلك ممّن ألّف من علماء الشيعة البارزين في علم البلاغة وما فيه من البيان والمعاني والّذي يؤكّد ريادة الشيعة لهذا المضمار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 الدين محمد بن عبدالرحمن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عبدالوهاب بن علي الحسيني الاسترآبادي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الأنموذج في علوم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اختيار بن السيد غياث الدين الحسيني،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في سنة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بهاء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مصر وبيروت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الفاضل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تمحيص التخليص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التنصيص على معاني تمحيص التخليص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الميرزا محمد رضا بن إسماعيل المشهدي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إنجاح المطالب في الفوز بالمآرب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المنظومة المحبية لابن</w:t>
      </w:r>
    </w:p>
    <w:p>
      <w:pPr>
        <w:pStyle w:val="BookText"/>
        <w:rPr/>
      </w:pPr>
      <w:r>
        <w:rPr>
          <w:rFonts w:ascii="Amiri" w:hAnsi="Amiri" w:eastAsia="Amiri" w:cs="Amiri"/>
          <w:color w:val="111111"/>
          <w:sz w:val="28"/>
          <w:sz w:val="28"/>
          <w:szCs w:val="28"/>
          <w:rtl w:val="true"/>
          <w:lang w:bidi="ar-SA"/>
        </w:rPr>
        <w:t>الشحنة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مجلة تراثنا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قوام الدين محمد بن محمد مهدي القزويني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نظمها في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سنة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هبة الدين 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والمرجان في علمي المعاني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منظومة من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نظمها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الميرزا عبدالرزاق الأحمد الآبادي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بساتين الجنان في علمي المعاني والبيان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محمد طاهر السماوي الفضلي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أُرجوزة في علوم البلاغة</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حواش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للتفتازاني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أحمد أمين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البليغ في المعاني والبيان والبديع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قم من قبل مؤسسة النشر الإسلامي،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يسير وفق منهج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للتفتازاني مع توضيح لبعض الأُمور الّتي جاءت فيه غير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وأُسلوبه واضح وسهل ومنظم ومرتّب بشكل جيد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غيرها من الكتب الكثيرة نكتفي بما ذكرناه خوف الإطالة، ومن أراد المزيد فعليه 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للطهراني</w:t>
      </w:r>
      <w:r>
        <w:rPr>
          <w:rFonts w:eastAsia="Amiri" w:cs="Amiri" w:ascii="Amiri" w:hAnsi="Amiri"/>
          <w:color w:val="111111"/>
          <w:sz w:val="28"/>
          <w:szCs w:val="28"/>
          <w:rtl w:val="true"/>
          <w:lang w:bidi="ar-SA"/>
        </w:rPr>
        <w:t>.</w:t>
      </w:r>
      <w:bookmarkStart w:id="631" w:name="pg16772_194666"/>
    </w:p>
    <w:p>
      <w:pPr>
        <w:pStyle w:val="Heading3"/>
        <w:numPr>
          <w:ilvl w:val="2"/>
          <w:numId w:val="1"/>
        </w:numPr>
        <w:rPr/>
      </w:pPr>
      <w:bookmarkStart w:id="632" w:name="__RefHeading___Toc6963839_73709187"/>
      <w:bookmarkStart w:id="633" w:name="_Toc238"/>
      <w:bookmarkEnd w:id="631"/>
      <w:bookmarkEnd w:id="632"/>
      <w:r>
        <w:rPr/>
        <w:t>8</w:t>
      </w:r>
      <w:r>
        <w:rPr>
          <w:rtl w:val="true"/>
        </w:rPr>
        <w:t xml:space="preserve"> </w:t>
      </w:r>
      <w:r>
        <w:rPr>
          <w:rtl w:val="true"/>
        </w:rPr>
        <w:t>تفسير سورة القيامة</w:t>
      </w:r>
      <w:bookmarkEnd w:id="633"/>
    </w:p>
    <w:p>
      <w:pPr>
        <w:pStyle w:val="Heading4"/>
        <w:numPr>
          <w:ilvl w:val="3"/>
          <w:numId w:val="1"/>
        </w:numPr>
        <w:rPr/>
      </w:pPr>
      <w:bookmarkStart w:id="634" w:name="__RefHeading___Toc6963841_73709187"/>
      <w:bookmarkStart w:id="635" w:name="_Toc239"/>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الحمد للّه رب العالمين، والصلاة على محمّد وآله الطيبين الطاهرين الذين أذهب اللّه عنهم الرجس وطهّرهم تطهيراً</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6963843_73709187"/>
      <w:bookmarkStart w:id="637" w:name="_Toc240"/>
      <w:bookmarkEnd w:id="636"/>
      <w:r>
        <w:rPr>
          <w:rtl w:val="true"/>
        </w:rPr>
        <w:t>تمهيد</w:t>
      </w:r>
      <w:r>
        <w:rPr>
          <w:rtl w:val="true"/>
        </w:rPr>
        <w:t>:</w:t>
      </w:r>
      <w:bookmarkEnd w:id="6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هي السورة الخامسة والسبعون من سور القرآن الكريم في المصحف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بسورة القيامة لورود القسم بها في بدء السورة،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نقل الآلوسي أنّ من أسمائها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لوروده في بدئها، ولو صحّ ما ذكره فالاسم متروك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آياتها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آيات السورة أربعون آية عند الكوفيين وعليه الترقيم</w:t>
      </w:r>
      <w:bookmarkStart w:id="638" w:name="pg16772_194667"/>
    </w:p>
    <w:p>
      <w:pPr>
        <w:pStyle w:val="BookText"/>
        <w:rPr/>
      </w:pPr>
      <w:bookmarkEnd w:id="638"/>
      <w:r>
        <w:rPr>
          <w:rFonts w:ascii="Amiri" w:hAnsi="Amiri" w:eastAsia="Amiri" w:cs="Amiri"/>
          <w:color w:val="111111"/>
          <w:sz w:val="28"/>
          <w:sz w:val="28"/>
          <w:szCs w:val="28"/>
          <w:rtl w:val="true"/>
          <w:lang w:bidi="ar-SA"/>
        </w:rPr>
        <w:t>في المصاحف المتداولة، وتسع وثلاثون عند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الاختلاف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فهو آية مستقلة عند الكوفيين، وجزء من الآية التالية عند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موضع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مكية بالاتّفاق بشهادة سياق آياتها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أغراضها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 السورة حول التنبّؤ بوقوع يوم القيامة والتذكير بأشراطه وأوصافه، ثم ما يجري على الإنسان فيه، وهل هو من أصحاب الوجوه الناضرة، أو من أصحاب الوجوه الباسرة‌؟ إلى أن ينتهي البحث إلى المعاد، والاحتجاج بأنّ القادر على النشأة الأُولى قادر على النشأة الأُخرى، إلى غير ذلك ممّا له صلة بيوم القيامة</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6963845_73709187"/>
      <w:bookmarkStart w:id="640" w:name="_Toc241"/>
      <w:bookmarkEnd w:id="639"/>
      <w:r>
        <w:rPr>
          <w:rtl w:val="true"/>
        </w:rPr>
        <w:t>الآية الأُولى والثانية</w:t>
      </w:r>
      <w:r>
        <w:rPr>
          <w:rtl w:val="true"/>
        </w:rPr>
        <w:t>:</w:t>
      </w:r>
      <w:bookmarkEnd w:id="640"/>
    </w:p>
    <w:p>
      <w:pPr>
        <w:pStyle w:val="Heading5"/>
        <w:numPr>
          <w:ilvl w:val="4"/>
          <w:numId w:val="1"/>
        </w:numPr>
        <w:rPr/>
      </w:pPr>
      <w:bookmarkStart w:id="641" w:name="__RefHeading___Toc6963847_73709187"/>
      <w:bookmarkStart w:id="642" w:name="_Toc242"/>
      <w:bookmarkEnd w:id="641"/>
      <w:r>
        <w:rPr>
          <w:rtl w:val="true"/>
        </w:rPr>
        <w:t>اشارة</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 .</w:t>
      </w:r>
    </w:p>
    <w:p>
      <w:pPr>
        <w:pStyle w:val="Heading5"/>
        <w:numPr>
          <w:ilvl w:val="4"/>
          <w:numId w:val="1"/>
        </w:numPr>
        <w:rPr/>
      </w:pPr>
      <w:bookmarkStart w:id="643" w:name="__RefHeading___Toc6963849_73709187"/>
      <w:bookmarkStart w:id="644" w:name="_Toc243"/>
      <w:bookmarkEnd w:id="643"/>
      <w:r>
        <w:rPr>
          <w:rtl w:val="true"/>
        </w:rPr>
        <w:t>المفردات</w:t>
      </w:r>
      <w:r>
        <w:rPr>
          <w:rtl w:val="true"/>
        </w:rPr>
        <w:t>:</w:t>
      </w:r>
      <w:bookmarkEnd w:id="644"/>
    </w:p>
    <w:p>
      <w:pPr>
        <w:pStyle w:val="BookText"/>
        <w:rPr/>
      </w:pPr>
      <w:r>
        <w:rPr>
          <w:rFonts w:ascii="Amiri" w:hAnsi="Amiri" w:eastAsia="Amiri" w:cs="Amiri"/>
          <w:color w:val="111111"/>
          <w:sz w:val="28"/>
          <w:sz w:val="28"/>
          <w:szCs w:val="28"/>
          <w:rtl w:val="true"/>
          <w:lang w:bidi="ar-SA"/>
        </w:rPr>
        <w:t>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النفس التي اكتسبت بعض الفضيلة فتلوم صاحبها إذا ارتكب مكروهاً، فهي دون النفس المطمئنة</w:t>
      </w:r>
      <w:r>
        <w:rPr>
          <w:rFonts w:eastAsia="Amiri" w:cs="Amiri" w:ascii="Amiri" w:hAnsi="Amiri"/>
          <w:color w:val="111111"/>
          <w:sz w:val="28"/>
          <w:szCs w:val="28"/>
          <w:rtl w:val="true"/>
          <w:lang w:bidi="ar-SA"/>
        </w:rPr>
        <w:t>.</w:t>
      </w:r>
      <w:r>
        <w:rPr>
          <w:rStyle w:val="FootnoteAnchor"/>
          <w:rtl w:val="true"/>
        </w:rPr>
        <w:footnoteReference w:id="468"/>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اللوامة ما تكون مائلة إلى الخير تارة وإلى الشر أُخرى، وتندم على الشر وتلوم عليه، فهي اللوامة</w:t>
      </w:r>
      <w:r>
        <w:rPr>
          <w:rFonts w:eastAsia="Amiri" w:cs="Amiri" w:ascii="Amiri" w:hAnsi="Amiri"/>
          <w:color w:val="111111"/>
          <w:sz w:val="28"/>
          <w:szCs w:val="28"/>
          <w:rtl w:val="true"/>
          <w:lang w:bidi="ar-SA"/>
        </w:rPr>
        <w:t>.</w:t>
      </w:r>
      <w:r>
        <w:rPr>
          <w:rStyle w:val="FootnoteAnchor"/>
          <w:rtl w:val="true"/>
        </w:rPr>
        <w:footnoteReference w:id="469"/>
      </w:r>
      <w:bookmarkStart w:id="645" w:name="pg16772_194668"/>
    </w:p>
    <w:p>
      <w:pPr>
        <w:pStyle w:val="Heading5"/>
        <w:numPr>
          <w:ilvl w:val="4"/>
          <w:numId w:val="1"/>
        </w:numPr>
        <w:rPr/>
      </w:pPr>
      <w:bookmarkStart w:id="646" w:name="__RefHeading___Toc6963851_73709187"/>
      <w:bookmarkStart w:id="647" w:name="_Toc244"/>
      <w:bookmarkEnd w:id="645"/>
      <w:bookmarkEnd w:id="646"/>
      <w:r>
        <w:rPr>
          <w:rtl w:val="true"/>
        </w:rPr>
        <w:t>التفسير</w:t>
      </w:r>
      <w:r>
        <w:rPr>
          <w:rtl w:val="true"/>
        </w:rPr>
        <w:t>:</w:t>
      </w:r>
      <w:bookmarkEnd w:id="647"/>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ورد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القرآن الكريم في صور مختلفة،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بِما تُبْصِرُونَ‌</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بِرَبِّ الْمَشارِقِ وَ الْمَغارِبِ‌</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بِالشَّفَقِ‌</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فعلى المفسّر أن يبيّن معنى الجملة في عامّة السور على نسق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ما قيل 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أي زائدة،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وسعيد بن جبير، ومثلها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يَعْلَمَ أَهْلُ الْكِتابِ‌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بوجود زيادة في القرآن لاينسجم مع كونه في نهاية الفصاحة والبلاغة، فعلى الباحث أن ينّزه القرآن الكريم عن ذلك ويثبت خلوّه عن لغوية هذه الزيادة التي لا غاية لها إلّاالإيهام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الاستشهاد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فُسّر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 عن معنى الآية، وإليك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 آمِنُوا بِرَسُولِهِ يُؤْتِكُمْ كِفْلَيْنِ مِنْ رَحْمَتِهِ وَ يَجْعَلْ لَكُمْ نُوراً تَمْشُونَ بِهِ وَ يَغْفِرْ لَكُمْ وَ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يَعْلَمَ أَهْلُ الْكِتابِ أَلاّ يَقْدِرُونَ عَلى شَيْ‌ءٍ مِنْ فَضْلِ اللّهِ وَ أَنَّ الْفَضْلَ بِيَدِ اللّهِ يُؤْتِيهِ مَنْ يَشاءُ وَ اللّهُ ذُو الْفَضْلِ الْعَظِيمِ‌</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 فإنّ المعنى هو أنّ اللّه وعد الذّين آمنوا واتقوا اللّه وآمنوا برسوله أن يؤتهم كفلين من رحمته ويجعل لهم نوراً يمشون به ويغفر لهم، وكأنّ سائلاً يسأل عن فوائد ذلك وغاياته، فأُجيب بأنّ الغاية أن لايعلم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لايعتقدوا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آمنوا لايقدرون على شيء من فضل اللّه، وذلك لأنّ الفضل 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صاحب الكشّاف كرّر القول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آيات أُخرى نذكر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ما مَنَعَكَ أَلاّ تَسْجُدَ إِذْ أَمَرْتُكَ قالَ أَنَا خَيْرٌ مِنْهُ خَلَقْتَنِي مِنْ نارٍ وَ خَلَقْتَهُ مِنْ طِينٍ‌</w:t>
      </w:r>
      <w:r>
        <w:rPr>
          <w:rFonts w:eastAsia="Amiri" w:cs="Amiri" w:ascii="Amiri" w:hAnsi="Amiri"/>
          <w:color w:val="111111"/>
          <w:sz w:val="28"/>
          <w:szCs w:val="28"/>
          <w:rtl w:val="true"/>
          <w:lang w:bidi="ar-SA"/>
        </w:rPr>
        <w:t>)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يا إِبْلِيسُ ما مَنَعَكَ أَنْ تَسْجُدَ لِما خَلَقْتُ بِيَدَيَّ أَسْتَكْبَرْتَ أَمْ كُنْتَ مِنَ الْعالِينَ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خَيْرٌ مِنْهُ خَلَقْتَنِي مِنْ نارٍ وَ خَلَقْتَهُ مِنْ طِينٍ‌</w:t>
      </w:r>
      <w:r>
        <w:rPr>
          <w:rFonts w:eastAsia="Amiri" w:cs="Amiri" w:ascii="Amiri" w:hAnsi="Amiri"/>
          <w:color w:val="111111"/>
          <w:sz w:val="28"/>
          <w:szCs w:val="28"/>
          <w:rtl w:val="true"/>
          <w:lang w:bidi="ar-SA"/>
        </w:rPr>
        <w:t>) .</w:t>
      </w:r>
      <w:r>
        <w:rPr>
          <w:rStyle w:val="FootnoteAnchor"/>
          <w:rtl w:val="true"/>
        </w:rPr>
        <w:footnoteReference w:id="478"/>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أنّ جواب إبليس في كلا السؤالين واحد، صار ذلك سبباً للقول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 لكنّ المفسّر غفل عن أنّ حيثية السؤال في الآية الأُولى تغاير حيثيته في الآية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السؤال في سورة الأعراف عن السبب الذي حمله على المخالفة، و لم يجد في نفسه أي داع إلى العمل فأشار سبحانه في سورة الأعراف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السؤال عن السبب الكامل على المعصية،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لاتسجد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السؤال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 وجود المانع عن القيام بالعمل، نعم كان الجواب من إبليس في كلا المقامين هو بيان السبب الكامل له على أن لا يسجد، لا التعليل بالمانع،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 خَلَقْتَنِي مِنْ نارٍ وَ 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أنّ سبب المخالفة هو كونه أفضل من آدم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الذين أنكروا البعث والنشور من المشركين،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كما تظنون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ابتدأ القسم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بيوم القيامة إنكم مبعوثون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تفسير هذه الآيات في الموارد التي ذكرناها على نسق واحد، مع أنّه لايصح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الآيات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النفي فيها، راجعاً إلى قول أو 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الأخذ بظهور الآية وأنّ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بِيَوْمِ الْقِيَامَةِ لظهورها بالدلائل العقلائية والسمعية، وعلى هذا يكون المقصود في الموارد الست نفي القسم لا الإقسام بيوم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الموارد ظاهر في الإقسام لا نفيه،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لَقَسَمٌ لَوْ تَعْلَمُونَ عَظِيمٌ‌</w:t>
      </w:r>
      <w:r>
        <w:rPr>
          <w:rFonts w:eastAsia="Amiri" w:cs="Amiri" w:ascii="Amiri" w:hAnsi="Amiri"/>
          <w:color w:val="111111"/>
          <w:sz w:val="28"/>
          <w:szCs w:val="28"/>
          <w:rtl w:val="true"/>
          <w:lang w:bidi="ar-SA"/>
        </w:rPr>
        <w:t>) .</w:t>
      </w:r>
      <w:r>
        <w:rPr>
          <w:rStyle w:val="FootnoteAnchor"/>
          <w:rtl w:val="true"/>
        </w:rPr>
        <w:footnoteReference w:id="480"/>
      </w:r>
      <w:r>
        <w:rPr>
          <w:rFonts w:ascii="Amiri" w:hAnsi="Amiri" w:eastAsia="Amiri" w:cs="Amiri"/>
          <w:color w:val="111111"/>
          <w:sz w:val="28"/>
          <w:sz w:val="28"/>
          <w:szCs w:val="28"/>
          <w:rtl w:val="true"/>
          <w:lang w:bidi="ar-SA"/>
        </w:rPr>
        <w:t>فإنّ الضمير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القسم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دليلاً على أنّه سبحانه أقسم بمواقع النجوم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المعنى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بيوم القيامة، ولا أُقسم بالنفس اللوامة، أُقسم بالأوّل ولا أُقسم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ضغيف غاية الضعف؛ لأنّه مخالف لسياق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أنّهما قسمان مع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زائدة، وجواب القسم محذوف، وتقديره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انّكم لتبعثون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الأُسلوب الرائج بين الناس أنّهم ربما يقسمون بشيء عزيز عليهم و لكن بنحو نفي القسم،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بنفسي، ولا أُقسم بنفسك، ولا أقسم بولدي، أنّ الأمر كذا وكذا، وهو بصورة نفي القسم بالشيء العزيز ولكن في النهاية قسم، وهذا مما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يقول 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قسم،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إقسام ثانٍ على ما يقتضيه السياق ومشاكلة اللفظ</w:t>
      </w:r>
      <w:r>
        <w:rPr>
          <w:rFonts w:eastAsia="Amiri" w:cs="Amiri" w:ascii="Amiri" w:hAnsi="Amiri"/>
          <w:color w:val="111111"/>
          <w:sz w:val="28"/>
          <w:szCs w:val="28"/>
          <w:rtl w:val="true"/>
          <w:lang w:bidi="ar-SA"/>
        </w:rPr>
        <w:t>.</w:t>
      </w:r>
      <w:r>
        <w:rPr>
          <w:rStyle w:val="FootnoteAnchor"/>
          <w:rtl w:val="true"/>
        </w:rPr>
        <w:footnoteReference w:id="481"/>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يتّضح معنى الآية، وأنّ الوحي الإلهي مصون من الإتيان بكلمة زائدة فيه لا دور لها في المعنى‌</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سمّي يوم الآخرة بيوم القيامة لأجل قيام الحساب والأشهاد والروح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قال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الْحِسابُ‌</w:t>
      </w:r>
      <w:r>
        <w:rPr>
          <w:rFonts w:eastAsia="Amiri" w:cs="Amiri" w:ascii="Amiri" w:hAnsi="Amiri"/>
          <w:color w:val="111111"/>
          <w:sz w:val="28"/>
          <w:szCs w:val="28"/>
          <w:rtl w:val="true"/>
          <w:lang w:bidi="ar-SA"/>
        </w:rPr>
        <w:t>) .</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الْأَشْهادُ</w:t>
      </w:r>
      <w:r>
        <w:rPr>
          <w:rFonts w:eastAsia="Amiri" w:cs="Amiri" w:ascii="Amiri" w:hAnsi="Amiri"/>
          <w:color w:val="111111"/>
          <w:sz w:val="28"/>
          <w:szCs w:val="28"/>
          <w:rtl w:val="true"/>
          <w:lang w:bidi="ar-SA"/>
        </w:rPr>
        <w:t>) .</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الرُّوحُ وَ الْمَلائِكَةُ‌</w:t>
      </w:r>
      <w:r>
        <w:rPr>
          <w:rFonts w:eastAsia="Amiri" w:cs="Amiri" w:ascii="Amiri" w:hAnsi="Amiri"/>
          <w:color w:val="111111"/>
          <w:sz w:val="28"/>
          <w:szCs w:val="28"/>
          <w:rtl w:val="true"/>
          <w:lang w:bidi="ar-SA"/>
        </w:rPr>
        <w:t>) .</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النّاسُ لِرَبِّ الْعالَمِينَ‌</w:t>
      </w:r>
      <w:r>
        <w:rPr>
          <w:rFonts w:eastAsia="Amiri" w:cs="Amiri" w:ascii="Amiri" w:hAnsi="Amiri"/>
          <w:color w:val="111111"/>
          <w:sz w:val="28"/>
          <w:szCs w:val="28"/>
          <w:rtl w:val="true"/>
          <w:lang w:bidi="ar-SA"/>
        </w:rPr>
        <w:t>)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وعلى هذا فوجه التسمية هو قيام الحساب وغيره من 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عبّر سبحانه عن تلك النشأة تارة بلفظ اليوم مضافاً إلى وصف، وأُخرى بالاستعانة بوصف من أوصاف ذلك اليوم دون أن يذكر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الدين،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الآخر،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عظيم،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كبير،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محيط،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الحسرة،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عقيم،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عليم،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الوقت المعلوم،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مشهود،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البعث،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الفصل،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الحساب،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التلاق،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الآزفة،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التناد،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الوعيد،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الخلود،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الخروج،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عسير،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التغابن،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اليوم الموعود،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عبوساً،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معلوم،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ريب فيه،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الفتح</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فقد أُضيف اليوم في هذه الأسماء إلى شيء يومئ إلى حال من أحوال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أي تسميته بشيء من أوصافه، فهي أيضاً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السّاعَةِ أَيّانَ مُرْساها</w:t>
      </w:r>
      <w:r>
        <w:rPr>
          <w:rFonts w:eastAsia="Amiri" w:cs="Amiri" w:ascii="Amiri" w:hAnsi="Amiri"/>
          <w:color w:val="111111"/>
          <w:sz w:val="28"/>
          <w:szCs w:val="28"/>
          <w:rtl w:val="true"/>
          <w:lang w:bidi="ar-SA"/>
        </w:rPr>
        <w:t>) .</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الآزفة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مِنْ دُونِ اللّهِ كاشِفَةٌ‌</w:t>
      </w:r>
      <w:r>
        <w:rPr>
          <w:rFonts w:eastAsia="Amiri" w:cs="Amiri" w:ascii="Amiri" w:hAnsi="Amiri"/>
          <w:color w:val="111111"/>
          <w:sz w:val="28"/>
          <w:szCs w:val="28"/>
          <w:rtl w:val="true"/>
          <w:lang w:bidi="ar-SA"/>
        </w:rPr>
        <w:t>)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بمعنى القرب، وكأنّه يشير إلى أنّ الساعة قريبة وليست ببعيدة وإن كان الناس يتخيّلون خلافه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الْحَاقَّةُ‌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الحاقّة مؤنث الحق، يطلق على شيء حتميّ الوقوع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الْقارِعَةُ‌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القرع بمعنى الضرب المبرح، وكأنّ القيامة تهزّ القلوب هزّاً شديداً،</w:t>
      </w:r>
    </w:p>
    <w:p>
      <w:pPr>
        <w:pStyle w:val="BookText"/>
        <w:rPr/>
      </w:pPr>
      <w:r>
        <w:rPr>
          <w:rFonts w:ascii="Amiri" w:hAnsi="Amiri" w:eastAsia="Amiri" w:cs="Amiri"/>
          <w:color w:val="111111"/>
          <w:sz w:val="28"/>
          <w:sz w:val="28"/>
          <w:szCs w:val="28"/>
          <w:rtl w:val="true"/>
          <w:lang w:bidi="ar-SA"/>
        </w:rPr>
        <w:t>وتقرعها بالفزع، وتقرع الكفّار بالعذاب الأليم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الطامّة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جاءَتِ الطَّامَّةُ الْكُبْرى‌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الطامّة في اللغة بمعنى المصيبة، وكأنّ المصيبة التي يواجهها الإنسان في ذلك اليوم، تُنسِي سائر المصائب التي مرّت به، ولذلك وصفت بالكبرى‌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الواقعة هي الحادثة، والاسم كناية عن عظمها وهولها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جاءَتِ الصَّاخَّةُ‌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الصاخّة هي الصوت المرعب، ولعلّها كناية عن نفخ الصور الذي سيوافيك تفصيله بإذن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المحيطة، وكأنّ الحوادث المرعبة تحيط بجميع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الَّذِينَ لا يُؤْمِنُونَ بِالْآخِرَةِ عَنِ الصِّراطِ لَناكِبُونَ‌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سمّيت بالآخرة لأنّها متأخّرة عن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وثمة آيات أُخرى تصف يوم القيامة وتذكر شيئاً من أحوالها وأهوالها،</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 ما عَمِلَتْ مِنْ سُوءٍ‌</w:t>
      </w:r>
      <w:r>
        <w:rPr>
          <w:rFonts w:eastAsia="Amiri" w:cs="Amiri" w:ascii="Amiri" w:hAnsi="Amiri"/>
          <w:color w:val="111111"/>
          <w:sz w:val="28"/>
          <w:szCs w:val="28"/>
          <w:rtl w:val="true"/>
          <w:lang w:bidi="ar-SA"/>
        </w:rPr>
        <w:t>)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 تَسْوَدُّ وُجُوهٌ‌</w:t>
      </w:r>
      <w:r>
        <w:rPr>
          <w:rFonts w:eastAsia="Amiri" w:cs="Amiri" w:ascii="Amiri" w:hAnsi="Amiri"/>
          <w:color w:val="111111"/>
          <w:sz w:val="28"/>
          <w:szCs w:val="28"/>
          <w:rtl w:val="true"/>
          <w:lang w:bidi="ar-SA"/>
        </w:rPr>
        <w:t>)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ونظائر هذه الآيات كثيرة في الذكر الحكيم لم نذكرها في عداد أسماء يوم القيامة لأنّها بصدد التوصيف لا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أَنْفُسَكُمُ‌</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يَعْلَمُ ما فِي أَنْفُسِكُمْ فَاحْذَرُوهُ‌</w:t>
      </w:r>
      <w:r>
        <w:rPr>
          <w:rFonts w:eastAsia="Amiri" w:cs="Amiri" w:ascii="Amiri" w:hAnsi="Amiri"/>
          <w:color w:val="111111"/>
          <w:sz w:val="28"/>
          <w:szCs w:val="28"/>
          <w:rtl w:val="true"/>
          <w:lang w:bidi="ar-SA"/>
        </w:rPr>
        <w:t>)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فِي نَفْسِي وَ لا أَعْلَمُ ما فِي نَفْسِكَ‌</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يُحَذِّرُكُمُ اللّهُ نَفْسَهُ‌</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فنفسه ذاته</w:t>
      </w:r>
      <w:r>
        <w:rPr>
          <w:rFonts w:eastAsia="IRNazanin" w:cs="IRNazanin"/>
          <w:color w:val="111111"/>
          <w:sz w:val="28"/>
          <w:szCs w:val="28"/>
          <w:rtl w:val="true"/>
          <w:lang w:bidi="fa-IR"/>
        </w:rPr>
        <w:t>.</w:t>
      </w:r>
      <w:r>
        <w:rPr>
          <w:rStyle w:val="FootnoteAnchor"/>
          <w:rtl w:val="true"/>
        </w:rPr>
        <w:footnoteReference w:id="498"/>
      </w:r>
      <w:bookmarkStart w:id="648" w:name="pg16772_194676"/>
    </w:p>
    <w:p>
      <w:pPr>
        <w:pStyle w:val="Heading5"/>
        <w:numPr>
          <w:ilvl w:val="4"/>
          <w:numId w:val="1"/>
        </w:numPr>
        <w:rPr/>
      </w:pPr>
      <w:bookmarkStart w:id="649" w:name="__RefHeading___Toc6963853_73709187"/>
      <w:bookmarkStart w:id="650" w:name="_Toc245"/>
      <w:bookmarkEnd w:id="648"/>
      <w:bookmarkEnd w:id="649"/>
      <w:r>
        <w:rPr>
          <w:rtl w:val="true"/>
        </w:rPr>
        <w:t>نظرية الماديّين والإلهيّين حول الروح</w:t>
      </w:r>
      <w:bookmarkEnd w:id="650"/>
    </w:p>
    <w:p>
      <w:pPr>
        <w:pStyle w:val="BookText"/>
        <w:rPr/>
      </w:pPr>
      <w:r>
        <w:rPr>
          <w:rFonts w:ascii="Amiri" w:hAnsi="Amiri" w:eastAsia="Amiri" w:cs="Amiri"/>
          <w:color w:val="111111"/>
          <w:sz w:val="28"/>
          <w:sz w:val="28"/>
          <w:szCs w:val="28"/>
          <w:rtl w:val="true"/>
          <w:lang w:bidi="ar-SA"/>
        </w:rPr>
        <w:t>زعم الماديون أنّ الإنسان ليس إلّامجموعة خلايا وعروق وأعصاب وعظام وجلد، وليس وراء الوجود المادي له موجود علوي باسم الروح، وإنّما الإنسان هو الهيكل المشهود الذي يحكم عليه بالقواعد المادّية وليس وراء ذلك شيء باسم النفس أو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الإلهيّين استدلّوا على وجود النفس الإنسانية المجرّدة عن المادة و آثارها بوجوه فلسفية وعلمية لايمكننا نقل قليل منها فضلاً عن الكثير، وإنّما نشير هنا إلى برهان حسّي وتجربيّ ذكره الشيخ الرئيس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ببرهان الطلق، لورود عبارة الهواء الطلق في تعبيره، وإليك نصّ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إفرض نفسك في حديقة زاهرة غنّاء، وأنت مستلق لاتُبصر أطرافك ولاتنتبه إلى شيء، ولا تتلامس أعضاؤك، لئلّا تحسّ بها، بل تكون منفرجة، و مرتخية في هواء طلق، لاتحسّ فيه بكيفية غريبة من حرٍّ أو بردٍ أو ما شابه، ممّا هو خارج عن 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في مثل هذه الحالة تغفل عن كلّ شيء حتى عن أعضائك الظاهرة، وقواك الداخلية، فضلاً عن الأشياء التي حولك، إلّاعن ذاتك، فلو كانت الروح نفس بدنك وأعضائك وجوارحك وجوانحك، لزم أن تغفل عن نفسك إذا غفلت عنها، والتجربة أثبتت خلافه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بكلمة مختصرة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المغفول عنه، غير اللا مغفول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يكون إدراك الإنسان نفسه من أوّل الإدراكات وأوضحها</w:t>
      </w:r>
      <w:r>
        <w:rPr>
          <w:rFonts w:eastAsia="Amiri" w:cs="Amiri" w:ascii="Amiri" w:hAnsi="Amiri"/>
          <w:color w:val="111111"/>
          <w:sz w:val="28"/>
          <w:szCs w:val="28"/>
          <w:rtl w:val="true"/>
          <w:lang w:bidi="ar-SA"/>
        </w:rPr>
        <w:t>.</w:t>
      </w:r>
      <w:r>
        <w:rPr>
          <w:rStyle w:val="FootnoteAnchor"/>
          <w:rtl w:val="true"/>
        </w:rPr>
        <w:footnoteReference w:id="499"/>
      </w:r>
      <w:bookmarkStart w:id="651" w:name="pg16772_194677"/>
    </w:p>
    <w:p>
      <w:pPr>
        <w:pStyle w:val="BookText"/>
        <w:rPr/>
      </w:pPr>
      <w:bookmarkEnd w:id="651"/>
      <w:r>
        <w:rPr>
          <w:rFonts w:ascii="Amiri" w:hAnsi="Amiri" w:eastAsia="Amiri" w:cs="Amiri"/>
          <w:color w:val="111111"/>
          <w:sz w:val="28"/>
          <w:sz w:val="28"/>
          <w:szCs w:val="28"/>
          <w:rtl w:val="true"/>
          <w:lang w:bidi="ar-SA"/>
        </w:rPr>
        <w:t xml:space="preserve">و لنقتصر بهذا البرهان، وهناك براهين أُخرى ذكرناها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 على هدى الكتاب والسنّة والعقل</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كما سنشير إلى حقيقة الروح في القرآن الكريم لاحقاً</w:t>
      </w:r>
      <w:r>
        <w:rPr>
          <w:rFonts w:eastAsia="Amiri" w:cs="Amiri" w:ascii="Amiri" w:hAnsi="Amiri"/>
          <w:color w:val="111111"/>
          <w:sz w:val="28"/>
          <w:szCs w:val="28"/>
          <w:rtl w:val="true"/>
          <w:lang w:bidi="ar-SA"/>
        </w:rPr>
        <w:t>.</w:t>
      </w:r>
      <w:r>
        <w:rPr>
          <w:rStyle w:val="FootnoteAnchor"/>
          <w:rtl w:val="true"/>
        </w:rPr>
        <w:footnoteReference w:id="501"/>
      </w:r>
    </w:p>
    <w:p>
      <w:pPr>
        <w:pStyle w:val="Heading5"/>
        <w:numPr>
          <w:ilvl w:val="4"/>
          <w:numId w:val="1"/>
        </w:numPr>
        <w:rPr/>
      </w:pPr>
      <w:bookmarkStart w:id="652" w:name="__RefHeading___Toc6963855_73709187"/>
      <w:bookmarkStart w:id="653" w:name="_Toc246"/>
      <w:bookmarkEnd w:id="652"/>
      <w:r>
        <w:rPr>
          <w:rtl w:val="true"/>
        </w:rPr>
        <w:t>مراتب النفس</w:t>
      </w:r>
      <w:bookmarkEnd w:id="653"/>
    </w:p>
    <w:p>
      <w:pPr>
        <w:pStyle w:val="Heading6"/>
        <w:numPr>
          <w:ilvl w:val="5"/>
          <w:numId w:val="1"/>
        </w:numPr>
        <w:rPr/>
      </w:pPr>
      <w:bookmarkStart w:id="654" w:name="__RefHeading___Toc6963857_73709187"/>
      <w:bookmarkStart w:id="655" w:name="_Toc247"/>
      <w:bookmarkEnd w:id="654"/>
      <w:r>
        <w:rPr>
          <w:rtl w:val="true"/>
        </w:rPr>
        <w:t>اشارة</w:t>
      </w:r>
      <w:bookmarkEnd w:id="655"/>
    </w:p>
    <w:p>
      <w:pPr>
        <w:pStyle w:val="BookText"/>
        <w:rPr/>
      </w:pPr>
      <w:r>
        <w:rPr>
          <w:rFonts w:ascii="Amiri" w:hAnsi="Amiri" w:eastAsia="Amiri" w:cs="Amiri"/>
          <w:color w:val="111111"/>
          <w:sz w:val="28"/>
          <w:sz w:val="28"/>
          <w:szCs w:val="28"/>
          <w:rtl w:val="true"/>
          <w:lang w:bidi="ar-SA"/>
        </w:rPr>
        <w:t>لا شكّ أنّه ليس للإنسان إلّانفس واحدة يعبّر عنها بالروح تارة، والنفس أُخرى، والعقل ثالثة، فالكل يشير إلى ذلك الأمر المجرّد الذي يدبر بدن الإنسان في حياته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مراتب عبّر عنها القرآن الكريم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النفس الملهمة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النفس الأمّارة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النفس اللوامة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النفس المطمئنة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النفس الراضية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النفس المرضية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الذكر الحكيم إلى الجميع في الآيات التي سيتم تفسيرها، وإليك بيان هذه المراتب واحدة بعد الأُخرى</w:t>
      </w:r>
      <w:r>
        <w:rPr>
          <w:rFonts w:eastAsia="Amiri" w:cs="Amiri" w:ascii="Amiri" w:hAnsi="Amiri"/>
          <w:color w:val="111111"/>
          <w:sz w:val="28"/>
          <w:szCs w:val="28"/>
          <w:rtl w:val="true"/>
          <w:lang w:bidi="ar-SA"/>
        </w:rPr>
        <w:t>.</w:t>
      </w:r>
      <w:bookmarkStart w:id="656" w:name="pg16772_194678"/>
    </w:p>
    <w:p>
      <w:pPr>
        <w:pStyle w:val="Heading6"/>
        <w:numPr>
          <w:ilvl w:val="5"/>
          <w:numId w:val="1"/>
        </w:numPr>
        <w:rPr/>
      </w:pPr>
      <w:bookmarkStart w:id="657" w:name="__RefHeading___Toc6963859_73709187"/>
      <w:bookmarkStart w:id="658" w:name="_Toc248"/>
      <w:bookmarkEnd w:id="656"/>
      <w:bookmarkEnd w:id="657"/>
      <w:r>
        <w:rPr/>
        <w:t>1</w:t>
      </w:r>
      <w:r>
        <w:rPr>
          <w:rtl w:val="true"/>
        </w:rPr>
        <w:t xml:space="preserve">. </w:t>
      </w:r>
      <w:r>
        <w:rPr>
          <w:rtl w:val="true"/>
        </w:rPr>
        <w:t>النفس الملهمة</w:t>
      </w:r>
      <w:r>
        <w:rPr>
          <w:rtl w:val="true"/>
        </w:rPr>
        <w:t>:</w:t>
      </w:r>
      <w:bookmarkEnd w:id="658"/>
    </w:p>
    <w:p>
      <w:pPr>
        <w:pStyle w:val="BookText"/>
        <w:rPr/>
      </w:pPr>
      <w:r>
        <w:rPr>
          <w:rFonts w:ascii="Amiri" w:hAnsi="Amiri" w:eastAsia="Amiri" w:cs="Amiri"/>
          <w:color w:val="111111"/>
          <w:sz w:val="28"/>
          <w:sz w:val="28"/>
          <w:szCs w:val="28"/>
          <w:rtl w:val="true"/>
          <w:lang w:bidi="ar-SA"/>
        </w:rPr>
        <w:t>لا شكّ أنّ كل إنسان يدرك في صميم ذاته حسن بعض الأُمور وقبح الآخر، كحسن الإحسان وقبح الظلم، وهكذا يدرك حسن العمل بالميثاق وقبح نقضه إلى غير ذلك، فهذه المدركات أُمور فطرية يدركها الإنسان بنفسه من دون أن يكتسبها من مصدر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الحكمة النظرية تنقسم إلى ضرورية ونظرية، فهكذا الحكمة العملية تنقسم إلى بديهي ونظري، فالبديهي من الإدراكات التي يستوي فيها جميع البشر على تمام الأصعدة، هي الأُمور الفطرية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 الإمام علي عليه السلام شيئاً من تعاليم الأنبياء، بالتنبيه على ما يدركه الإنسان في منهج الفطرة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وَوَاتَرَ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أَنْبِيَاءَهُ‌، لِيَسْتَأْدُوهُمْ مِيثَاقَ فِطْرَتِهِ‌، وَيُذَكِّرُوهُمْ مَنْسِيَّ نِعْمَتِهِ‌، وَيَحْتَجُّوا عَلَيْهِمْ بِالتَّبْلِيغِ‌، وَيُثِيرُوا لَهُمْ دَفَائِنَ الْعُقُولِ‌</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فلو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فإنّما ينطق بلسان الفطرة، ففطرة الإنسان قاضية بحسن الثلاثة الأُولى وقبح الثلاثة الأخيرة، وأنّه يجب أن يقوم بالعدل والإحسان وإيتاء ذي القربى و يجتنب الأُمور الأُخرى</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هذه المرتبة من النفس يشير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w:t>
      </w:r>
      <w:bookmarkStart w:id="659" w:name="pg16772_194679"/>
    </w:p>
    <w:p>
      <w:pPr>
        <w:pStyle w:val="BookText"/>
        <w:rPr/>
      </w:pPr>
      <w:bookmarkEnd w:id="659"/>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هَدَيْناهُ النَّجْدَيْنِ‌</w:t>
      </w:r>
      <w:r>
        <w:rPr>
          <w:rFonts w:eastAsia="Amiri" w:cs="Amiri" w:ascii="Amiri" w:hAnsi="Amiri"/>
          <w:color w:val="111111"/>
          <w:sz w:val="28"/>
          <w:szCs w:val="28"/>
          <w:rtl w:val="true"/>
          <w:lang w:bidi="ar-SA"/>
        </w:rPr>
        <w:t>)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 الكلام في الفطرة وعلائمها وما هو الفرق بين الأُمور الفطرية والعادية يحتاج إلى بحث مفصّل،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w:t>
      </w:r>
      <w:r>
        <w:rPr>
          <w:rStyle w:val="FootnoteAnchor"/>
          <w:rtl w:val="true"/>
        </w:rPr>
        <w:footnoteReference w:id="507"/>
      </w:r>
    </w:p>
    <w:p>
      <w:pPr>
        <w:pStyle w:val="Heading6"/>
        <w:numPr>
          <w:ilvl w:val="5"/>
          <w:numId w:val="1"/>
        </w:numPr>
        <w:rPr/>
      </w:pPr>
      <w:bookmarkStart w:id="660" w:name="__RefHeading___Toc6963861_73709187"/>
      <w:bookmarkStart w:id="661" w:name="_Toc249"/>
      <w:bookmarkEnd w:id="660"/>
      <w:r>
        <w:rPr/>
        <w:t>2</w:t>
      </w:r>
      <w:r>
        <w:rPr>
          <w:rtl w:val="true"/>
        </w:rPr>
        <w:t xml:space="preserve">. </w:t>
      </w:r>
      <w:r>
        <w:rPr>
          <w:rtl w:val="true"/>
        </w:rPr>
        <w:t>النفس الأمّارة</w:t>
      </w:r>
      <w:bookmarkEnd w:id="661"/>
    </w:p>
    <w:p>
      <w:pPr>
        <w:pStyle w:val="BookText"/>
        <w:rPr/>
      </w:pPr>
      <w:r>
        <w:rPr>
          <w:rFonts w:ascii="Amiri" w:hAnsi="Amiri" w:eastAsia="Amiri" w:cs="Amiri"/>
          <w:color w:val="111111"/>
          <w:sz w:val="28"/>
          <w:sz w:val="28"/>
          <w:szCs w:val="28"/>
          <w:rtl w:val="true"/>
          <w:lang w:bidi="ar-SA"/>
        </w:rPr>
        <w:t>يراد بالنفس الأمّارة الحالةُ التي تميل بالإنسان إلى الانزلاق نحو الشهوات وإرضاء غرائزه السافلة والميلان إلى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الوقت الذي تميل فيه النفس إلى الأُمور السافلة تجد في صميم ذاتها ميولاً إلى الأُمور السامية، وما هذا إلّا لأنّه سبحانه خلقه من نطفة أمشاج</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والمراد به الأخلاط، ولعلّه أنّ اللّه أودع في النطفة قوى مختلفة وميولاً متنوعة متضادة يشترك فيها عامّة البشر من نبي أو ولي إلى غير ذلك، ولذلك نجد أنّ يوسف عليه السلام بعد أن وصف نفسه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أَنِّي لَمْ أَخُنْهُ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وصار هذا الكلام في موقع من يزكي نفسه ويعجب بها، بادر إلى استدراك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أُبَرِّئُ نَفْسِي إِنَّ النَّفْسَ لَأَمّارَةٌ بِالسُّوءِ إِلاّ ما رَحِمَ رَبِّي إِنَّ رَبِّي غَفُورٌ رَحِيمٌ‌</w:t>
      </w:r>
      <w:r>
        <w:rPr>
          <w:rFonts w:eastAsia="Amiri" w:cs="Amiri" w:ascii="Amiri" w:hAnsi="Amiri"/>
          <w:color w:val="111111"/>
          <w:sz w:val="28"/>
          <w:szCs w:val="28"/>
          <w:rtl w:val="true"/>
          <w:lang w:bidi="ar-SA"/>
        </w:rPr>
        <w:t>) .</w:t>
      </w:r>
      <w:r>
        <w:rPr>
          <w:rStyle w:val="FootnoteAnchor"/>
          <w:rtl w:val="true"/>
        </w:rPr>
        <w:footnoteReference w:id="509"/>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بهذه القوة امتاز الإنسان عن سائر الموجودات العلوية، فلو لم يكن</w:t>
      </w:r>
      <w:bookmarkStart w:id="662" w:name="pg16772_194680"/>
    </w:p>
    <w:p>
      <w:pPr>
        <w:pStyle w:val="BookText"/>
        <w:rPr/>
      </w:pPr>
      <w:bookmarkEnd w:id="662"/>
      <w:r>
        <w:rPr>
          <w:rFonts w:ascii="Amiri" w:hAnsi="Amiri" w:eastAsia="Amiri" w:cs="Amiri"/>
          <w:color w:val="111111"/>
          <w:sz w:val="28"/>
          <w:sz w:val="28"/>
          <w:szCs w:val="28"/>
          <w:rtl w:val="true"/>
          <w:lang w:bidi="ar-SA"/>
        </w:rPr>
        <w:t>الإنسان مجهّزاً بالنفس الأمّارة لم يكن لاجتنابه عن الذنوب ومساوئ الأخلاق أي قيمة وفضل، فهو بما أنّه يجد في نفسه ميولاً إلى الهوى ولكن يكبح جماحها بالتقوى وبالرجوع إلى الفطرة وتعاليم الأنبياء، يستحق الثواب والمدح</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6963863_73709187"/>
      <w:bookmarkStart w:id="664" w:name="_Toc250"/>
      <w:bookmarkEnd w:id="663"/>
      <w:r>
        <w:rPr/>
        <w:t>3</w:t>
      </w:r>
      <w:r>
        <w:rPr>
          <w:rtl w:val="true"/>
        </w:rPr>
        <w:t xml:space="preserve">. </w:t>
      </w:r>
      <w:r>
        <w:rPr>
          <w:rtl w:val="true"/>
        </w:rPr>
        <w:t>النفس اللوامة</w:t>
      </w:r>
      <w:bookmarkEnd w:id="664"/>
    </w:p>
    <w:p>
      <w:pPr>
        <w:pStyle w:val="BookText"/>
        <w:rPr/>
      </w:pPr>
      <w:r>
        <w:rPr>
          <w:rFonts w:ascii="Amiri" w:hAnsi="Amiri" w:eastAsia="Amiri" w:cs="Amiri"/>
          <w:color w:val="111111"/>
          <w:sz w:val="28"/>
          <w:sz w:val="28"/>
          <w:szCs w:val="28"/>
          <w:rtl w:val="true"/>
          <w:lang w:bidi="ar-SA"/>
        </w:rPr>
        <w:t>اللوامة صيغة مبالغة من اللوم، وهي من مراتب النفس وليست شيئاً مستقلاً، فالآية تدلّ على أنّه في ضمير الإنسان قوة خاصّة ربما تلومه بالنسبة إلى الأعمال التي يحكم العقل بقبحها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عبارة عن الضمير الذي يؤنّب الإنسان على ما اقترفه من السيئات والآثام، خصوصاً بعد أن يفيق من سكراتها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فيجد نفسه تنحدر في دوامة الندم على ما ارتكبه وفي صميم ذاته إنابة إلى الحق، وهذا يدلّ على أنّ النفس مجبولة على الميل إلى الشهوات وفي الوقت نفسه فيها ميل إلى الحق والعدل، ولكلِّ تجلٍّ خاص، فإن غلبت الشهوات تحول دون ظهور نور العقل، فيقترف القبائح، ولكنّه ما إن تخمد شهوته، يتّضح أمامه قبح العمل فتستيقظ النفس اللوامة وتأخذ باللوم والعذل، إلى حدِّ ربما تدفع بصاحبها إلى الانتحار لعدم تحمّله وطأة الجريمة التي ارتكبها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التعبير بالوجدان الأخلاقي في علم النفس يقابله في التعبير القرآني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النفس اللوامة، فإنّ ما يوصف به ذلك الوجدان هو نفس ما نعرفه من النفس اللوامة، فإذا كانت الجريمة عظيمة بحيث لاتتحمّلها النفس التي أُلهمت الخير والشر في مرحلة الفطرة، فقد تؤدّي إلى الجنون نتيجة الضغط الوجداني أو</w:t>
      </w:r>
    </w:p>
    <w:p>
      <w:pPr>
        <w:pStyle w:val="BookText"/>
        <w:rPr/>
      </w:pPr>
      <w:r>
        <w:rPr>
          <w:rFonts w:ascii="Amiri" w:hAnsi="Amiri" w:eastAsia="Amiri" w:cs="Amiri"/>
          <w:color w:val="111111"/>
          <w:sz w:val="28"/>
          <w:sz w:val="28"/>
          <w:szCs w:val="28"/>
          <w:rtl w:val="true"/>
          <w:lang w:bidi="ar-SA"/>
        </w:rPr>
        <w:t>النفس اللوامة، فيشعر عظمة الجريمة ولايستطيع التحمّل، وبالتالي يفقد الشعور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المجرمين ما يشهد على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بسراً قائد جيش معاوية لمّا دخل الطائف، وقد كلَّمه المغيرة،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صدقتني ونصحتني، فبات بها، وخرج منها، وشيّعه المغيرة ساعة، ثم ودّعه وانصرف عنه، فخرج حتى مَرَّ ببني كنانة، وفيهم ابناعبيداللّه بن العباس وأُمّهما، فلما انتهى بُسْر إليهم، طلبهما، فدخل رجل من بني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أبوهما أوصاه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السيف من بيته وخرج، فقال له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كنّا أردنا قتلك، فلِمَ عرضت نفسك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دون جاري أعذَر لي عند اللّه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شدّ على أصحاب بُسْر بالسيف حاسراً،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فضارب بسيفه حتى قُتل، ثم قُدِّم الغلامان فقتلا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نسوة من بني كنانة، فقالت امرأة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الرجال يقتلها، فما بال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كانوا يقتلون في جاهلية ولا إسلام، واللّه إنّ سلطاناً لايشتدّ إلّابقتل الرضيع الضعيف، والشيخ الكبير، ورفع الرحمة، وقطع الأرحام لَسُلطان سوء؛ فقال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لهممت أن أضعَ فيكنّ السيف،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إنّه لأحَبُّ إليّ إن فعلت</w:t>
      </w:r>
      <w:r>
        <w:rPr>
          <w:rFonts w:eastAsia="Amiri" w:cs="Amiri" w:ascii="Amiri" w:hAnsi="Amiri"/>
          <w:color w:val="111111"/>
          <w:sz w:val="28"/>
          <w:szCs w:val="28"/>
          <w:rtl w:val="true"/>
          <w:lang w:bidi="ar-SA"/>
        </w:rPr>
        <w:t>!</w:t>
      </w:r>
      <w:r>
        <w:rPr>
          <w:rStyle w:val="FootnoteAnchor"/>
          <w:rtl w:val="true"/>
        </w:rPr>
        <w:footnoteReference w:id="510"/>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بُسر بعد ذلك إلّايسيراً حتى وسوس وذُهب عقله، فكان يهذي بالسيف،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سيفاً أقتل به، لايزال يردد ذلك حتى اتّخِذ له سيف من خشب، وكانوا يدنون منه المرفقة، فلايزال يضربها حتى‌</w:t>
      </w:r>
    </w:p>
    <w:p>
      <w:pPr>
        <w:pStyle w:val="BookText"/>
        <w:rPr/>
      </w:pPr>
      <w:r>
        <w:rPr>
          <w:rFonts w:ascii="Amiri" w:hAnsi="Amiri" w:eastAsia="Amiri" w:cs="Amiri"/>
          <w:color w:val="111111"/>
          <w:sz w:val="28"/>
          <w:sz w:val="28"/>
          <w:szCs w:val="28"/>
          <w:rtl w:val="true"/>
          <w:lang w:bidi="ar-SA"/>
        </w:rPr>
        <w:t>يُغشى عليه، فلبث كذلك إلى أن مات</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و 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بُسر بالمدينة أيام معاوية،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بالشام أيام عبدالملك بن مروان، وكان قد خرف آخر عمره</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ثم إنّ المفسّرين اختلفوا في تطبيق النفس اللوامة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يطبقونها على نفس آدم التي لم تزل تتلوم على فعلها الذي خرجت به من الجنّة، وأُخرى بالنفس الكافرة الفاجرة، وثالثة مطلق النفس لكن يخصّصون محل اللوم بيوم القيامة،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نفس برّة ولا فاجرة إلّا وهي تلوم نفسها يوم القيامة إن كانت عملت خيراً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أزددت، وإن كانت عملت سوءاً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ياليتني لم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من قبيل تطبيق الكلّي على المصداق، لأنّ الآية تحكي عن المنزلة العظيمة التي تتمتّع بها النفس إلى الحدِّ الذي أقسم بها سبحانه، ولولا عظمتها لما حلف بها سبحانه، من غير فرق بين المؤمن والكافر، فهذه موهبة من اللّه سبحانه للإنسان الذي كرّم اللّه مقامه حتى نرى أنَّ قضاة المحكمة التي أُسّست بأمر نمرود وصلوا إلى مرتبة عادوا يلومون أنفسهم لأجل عبادة الأصنام التي لاتقدر على النطق والدفاع عن نفسها، وهذا هو الذي يحكيه عنهم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إِلى أَنْفُسِهِمْ فَقالُوا إِنَّكُمْ أَنْتُمُ الظّالِمُونَ‌</w:t>
      </w:r>
      <w:r>
        <w:rPr>
          <w:rFonts w:eastAsia="Amiri" w:cs="Amiri" w:ascii="Amiri" w:hAnsi="Amiri"/>
          <w:color w:val="111111"/>
          <w:sz w:val="28"/>
          <w:szCs w:val="28"/>
          <w:rtl w:val="true"/>
          <w:lang w:bidi="ar-SA"/>
        </w:rPr>
        <w:t>) .</w:t>
      </w:r>
      <w:r>
        <w:rPr>
          <w:rStyle w:val="FootnoteAnchor"/>
          <w:rtl w:val="true"/>
        </w:rPr>
        <w:footnoteReference w:id="513"/>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 السلام لمّا حطّم الأصنام وجعلها جذاذاً إلّاكبيراً لهم لعلّ‌</w:t>
      </w:r>
      <w:bookmarkStart w:id="665" w:name="pg16772_194683"/>
    </w:p>
    <w:p>
      <w:pPr>
        <w:pStyle w:val="BookText"/>
        <w:rPr/>
      </w:pPr>
      <w:bookmarkEnd w:id="665"/>
      <w:r>
        <w:rPr>
          <w:rFonts w:ascii="Amiri" w:hAnsi="Amiri" w:eastAsia="Amiri" w:cs="Amiri"/>
          <w:color w:val="111111"/>
          <w:sz w:val="28"/>
          <w:sz w:val="28"/>
          <w:szCs w:val="28"/>
          <w:rtl w:val="true"/>
          <w:lang w:bidi="ar-SA"/>
        </w:rPr>
        <w:t>القوم يرجعون إليه ويرتدعون عن عقيدتهم بإلوهيّتها فلمّا رجعوا ووقفوا على أنّه عمل إبراهيم أحضروه للاقتصاص منه، وخاطبوه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 فَعَلْتَ هذا بِآلِهَتِنا</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 فأجابهم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كَبِيرُهُمْ‌</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ثم أمرهم بالسؤال عن الجريمة التي ارتكبها؟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الجمع من هذا السؤال وظلوا صامتين لعجزهم عن الإجابة، فعندئذ تبيّن لهم أنّ مثل هذا الصنم أحط من أن يعبد، فاستيقظ وجدانهم وأخذت نفوسهم تلومهم على النهج الذي اختطوه، بل الآلهة التي عبدوها حيث وجدوا أنّها غير خليقة بالعبادة والخضوع وهذا ما يحكي عنه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فَرَجَعُوا إِلى أَنْفُسِهِمْ فَقالُوا إِنَّكُمْ أَنْتُمُ الظّالِمُونَ‌</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أي خاطبوا أنفسهم بالظلم، فكأنّه قال بعضم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الظالمون حيث تعبدون ما لايقدر على الدفع عن نفسه، وما نرى الأمر إلّاكما قال هذا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النفس اللوامة التي تظهر بين الحين والآخر وتزجر الإنسان عن ارتكاب الذنوب</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6963865_73709187"/>
      <w:bookmarkStart w:id="667" w:name="_Toc251"/>
      <w:bookmarkEnd w:id="666"/>
      <w:r>
        <w:rPr>
          <w:rtl w:val="true"/>
        </w:rPr>
        <w:t>ما هي الصلة بين المقسم به وجواب القسم‌؟</w:t>
      </w:r>
      <w:bookmarkEnd w:id="667"/>
    </w:p>
    <w:p>
      <w:pPr>
        <w:pStyle w:val="BookText"/>
        <w:rPr/>
      </w:pPr>
      <w:r>
        <w:rPr>
          <w:rFonts w:ascii="Amiri" w:hAnsi="Amiri" w:eastAsia="Amiri" w:cs="Amiri"/>
          <w:color w:val="111111"/>
          <w:sz w:val="28"/>
          <w:sz w:val="28"/>
          <w:szCs w:val="28"/>
          <w:rtl w:val="true"/>
          <w:lang w:bidi="ar-SA"/>
        </w:rPr>
        <w:t>إنّ القسم يتشكّل من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المقسم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القسم الذي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المقسم 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أنّه يجب أن توجد بينهما صلة، فهذا أصل سائد في عامّة</w:t>
      </w:r>
      <w:bookmarkStart w:id="668" w:name="pg16772_194684"/>
    </w:p>
    <w:p>
      <w:pPr>
        <w:pStyle w:val="BookText"/>
        <w:rPr/>
      </w:pPr>
      <w:bookmarkEnd w:id="668"/>
      <w:r>
        <w:rPr>
          <w:rFonts w:ascii="Amiri" w:hAnsi="Amiri" w:eastAsia="Amiri" w:cs="Amiri"/>
          <w:color w:val="111111"/>
          <w:sz w:val="28"/>
          <w:sz w:val="28"/>
          <w:szCs w:val="28"/>
          <w:rtl w:val="true"/>
          <w:lang w:bidi="ar-SA"/>
        </w:rPr>
        <w:t>الأقسام التي وردت في الذكر الحكيم، وقد أهمل المفسّرون البحث حول الصلة بين المقسم به والمقسم له، وقد ذكرنا شيئاً من ذلك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الأقسام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الصلة هنا واضحة، أمّا الشق الأوّل أي القسم بيوم القيامة فالصلة بينه وبين الدعوة إلى البعث والإخبار عنه واضحة، و هكذا بين الإقسام بالنفس اللوامة وجواب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لتبعثنّ‌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مرّ من أنّ النفس اللوامة كما تلوم الإنسان في هذه الدنيا،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تلومه في الآخرة لما يظهر لها من الآثار السيّئة لأفعالها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التشابه بين النفس اللوامة ويوم القيامة في أنّ كّلاً منهما محكمة يُحكم فيها على الإنسان بالجزاء والعقاب، غير أنّ النفس اللوامة محكمة خاصّة لكل إنسان، يُحاكَم الإنسان فيها عن طريق النفس اللّوامة ويندد بأعماله الإجرامية، وأمّا يوم القيامة فهو محكمة عامّة تشمل جميع البشر، فهناك يظهر اللوم من كلّ إنسان قد قصّر في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تفسيرنا للآيتين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والثانية، ولكن يبقى الكلام في تفسير المراحل الأُخرى للنفس، وهي المطمئنة والراضية والمرضية، ونشير إلى معانيها على وجه الإيجاز، لكونها خارجة عن محط البحث</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6963867_73709187"/>
      <w:bookmarkStart w:id="670" w:name="_Toc252"/>
      <w:bookmarkEnd w:id="669"/>
      <w:r>
        <w:rPr/>
        <w:t>4</w:t>
      </w:r>
      <w:r>
        <w:rPr>
          <w:rtl w:val="true"/>
        </w:rPr>
        <w:t xml:space="preserve">. </w:t>
      </w:r>
      <w:r>
        <w:rPr>
          <w:rtl w:val="true"/>
        </w:rPr>
        <w:t>النفس المطمئنّة</w:t>
      </w:r>
      <w:bookmarkEnd w:id="670"/>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اطمأنّ‌، يطلق على الإنسان إذا كان هادئاً غير مضطرب ولا منزعج، إنّما الكلام في متعلّق الاطمئنان، فهل المراد اليقين بوجود اللّه ووحدانيته، أو اليقين بوعد اللّه، والإخلاص في العمل‌؟</w:t>
      </w:r>
    </w:p>
    <w:p>
      <w:pPr>
        <w:pStyle w:val="BookText"/>
        <w:rPr/>
      </w:pPr>
      <w:r>
        <w:rPr>
          <w:rFonts w:ascii="Amiri" w:hAnsi="Amiri" w:eastAsia="Amiri" w:cs="Amiri"/>
          <w:color w:val="111111"/>
          <w:sz w:val="28"/>
          <w:sz w:val="28"/>
          <w:szCs w:val="28"/>
          <w:rtl w:val="true"/>
          <w:lang w:bidi="ar-SA"/>
        </w:rPr>
        <w:t>الظاهر أنّ المراد غير ذلك؛ لأنَّ ما ذُكر من مقوّمات الاطمئنان، بل النفس المطمئنّة هي التي تسكن إلى ربها وترضى بما رضي به، فإذا تواترت عليها النعم لم تُسبّب لها الطغيان والتعالي والاستكبار، وإذا ما ضيّق عليها الفقر والعوز فلايخرجها ذلك إلى الكفر وترك الشكر فنفوسهم مستقرة في العبودية لاتخرج عن الصراط المستقيم بإفراط أو تفريط،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فالنفس المطمئنة كالجبل الراسخ لا تحركها العواصف في إدبار الدنيا وإقبالها، فهي مطمئنة عند أهوال الدنيا الرهيبة وعند تواتر النعم وغشيانها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النفس الراضية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النفس المرضية</w:t>
      </w:r>
    </w:p>
    <w:p>
      <w:pPr>
        <w:pStyle w:val="BookText"/>
        <w:rPr/>
      </w:pPr>
      <w:r>
        <w:rPr>
          <w:rFonts w:ascii="Amiri" w:hAnsi="Amiri" w:eastAsia="Amiri" w:cs="Amiri"/>
          <w:color w:val="111111"/>
          <w:sz w:val="28"/>
          <w:sz w:val="28"/>
          <w:szCs w:val="28"/>
          <w:rtl w:val="true"/>
          <w:lang w:bidi="ar-SA"/>
        </w:rPr>
        <w:t>فإذا بلغت النفس مرتبة الاطمئنان فستكون راضية بتقدير اللّه سبحانه، من غنى أو فقر أو قوة أو ضعف، سواء رفعتها السياسة إلى درجة عالية أو أنزلتها العوامل المادية وحاصرتها في زاوية الإهمال والنسيان، ففي كلّ الحالات النفس راضية بما قُدّر لها، وبالتالي إذا رضي العبد من ربه، رضي الرب منه، إذ لايسخطه تعالى إلّاخروج العبد من زيّ العبودية، فإذا لزم طريق العبودية استوجب ذلك رضا ربه عنه فصارت نفسه مرضيّة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الدعاء المروي عن الإمام الصادق عليه السلام عقيب زيارته جدّه الامام أمير المؤمنين عليه السلام، ما يشير إلى ذلك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نفسي مطمئنة بقدرك، راضية بقضائك، مولعة بذكرك ودعائك، محبّة لصفوة أوليائك، محبوبة في أرضك وسمائك، صابرة على نزول بلائك، شاكرة لفواضل نعمائك، ذاكرة لسوابغ</w:t>
      </w:r>
      <w:bookmarkStart w:id="671" w:name="pg16772_194686"/>
    </w:p>
    <w:p>
      <w:pPr>
        <w:pStyle w:val="BookText"/>
        <w:rPr/>
      </w:pPr>
      <w:bookmarkEnd w:id="671"/>
      <w:r>
        <w:rPr>
          <w:rFonts w:ascii="Amiri" w:hAnsi="Amiri" w:eastAsia="Amiri" w:cs="Amiri"/>
          <w:color w:val="111111"/>
          <w:sz w:val="28"/>
          <w:sz w:val="28"/>
          <w:szCs w:val="28"/>
          <w:rtl w:val="true"/>
          <w:lang w:bidi="ar-SA"/>
        </w:rPr>
        <w:t>آلائك، مشتاقة إلى فرحة لقائك، متزودة التقوى ليوم جزائك، مستنّة بسنن أوليائك، مفارقة لأخلاق أعدائك، مشغولة عن الدنيا بحمدك وثنائك</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6963869_73709187"/>
      <w:bookmarkStart w:id="673" w:name="_Toc253"/>
      <w:bookmarkEnd w:id="672"/>
      <w:r>
        <w:rPr>
          <w:rtl w:val="true"/>
        </w:rPr>
        <w:t>كلام حول مرضاة اللّه تعالى</w:t>
      </w:r>
      <w:bookmarkEnd w:id="673"/>
    </w:p>
    <w:p>
      <w:pPr>
        <w:pStyle w:val="BookText"/>
        <w:rPr/>
      </w:pPr>
      <w:r>
        <w:rPr>
          <w:rFonts w:ascii="Amiri" w:hAnsi="Amiri" w:eastAsia="Amiri" w:cs="Amiri"/>
          <w:color w:val="111111"/>
          <w:sz w:val="28"/>
          <w:sz w:val="28"/>
          <w:szCs w:val="28"/>
          <w:rtl w:val="true"/>
          <w:lang w:bidi="ar-SA"/>
        </w:rPr>
        <w:t>الإنسان الكامل هو الذي لايفعل شيئاً ولايتركه إلّاابتغاءً لمرضاة اللّه تبارك وتعالى، فتذوب في نفسه كلّ الحوافز، إلّاداعٍ واحد هو طلب رضا اللّه سبحانه، فإذا بلغ هذه الدرجة فقد بلغ الذروة من الكمال إلى درجة لا يتمنّى وقوع ما لم يقع أو عدم ما وقع، وإلى ذلك المقام يشير الحكيم السبزواري في منظومته،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بهجة بما قضى اللّه رضا وذو الرضا بما قضى ما اعترضا</w:t>
      </w:r>
    </w:p>
    <w:p>
      <w:pPr>
        <w:pStyle w:val="BookText"/>
        <w:rPr/>
      </w:pPr>
      <w:r>
        <w:rPr>
          <w:rFonts w:ascii="Amiri" w:hAnsi="Amiri" w:eastAsia="Amiri" w:cs="Amiri"/>
          <w:color w:val="111111"/>
          <w:sz w:val="28"/>
          <w:sz w:val="28"/>
          <w:szCs w:val="28"/>
          <w:rtl w:val="true"/>
          <w:lang w:bidi="ar-SA"/>
        </w:rPr>
        <w:t>أعظم باب اللّه، في الرضا وُعى و خازن الجنة رضواناً دُعى</w:t>
      </w:r>
    </w:p>
    <w:p>
      <w:pPr>
        <w:pStyle w:val="BookText"/>
        <w:rPr/>
      </w:pPr>
      <w:r>
        <w:rPr>
          <w:rFonts w:ascii="Amiri" w:hAnsi="Amiri" w:eastAsia="Amiri" w:cs="Amiri"/>
          <w:color w:val="111111"/>
          <w:sz w:val="28"/>
          <w:sz w:val="28"/>
          <w:szCs w:val="28"/>
          <w:rtl w:val="true"/>
          <w:lang w:bidi="ar-SA"/>
        </w:rPr>
        <w:t>فقرا على الغنى صبورٌ ارتضى وذان سيّان لصاحب الرضا</w:t>
      </w:r>
    </w:p>
    <w:p>
      <w:pPr>
        <w:pStyle w:val="BookText"/>
        <w:rPr/>
      </w:pPr>
      <w:r>
        <w:rPr>
          <w:rFonts w:ascii="Amiri" w:hAnsi="Amiri" w:eastAsia="Amiri" w:cs="Amiri"/>
          <w:color w:val="111111"/>
          <w:sz w:val="28"/>
          <w:sz w:val="28"/>
          <w:szCs w:val="28"/>
          <w:rtl w:val="true"/>
          <w:lang w:bidi="ar-SA"/>
        </w:rPr>
        <w:t>عن عارف عُمّر سبعين سنة إن لم يقل رأساً لأشياء كائنة</w:t>
      </w:r>
    </w:p>
    <w:p>
      <w:pPr>
        <w:pStyle w:val="BookText"/>
        <w:rPr/>
      </w:pPr>
      <w:r>
        <w:rPr>
          <w:rFonts w:ascii="Amiri" w:hAnsi="Amiri" w:eastAsia="Amiri" w:cs="Amiri"/>
          <w:color w:val="111111"/>
          <w:sz w:val="28"/>
          <w:sz w:val="28"/>
          <w:szCs w:val="28"/>
          <w:rtl w:val="true"/>
          <w:lang w:bidi="ar-SA"/>
        </w:rPr>
        <w:t>يا ليت لم تقع ولا لما ارتفع ممّا هو المرغوب ليته وقع</w:t>
      </w:r>
      <w:r>
        <w:rPr>
          <w:rStyle w:val="FootnoteAnchor"/>
          <w:rtl w:val="true"/>
        </w:rPr>
        <w:footnoteReference w:id="518"/>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في وصايا الإمام الباقر عليه السلام لجابر بن يزيد الجعفي ما له صلة بالمقام،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أنّك لاتكون لنا وليّاً حتّى لو اجتمع عليك أهل مصرك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سوء لم يحزنك ذلك، ولو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صالح لم يسرّك ذلك، ولكن أعرض نفسك على كتاب اللّه، فإن كنت سالكاً سبيله، زاهداً في تزهيده، راغباً في ترغيبه، خائفاً من تخويفه، فاثبت وأبشر، فإنّه لايضرّك ما قيل</w:t>
      </w:r>
      <w:bookmarkStart w:id="674" w:name="pg16772_194687"/>
    </w:p>
    <w:p>
      <w:pPr>
        <w:pStyle w:val="BookText"/>
        <w:rPr/>
      </w:pPr>
      <w:bookmarkEnd w:id="674"/>
      <w:r>
        <w:rPr>
          <w:rFonts w:ascii="Amiri" w:hAnsi="Amiri" w:eastAsia="Amiri" w:cs="Amiri"/>
          <w:color w:val="111111"/>
          <w:sz w:val="28"/>
          <w:sz w:val="28"/>
          <w:szCs w:val="28"/>
          <w:rtl w:val="true"/>
          <w:lang w:bidi="ar-SA"/>
        </w:rPr>
        <w:t>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مبائناً للقرآن فماذا يغرّك من نفسك</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وروي أنّ جابر بن عبداللّه الأنصاري رضى الله عنه ابتلي في آخر عمره بضعف الهرم والعجز، فزاره محمد بن عليّ الباقر عليه السلام فسأله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حالة أُحبّ فيها الشيخوخة على الشباب، والمرض على الصحّة، والموت على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ياجابر، فإن جعلني اللّه شيخاً أُحبّ الشيخوخة، وإن جعلني شابّاً أُحبّ الشبوبة، وإن أمرضني أحبّ المرض، وإن شفاني أحبّ الشفاء والصحّة، وإن أماتني أُحبّ الموت، وإن أبقاني أُحبّ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جابر هذا الكلام منه قبّل وجهه، وقال صدق رسول اللّه صلى الله عليه و آله و سلم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ستدرك لي ولداً اسمه اسمي، يبقر العلم بقراً كما يبقر الثور 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سمّي باقر علم الأوّلين والآخرين، أي شاقه</w:t>
      </w:r>
      <w:r>
        <w:rPr>
          <w:rFonts w:eastAsia="Amiri" w:cs="Amiri" w:ascii="Amiri" w:hAnsi="Amiri"/>
          <w:color w:val="111111"/>
          <w:sz w:val="28"/>
          <w:szCs w:val="28"/>
          <w:rtl w:val="true"/>
          <w:lang w:bidi="ar-SA"/>
        </w:rPr>
        <w:t>.</w:t>
      </w:r>
      <w:r>
        <w:rPr>
          <w:rStyle w:val="FootnoteAnchor"/>
          <w:rtl w:val="true"/>
        </w:rPr>
        <w:footnoteReference w:id="520"/>
      </w:r>
    </w:p>
    <w:p>
      <w:pPr>
        <w:pStyle w:val="Heading4"/>
        <w:numPr>
          <w:ilvl w:val="3"/>
          <w:numId w:val="1"/>
        </w:numPr>
        <w:rPr/>
      </w:pPr>
      <w:bookmarkStart w:id="675" w:name="__RefHeading___Toc6963871_73709187"/>
      <w:bookmarkStart w:id="676" w:name="_Toc254"/>
      <w:bookmarkEnd w:id="675"/>
      <w:r>
        <w:rPr>
          <w:rtl w:val="true"/>
        </w:rPr>
        <w:t>الآيات الثالثة والرابعة والخامسة</w:t>
      </w:r>
      <w:r>
        <w:rPr>
          <w:rtl w:val="true"/>
        </w:rPr>
        <w:t>:</w:t>
      </w:r>
      <w:bookmarkEnd w:id="676"/>
    </w:p>
    <w:p>
      <w:pPr>
        <w:pStyle w:val="Heading5"/>
        <w:numPr>
          <w:ilvl w:val="4"/>
          <w:numId w:val="1"/>
        </w:numPr>
        <w:rPr/>
      </w:pPr>
      <w:bookmarkStart w:id="677" w:name="__RefHeading___Toc6963873_73709187"/>
      <w:bookmarkStart w:id="678" w:name="_Toc255"/>
      <w:bookmarkEnd w:id="677"/>
      <w:r>
        <w:rPr>
          <w:rtl w:val="true"/>
        </w:rPr>
        <w:t>اشارة</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يُرِيدُ الْإِنْسانُ لِيَفْجُرَ أَمامَهُ‌</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79" w:name="__RefHeading___Toc6963875_73709187"/>
      <w:bookmarkStart w:id="680" w:name="_Toc256"/>
      <w:bookmarkEnd w:id="679"/>
      <w:r>
        <w:rPr>
          <w:rtl w:val="true"/>
        </w:rPr>
        <w:t>المفردات</w:t>
      </w:r>
      <w:r>
        <w:rPr>
          <w:rtl w:val="true"/>
        </w:rPr>
        <w:t>:</w:t>
      </w:r>
      <w:bookmarkStart w:id="681" w:name="pg16772_194688"/>
      <w:bookmarkEnd w:id="680"/>
    </w:p>
    <w:p>
      <w:pPr>
        <w:pStyle w:val="BookText"/>
        <w:rPr/>
      </w:pPr>
      <w:bookmarkEnd w:id="68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الشيء وإتقان الخلق،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فَسَوّى</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بنانة، أطراف الأصابع، وهو 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الشيء شقّاً واسعاً،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فَجَّرْنَا الْأَرْضَ عُيُوناً</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فَجَّرْنا خِلالَهُما نَهَراً</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قيل للصبح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لكونه فجّر الليل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والفجور شقّ ستر الديانة،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فجوراً، فهو فاجر، وجمعه فجّار وفجرة</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اسم للمكان، يقابله خلف، ويطلق مجازاً على الزمان المستقبل</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6963877_73709187"/>
      <w:bookmarkStart w:id="683" w:name="_Toc257"/>
      <w:bookmarkEnd w:id="682"/>
      <w:r>
        <w:rPr>
          <w:rtl w:val="true"/>
        </w:rPr>
        <w:t>التفسير</w:t>
      </w:r>
      <w:r>
        <w:rPr>
          <w:rtl w:val="true"/>
        </w:rPr>
        <w:t>:</w:t>
      </w:r>
      <w:bookmarkEnd w:id="68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يَحْسَبُ الْإِنْسانُ أَلَّنْ نَجْمَعَ عِظامَهُ‌</w:t>
      </w:r>
      <w:r>
        <w:rPr>
          <w:rFonts w:eastAsia="Amiri" w:cs="Amiri" w:ascii="Amiri" w:hAnsi="Amiri"/>
          <w:color w:val="111111"/>
          <w:sz w:val="28"/>
          <w:szCs w:val="28"/>
          <w:rtl w:val="true"/>
          <w:lang w:bidi="ar-SA"/>
        </w:rPr>
        <w:t>)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الآية دليل على جواب القسم المقدّر الذي مرّ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لتبعثن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على أنّ المخاطب يستبعد أو يستنكر إمكان جمع العظام الرميم، ويقول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تجمع هذه العظام المبعثرة في أطراف العالم، ومختلف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هذا النوع من الاستنكار في غير واحدة من الآيات، حيث كان الناس يتصوّرون أنّ جمع العظام أمر محال نقله سبحانه عنهم في الآية</w:t>
      </w:r>
    </w:p>
    <w:p>
      <w:pPr>
        <w:pStyle w:val="BookText"/>
        <w:rPr/>
      </w:pPr>
      <w:r>
        <w:rPr>
          <w:rFonts w:ascii="Amiri" w:hAnsi="Amiri" w:eastAsia="Amiri" w:cs="Amiri"/>
          <w:color w:val="111111"/>
          <w:sz w:val="28"/>
          <w:sz w:val="28"/>
          <w:szCs w:val="28"/>
          <w:rtl w:val="true"/>
          <w:lang w:bidi="ar-SA"/>
        </w:rPr>
        <w:t>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لَنا مَثَلاً وَ نَسِيَ خَلْقَهُ قالَ مَنْ يُحْيِ الْعِظامَ وَ هِيَ رَمِيمٌ‌</w:t>
      </w:r>
      <w:r>
        <w:rPr>
          <w:rFonts w:eastAsia="Amiri" w:cs="Amiri" w:ascii="Amiri" w:hAnsi="Amiri"/>
          <w:color w:val="111111"/>
          <w:sz w:val="28"/>
          <w:szCs w:val="28"/>
          <w:rtl w:val="true"/>
          <w:lang w:bidi="ar-SA"/>
        </w:rPr>
        <w:t>)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 المستنكر يقيس قدرته سبحانه بقدرة نفسه، فلمّا كان الإنسان غير قادر على إحياء العظام وجمع شتاتها فعطف عليه قدرة اللّه تعالى، وهؤلاء هم الذين يصفهم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وقد أُجيب عن هذا النوع من الاستنكار في مختلف الآيات بأجوبة قاطعة، مثلاً أُجيب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في الآية التالية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يُحْيِيهَا الَّذِي أَنْشَأَها أَوَّلَ مَرَّةٍ وَ هُوَ بِكُلِّ خَلْقٍ عَلِيمٌ‌</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يَبْدَؤُا الْخَلْقَ ثُمَّ يُعِيدُهُ وَ هُوَ أَهْوَنُ عَلَيْهِ‌</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 وبما أنّا بسطنا الكلام في الإجابة عن هذه الشبهة في موسوعتنا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نقتصر بذلك ونعود إلى تفسير الآية التالية</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تسوية البنان عبارة عن تصويرها على ما هي عليه من الصور والخطوط،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نجمع العظام مضافاً إلى تصوير بنانه على الصورة التي كانت عليها في الخلق الأوّل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أثبت العلم الحديث أنّ كلّ إنسان تختلف بصمات أنامله عن الإنسان الآخر، ولايوجد فردان يتساويان في بصمات الأنامل حتى التوائم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بذلك ظهر وجه الترقي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قادر على جمع العظام بل على الأعظم منه وهو تسوية البنان بما لها من الصور والخصوصيات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لبنان الإنسان دوراً كبيراً في القبض والبسط والأخذ والردّ، كما أنّ لها دوراً في الأعمال الدقيقة والصنائع الظريفة، فلولا البنان لما استطاع الإنسان الكتابة وتدوين الأفكار والنظريات وبالتالي تُعَرقَل مسيرةَ العلم وتتأخر عجلة تطور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قصّة ظريفة وهي أنّ شيخنا الرضي الزنوزي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أعلام الفقه المحنكين في تبريز، قلّما يتفق بين الفقهاء مثله، وكان أخوه طبيباً ماهراً، وله كتاب في تاريخ الأطباء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البيت إذ دخل عليّ أحد المؤمنين، وطلب منّي الاستخارة ففتحت المصحف بعد الدعاء الخاص، فخرجت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بعد ذلك سألت الأخ المؤمن عن الغاية من هذه الاستخارة،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أناملي مجروحة وأُريد أن أذهب إلى أخيك لمداواتها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تكون الاستخارة هادية إلى طالب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يُرِيدُ الْإِنْسانُ لِيَفْجُرَ أَمامَهُ‌</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ترشدنا إلى سبب استنكارهم المعاد واستبعادهم له، وتشدّقهم</w:t>
      </w:r>
    </w:p>
    <w:p>
      <w:pPr>
        <w:pStyle w:val="BookText"/>
        <w:rPr/>
      </w:pPr>
      <w:r>
        <w:rPr>
          <w:rFonts w:ascii="Amiri" w:hAnsi="Amiri" w:eastAsia="Amiri" w:cs="Amiri"/>
          <w:color w:val="111111"/>
          <w:sz w:val="28"/>
          <w:sz w:val="28"/>
          <w:szCs w:val="28"/>
          <w:rtl w:val="true"/>
          <w:lang w:bidi="ar-SA"/>
        </w:rPr>
        <w:t>بكلام خشن لايناسب قدرة اللّه سبحانه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يُحْيِ الْعِظامَ وَ هِيَ رَمِيمٌ‌ </w:t>
      </w:r>
      <w:r>
        <w:rPr>
          <w:rFonts w:eastAsia="Amiri" w:cs="Amiri" w:ascii="Amiri" w:hAnsi="Amiri"/>
          <w:color w:val="111111"/>
          <w:sz w:val="28"/>
          <w:szCs w:val="28"/>
          <w:rtl w:val="true"/>
          <w:lang w:bidi="ar-SA"/>
        </w:rPr>
        <w:t xml:space="preserve">) </w:t>
      </w:r>
      <w:r>
        <w:rPr>
          <w:rStyle w:val="FootnoteAnchor"/>
          <w:rtl w:val="true"/>
        </w:rPr>
        <w:footnoteReference w:id="53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السبب لإنكار المعاد هو أنّ المنكرين يريدون شقّ ستر الديانة والعصيان، والمخالفة وعدم الالتزام بشيء من المنهيات، فلذلك عادوا يستنكرون المعاد، لمّا عرفوا أنّ الاعتقاد به لاينسجم مع ميل الإنسان إلى التحرّر عن القيود والضوابط التي يراها تقييداً للحرية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من جانب يريد التوغّل في الشهوات والأهواء والخروج عن الحدود الشرعية، ومن جانب آخر يرى أنّ الاعتقاد بالمعاد على طرف النقيض من تلك الميول، فيعود يقدم الميول ويستنكر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فالغاية من إنكار المعاد التحرّر من كلّ قيد، ومن كلّ التزام عقلي وشرعي، ولذلك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لِيَفْجُرَ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ويعصي مستقبل حياته وبقيّة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هذا النوع من الاستنكار مختصّاً بالاعتقاد بيوم القيامة، بل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يرض بتشريعه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أنّ قسماً من تعاليمه على طرف النقيض من منافعه ومصالحه فيقوم بإنكاره، وفي الوقت نفسه لو كانت هذه القوانين تصبّ في مصلحته فهو يعود إلى تأييدها والالتزام بها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عبيد الدنيا، والدين لعق على ألسنتهم، يحوطونه ما درّت معائشهم، 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نهاية الكلام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يذكر ارتكاب الحرام والمنكرات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عرفت أنّه عبارة عن شقّ ستر الديانة، ولعلّ التعبير عن ارتكاب الحرام بالفجور إشارة إلى أنّ كلّ جريمة تصدر من الإنسان مسبوقة في بدء الحياة بميول ضعيفة نحو الجريمة، غير أنّه إذا ازدادت هذه الميول واشتدت إلى حدّ قد بلغ مرحلة لايستطيع كبح جماح الهوى، فعند ذلك تورث التفجّر وتدفع بالإنسان نحو الجريمة</w:t>
      </w:r>
      <w:r>
        <w:rPr>
          <w:rFonts w:eastAsia="Amiri" w:cs="Amiri" w:ascii="Amiri" w:hAnsi="Amiri"/>
          <w:color w:val="111111"/>
          <w:sz w:val="28"/>
          <w:szCs w:val="28"/>
          <w:rtl w:val="true"/>
          <w:lang w:bidi="ar-SA"/>
        </w:rPr>
        <w:t>.</w:t>
      </w:r>
      <w:bookmarkStart w:id="684" w:name="pg16772_194693"/>
    </w:p>
    <w:p>
      <w:pPr>
        <w:pStyle w:val="Heading4"/>
        <w:numPr>
          <w:ilvl w:val="3"/>
          <w:numId w:val="1"/>
        </w:numPr>
        <w:rPr/>
      </w:pPr>
      <w:bookmarkStart w:id="685" w:name="__RefHeading___Toc6963879_73709187"/>
      <w:bookmarkStart w:id="686" w:name="_Toc258"/>
      <w:bookmarkEnd w:id="684"/>
      <w:bookmarkEnd w:id="685"/>
      <w:r>
        <w:rPr>
          <w:rtl w:val="true"/>
        </w:rPr>
        <w:t>الآية السادسة</w:t>
      </w:r>
      <w:r>
        <w:rPr>
          <w:rtl w:val="true"/>
        </w:rPr>
        <w:t>:</w:t>
      </w:r>
      <w:bookmarkEnd w:id="686"/>
    </w:p>
    <w:p>
      <w:pPr>
        <w:pStyle w:val="Heading5"/>
        <w:numPr>
          <w:ilvl w:val="4"/>
          <w:numId w:val="1"/>
        </w:numPr>
        <w:rPr/>
      </w:pPr>
      <w:bookmarkStart w:id="687" w:name="__RefHeading___Toc6963881_73709187"/>
      <w:bookmarkStart w:id="688" w:name="_Toc259"/>
      <w:bookmarkEnd w:id="687"/>
      <w:r>
        <w:rPr>
          <w:rtl w:val="true"/>
        </w:rPr>
        <w:t>اشارة</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 أَيّانَ يَوْمُ الْقِيامَةِ‌</w:t>
      </w:r>
      <w:r>
        <w:rPr>
          <w:rFonts w:eastAsia="Amiri" w:cs="Amiri" w:ascii="Amiri" w:hAnsi="Amiri"/>
          <w:color w:val="111111"/>
          <w:sz w:val="28"/>
          <w:szCs w:val="28"/>
          <w:rtl w:val="true"/>
          <w:lang w:bidi="ar-SA"/>
        </w:rPr>
        <w:t>) .</w:t>
      </w:r>
    </w:p>
    <w:p>
      <w:pPr>
        <w:pStyle w:val="Heading5"/>
        <w:numPr>
          <w:ilvl w:val="4"/>
          <w:numId w:val="1"/>
        </w:numPr>
        <w:rPr/>
      </w:pPr>
      <w:bookmarkStart w:id="689" w:name="__RefHeading___Toc6963883_73709187"/>
      <w:bookmarkStart w:id="690" w:name="_Toc260"/>
      <w:bookmarkEnd w:id="689"/>
      <w:r>
        <w:rPr>
          <w:rtl w:val="true"/>
        </w:rPr>
        <w:t>المفردات</w:t>
      </w:r>
      <w:r>
        <w:rPr>
          <w:rtl w:val="true"/>
        </w:rPr>
        <w:t>:</w:t>
      </w:r>
      <w:bookmarkEnd w:id="690"/>
    </w:p>
    <w:p>
      <w:pPr>
        <w:pStyle w:val="BookText"/>
        <w:rPr/>
      </w:pP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زمان للبعيد،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السّاعَةِ أَيّانَ مُرْساها</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 w:name="__RefHeading___Toc6963885_73709187"/>
      <w:bookmarkStart w:id="692" w:name="_Toc261"/>
      <w:bookmarkEnd w:id="691"/>
      <w:r>
        <w:rPr>
          <w:rtl w:val="true"/>
        </w:rPr>
        <w:t>التفسير</w:t>
      </w:r>
      <w:r>
        <w:rPr>
          <w:rtl w:val="true"/>
        </w:rPr>
        <w:t>:</w:t>
      </w:r>
      <w:bookmarkEnd w:id="692"/>
    </w:p>
    <w:p>
      <w:pPr>
        <w:pStyle w:val="BookText"/>
        <w:rPr/>
      </w:pPr>
      <w:r>
        <w:rPr>
          <w:rFonts w:ascii="Amiri" w:hAnsi="Amiri" w:eastAsia="Amiri" w:cs="Amiri"/>
          <w:color w:val="111111"/>
          <w:sz w:val="28"/>
          <w:sz w:val="28"/>
          <w:szCs w:val="28"/>
          <w:rtl w:val="true"/>
          <w:lang w:bidi="ar-SA"/>
        </w:rPr>
        <w:t>إنّ هؤلاء الذين أنكروا جمع العظام وتسوية البنان عادوا يسألون النبي صلى الله عليه و آله عن وقت القيامة وتعيين زمانها بالضبط، ومن المعلوم أنّ هذا السؤال ليس سؤالاً جدّياً بل هو أشبه بالهزل،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إذا أخبر بوقوع القيامة في المستقبل يجب أن يؤخذ بقوله، فالسؤال عندئذ عن وقتها بصورة الشكّ والتردّيد ساقط عند المؤمن باللّه والّذي صدق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خصّ العلم بوقت القيامة لنفسه،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السّاعَةِ أَيّانَ مُرْساها قُلْ إِنَّما عِلْمُها عِنْدَ رَبِّي لا يُجَلِّيها لِوَقْتِها إِلاّ هُوَ</w:t>
      </w:r>
      <w:r>
        <w:rPr>
          <w:rFonts w:eastAsia="Amiri" w:cs="Amiri" w:ascii="Amiri" w:hAnsi="Amiri"/>
          <w:color w:val="111111"/>
          <w:sz w:val="28"/>
          <w:szCs w:val="28"/>
          <w:rtl w:val="true"/>
          <w:lang w:bidi="ar-SA"/>
        </w:rPr>
        <w:t>) .</w:t>
      </w:r>
      <w:r>
        <w:rPr>
          <w:rStyle w:val="FootnoteAnchor"/>
          <w:rtl w:val="true"/>
        </w:rPr>
        <w:footnoteReference w:id="539"/>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لايترتّب على الاجابة عن هذا السؤال أي فائدة، فلنفرض أنّه</w:t>
      </w:r>
      <w:bookmarkStart w:id="693" w:name="pg16772_194694"/>
    </w:p>
    <w:p>
      <w:pPr>
        <w:pStyle w:val="BookText"/>
        <w:rPr/>
      </w:pPr>
      <w:bookmarkEnd w:id="693"/>
      <w:r>
        <w:rPr>
          <w:rFonts w:ascii="Amiri" w:hAnsi="Amiri" w:eastAsia="Amiri" w:cs="Amiri"/>
          <w:color w:val="111111"/>
          <w:sz w:val="28"/>
          <w:sz w:val="28"/>
          <w:szCs w:val="28"/>
          <w:rtl w:val="true"/>
          <w:lang w:bidi="ar-SA"/>
        </w:rPr>
        <w:t>سبحانه أجابهم وقال بأنّ الساعة بعد عشرة آلاف سنة، أو أكثر، فماذا يترتّب عليها من الفائدة‌؟ 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أُجيبوا عن سؤالهم على وجه الضبط والدقة كيف يمكن إثبات ذلك للخصم‌؟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يدلّ على أنّ في هذا النوع من الأسئلة شغباً وتبريراً لانغماسهم بالشهوات والجرائم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نرى أنّه سبحانه أجاب عن سؤالهم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مكان تعيين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آخر،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تعيين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أهوالها، وهذا ما سنراه في الآيات التالية</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6963887_73709187"/>
      <w:bookmarkStart w:id="695" w:name="_Toc262"/>
      <w:bookmarkEnd w:id="694"/>
      <w:r>
        <w:rPr>
          <w:rtl w:val="true"/>
        </w:rPr>
        <w:t>الآيات السابعة إلى الثالثة عشرة</w:t>
      </w:r>
      <w:bookmarkEnd w:id="695"/>
    </w:p>
    <w:p>
      <w:pPr>
        <w:pStyle w:val="Heading5"/>
        <w:numPr>
          <w:ilvl w:val="4"/>
          <w:numId w:val="1"/>
        </w:numPr>
        <w:rPr/>
      </w:pPr>
      <w:bookmarkStart w:id="696" w:name="__RefHeading___Toc6963889_73709187"/>
      <w:bookmarkStart w:id="697" w:name="_Toc263"/>
      <w:bookmarkEnd w:id="696"/>
      <w:r>
        <w:rPr>
          <w:rtl w:val="true"/>
        </w:rPr>
        <w:t>اشارة</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بَرِقَ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خَسَفَ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الشَّمْسُ وَ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الْإِنْسانُ يَوْمَئِذٍ أَيْنَ الْمَفَرُّ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لا 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يَوْمَئِذٍ 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يُنَبَّؤُا الْإِنْسانُ يَوْمَئِذٍ بِما قَدَّمَ وَ أَخَّرَ</w:t>
      </w:r>
      <w:r>
        <w:rPr>
          <w:rFonts w:eastAsia="Amiri" w:cs="Amiri" w:ascii="Amiri" w:hAnsi="Amiri"/>
          <w:color w:val="111111"/>
          <w:sz w:val="28"/>
          <w:szCs w:val="28"/>
          <w:rtl w:val="true"/>
          <w:lang w:bidi="ar-SA"/>
        </w:rPr>
        <w:t>) .</w:t>
      </w:r>
    </w:p>
    <w:p>
      <w:pPr>
        <w:pStyle w:val="Heading5"/>
        <w:numPr>
          <w:ilvl w:val="4"/>
          <w:numId w:val="1"/>
        </w:numPr>
        <w:rPr/>
      </w:pPr>
      <w:bookmarkStart w:id="698" w:name="__RefHeading___Toc6963891_73709187"/>
      <w:bookmarkStart w:id="699" w:name="_Toc264"/>
      <w:bookmarkEnd w:id="698"/>
      <w:r>
        <w:rPr>
          <w:rtl w:val="true"/>
        </w:rPr>
        <w:t>المفردات</w:t>
      </w:r>
      <w:r>
        <w:rPr>
          <w:rtl w:val="true"/>
        </w:rPr>
        <w:t>:</w:t>
      </w:r>
      <w:bookmarkEnd w:id="699"/>
    </w:p>
    <w:p>
      <w:pPr>
        <w:pStyle w:val="BookText"/>
        <w:rPr/>
      </w:pPr>
      <w:r>
        <w:rPr>
          <w:rFonts w:ascii="Amiri" w:hAnsi="Amiri" w:eastAsia="Amiri" w:cs="Amiri"/>
          <w:color w:val="111111"/>
          <w:sz w:val="28"/>
          <w:sz w:val="28"/>
          <w:szCs w:val="28"/>
          <w:rtl w:val="true"/>
          <w:lang w:bidi="ar-SA"/>
        </w:rPr>
        <w:t>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 لمعان السحاب،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ظُلُماتٌ وَ رَعْدٌ وَ بَرْقٌ‌</w:t>
      </w:r>
      <w:r>
        <w:rPr>
          <w:rFonts w:eastAsia="Amiri" w:cs="Amiri" w:ascii="Amiri" w:hAnsi="Amiri"/>
          <w:color w:val="111111"/>
          <w:sz w:val="28"/>
          <w:szCs w:val="28"/>
          <w:rtl w:val="true"/>
          <w:lang w:bidi="ar-SA"/>
        </w:rPr>
        <w:t>) .</w:t>
      </w:r>
      <w:r>
        <w:rPr>
          <w:rStyle w:val="FootnoteAnchor"/>
          <w:rtl w:val="true"/>
        </w:rPr>
        <w:footnoteReference w:id="540"/>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هنا اضطراب العين، ففي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برقت العين إذا اضطربت وجالت من الخوف</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والمراد الخوف والاضطراب والدهشة الّتي تصيب</w:t>
      </w:r>
      <w:bookmarkStart w:id="700" w:name="pg16772_194695"/>
    </w:p>
    <w:p>
      <w:pPr>
        <w:pStyle w:val="BookText"/>
        <w:rPr/>
      </w:pPr>
      <w:bookmarkEnd w:id="700"/>
      <w:r>
        <w:rPr>
          <w:rFonts w:ascii="Amiri" w:hAnsi="Amiri" w:eastAsia="Amiri" w:cs="Amiri"/>
          <w:color w:val="111111"/>
          <w:sz w:val="28"/>
          <w:sz w:val="28"/>
          <w:szCs w:val="28"/>
          <w:rtl w:val="true"/>
          <w:lang w:bidi="ar-SA"/>
        </w:rPr>
        <w:t>الإنسان وتظهر آثارها في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نور 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 من جبل أو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الوزر الملجأ الذي يلتجأ إليه من الجبل</w:t>
      </w:r>
      <w:r>
        <w:rPr>
          <w:rFonts w:eastAsia="Amiri" w:cs="Amiri" w:ascii="Amiri" w:hAnsi="Amiri"/>
          <w:color w:val="111111"/>
          <w:sz w:val="28"/>
          <w:szCs w:val="28"/>
          <w:rtl w:val="true"/>
          <w:lang w:bidi="ar-SA"/>
        </w:rPr>
        <w:t>.</w:t>
      </w:r>
      <w:r>
        <w:rPr>
          <w:rStyle w:val="FootnoteAnchor"/>
          <w:rtl w:val="true"/>
        </w:rPr>
        <w:footnoteReference w:id="542"/>
      </w:r>
    </w:p>
    <w:p>
      <w:pPr>
        <w:pStyle w:val="Heading5"/>
        <w:numPr>
          <w:ilvl w:val="4"/>
          <w:numId w:val="1"/>
        </w:numPr>
        <w:rPr/>
      </w:pPr>
      <w:bookmarkStart w:id="701" w:name="__RefHeading___Toc6963893_73709187"/>
      <w:bookmarkStart w:id="702" w:name="_Toc265"/>
      <w:bookmarkEnd w:id="701"/>
      <w:r>
        <w:rPr>
          <w:rtl w:val="true"/>
        </w:rPr>
        <w:t>التفسير</w:t>
      </w:r>
      <w:r>
        <w:rPr>
          <w:rtl w:val="true"/>
        </w:rPr>
        <w:t>:</w:t>
      </w:r>
      <w:bookmarkEnd w:id="702"/>
    </w:p>
    <w:p>
      <w:pPr>
        <w:pStyle w:val="BookText"/>
        <w:rPr/>
      </w:pPr>
      <w:r>
        <w:rPr>
          <w:rFonts w:ascii="Amiri" w:hAnsi="Amiri" w:eastAsia="Amiri" w:cs="Amiri"/>
          <w:color w:val="111111"/>
          <w:sz w:val="28"/>
          <w:sz w:val="28"/>
          <w:szCs w:val="28"/>
          <w:rtl w:val="true"/>
          <w:lang w:bidi="ar-SA"/>
        </w:rPr>
        <w:t>عدل سبحانه عن تعيين وقت ليوم القيامة، إلى بيان أهوال القيامة وأشراطها؛ لأنّ العلم بهذه الأهوال له تأثير تام في كبح جماح العصاة والمذنبين، فذكر من أهوالها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بَرِقَ الْبَصَرُ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وتحيّر الإنسان في إبصاره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خَسَفَ الْقَمَرُ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بزوال نوره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الشَّمْسُ وَ الْقَمَرُ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زال النظام السائد، حاكياً عن انتهاء حياة الإنسان على هذا الكوكب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الْإِنْسانُ يَوْمَئِذٍ أَيْنَ الْمَفَرُّ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بعد أن تشتد أهوال القيامة، يطلب الإنسان ملجأً حتى يتحصّن به ويحفظ نفسه عن عذاب القيامة، فيجاب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لا وَزَرَ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ليس هناك مكان يلجأ إليه للتوقّي عن الإصابة بالمكروه، وإنّما المصير عندئذ إلى اللّه كما يقول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 يَوْمَئِذٍ الْمُسْتَقَرُّ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والخطاب هنا للنبي صلى الله عليه و آله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الظرف لإفادة الحصر،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يحشر إلى اللّه</w:t>
      </w:r>
    </w:p>
    <w:p>
      <w:pPr>
        <w:pStyle w:val="BookText"/>
        <w:rPr/>
      </w:pPr>
      <w:r>
        <w:rPr>
          <w:rFonts w:ascii="Amiri" w:hAnsi="Amiri" w:eastAsia="Amiri" w:cs="Amiri"/>
          <w:color w:val="111111"/>
          <w:sz w:val="28"/>
          <w:sz w:val="28"/>
          <w:szCs w:val="28"/>
          <w:rtl w:val="true"/>
          <w:lang w:bidi="ar-SA"/>
        </w:rPr>
        <w:t xml:space="preserve">كقوله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اللّهِ الْمَصِيرُ</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يُنَبَّؤُا الْإِنْسانُ يَوْمَئِذٍ بِما قَدَّمَ وَ أَخَّرَ</w:t>
      </w:r>
      <w:r>
        <w:rPr>
          <w:rFonts w:eastAsia="Amiri" w:cs="Amiri" w:ascii="Amiri" w:hAnsi="Amiri"/>
          <w:color w:val="111111"/>
          <w:sz w:val="28"/>
          <w:szCs w:val="28"/>
          <w:rtl w:val="true"/>
          <w:lang w:bidi="ar-SA"/>
        </w:rPr>
        <w:t>)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لمّا أفاد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رَبِّكَ يَوْمَئِذٍ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مصير الناس إلى اللّه سبحانه، بيّن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يُنَبَّؤُا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إنسان مؤمناً كان أو كافراً ينبّأ يومئذٍ بما قدّم من الأعمال الصالحة أو الطالحة، أمّا ما قدّم فهي الأعمال التي قام بها مباشرة أيام حياته سواء أكانت صالحة فيثاب عليها، أم طالحة فيعاقب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تأخر فهي الأعمال التي قام بها في أيام حياته لكن لم تنقطع آثارها بعد وفاته، من غير فرق بين العمل الصالح وأثره الباقي، أو العمل السيِّئ وآثره الباقي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أُشير إلى هذا النوع من العمل الذي عبّر عنه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الشريفة،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الإنسان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ينتفع به، أو صدقة تجري له، أو ولد صالح يدعو له</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 روي عن الإمام الكاظم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استنّ بسنّة حسنة، فله أجرها وأجر من عمل بها، من غير أن ينقص من أُجورهم شيء؛ ومن استنّ بسنّة سيئة، فعليه وزرها ووزر من عمل بها، من غير أن ينقص من أوزارهم شيء</w:t>
      </w:r>
      <w:r>
        <w:rPr>
          <w:rFonts w:eastAsia="Amiri" w:cs="Amiri" w:ascii="Amiri" w:hAnsi="Amiri"/>
          <w:color w:val="111111"/>
          <w:sz w:val="28"/>
          <w:szCs w:val="28"/>
          <w:rtl w:val="true"/>
          <w:lang w:bidi="ar-SA"/>
        </w:rPr>
        <w:t>».</w:t>
      </w:r>
      <w:r>
        <w:rPr>
          <w:rStyle w:val="FootnoteAnchor"/>
          <w:rtl w:val="true"/>
        </w:rPr>
        <w:footnoteReference w:id="546"/>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هذه الرواية تدلّ على أنّ الإنسان لا يُجزى بأعماله السابقة فقط، بل يجازى أيضاً على الأعمال التي عملها في حياته ولكن بقيت آثارها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الإنسان ينبّأ بما قدّم وأخّر من طرق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الأعمال من الملائكة</w:t>
      </w:r>
    </w:p>
    <w:p>
      <w:pPr>
        <w:pStyle w:val="BookText"/>
        <w:rPr/>
      </w:pPr>
      <w:r>
        <w:rPr>
          <w:rFonts w:ascii="Amiri" w:hAnsi="Amiri" w:eastAsia="Amiri" w:cs="Amiri"/>
          <w:color w:val="111111"/>
          <w:sz w:val="28"/>
          <w:sz w:val="28"/>
          <w:szCs w:val="28"/>
          <w:rtl w:val="true"/>
          <w:lang w:bidi="ar-SA"/>
        </w:rPr>
        <w:t>دلّت غير واحدة من الآيات على أنّ الملائكة من شهداء الأعمال، هم الذين يستنسخون ما يقوم به الإنسان من أعمال ثم يشهدون عليه يوم القيامة، ثم يسوقون المشهود عليه إلى الحساب،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جاءَتْ كُلُّ نَفْسٍ مَعَها سائِقٌ وَ شَهِيدٌ</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وَانْتَفِعُوا بِالذِّكْرِ وَالْمَوَاعِظِ، فَكَأَنْ قَدْ عَلِقَتْكُمْ مَخالِبُ الْمنيَّةِ وَانْقَطَعَتْ مِنْكُمْ عَلائقُ الْاُمْنِيَّةِ وَدَهِمَتْكُمْ مُفْظِعَاتُ الْأُمُورِ، وَالسِّيَاقَةُ إِلَى الْوِرْدِ الْمَوْرُودِ،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مَعَها سائِقٌ 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سَائِقٌ يَسُوقُهَا إلِى مَحْشَرِهَا؛ وَشَاهِدٌ يَشْهَدُ عَلَيْهَا بِعَمَلِهَا</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 آية أُخرى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ما تَفْعَلُونَ‌</w:t>
      </w:r>
      <w:r>
        <w:rPr>
          <w:rFonts w:eastAsia="Amiri" w:cs="Amiri" w:ascii="Amiri" w:hAnsi="Amiri"/>
          <w:color w:val="111111"/>
          <w:sz w:val="28"/>
          <w:szCs w:val="28"/>
          <w:rtl w:val="true"/>
          <w:lang w:bidi="ar-SA"/>
        </w:rPr>
        <w:t>)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المستفاد من هذه الآيات أنّ كُتّاب الأعمال هم الشهود عند اللّه في المحشر، وهم السُوُّاق إلى النار أو إلى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أخبر سبحانه بأنّ الأرض تحدِّث أخبارها عند يوم القيامة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رَبَّكَ أَوْحى لَها</w:t>
      </w:r>
      <w:r>
        <w:rPr>
          <w:rFonts w:eastAsia="Amiri" w:cs="Amiri" w:ascii="Amiri" w:hAnsi="Amiri"/>
          <w:color w:val="111111"/>
          <w:sz w:val="28"/>
          <w:szCs w:val="28"/>
          <w:rtl w:val="true"/>
          <w:lang w:bidi="ar-SA"/>
        </w:rPr>
        <w:t>)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 لعل ما تحدِّث به الأرض هو الأعمال الصادرة عن الإنسان فوق هذا الكوكب، سواء أكانت خيراً أم شرّاً، ولذلك ذكر في آية تالية كلّاً من جزاء الخير والشر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 قد روي في السنّة الشريفة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تدرون ما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تشهد على كلّ عبد، وأنّه بما عمل على ظهرها، تقول عمل كذا وكذا يوم كذا وكذا، وهذا أخبارها</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 أمّا أنّ الأرض مع كونها من أصناف الجماد كيف تتحمّل الشهادة وتشهد يوم القيامة فهو خارج عن موضوع بحثنا، ولكن المستفاد من الذكر الحكيم أنّ كلّ موجود وإن بلغ من الضعف بمكان له نصيب من العلم والإدراك حتى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يُسَبِّحُ بِحَمْدِهِ وَ لكِنْ لا تَفْقَهُونَ تَسْبِيحَهُمْ‌</w:t>
      </w:r>
      <w:r>
        <w:rPr>
          <w:rFonts w:eastAsia="Amiri" w:cs="Amiri" w:ascii="Amiri" w:hAnsi="Amiri"/>
          <w:color w:val="111111"/>
          <w:sz w:val="28"/>
          <w:szCs w:val="28"/>
          <w:rtl w:val="true"/>
          <w:lang w:bidi="ar-SA"/>
        </w:rPr>
        <w:t>) .</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الأعمال</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الصحف التي كتبتها الملائكة الموكّلون على أعمال الإنسان تشهد على الإنسان،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أَسْرَعُ مَكْراً إِنَّ رُسُلَنا يَكْتُبُونَ ما</w:t>
      </w:r>
    </w:p>
    <w:p>
      <w:pPr>
        <w:pStyle w:val="BookText"/>
        <w:rPr/>
      </w:pPr>
      <w:r>
        <w:rPr>
          <w:rFonts w:ascii="Amiri" w:hAnsi="Amiri" w:eastAsia="Amiri" w:cs="Amiri"/>
          <w:color w:val="111111"/>
          <w:sz w:val="28"/>
          <w:sz w:val="28"/>
          <w:szCs w:val="28"/>
          <w:rtl w:val="true"/>
          <w:lang w:bidi="ar-SA"/>
        </w:rPr>
        <w:t>تَمْكُرُونَ‌</w:t>
      </w:r>
      <w:r>
        <w:rPr>
          <w:rFonts w:eastAsia="Amiri" w:cs="Amiri" w:ascii="Amiri" w:hAnsi="Amiri"/>
          <w:color w:val="111111"/>
          <w:sz w:val="28"/>
          <w:szCs w:val="28"/>
          <w:rtl w:val="true"/>
          <w:lang w:bidi="ar-SA"/>
        </w:rPr>
        <w:t>) .</w:t>
      </w:r>
      <w:r>
        <w:rPr>
          <w:rStyle w:val="FootnoteAnchor"/>
          <w:rtl w:val="true"/>
        </w:rPr>
        <w:footnoteReference w:id="555"/>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صحيفة الأعمال تشتمل على كلّ صغير وكبير، على وجه يتعجّب منها الإنسان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لِهذَا الْكِتابِ لا يُغادِرُ صَغِيرَةً وَ لا كَبِيرَةً إِلاّ أَحْصاها</w:t>
      </w:r>
      <w:r>
        <w:rPr>
          <w:rFonts w:eastAsia="Amiri" w:cs="Amiri" w:ascii="Amiri" w:hAnsi="Amiri"/>
          <w:color w:val="111111"/>
          <w:sz w:val="28"/>
          <w:szCs w:val="28"/>
          <w:rtl w:val="true"/>
          <w:lang w:bidi="ar-SA"/>
        </w:rPr>
        <w:t>) .</w:t>
      </w:r>
      <w:r>
        <w:rPr>
          <w:rStyle w:val="FootnoteAnchor"/>
          <w:rtl w:val="true"/>
        </w:rPr>
        <w:footnoteReference w:id="556"/>
      </w:r>
      <w:r>
        <w:rPr>
          <w:rFonts w:ascii="Amiri" w:hAnsi="Amiri" w:eastAsia="Amiri" w:cs="Amiri"/>
          <w:color w:val="111111"/>
          <w:sz w:val="28"/>
          <w:sz w:val="28"/>
          <w:szCs w:val="28"/>
          <w:rtl w:val="true"/>
          <w:lang w:bidi="ar-SA"/>
        </w:rPr>
        <w:t>وأمّا ما هي ماهية هذه الصحيفة التي لايشذ عنها ما دقّ وجل، فهي غير معلومة، ويمكن أن تكون مع صغرها حاوية لمعلومات كثيرة تناهز الملايين كالأقراص الكامبيوترية المضغوطة في أيامنا هذا</w:t>
      </w:r>
      <w:r>
        <w:rPr>
          <w:rFonts w:eastAsia="Amiri" w:cs="Amiri" w:ascii="Amiri" w:hAnsi="Amiri"/>
          <w:color w:val="111111"/>
          <w:sz w:val="28"/>
          <w:szCs w:val="28"/>
          <w:rtl w:val="true"/>
          <w:lang w:bidi="ar-SA"/>
        </w:rPr>
        <w:t>.</w:t>
      </w:r>
      <w:bookmarkStart w:id="703" w:name="pg16772_194700"/>
    </w:p>
    <w:p>
      <w:pPr>
        <w:pStyle w:val="Heading4"/>
        <w:numPr>
          <w:ilvl w:val="3"/>
          <w:numId w:val="1"/>
        </w:numPr>
        <w:rPr/>
      </w:pPr>
      <w:bookmarkStart w:id="704" w:name="__RefHeading___Toc6963895_73709187"/>
      <w:bookmarkStart w:id="705" w:name="_Toc266"/>
      <w:bookmarkEnd w:id="703"/>
      <w:bookmarkEnd w:id="704"/>
      <w:r>
        <w:rPr>
          <w:rtl w:val="true"/>
        </w:rPr>
        <w:t>الآيتان الرابعة عشرة والخامسة عشرة</w:t>
      </w:r>
      <w:r>
        <w:rPr>
          <w:rtl w:val="true"/>
        </w:rPr>
        <w:t>:</w:t>
      </w:r>
      <w:bookmarkEnd w:id="705"/>
    </w:p>
    <w:p>
      <w:pPr>
        <w:pStyle w:val="Heading5"/>
        <w:numPr>
          <w:ilvl w:val="4"/>
          <w:numId w:val="1"/>
        </w:numPr>
        <w:rPr/>
      </w:pPr>
      <w:bookmarkStart w:id="706" w:name="__RefHeading___Toc6963897_73709187"/>
      <w:bookmarkStart w:id="707" w:name="_Toc267"/>
      <w:bookmarkEnd w:id="706"/>
      <w:r>
        <w:rPr>
          <w:rtl w:val="true"/>
        </w:rPr>
        <w:t>اشارة</w:t>
      </w:r>
      <w:bookmarkEnd w:id="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أَلْقى مَعاذِيرَهُ‌</w:t>
      </w:r>
      <w:r>
        <w:rPr>
          <w:rFonts w:eastAsia="Amiri" w:cs="Amiri" w:ascii="Amiri" w:hAnsi="Amiri"/>
          <w:color w:val="111111"/>
          <w:sz w:val="28"/>
          <w:szCs w:val="28"/>
          <w:rtl w:val="true"/>
          <w:lang w:bidi="ar-SA"/>
        </w:rPr>
        <w:t>) .</w:t>
      </w:r>
      <w:r>
        <w:rPr>
          <w:rStyle w:val="FootnoteAnchor"/>
          <w:rtl w:val="true"/>
        </w:rPr>
        <w:footnoteReference w:id="557"/>
      </w:r>
    </w:p>
    <w:p>
      <w:pPr>
        <w:pStyle w:val="Heading5"/>
        <w:numPr>
          <w:ilvl w:val="4"/>
          <w:numId w:val="1"/>
        </w:numPr>
        <w:rPr/>
      </w:pPr>
      <w:bookmarkStart w:id="708" w:name="__RefHeading___Toc6963899_73709187"/>
      <w:bookmarkStart w:id="709" w:name="_Toc268"/>
      <w:bookmarkEnd w:id="708"/>
      <w:r>
        <w:rPr>
          <w:rtl w:val="true"/>
        </w:rPr>
        <w:t>المفردات</w:t>
      </w:r>
      <w:r>
        <w:rPr>
          <w:rtl w:val="true"/>
        </w:rPr>
        <w:t>:</w:t>
      </w:r>
      <w:bookmarkEnd w:id="709"/>
    </w:p>
    <w:p>
      <w:pPr>
        <w:pStyle w:val="BookText"/>
        <w:rPr/>
      </w:pPr>
      <w:r>
        <w:rPr>
          <w:rFonts w:ascii="Amiri" w:hAnsi="Amiri" w:eastAsia="Amiri" w:cs="Amiri"/>
          <w:color w:val="111111"/>
          <w:sz w:val="28"/>
          <w:sz w:val="28"/>
          <w:szCs w:val="28"/>
          <w:rtl w:val="true"/>
          <w:lang w:bidi="ar-SA"/>
        </w:rPr>
        <w:t>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البصير صفة مشبهة والهاء للمبالغة،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علّامة و نسّابة، أو أنّها مصدر من باب التفعيل‌؟ فعلى الأوّل بمعنى مبصر شديد المراقبة، فيكون خبراً للإنسان،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الإنسان بصير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هو أيضاً خبر للإنسان ولكن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فالإنسان لأجل إحاطته بما صدر عنه كأنّه نفس البصر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جمعاً حقيقياً؛ لأنّ معذرة تجمع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معاذير</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6963901_73709187"/>
      <w:bookmarkStart w:id="711" w:name="_Toc269"/>
      <w:bookmarkEnd w:id="710"/>
      <w:r>
        <w:rPr>
          <w:rtl w:val="true"/>
        </w:rPr>
        <w:t>التفسير</w:t>
      </w:r>
      <w:r>
        <w:rPr>
          <w:rtl w:val="true"/>
        </w:rPr>
        <w:t>:</w:t>
      </w:r>
      <w:bookmarkEnd w:id="71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أفاد سبحانه في الآيات المتقدّمة على وجود شهود على أعمال الإنسان خارجة عن صميم ذاته، فتكون منزلتهم بمنزلة بيّنة الخارج، وأشار في هذه الآية إلى أنّ هناك شهوداً في داخل حياة الإنسان فتكون منزلتهم بمنزلة بيّنة الداخل، وهو أنّ أعضاء الإنسان وجلوده تشهد على ما عمل، فالأعضاء</w:t>
      </w:r>
    </w:p>
    <w:p>
      <w:pPr>
        <w:pStyle w:val="BookText"/>
        <w:rPr/>
      </w:pPr>
      <w:r>
        <w:rPr>
          <w:rFonts w:ascii="Amiri" w:hAnsi="Amiri" w:eastAsia="Amiri" w:cs="Amiri"/>
          <w:color w:val="111111"/>
          <w:sz w:val="28"/>
          <w:sz w:val="28"/>
          <w:szCs w:val="28"/>
          <w:rtl w:val="true"/>
          <w:lang w:bidi="ar-SA"/>
        </w:rPr>
        <w:t>والجوارح بمنزلة الشهود على ما صدر من الإنسان،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تَشْهَدُ عَلَيْهِمْ أَلْسِنَتُهُمْ وَ أَيْدِيهِمْ وَ أَرْجُلُهُمْ بِما كانُوا يَعْمَلُونَ‌</w:t>
      </w:r>
      <w:r>
        <w:rPr>
          <w:rFonts w:eastAsia="Amiri" w:cs="Amiri" w:ascii="Amiri" w:hAnsi="Amiri"/>
          <w:color w:val="111111"/>
          <w:sz w:val="28"/>
          <w:szCs w:val="28"/>
          <w:rtl w:val="true"/>
          <w:lang w:bidi="ar-SA"/>
        </w:rPr>
        <w:t>)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 ربما يستفاد من بعض الآيات أنّه يُختم على أفواههم وتتكلّم أيديهم وتشهد أرجلهم،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Fonts w:eastAsia="Amiri" w:cs="Amiri" w:ascii="Amiri" w:hAnsi="Amiri"/>
          <w:color w:val="111111"/>
          <w:sz w:val="28"/>
          <w:szCs w:val="28"/>
          <w:rtl w:val="true"/>
          <w:lang w:bidi="ar-SA"/>
        </w:rPr>
        <w:t>) .</w:t>
      </w:r>
      <w:r>
        <w:rPr>
          <w:rStyle w:val="FootnoteAnchor"/>
          <w:rtl w:val="true"/>
        </w:rPr>
        <w:footnoteReference w:id="559"/>
      </w:r>
      <w:r>
        <w:rPr>
          <w:rFonts w:ascii="Amiri" w:hAnsi="Amiri" w:eastAsia="Amiri" w:cs="Amiri"/>
          <w:color w:val="111111"/>
          <w:sz w:val="28"/>
          <w:sz w:val="28"/>
          <w:szCs w:val="28"/>
          <w:rtl w:val="true"/>
          <w:lang w:bidi="ar-SA"/>
        </w:rPr>
        <w:t>حتى أنّه سبحانه يشير إلى شهادة السمع والبصر والجلود،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ما جاؤُها شَهِدَ عَلَيْهِمْ سَمْعُهُمْ وَ أَبْصارُهُمْ وَ جُلُودُهُمْ بِما كانُوا يَعْمَلُونَ‌</w:t>
      </w:r>
      <w:r>
        <w:rPr>
          <w:rFonts w:eastAsia="Amiri" w:cs="Amiri" w:ascii="Amiri" w:hAnsi="Amiri"/>
          <w:color w:val="111111"/>
          <w:sz w:val="28"/>
          <w:szCs w:val="28"/>
          <w:rtl w:val="true"/>
          <w:lang w:bidi="ar-SA"/>
        </w:rPr>
        <w:t>)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أَلْقى مَعاذِيرَهُ‌</w:t>
      </w:r>
      <w:r>
        <w:rPr>
          <w:rFonts w:eastAsia="Amiri" w:cs="Amiri" w:ascii="Amiri" w:hAnsi="Amiri"/>
          <w:color w:val="111111"/>
          <w:sz w:val="28"/>
          <w:szCs w:val="28"/>
          <w:rtl w:val="true"/>
          <w:lang w:bidi="ar-SA"/>
        </w:rPr>
        <w:t>) .</w:t>
      </w:r>
      <w:r>
        <w:rPr>
          <w:rStyle w:val="FootnoteAnchor"/>
          <w:rtl w:val="true"/>
        </w:rPr>
        <w:footnoteReference w:id="561"/>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إنّ الإنسان رغم كثرة هذه الشهود والحجج يحاول أن يدفع التهمة عن نفسه ويثبت براءته من الذنب والمعصية، ويتشبّث بأعذار واهية تبرّر ما صدر منه من الذنوب والمنكرات، وهو يعلم أنّ الأعذار كلّها باطلة ليس لها قيمة في يوم الحساب، لأنّ نفسه شاهدة على جرائمه</w:t>
      </w:r>
      <w:r>
        <w:rPr>
          <w:rFonts w:eastAsia="Amiri" w:cs="Amiri" w:ascii="Amiri" w:hAnsi="Amiri"/>
          <w:color w:val="111111"/>
          <w:sz w:val="28"/>
          <w:szCs w:val="28"/>
          <w:rtl w:val="true"/>
          <w:lang w:bidi="ar-SA"/>
        </w:rPr>
        <w:t>.</w:t>
      </w:r>
      <w:bookmarkStart w:id="712" w:name="pg16772_194702"/>
    </w:p>
    <w:p>
      <w:pPr>
        <w:pStyle w:val="Heading4"/>
        <w:numPr>
          <w:ilvl w:val="3"/>
          <w:numId w:val="1"/>
        </w:numPr>
        <w:rPr/>
      </w:pPr>
      <w:bookmarkStart w:id="713" w:name="__RefHeading___Toc6963903_73709187"/>
      <w:bookmarkStart w:id="714" w:name="_Toc270"/>
      <w:bookmarkEnd w:id="712"/>
      <w:bookmarkEnd w:id="713"/>
      <w:r>
        <w:rPr>
          <w:rtl w:val="true"/>
        </w:rPr>
        <w:t>الآيات السادسة عشرة إلى التاسعة عشرة</w:t>
      </w:r>
      <w:r>
        <w:rPr>
          <w:rtl w:val="true"/>
        </w:rPr>
        <w:t>:</w:t>
      </w:r>
      <w:bookmarkEnd w:id="714"/>
    </w:p>
    <w:p>
      <w:pPr>
        <w:pStyle w:val="Heading5"/>
        <w:numPr>
          <w:ilvl w:val="4"/>
          <w:numId w:val="1"/>
        </w:numPr>
        <w:rPr/>
      </w:pPr>
      <w:bookmarkStart w:id="715" w:name="__RefHeading___Toc6963905_73709187"/>
      <w:bookmarkStart w:id="716" w:name="_Toc271"/>
      <w:bookmarkEnd w:id="715"/>
      <w:r>
        <w:rPr>
          <w:rtl w:val="true"/>
        </w:rPr>
        <w:t>اشارة</w:t>
      </w:r>
      <w:bookmarkEnd w:id="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 .</w:t>
      </w:r>
      <w:r>
        <w:rPr>
          <w:rStyle w:val="FootnoteAnchor"/>
          <w:rtl w:val="true"/>
        </w:rPr>
        <w:footnoteReference w:id="562"/>
      </w:r>
    </w:p>
    <w:p>
      <w:pPr>
        <w:pStyle w:val="Heading5"/>
        <w:numPr>
          <w:ilvl w:val="4"/>
          <w:numId w:val="1"/>
        </w:numPr>
        <w:rPr/>
      </w:pPr>
      <w:bookmarkStart w:id="717" w:name="__RefHeading___Toc6963907_73709187"/>
      <w:bookmarkStart w:id="718" w:name="_Toc272"/>
      <w:bookmarkEnd w:id="717"/>
      <w:r>
        <w:rPr>
          <w:rtl w:val="true"/>
        </w:rPr>
        <w:t>المفردات</w:t>
      </w:r>
      <w:r>
        <w:rPr>
          <w:rtl w:val="true"/>
        </w:rPr>
        <w:t>:</w:t>
      </w:r>
      <w:bookmarkEnd w:id="718"/>
    </w:p>
    <w:p>
      <w:pPr>
        <w:pStyle w:val="BookText"/>
        <w:rPr/>
      </w:pPr>
      <w:r>
        <w:rPr>
          <w:rFonts w:ascii="Amiri" w:hAnsi="Amiri" w:eastAsia="Amiri" w:cs="Amiri"/>
          <w:color w:val="111111"/>
          <w:sz w:val="28"/>
          <w:sz w:val="28"/>
          <w:szCs w:val="28"/>
          <w:rtl w:val="true"/>
          <w:lang w:bidi="ar-SA"/>
        </w:rPr>
        <w:t>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تصيير الشيء من مكان إلى مكان آخر، ومن جهة إلى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الشيء قبل وقته الذي يبنغي أن يعمل فيه، ونقيضه الإبطاء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 الموضعين بمعنى القراءة مثل الغفران والفرقان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المعنى بما يتميّز به عن غيره، نقيض الإفتاء والإغماض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شيء بتقريب بعضه من بعض</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6963909_73709187"/>
      <w:bookmarkStart w:id="720" w:name="_Toc273"/>
      <w:bookmarkEnd w:id="719"/>
      <w:r>
        <w:rPr>
          <w:rtl w:val="true"/>
        </w:rPr>
        <w:t>التفسير</w:t>
      </w:r>
      <w:r>
        <w:rPr>
          <w:rtl w:val="true"/>
        </w:rPr>
        <w:t>:</w:t>
      </w:r>
      <w:bookmarkEnd w:id="720"/>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الآيات الأربع جُمَل معترضة لا صلة لها بما تقدّم وبما سيأتي؛ وذلك لأنّه بينما يبحث في يوم القيامة وعقيدة المشركين والمنكرين فيها، وما هو السبب لإنكارهم، فإذا به سبحانه يأمر النبي صلى الله عليه و آله بعدم تحريك لسانه بالقرآن لغاية التعجيل به، ثم يعده بأنّ جمعه وقرآنه عليه سبحانه، ثم يأمره باتّباع قراءة جبرئيل، ويعطف عليه أنّ عليه سبحانه بيان القرآن، والمجموع من حيث المجموع يفقد الصلة بما تقدّمه وبما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نرى نظير ذلك في سورة البقرة حيث إنّه سبحانه يذكر أحكام المطلقة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طَلَّقْتُمُوهُنَّ مِنْ قَبْلِ أَنْ تَمَسُّوهُنَّ وَ قَدْ فَرَضْتُمْ لَهُنَّ فَرِيضَةً فَنِصْفُ ما فَرَضْتُمْ إِلاّ أَنْ يَعْفُونَ أَوْ يَعْفُوَا الَّذِي بِيَدِهِ عُقْدَةُ النِّكاحِ وَ أَنْ تَعْفُوا أَقْرَبُ لِلتَّقْوى وَ لا تَنْسَوُا الْفَضْلَ بَيْنَكُمْ إِنَّ اللّهَ بِما تَعْمَلُونَ بَصِيرٌ</w:t>
      </w:r>
      <w:r>
        <w:rPr>
          <w:rFonts w:eastAsia="Amiri" w:cs="Amiri" w:ascii="Amiri" w:hAnsi="Amiri"/>
          <w:color w:val="111111"/>
          <w:sz w:val="28"/>
          <w:szCs w:val="28"/>
          <w:rtl w:val="true"/>
          <w:lang w:bidi="ar-SA"/>
        </w:rPr>
        <w:t>)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ثم يذكر في الآية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النساء اللاتي يتوفّى أزواجهن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يُتَوَفَّوْنَ مِنْكُمْ وَ يَذَرُونَ أَزْواجاً وَصِيَّةً لِأَزْواجِهِمْ مَتاعاً إِلَى الْحَوْلِ غَيْرَ إِخْراجٍ فَإِنْ خَرَجْنَ فَلا جُناحَ عَلَيْكُمْ فِي ما فَعَلْنَ فِي أَنْفُسِهِنَّ مِنْ مَعْرُوفٍ وَ اللّهُ عَزِيزٌ حَكِيمٌ‌</w:t>
      </w:r>
      <w:r>
        <w:rPr>
          <w:rFonts w:eastAsia="Amiri" w:cs="Amiri" w:ascii="Amiri" w:hAnsi="Amiri"/>
          <w:color w:val="111111"/>
          <w:sz w:val="28"/>
          <w:szCs w:val="28"/>
          <w:rtl w:val="true"/>
          <w:lang w:bidi="ar-SA"/>
        </w:rPr>
        <w:t>)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وفي الوقت نفسه يذكر بين هاتين الآيتين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حافِظُوا عَلَى الصَّلَواتِ وَ الصَّلاةِ الْوُسْطى وَ قُومُوا لِلّهِ قانِتِينَ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فَرِجالاً أَوْ رُكْباناً فَإِذا أَمِنْتُمْ فَاذْكُرُوا اللّهَ كَما عَلَّمَكُمْ ما لَمْ تَكُونُوا تَعْلَمُونَ‌</w:t>
      </w:r>
      <w:r>
        <w:rPr>
          <w:rFonts w:eastAsia="Amiri" w:cs="Amiri" w:ascii="Amiri" w:hAnsi="Amiri"/>
          <w:color w:val="111111"/>
          <w:sz w:val="28"/>
          <w:szCs w:val="28"/>
          <w:rtl w:val="true"/>
          <w:lang w:bidi="ar-SA"/>
        </w:rPr>
        <w:t>) .</w:t>
      </w:r>
      <w:r>
        <w:rPr>
          <w:rStyle w:val="FootnoteAnchor"/>
          <w:rtl w:val="true"/>
        </w:rPr>
        <w:footnoteReference w:id="565"/>
      </w:r>
      <w:r>
        <w:rPr>
          <w:rFonts w:ascii="Amiri" w:hAnsi="Amiri" w:eastAsia="Amiri" w:cs="Amiri"/>
          <w:color w:val="111111"/>
          <w:sz w:val="28"/>
          <w:sz w:val="28"/>
          <w:szCs w:val="28"/>
          <w:rtl w:val="true"/>
          <w:lang w:bidi="ar-SA"/>
        </w:rPr>
        <w:t>ترى أنّ الآيتين لا صلة لهما بما تقدّم من أحكام النساء عند الطلاق أو عند توفّي أزواجهنّ‌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ما في سورة مريم حيث يذكر في 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أصحاب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 فِيها لَغْواً إِلاّ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 كما يذكر في الآية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المشركين الذين ينكرون عودة الإنسان إلى الحياة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 الْإِنْسانُ أَ إِذا ما مِتُّ لَسَوْفَ أُخْرَجُ حَيًّا</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وفي الوقت نفسه يذكر بينهما نزول الملائكة وأنّه بأمر ربهم وأنّ للّه سبحانه الماضي والحال والمستقبل، قال تعالى</w:t>
      </w:r>
      <w:r>
        <w:rPr>
          <w:rFonts w:eastAsia="Amiri" w:cs="Amiri" w:ascii="Amiri" w:hAnsi="Amiri"/>
          <w:color w:val="111111"/>
          <w:sz w:val="28"/>
          <w:szCs w:val="28"/>
          <w:rtl w:val="true"/>
          <w:lang w:bidi="ar-SA"/>
        </w:rPr>
        <w:t>:</w:t>
      </w:r>
      <w:bookmarkStart w:id="721" w:name="pg16772_194704"/>
    </w:p>
    <w:p>
      <w:pPr>
        <w:pStyle w:val="BookText"/>
        <w:rPr/>
      </w:pPr>
      <w:bookmarkEnd w:id="7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نَتَنَزَّلُ إِلاّ بِأَمْرِ رَبِّكَ لَهُ ما بَيْنَ أَيْدِينا وَ ما خَلْفَنا وَ ما بَيْنَ ذلِكَ وَ ما كانَ رَبُّكَ نَسِيًّا</w:t>
      </w:r>
      <w:r>
        <w:rPr>
          <w:rFonts w:eastAsia="Amiri" w:cs="Amiri" w:ascii="Amiri" w:hAnsi="Amiri"/>
          <w:color w:val="111111"/>
          <w:sz w:val="28"/>
          <w:szCs w:val="28"/>
          <w:rtl w:val="true"/>
          <w:lang w:bidi="ar-SA"/>
        </w:rPr>
        <w:t>) .</w:t>
      </w:r>
      <w:r>
        <w:rPr>
          <w:rStyle w:val="FootnoteAnchor"/>
          <w:rtl w:val="true"/>
        </w:rPr>
        <w:footnoteReference w:id="567"/>
      </w:r>
    </w:p>
    <w:p>
      <w:pPr>
        <w:pStyle w:val="Heading5"/>
        <w:numPr>
          <w:ilvl w:val="4"/>
          <w:numId w:val="1"/>
        </w:numPr>
        <w:rPr/>
      </w:pPr>
      <w:bookmarkStart w:id="722" w:name="__RefHeading___Toc6963911_73709187"/>
      <w:bookmarkStart w:id="723" w:name="_Toc274"/>
      <w:bookmarkEnd w:id="722"/>
      <w:r>
        <w:rPr>
          <w:rtl w:val="true"/>
        </w:rPr>
        <w:t>فما هو وجه الحلّ في هذه الموارد الثلاثة‌؟</w:t>
      </w:r>
      <w:bookmarkEnd w:id="723"/>
    </w:p>
    <w:p>
      <w:pPr>
        <w:pStyle w:val="BookText"/>
        <w:rPr/>
      </w:pPr>
      <w:r>
        <w:rPr>
          <w:rFonts w:ascii="Amiri" w:hAnsi="Amiri" w:eastAsia="Amiri" w:cs="Amiri"/>
          <w:color w:val="111111"/>
          <w:sz w:val="28"/>
          <w:sz w:val="28"/>
          <w:szCs w:val="28"/>
          <w:rtl w:val="true"/>
          <w:lang w:bidi="ar-SA"/>
        </w:rPr>
        <w:t>أمّا ما ورد في سورتي البقرة ومريم فنكيل بيان الصلة فيهما إلى محلّه؛ وأمّا المقام فبيان الصلة رهن تفسير الآيات وبيان ما هو المراد منها؟ فقد ذكروا وجوهاً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 القفّال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خطاباً للنبي صلى الله عليه و آله، بل خطاب للإنسان المذكور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يُنَبَّؤُا الْإِنْسانُ‌</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وذلك حال إنبائه بقبائح أفعاله، يعرض عليه كتابه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بِنَفْسِكَ الْيَوْمَ عَلَيْكَ 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أخذ بالقراءة تلجلج لسانه من شدّة الخوف و سرعة القراءة، 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يجب علينا بحكم الوعد أو بحكم الحكمة أن نجمع أعمالك وأن نقرأها عليك، فإذا قرأناه عليك فاتّبع قراءته بالإقرار بأنّك فعلت تلك الأفعال أو التأمّل فيه، ثم إنّ علينا بيانه أي بيان أمره وشرح عقوبته</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فعلى هذا فالصلة بين هذه الآيات وما تقدم عليها وما تأخر عنها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أشبه بالتفسير بالرأي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مضمون الآيات في آية أُخرى،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w:t>
      </w:r>
    </w:p>
    <w:p>
      <w:pPr>
        <w:pStyle w:val="BookText"/>
        <w:rPr/>
      </w:pPr>
      <w:r>
        <w:rPr>
          <w:rFonts w:ascii="Amiri" w:hAnsi="Amiri" w:eastAsia="Amiri" w:cs="Amiri"/>
          <w:color w:val="111111"/>
          <w:sz w:val="28"/>
          <w:sz w:val="28"/>
          <w:szCs w:val="28"/>
          <w:rtl w:val="true"/>
          <w:lang w:bidi="ar-SA"/>
        </w:rPr>
        <w:t>تَعْجَلْ بِالْقُرْآنِ مِنْ قَبْلِ أَنْ يُقْضى إِلَيْكَ وَحْيُهُ وَ قُلْ رَبِّ زِدْنِي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سَنُقْرِئُكَ فَلا تَنْسى‌</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أي نجعلك قارئاً للقرآن فلا تنساه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يخالف ظاهر الجمل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جَمْعَهُ وَ قُرْآنَهُ‌</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وذلك لأنّ الصحيفة التي تدفع إلى الإنسان يوم القيامة جامعة لكلّ صغيرة وكبيرة وجليل وحقير لاتحتاج إلى الجمع والقراءة، يقول سبحانه عن لسان الكافر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لِهذَا الْكِتابِ لا يُغادِرُ صَغِيرَةً وَ لا كَبِيرَةً إِلاّ أَحْصاها</w:t>
      </w:r>
      <w:r>
        <w:rPr>
          <w:rFonts w:eastAsia="Amiri" w:cs="Amiri" w:ascii="Amiri" w:hAnsi="Amiri"/>
          <w:color w:val="111111"/>
          <w:sz w:val="28"/>
          <w:szCs w:val="28"/>
          <w:rtl w:val="true"/>
          <w:lang w:bidi="ar-SA"/>
        </w:rPr>
        <w:t>)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نزل عليه القرآن يسارع في إعادة تلاوته، أو تكون له رغبة شديدة في حفظه، فكان يلاقي من ذلك شدّة وجهد،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جَمْعَهُ وَ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أي جمعه في صدرك ثم تقرأه، فإذا قرأناه فاتّبع قرآنه، أي فاستمع وأنصت، ثم إنّ علينا أن نبيّنه بلسانك</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هذا التفسير مأخوذ ممّا رواه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إذا نزل جبرئيل عليه بالوحي، وكان ممّا يحرك به لسانه وشفتيه فيشتدّ عليه، و كان يُعرف منه فأنزل اللّه الآية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جَمْعَهُ وَ قُرْآنَهُ‌</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نجمعه في صدرك، وقرآنه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 فإذا أنزلناه فاستمع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عَلَيْنا</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علينا أن نبيّنه بلسانك،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أتاه جبرئيل أطرق، فإذا ذهب قرأه كما وعده اللّه تعالى</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التفسير لايلائم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لِتَعْجَلَ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كان تحريك لسانه عقب سماعه من جبرئيل لغاية عدم نسيانه، كان اللازم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 لئلا تنساه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جعل غاية الحركة هو العجلة في القرآءة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أمره بالإنصات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واجب النبي صلى الله عليه و آله هو السماع من جبرئيل وإنصاته ثم قراءته، فكلّ ذلك لايتلاءم مع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الآيات أنّ النبي صلى الله عليه و آله كان يبادر عندما يقرأ جبرئيل إلى قراءة ما لم يقرأ بعد ويحرك به لسانه، فأُمر بعدم التحريك والإنصات حتى يتمّ الوحي، فالكلام في هذه الآيات يجري مجرى قول المتكلّم أثناء حديثه لمخاطبه إذا بادر إلى تتميم بعض كلام المتكلّم باللفظة و اللفظتين قبل أن يلفظ بها المتكلّم، وذلك يشغله عن التجرد للإنصات، فيقطع المتكلّم حديثه ويعترض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لاتعجل بكلامي وأنصت لتفقه ما أقول لك، ثم يمضي في حديثه</w:t>
      </w:r>
      <w:r>
        <w:rPr>
          <w:rFonts w:eastAsia="Amiri" w:cs="Amiri" w:ascii="Amiri" w:hAnsi="Amiri"/>
          <w:color w:val="111111"/>
          <w:sz w:val="28"/>
          <w:szCs w:val="28"/>
          <w:rtl w:val="true"/>
          <w:lang w:bidi="ar-SA"/>
        </w:rPr>
        <w:t>.</w:t>
      </w:r>
      <w:r>
        <w:rPr>
          <w:rStyle w:val="FootnoteAnchor"/>
          <w:rtl w:val="true"/>
        </w:rPr>
        <w:footnoteReference w:id="580"/>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المعنى ينطبق على الجملتين الماضيتين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بيان معانيه لا ألفاظه حتى يكون المعنى بيانه للناس عن طريق بيان النبي صلى الله عليه و آله لأنّ البيان غير القراءة، فاللّه سبحانه يعد النبي صلى الله عليه و آله بأمرين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قراءة القرآن حتى يتبع قراءته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مفاد الآيات وحقائقها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على ما ذكرنا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تفسير هذه الآيات، وأمّا وجه الصلة بينها وبين ما تقدّم وتأخرّ من الآيات،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الآيات المتقدّمة وكان النبي صلى الله عليه و آله عند نزولها يعجل ويبادر إلى قراءة ما لم يقرأ، فنزلت هذه الآيات في تأديب النبي صلى الله عليه و آله من اللّه سبحانه، ثم انتقل سبحانه إلى ما هو الغرض الأصلي في السورة، وهذا أمر رائج عند إلقاء الكلام،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الخطيب مستمراً في إلقاء خطبته، وفي الأثناء يواجه الخطيب مشكلة في المجلس، ويريد حلّها فيقطع كلامه لبيان الحل، ثم يرجع إلى كلامه في الموضوع الذي كان يبحث فيه، فمن كان حاضراً في المجلس رأى جميع الكلام مرتبط بعضه ببعض ومن كان في خارج المجلس ربما يستغرب من عدم وجود ارتباط، والمقام من هذا القبيل، فعندما كان جبرئيل يقرأ عليه كان النبي صلى الله عليه و آله يبادر إلى قراءة ما لم يسمع، فخوطب من</w:t>
      </w:r>
      <w:bookmarkStart w:id="724" w:name="pg16772_194708"/>
    </w:p>
    <w:p>
      <w:pPr>
        <w:pStyle w:val="BookText"/>
        <w:rPr/>
      </w:pPr>
      <w:bookmarkEnd w:id="724"/>
      <w:r>
        <w:rPr>
          <w:rFonts w:ascii="Amiri" w:hAnsi="Amiri" w:eastAsia="Amiri" w:cs="Amiri"/>
          <w:color w:val="111111"/>
          <w:sz w:val="28"/>
          <w:sz w:val="28"/>
          <w:szCs w:val="28"/>
          <w:rtl w:val="true"/>
          <w:lang w:bidi="ar-SA"/>
        </w:rPr>
        <w:t>اللّه سبحانه في أثناء الآيات بالإنصات والإناة والقراءة بعد تمام الكلام، ويؤيد ذلك ما في ذيل رواية النبي صلى الله عليه و آله حيث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أتاه جبرئيل أطرق فإذا ذهب قرأ</w:t>
      </w:r>
      <w:r>
        <w:rPr>
          <w:rFonts w:eastAsia="Amiri" w:cs="Amiri" w:ascii="Amiri" w:hAnsi="Amiri"/>
          <w:color w:val="111111"/>
          <w:sz w:val="28"/>
          <w:szCs w:val="28"/>
          <w:rtl w:val="true"/>
          <w:lang w:bidi="ar-SA"/>
        </w:rPr>
        <w:t>.</w:t>
      </w:r>
      <w:r>
        <w:rPr>
          <w:rStyle w:val="FootnoteAnchor"/>
          <w:rtl w:val="true"/>
        </w:rPr>
        <w:footnoteReference w:id="582"/>
      </w:r>
    </w:p>
    <w:p>
      <w:pPr>
        <w:pStyle w:val="Heading4"/>
        <w:numPr>
          <w:ilvl w:val="3"/>
          <w:numId w:val="1"/>
        </w:numPr>
        <w:rPr/>
      </w:pPr>
      <w:bookmarkStart w:id="725" w:name="__RefHeading___Toc6963913_73709187"/>
      <w:bookmarkStart w:id="726" w:name="_Toc275"/>
      <w:bookmarkEnd w:id="725"/>
      <w:r>
        <w:rPr>
          <w:rtl w:val="true"/>
        </w:rPr>
        <w:t>الآيتان العشرون والحادية والعشرون</w:t>
      </w:r>
      <w:bookmarkEnd w:id="726"/>
    </w:p>
    <w:p>
      <w:pPr>
        <w:pStyle w:val="Heading5"/>
        <w:numPr>
          <w:ilvl w:val="4"/>
          <w:numId w:val="1"/>
        </w:numPr>
        <w:rPr/>
      </w:pPr>
      <w:bookmarkStart w:id="727" w:name="__RefHeading___Toc6963915_73709187"/>
      <w:bookmarkStart w:id="728" w:name="_Toc276"/>
      <w:bookmarkEnd w:id="727"/>
      <w:r>
        <w:rPr>
          <w:rtl w:val="true"/>
        </w:rPr>
        <w:t>اشارة</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تَذَرُونَ الْآخِرَةَ‌</w:t>
      </w:r>
      <w:r>
        <w:rPr>
          <w:rFonts w:eastAsia="Amiri" w:cs="Amiri" w:ascii="Amiri" w:hAnsi="Amiri"/>
          <w:color w:val="111111"/>
          <w:sz w:val="28"/>
          <w:szCs w:val="28"/>
          <w:rtl w:val="true"/>
          <w:lang w:bidi="ar-SA"/>
        </w:rPr>
        <w:t>) .</w:t>
      </w:r>
      <w:r>
        <w:rPr>
          <w:rStyle w:val="FootnoteAnchor"/>
          <w:rtl w:val="true"/>
        </w:rPr>
        <w:footnoteReference w:id="583"/>
      </w:r>
    </w:p>
    <w:p>
      <w:pPr>
        <w:pStyle w:val="Heading5"/>
        <w:numPr>
          <w:ilvl w:val="4"/>
          <w:numId w:val="1"/>
        </w:numPr>
        <w:rPr/>
      </w:pPr>
      <w:bookmarkStart w:id="729" w:name="__RefHeading___Toc6963917_73709187"/>
      <w:bookmarkStart w:id="730" w:name="_Toc277"/>
      <w:bookmarkEnd w:id="729"/>
      <w:r>
        <w:rPr>
          <w:rtl w:val="true"/>
        </w:rPr>
        <w:t>المفردات</w:t>
      </w:r>
      <w:r>
        <w:rPr>
          <w:rtl w:val="true"/>
        </w:rPr>
        <w:t>:</w:t>
      </w:r>
      <w:bookmarkEnd w:id="730"/>
    </w:p>
    <w:p>
      <w:pPr>
        <w:pStyle w:val="BookText"/>
        <w:rPr/>
      </w:pPr>
      <w:r>
        <w:rPr>
          <w:rFonts w:ascii="Amiri" w:hAnsi="Amiri" w:eastAsia="Amiri" w:cs="Amiri"/>
          <w:color w:val="111111"/>
          <w:sz w:val="28"/>
          <w:sz w:val="28"/>
          <w:szCs w:val="28"/>
          <w:rtl w:val="true"/>
          <w:lang w:bidi="ar-SA"/>
        </w:rPr>
        <w:t>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الأغراض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يوجد في لغة العرب صيغة الماضي من هذه المادة، ولذلك قالوا في علم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وأماتوا ماضي يذر ويدع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فهو بمعنى قذف الشيء لقلّة اعتداده، وكأنّ الأغراض الدنيوية هي التي يعتدّ بها والآخرة على الخلاف منها</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6963919_73709187"/>
      <w:bookmarkStart w:id="732" w:name="_Toc278"/>
      <w:bookmarkEnd w:id="731"/>
      <w:r>
        <w:rPr>
          <w:rtl w:val="true"/>
        </w:rPr>
        <w:t>التفسير</w:t>
      </w:r>
      <w:r>
        <w:rPr>
          <w:rtl w:val="true"/>
        </w:rPr>
        <w:t>:</w:t>
      </w:r>
      <w:bookmarkEnd w:id="73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أيضاً إلى بيان ما هو السبب لإنكار المعاد، فذكر أوّلاً أنّ السبب هو أنّ هؤلاء يريدون الفجور في حياتهم وهو لاينسجم مع القول بالمعاد ومحاسبته العباد، وثانياً يفصّل ذلك السبب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يحبون شهوات الدنيا ويتركون الآخرة، فمن أحب العاجلة ولم يعتد بالآخرة يستنكر المعاد</w:t>
      </w:r>
      <w:bookmarkStart w:id="733" w:name="pg16772_194709"/>
    </w:p>
    <w:p>
      <w:pPr>
        <w:pStyle w:val="BookText"/>
        <w:rPr/>
      </w:pPr>
      <w:bookmarkEnd w:id="733"/>
      <w:r>
        <w:rPr>
          <w:rFonts w:ascii="Amiri" w:hAnsi="Amiri" w:eastAsia="Amiri" w:cs="Amiri"/>
          <w:color w:val="111111"/>
          <w:sz w:val="28"/>
          <w:sz w:val="28"/>
          <w:szCs w:val="28"/>
          <w:rtl w:val="true"/>
          <w:lang w:bidi="ar-SA"/>
        </w:rPr>
        <w:t>ويستبعده لأنّه لاينسجم مع ما يحبه، وكأنّ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تُحِبُّونَ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يُرِيدُ الْإِنْسانُ لِيَفْجُرَ أَمامَهُ‌</w:t>
      </w:r>
      <w:r>
        <w:rPr>
          <w:rFonts w:eastAsia="Amiri" w:cs="Amiri" w:ascii="Amiri" w:hAnsi="Amiri"/>
          <w:color w:val="111111"/>
          <w:sz w:val="28"/>
          <w:szCs w:val="28"/>
          <w:rtl w:val="true"/>
          <w:lang w:bidi="ar-SA"/>
        </w:rPr>
        <w:t>) .</w:t>
      </w:r>
      <w:r>
        <w:rPr>
          <w:rStyle w:val="FootnoteAnchor"/>
          <w:rtl w:val="true"/>
        </w:rPr>
        <w:footnoteReference w:id="584"/>
      </w:r>
    </w:p>
    <w:p>
      <w:pPr>
        <w:pStyle w:val="Heading4"/>
        <w:numPr>
          <w:ilvl w:val="3"/>
          <w:numId w:val="1"/>
        </w:numPr>
        <w:rPr/>
      </w:pPr>
      <w:bookmarkStart w:id="734" w:name="__RefHeading___Toc6963921_73709187"/>
      <w:bookmarkStart w:id="735" w:name="_Toc279"/>
      <w:bookmarkEnd w:id="734"/>
      <w:r>
        <w:rPr>
          <w:rtl w:val="true"/>
        </w:rPr>
        <w:t>الآيات الثانية والعشرون إلى الخامسة والعشرين</w:t>
      </w:r>
      <w:bookmarkEnd w:id="735"/>
    </w:p>
    <w:p>
      <w:pPr>
        <w:pStyle w:val="Heading5"/>
        <w:numPr>
          <w:ilvl w:val="4"/>
          <w:numId w:val="1"/>
        </w:numPr>
        <w:rPr/>
      </w:pPr>
      <w:bookmarkStart w:id="736" w:name="__RefHeading___Toc6963923_73709187"/>
      <w:bookmarkStart w:id="737" w:name="_Toc280"/>
      <w:bookmarkEnd w:id="736"/>
      <w:r>
        <w:rPr>
          <w:rtl w:val="true"/>
        </w:rPr>
        <w:t>اشارة</w:t>
      </w:r>
      <w:bookmarkEnd w:id="7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يَوْمَئِذٍ 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w:t>
      </w:r>
      <w:r>
        <w:rPr>
          <w:rStyle w:val="FootnoteAnchor"/>
          <w:rtl w:val="true"/>
        </w:rPr>
        <w:footnoteReference w:id="585"/>
      </w:r>
    </w:p>
    <w:p>
      <w:pPr>
        <w:pStyle w:val="Heading5"/>
        <w:numPr>
          <w:ilvl w:val="4"/>
          <w:numId w:val="1"/>
        </w:numPr>
        <w:rPr/>
      </w:pPr>
      <w:bookmarkStart w:id="738" w:name="__RefHeading___Toc6963925_73709187"/>
      <w:bookmarkStart w:id="739" w:name="_Toc281"/>
      <w:bookmarkEnd w:id="738"/>
      <w:r>
        <w:rPr>
          <w:rtl w:val="true"/>
        </w:rPr>
        <w:t>المفردات</w:t>
      </w:r>
      <w:r>
        <w:rPr>
          <w:rtl w:val="true"/>
        </w:rPr>
        <w:t>:</w:t>
      </w:r>
      <w:bookmarkEnd w:id="739"/>
    </w:p>
    <w:p>
      <w:pPr>
        <w:pStyle w:val="BookText"/>
        <w:rPr/>
      </w:pPr>
      <w:r>
        <w:rPr>
          <w:rFonts w:ascii="Amiri" w:hAnsi="Amiri" w:eastAsia="Amiri" w:cs="Amiri"/>
          <w:color w:val="111111"/>
          <w:sz w:val="28"/>
          <w:sz w:val="28"/>
          <w:szCs w:val="28"/>
          <w:rtl w:val="true"/>
          <w:lang w:bidi="ar-SA"/>
        </w:rPr>
        <w:t>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النضرة الحسن كالنضارة،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نَضْرَةَ النَّعِيمِ‌</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أي رونقه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لَقّاهُمْ نَضْرَةً وَ سُرُوراً</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وجهه ينضر فهو ناضر</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باسرة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العبوس،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عَبَسَ وَ بَسَرَ</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أي أظهر العبوس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 العظيمة تقصم فقار الظهر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تقليب البصر، لإدراك الشيء ورؤيته إذا أسندت إلى العيون</w:t>
      </w:r>
      <w:r>
        <w:rPr>
          <w:rFonts w:eastAsia="Amiri" w:cs="Amiri" w:ascii="Amiri" w:hAnsi="Amiri"/>
          <w:color w:val="111111"/>
          <w:sz w:val="28"/>
          <w:szCs w:val="28"/>
          <w:rtl w:val="true"/>
          <w:lang w:bidi="ar-SA"/>
        </w:rPr>
        <w:t>.</w:t>
      </w:r>
      <w:bookmarkStart w:id="740" w:name="pg16772_194710"/>
    </w:p>
    <w:p>
      <w:pPr>
        <w:pStyle w:val="BookText"/>
        <w:rPr/>
      </w:pPr>
      <w:bookmarkEnd w:id="740"/>
      <w:r>
        <w:rPr>
          <w:rFonts w:ascii="Amiri" w:hAnsi="Amiri" w:eastAsia="Amiri" w:cs="Amiri"/>
          <w:color w:val="111111"/>
          <w:sz w:val="28"/>
          <w:sz w:val="28"/>
          <w:szCs w:val="28"/>
          <w:rtl w:val="true"/>
          <w:lang w:bidi="ar-SA"/>
        </w:rPr>
        <w:t>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نظرته وانتظرته وأنظرته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أخّرته،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انْتَظِرُوا إِنّا مُنْتَظِرُونَ‌</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يَنْتَظِرُونَ إِلاّ مِثْلَ أَيّامِ الَّذِينَ خَلَوْا مِنْ قَبْلِهِمْ‌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2"/>
      </w:r>
    </w:p>
    <w:p>
      <w:pPr>
        <w:pStyle w:val="Heading5"/>
        <w:numPr>
          <w:ilvl w:val="4"/>
          <w:numId w:val="1"/>
        </w:numPr>
        <w:rPr/>
      </w:pPr>
      <w:bookmarkStart w:id="741" w:name="__RefHeading___Toc6963927_73709187"/>
      <w:bookmarkStart w:id="742" w:name="_Toc282"/>
      <w:bookmarkEnd w:id="741"/>
      <w:r>
        <w:rPr>
          <w:rtl w:val="true"/>
        </w:rPr>
        <w:t>التفسير</w:t>
      </w:r>
      <w:r>
        <w:rPr>
          <w:rtl w:val="true"/>
        </w:rPr>
        <w:t>:</w:t>
      </w:r>
      <w:bookmarkEnd w:id="742"/>
    </w:p>
    <w:p>
      <w:pPr>
        <w:pStyle w:val="BookText"/>
        <w:rPr/>
      </w:pPr>
      <w:r>
        <w:rPr>
          <w:rFonts w:ascii="Amiri" w:hAnsi="Amiri" w:eastAsia="Amiri" w:cs="Amiri"/>
          <w:color w:val="111111"/>
          <w:sz w:val="28"/>
          <w:sz w:val="28"/>
          <w:szCs w:val="28"/>
          <w:rtl w:val="true"/>
          <w:lang w:bidi="ar-SA"/>
        </w:rPr>
        <w:t>الآيات تشير إلى أحوال الناس يوم القيامة فهم بين أهل سعادة وأهل شقاء، فأصحاب الوجوه الناضرة من الطائفة الأُولى‌، وأصحاب الوجوه الباسرة هم أصحاب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اختلف المفسّرون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فجرى المحدّثون على ظاهر الآية،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النظر إلى اللّه سبحانه و رؤيته يوم القيامة، أخذاً بما رواه جرير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النبي صلى الله عليه و آله إذ نظر إلى القمر ليلة البدر،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سترون ربكم كما ترون هذا القمر، لاتضامون في رؤيته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رواه أحمد عن عمر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أدنى أهل الجنّة منزلة من ينظر إلى حياته وأزواجه ونعيمه وخدمه وسرِره مسيرة ألف سنة، وأكرمهم على اللّه من ينظر إلى وجهه غدوة وعشية، ثم قرأ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و هؤلاء بهذا التفسير أثبتوا للّه جهة ووجهاً ينظر إليها أكرم عباد اللّه غدوة وعشية، وليس لهم دليل إلّاالجمود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بمعنى تقليب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فالنظر عندهم حسّي بصري، 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صريح الذكر الحكيم ينفي أي مثل للّه سبحانه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فلو كان سبحانه واقعاً في جهة ينظر إليه عباد اللّه الأكرمون غدوة وعشية، يكون عندئذ موجوداً جسمانياً واقعاً في الزمان، ويكون مكان المِثل الواحد آلاف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تبارك وتعالى ذكر مضمون هذه الآيات، في سورة عبس، في آيات أربع،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يَوْمَئِذٍ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قَتَرَةٌ‌</w:t>
      </w:r>
      <w:r>
        <w:rPr>
          <w:rFonts w:eastAsia="Amiri" w:cs="Amiri" w:ascii="Amiri" w:hAnsi="Amiri"/>
          <w:color w:val="111111"/>
          <w:sz w:val="28"/>
          <w:szCs w:val="28"/>
          <w:rtl w:val="true"/>
          <w:lang w:bidi="ar-SA"/>
        </w:rPr>
        <w:t>)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فقوله سبحانه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مُسْفِرَةٌ‌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 سبحانه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ضاحِكَةٌ مُسْتَبْشِرَةٌ‌</w:t>
      </w:r>
      <w:r>
        <w:rPr>
          <w:rFonts w:eastAsia="Amiri" w:cs="Amiri" w:ascii="Amiri" w:hAnsi="Amiri"/>
          <w:color w:val="111111"/>
          <w:sz w:val="28"/>
          <w:szCs w:val="28"/>
          <w:rtl w:val="true"/>
          <w:lang w:bidi="ar-SA"/>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فإذن المراد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ما أُريد من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ضاحِكَةٌ مُسْتَبْشِرَةٌ‌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قريب منه، لا الرؤية البصرية بل النظر فيه مثل النظر في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إليك لما وعدت لناظر نظر الفقير إلى الغني الموسر</w:t>
      </w:r>
    </w:p>
    <w:p>
      <w:pPr>
        <w:pStyle w:val="BookText"/>
        <w:rPr/>
      </w:pPr>
      <w:r>
        <w:rPr>
          <w:rFonts w:ascii="Amiri" w:hAnsi="Amiri" w:eastAsia="Amiri" w:cs="Amiri"/>
          <w:color w:val="111111"/>
          <w:sz w:val="28"/>
          <w:sz w:val="28"/>
          <w:szCs w:val="28"/>
          <w:rtl w:val="true"/>
          <w:lang w:bidi="ar-SA"/>
        </w:rPr>
        <w:t>فإنّ نظر الفقير إلى يد الموسر ليس من قسم النظر الحسّي إلى يده، وإنّما ذكر النظر إلى اليد لينتقل منه المخاطب إلى أنّه متوقع عطاءه وإنعامه، فأصحاب الوجوه الناضرة ضاحكون مستبشرون يرجون ثواب اللّه وجزاءه، كما أنّ أصحاب الوجوه الباسرة ينتظرون جزاءه وعقابه الفاقر للظهر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نعترف بأنّ النظر في الآية إنّما استعمل في معناه الحقيقي، غير أنّ النظر إذا أسند إلى العيون والابصار يراد منه غالباً النظر الحسّي، وأمّا إذا أسند إلى الوجوه فيُراد منه المعنى الكنائي،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التوقّع والرجاء،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يتوقّعون النعمة والرحمة من ربهم ولذلك تكون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ضاحِكَةٌ مُسْتَبْشِرَةٌ‌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فلو كان المرادُ النظرَ الحسّي البصري فلماذا نسبه إلى الوجوه ولم ينسبه إلى العيون التي تلازم النسبة إليها إفادة الرؤية الحسّية‌؟</w:t>
      </w:r>
    </w:p>
    <w:p>
      <w:pPr>
        <w:pStyle w:val="BookText"/>
        <w:rPr/>
      </w:pPr>
      <w:r>
        <w:rPr>
          <w:rFonts w:ascii="Amiri" w:hAnsi="Amiri" w:eastAsia="Amiri" w:cs="Amiri"/>
          <w:color w:val="111111"/>
          <w:sz w:val="28"/>
          <w:sz w:val="28"/>
          <w:szCs w:val="28"/>
          <w:rtl w:val="true"/>
          <w:lang w:bidi="ar-SA"/>
        </w:rPr>
        <w:t xml:space="preserve">ثم إنّ بعضَ من حاول الإجابة عن الاستدلال بالآية على الرؤية الحسّية فسرّ النظر في قوله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بالانتظار، ورُدّ بأنّ النظر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لايتعدّى بحرف الجر، بل يتعدّى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الإشكال باستعمال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كما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ناظرات يوم بدر إلى الرحمن يأتي بالفلاح</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الإصرار على أنّ النظر في الآية بمعنى الانتظار ليس له وجه مُلْزِم، بل</w:t>
      </w:r>
      <w:bookmarkStart w:id="743" w:name="pg16772_194713"/>
    </w:p>
    <w:p>
      <w:pPr>
        <w:pStyle w:val="BookText"/>
        <w:rPr/>
      </w:pPr>
      <w:bookmarkEnd w:id="743"/>
      <w:r>
        <w:rPr>
          <w:rFonts w:ascii="Amiri" w:hAnsi="Amiri" w:eastAsia="Amiri" w:cs="Amiri"/>
          <w:color w:val="111111"/>
          <w:sz w:val="28"/>
          <w:sz w:val="28"/>
          <w:szCs w:val="28"/>
          <w:rtl w:val="true"/>
          <w:lang w:bidi="ar-SA"/>
        </w:rPr>
        <w:t xml:space="preserve">النظر في الآية بمعناه المعروف، إنّما الكلام في أنّه هل أُريد منه المعنى الحقيقي والرؤية الحسّية فقط، أو أنّه كناية عن معنى آخر، فالسلفيون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المغترّون بأحاديث الرؤية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يحملون اللفظ على المعنى الحقيقي وهو الرؤية، إلّا أنّ المنزّهين يجعلون المعنى اللغوي كناية عن توقّع الرحمة ونزولها، والشاهد عليه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مقتضى التنزيه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سورة عبس كما مرّ</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6963929_73709187"/>
      <w:bookmarkStart w:id="745" w:name="_Toc283"/>
      <w:bookmarkEnd w:id="744"/>
      <w:r>
        <w:rPr>
          <w:rtl w:val="true"/>
        </w:rPr>
        <w:t>بيان آخر لرفع الإبهام عن قوله</w:t>
      </w:r>
      <w:r>
        <w:rPr>
          <w:rtl w:val="true"/>
        </w:rPr>
        <w:t>: (</w:t>
      </w:r>
      <w:r>
        <w:rPr>
          <w:rtl w:val="true"/>
        </w:rPr>
        <w:t>ناظِرَةٌ‌</w:t>
      </w:r>
      <w:r>
        <w:rPr>
          <w:rtl w:val="true"/>
        </w:rPr>
        <w:t>)</w:t>
      </w:r>
      <w:bookmarkEnd w:id="745"/>
    </w:p>
    <w:p>
      <w:pPr>
        <w:pStyle w:val="BookText"/>
        <w:rPr/>
      </w:pPr>
      <w:r>
        <w:rPr>
          <w:rFonts w:ascii="Amiri" w:hAnsi="Amiri" w:eastAsia="Amiri" w:cs="Amiri"/>
          <w:color w:val="111111"/>
          <w:sz w:val="28"/>
          <w:sz w:val="28"/>
          <w:szCs w:val="28"/>
          <w:rtl w:val="true"/>
          <w:lang w:bidi="ar-SA"/>
        </w:rPr>
        <w:t>لا شكّ أنّ الآيات المذكورة من المحكمات ولا إجمال فيها، والذي يبطل الاستدلال هو أنّ النظر سواء أكان بمعنى الرؤية أم بمعنى الانتظار لايدلّ على أنّ المراد هو الرؤية الحقيقية، ويعلم ذلك بمقارنة الآيات المذكورة بعضها ببعض، وعندئذ يرتفع الإبهام عن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تنظيم الآيات حسب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باسِرَةٌ‌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شكّ أنّ الآيتين الأُوليين واضحتان جدّاً، وإنّما الكلام في الآية الثالثة فيجب رفع إبهامها عن طريق الآية الرابعة التي تقابلها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المراد من الآية الرابعة هو أنّ الطائفة العاصية التي عبّر عن صفتها بكونها ذات وجوه باسرة، تظن وتتوقّع أنْ ينزل بها عذاب يكسر فقارها ويقصم ظهرها، يكون ذلك قرينة على المراد من الآية الثالثة، هو أنّ الطائفة المطيعة ذات وجوه ناضرة تتوقع عكس ما تتوقّعه الطائفة الأُولى، وتنتظر فضله وكرمه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يستظهره الذهن المجرد عن كل رأي مُسْبَق، من مقابلة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لايصح لنا تفسير الآية الثالثة إلّابضد 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 الآية الرابعة صريحة في أنّ المراد توقع العُصاة العذاب الفاقر، يكون المراد من الآية الثالثة توقّع المؤمنين، الرحمةَ والفضلَ والكرمَ حتى ولو كان النظر بمعناه الحقيقي، إذ ليس كلّما أُطلق لفظ النظر يراد به الرؤية الحسّية، بل ربما يكون النظر كناية عن التوقّع والانتظار، مثلاً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ينظر إلى يد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أنّه رجل معدم محتاج ليس عنده شيء وإنّما يتوقّع عطاء الشخص، فما أعطاه مَلَكه وما منعه حُرِم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درج عليه الناس في محاوراتهم العرفية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ينظر إلى اللّه ثم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فالنظر وإن كان هنا بمعنى الرؤية لا الانتظار، ولكنّه كناية عن توقّع رحمته سبحانه أوّلاً، وكرم الشخص المأمول ثانياً،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يتوقع فضل اللّه سبحانه ثم 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فمحور البحث والمراد هو توقّع الرحمة وحصولها أو عدم توقّعها وشمولها، فالطغاة يظنون شمول العذاب، والصالحون يظنون عكسه وضده، وأمّا رؤية اللّه سبحانه ووقوع النظر إلى ذاته فخارج عمّا تهدف إليه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 في كشّافه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سَرَوِيّة مستجدية بمكة وقت الظهر حين يغلق الناس أبوابهم، ويأوون إلى مقائلهم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عُيَيْنَتَيَّ نُوَيْظِرَةٌ إلى اللّه وإليكم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تقصد راجية ومتوقعة لإحسانهم إليها</w:t>
      </w:r>
      <w:r>
        <w:rPr>
          <w:rFonts w:eastAsia="Amiri" w:cs="Amiri" w:ascii="Amiri" w:hAnsi="Amiri"/>
          <w:color w:val="111111"/>
          <w:sz w:val="28"/>
          <w:szCs w:val="28"/>
          <w:rtl w:val="true"/>
          <w:lang w:bidi="ar-SA"/>
        </w:rPr>
        <w:t>.</w:t>
      </w:r>
      <w:r>
        <w:rPr>
          <w:rStyle w:val="FootnoteAnchor"/>
          <w:rtl w:val="true"/>
        </w:rPr>
        <w:footnoteReference w:id="598"/>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مفتاح حل المشكلة المتوهّمة في الآية، فتفسير الآية برؤية ذاته غفلة عن القرينة الموجودة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تفسيران آخران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النظر إلى آثاره سبحانه، فإنّ العوالم الحسّية حتّى الغيبية التي تتجلّى للمؤمن كلّها في الدنيا والآخرة، تجليات لوجوده وظهور كماله، فأصحاب الوجوه الناظرة حيثما نظروا لايرون إلّااللّه سبحانه، أي يتجلّى وجوده لهم قبل تجلي المرأيّ‌، وقد نقل عن بعض أصحاب الكمال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شيئاً إلّاورأيت اللّه قبله وبعده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أصحاب الوجوه الباسرة فهم لايرون إلّاعلائم العذاب وسوء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القلبية التي ينالها من كمل توحيده إمّا في الدنيا وإمّا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ما رواه الصدوق قدس سره بسند صحيح عن عبداللّه بن سنان،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أباجعفر عليه السلام فدخل عليه رجل من الخوارج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أباجعفر أيَّ شيءٍ تعبُد؟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تره العيون بمشاهدة العيان، ولكن رأته القلوب بحقائق الإيمان، لايعرف بالقياس، ولايُدرك بالحواس، ولايشبّه بالناس، موصوف بالآيات، معروف بالعلامات، لايجور في حكمه، ذلك اللّه لا إله إلّاهو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 روى الصدوق أيضاً عن أبي الحسن المفضل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حبرٌ إلى أميرالمؤمنين،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رأيتَ ربك حين عبدته‌؟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كنت أعبد ربّاً لم أره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لاتدركه العيون في مشاهدة الأبصار ولكن</w:t>
      </w:r>
    </w:p>
    <w:p>
      <w:pPr>
        <w:pStyle w:val="BookText"/>
        <w:rPr/>
      </w:pPr>
      <w:r>
        <w:rPr>
          <w:rFonts w:ascii="Amiri" w:hAnsi="Amiri" w:eastAsia="Amiri" w:cs="Amiri"/>
          <w:color w:val="111111"/>
          <w:sz w:val="28"/>
          <w:sz w:val="28"/>
          <w:szCs w:val="28"/>
          <w:rtl w:val="true"/>
          <w:lang w:bidi="ar-SA"/>
        </w:rPr>
        <w:t>رأته القلوب بحقائق الأعيان</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وروى أيضاً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الغشية التي كانت تصيب رسول اللّه صلى الله عليه و آله إذا نزل عليه الوحي‌؟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إذا لم يكن بينه وبين اللّه أحد، ذاك إذا تجلّى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النبوة 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يتخشّع</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 الحديث أوضح ممّا سبق في الرؤية القلبية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مرازم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رسول اللّه صلى الله عليه و آله ربّه عز وجلّ‌، يعني بقلبه</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 روى أيضاً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رأى رسول اللّه صلى الله عليه و آله ربّه عز 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بقلبه رآه، أما سمعت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أي لم يره بالبصر، ولكن رآه بالفؤاد</w:t>
      </w:r>
      <w:r>
        <w:rPr>
          <w:rFonts w:eastAsia="Amiri" w:cs="Amiri" w:ascii="Amiri" w:hAnsi="Amiri"/>
          <w:color w:val="111111"/>
          <w:sz w:val="28"/>
          <w:szCs w:val="28"/>
          <w:rtl w:val="true"/>
          <w:lang w:bidi="ar-SA"/>
        </w:rPr>
        <w:t>».</w:t>
      </w:r>
      <w:r>
        <w:rPr>
          <w:rStyle w:val="FootnoteAnchor"/>
          <w:rtl w:val="true"/>
        </w:rPr>
        <w:footnoteReference w:id="604"/>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عن أبي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 وجل هل يراه المؤمنون يوم القيامة‌؟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وقد رأوه قبل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بِرَبِّكُمْ قالُوا بَلى‌</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المؤمنين ليرونه في الدنيا قبل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تراه في وقتك</w:t>
      </w:r>
    </w:p>
    <w:p>
      <w:pPr>
        <w:pStyle w:val="BookText"/>
        <w:rPr/>
      </w:pPr>
      <w:r>
        <w:rPr>
          <w:rFonts w:ascii="Amiri" w:hAnsi="Amiri" w:eastAsia="Amiri" w:cs="Amiri"/>
          <w:color w:val="111111"/>
          <w:sz w:val="28"/>
          <w:sz w:val="28"/>
          <w:szCs w:val="28"/>
          <w:rtl w:val="true"/>
          <w:lang w:bidi="ar-SA"/>
        </w:rPr>
        <w:t>هذا؟ قال أبوبصير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فأحدّث بهذا عنك‌؟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فإنّك إذا حدّثت به فأنكره منكر جاهل بمعنى ما تقوله ثمّ قدَّر أنّ ذلك تشبيه كفر، وليست الرّؤية بالقلب كالرّؤية بالعين، تعالى اللّه عمّا يصفه المشبهون والملحدون</w:t>
      </w:r>
      <w:r>
        <w:rPr>
          <w:rFonts w:eastAsia="Amiri" w:cs="Amiri" w:ascii="Amiri" w:hAnsi="Amiri"/>
          <w:color w:val="111111"/>
          <w:sz w:val="28"/>
          <w:szCs w:val="28"/>
          <w:rtl w:val="true"/>
          <w:lang w:bidi="ar-SA"/>
        </w:rPr>
        <w:t>».</w:t>
      </w:r>
      <w:r>
        <w:rPr>
          <w:rStyle w:val="FootnoteAnchor"/>
          <w:rtl w:val="true"/>
        </w:rPr>
        <w:footnoteReference w:id="606"/>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فالرؤية القلبية رهن انفتاح العين البرزخية التي تزال عنها الحجب ويرى الإنسان أُموراً لايراها بالعين الحسّية، ومع ذلك كلّه فالرؤية القلبية لاتلازم كونه جسماً ولا أنّه في جهة، وإنّما هي انكشاف عالم الغيب بعد ستره</w:t>
      </w:r>
      <w:r>
        <w:rPr>
          <w:rFonts w:eastAsia="Amiri" w:cs="Amiri" w:ascii="Amiri" w:hAnsi="Amiri"/>
          <w:color w:val="111111"/>
          <w:sz w:val="28"/>
          <w:szCs w:val="28"/>
          <w:rtl w:val="true"/>
          <w:lang w:bidi="ar-SA"/>
        </w:rPr>
        <w:t>.</w:t>
      </w:r>
      <w:bookmarkStart w:id="746" w:name="pg16772_194718"/>
    </w:p>
    <w:p>
      <w:pPr>
        <w:pStyle w:val="Heading4"/>
        <w:numPr>
          <w:ilvl w:val="3"/>
          <w:numId w:val="1"/>
        </w:numPr>
        <w:rPr/>
      </w:pPr>
      <w:bookmarkStart w:id="747" w:name="__RefHeading___Toc6963931_73709187"/>
      <w:bookmarkStart w:id="748" w:name="_Toc284"/>
      <w:bookmarkEnd w:id="746"/>
      <w:bookmarkEnd w:id="747"/>
      <w:r>
        <w:rPr>
          <w:rtl w:val="true"/>
        </w:rPr>
        <w:t>الآيات السادسة والعشرون إلى الثلاثين</w:t>
      </w:r>
      <w:bookmarkEnd w:id="748"/>
    </w:p>
    <w:p>
      <w:pPr>
        <w:pStyle w:val="Heading5"/>
        <w:numPr>
          <w:ilvl w:val="4"/>
          <w:numId w:val="1"/>
        </w:numPr>
        <w:rPr/>
      </w:pPr>
      <w:bookmarkStart w:id="749" w:name="__RefHeading___Toc6963933_73709187"/>
      <w:bookmarkStart w:id="750" w:name="_Toc285"/>
      <w:bookmarkEnd w:id="749"/>
      <w:r>
        <w:rPr>
          <w:rtl w:val="true"/>
        </w:rPr>
        <w:t>اشارة</w:t>
      </w:r>
      <w:bookmarkEnd w:id="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إِذا بَلَغَتِ التَّراقِيَ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مَنْ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أَنَّهُ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رَبِّكَ يَوْمَئِذٍ الْمَساقُ‌</w:t>
      </w:r>
      <w:r>
        <w:rPr>
          <w:rFonts w:eastAsia="Amiri" w:cs="Amiri" w:ascii="Amiri" w:hAnsi="Amiri"/>
          <w:color w:val="111111"/>
          <w:sz w:val="28"/>
          <w:szCs w:val="28"/>
          <w:rtl w:val="true"/>
          <w:lang w:bidi="ar-SA"/>
        </w:rPr>
        <w:t>) .</w:t>
      </w:r>
      <w:r>
        <w:rPr>
          <w:rStyle w:val="FootnoteAnchor"/>
          <w:rtl w:val="true"/>
        </w:rPr>
        <w:footnoteReference w:id="607"/>
      </w:r>
    </w:p>
    <w:p>
      <w:pPr>
        <w:pStyle w:val="Heading5"/>
        <w:numPr>
          <w:ilvl w:val="4"/>
          <w:numId w:val="1"/>
        </w:numPr>
        <w:rPr/>
      </w:pPr>
      <w:bookmarkStart w:id="751" w:name="__RefHeading___Toc6963935_73709187"/>
      <w:bookmarkStart w:id="752" w:name="_Toc286"/>
      <w:bookmarkEnd w:id="751"/>
      <w:r>
        <w:rPr>
          <w:rtl w:val="true"/>
        </w:rPr>
        <w:t>المفردات</w:t>
      </w:r>
      <w:r>
        <w:rPr>
          <w:rtl w:val="true"/>
        </w:rPr>
        <w:t>:</w:t>
      </w:r>
      <w:bookmarkEnd w:id="752"/>
    </w:p>
    <w:p>
      <w:pPr>
        <w:pStyle w:val="BookText"/>
        <w:rPr/>
      </w:pPr>
      <w:r>
        <w:rPr>
          <w:rFonts w:ascii="Amiri" w:hAnsi="Amiri" w:eastAsia="Amiri" w:cs="Amiri"/>
          <w:color w:val="111111"/>
          <w:sz w:val="28"/>
          <w:sz w:val="28"/>
          <w:szCs w:val="28"/>
          <w:rtl w:val="true"/>
          <w:lang w:bidi="ar-SA"/>
        </w:rPr>
        <w:t>التراقي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مقدّم الحلق من أعلى الصدر، وهي ثغرة النحر، ويكتنفها عظم من اليمين والشمال، تترقّى إليها النفس عند الموت، وبلوغ الروح إلى الترقوة آية خروج الروح من سائر الأعضاء،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اليدين والرجلين، فتجتمع عند الترقوة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الراقي مشتق من الرُّقية وهي ما يستشفي به الملسوع والمريض من الكلام المعدّ لذلك، فيضع يده على موضع الوجع من المريض، أو على رأس المريض، أو يكتب شيئاً في ورقة تعلّق على المريض، وكانت العرب تستشفي بالرقية، وبالتالي بصاحبها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لساق، وهو تسيير ماشٍ أمام مسيَّره إلى حيث يريد مسيّرُه</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6963937_73709187"/>
      <w:bookmarkStart w:id="754" w:name="_Toc287"/>
      <w:bookmarkEnd w:id="753"/>
      <w:r>
        <w:rPr>
          <w:rtl w:val="true"/>
        </w:rPr>
        <w:t>التفسير</w:t>
      </w:r>
      <w:r>
        <w:rPr>
          <w:rtl w:val="true"/>
        </w:rPr>
        <w:t>:</w:t>
      </w:r>
      <w:bookmarkEnd w:id="75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إِذا بَلَغَتِ التَّراقِيَ‌</w:t>
      </w:r>
      <w:r>
        <w:rPr>
          <w:rFonts w:eastAsia="Amiri" w:cs="Amiri" w:ascii="Amiri" w:hAnsi="Amiri"/>
          <w:color w:val="111111"/>
          <w:sz w:val="28"/>
          <w:szCs w:val="28"/>
          <w:rtl w:val="true"/>
          <w:lang w:bidi="ar-SA"/>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ردع ثان لاستنكار المنكر واستبعاده حيث أنكر يوم القيامة بصورة</w:t>
      </w:r>
    </w:p>
    <w:p>
      <w:pPr>
        <w:pStyle w:val="BookText"/>
        <w:rPr/>
      </w:pPr>
      <w:r>
        <w:rPr>
          <w:rFonts w:ascii="Amiri" w:hAnsi="Amiri" w:eastAsia="Amiri" w:cs="Amiri"/>
          <w:color w:val="111111"/>
          <w:sz w:val="28"/>
          <w:sz w:val="28"/>
          <w:szCs w:val="28"/>
          <w:rtl w:val="true"/>
          <w:lang w:bidi="ar-SA"/>
        </w:rPr>
        <w:t>السؤال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أَيّانَ يَوْمُ الْقِيامَةِ‌</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فرُدّ عليه بجوابين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تَذَرُونَ الْآخِرَةَ‌</w:t>
      </w:r>
      <w:r>
        <w:rPr>
          <w:rFonts w:eastAsia="Amiri" w:cs="Amiri" w:ascii="Amiri" w:hAnsi="Amiri"/>
          <w:color w:val="111111"/>
          <w:sz w:val="28"/>
          <w:szCs w:val="28"/>
          <w:rtl w:val="true"/>
          <w:lang w:bidi="ar-SA"/>
        </w:rPr>
        <w:t xml:space="preserve">) </w:t>
      </w:r>
      <w:r>
        <w:rPr>
          <w:rStyle w:val="FootnoteAnchor"/>
          <w:rtl w:val="true"/>
        </w:rPr>
        <w:footnoteReference w:id="609"/>
      </w:r>
      <w:r>
        <w:rPr>
          <w:rFonts w:ascii="IRNazanin" w:hAnsi="IRNazanin" w:eastAsia="IRNazanin"/>
          <w:color w:val="111111"/>
          <w:sz w:val="28"/>
          <w:sz w:val="28"/>
          <w:szCs w:val="28"/>
          <w:rtl w:val="true"/>
          <w:lang w:bidi="fa-IR"/>
        </w:rPr>
        <w:t>وقد مرّ شرحهما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إِذا بَلَغَتِ التَّراقِيَ‌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فعندما تبلغ الروح إلى التراقي يندمون على استنكارهم واستبعادهم الحياة الأُخروية، وبالتالي خلودهم إلى الأرض، لما يشاهدونه من طلائع ماينكرون، وعلائم ما يستبعدون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مَنْ راقٍ‌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فالقائل هو من حضر المحتضر حيث يتمنّى من يشفيه ويحييه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طبيب يشفيه، أو حكيم يحييه،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آيساً من حياة المحتضر، وتدلّ عليه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ظَنَّ أَنَّهُ الْفِراقُ‌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يحتمل أن يكون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المحتضر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الْتَفَّتِ السّاقُ بِالسّاقِ‌</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حيثُ إنّ المراد التفاف ساق المحتضر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التفاف الساق بالساق يحتمل معنيين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كناية عن شدة المصيبة بمعنى تتابع مصيبة بعد مصيبة، و العرب تستخدم أمثال تلك الصيغة في شدّة المصائب،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الحرب على ساق،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755" w:name="pg16772_194720"/>
    </w:p>
    <w:p>
      <w:pPr>
        <w:pStyle w:val="BookText"/>
        <w:rPr/>
      </w:pPr>
      <w:bookmarkEnd w:id="75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التفاف ساقي المحتضر عند خروج الروح، ووقوع بعضها على بعض، 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التفاف ساقي الميّت عندما يلف بالكفن، والجميع يشير إلى معنى واحد وهو أنّ منكر المعاد ومن حوله يرون بأعينهم نهاية الحياة الدنيوية، ويفكّرون في مستقبل أمرهم وعند ذلك يخاطب اللّه سبحانه نبيّه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رَبِّكَ يَوْمَئِذٍ الْمَساقُ‌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فالمنتهى هو اللّه سبحانه كما هو المبدأ، والناس يُساقون إلى اللّه شاءوا أم لم يشاءوا</w:t>
      </w:r>
      <w:r>
        <w:rPr>
          <w:rFonts w:eastAsia="Amiri" w:cs="Amiri" w:ascii="Amiri" w:hAnsi="Amiri"/>
          <w:color w:val="111111"/>
          <w:sz w:val="28"/>
          <w:szCs w:val="28"/>
          <w:rtl w:val="true"/>
          <w:lang w:bidi="ar-SA"/>
        </w:rPr>
        <w:t>.</w:t>
      </w:r>
    </w:p>
    <w:p>
      <w:pPr>
        <w:pStyle w:val="Heading5"/>
        <w:numPr>
          <w:ilvl w:val="4"/>
          <w:numId w:val="1"/>
        </w:numPr>
        <w:rPr/>
      </w:pPr>
      <w:bookmarkStart w:id="756" w:name="__RefHeading___Toc6963939_73709187"/>
      <w:bookmarkStart w:id="757" w:name="_Toc288"/>
      <w:bookmarkEnd w:id="756"/>
      <w:r>
        <w:rPr>
          <w:rtl w:val="true"/>
        </w:rPr>
        <w:t>الروح حقيقة وراء البدن</w:t>
      </w:r>
      <w:bookmarkEnd w:id="757"/>
    </w:p>
    <w:p>
      <w:pPr>
        <w:pStyle w:val="Heading6"/>
        <w:numPr>
          <w:ilvl w:val="5"/>
          <w:numId w:val="1"/>
        </w:numPr>
        <w:rPr/>
      </w:pPr>
      <w:bookmarkStart w:id="758" w:name="__RefHeading___Toc6963941_73709187"/>
      <w:bookmarkStart w:id="759" w:name="_Toc289"/>
      <w:bookmarkEnd w:id="758"/>
      <w:r>
        <w:rPr>
          <w:rtl w:val="true"/>
        </w:rPr>
        <w:t>اشارة</w:t>
      </w:r>
      <w:bookmarkEnd w:id="759"/>
    </w:p>
    <w:p>
      <w:pPr>
        <w:pStyle w:val="BookText"/>
        <w:rPr/>
      </w:pPr>
      <w:r>
        <w:rPr>
          <w:rFonts w:ascii="Amiri" w:hAnsi="Amiri" w:eastAsia="Amiri" w:cs="Amiri"/>
          <w:color w:val="111111"/>
          <w:sz w:val="28"/>
          <w:sz w:val="28"/>
          <w:szCs w:val="28"/>
          <w:rtl w:val="true"/>
          <w:lang w:bidi="ar-SA"/>
        </w:rPr>
        <w:t>إنّه سبحانه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إِذا بَلَغَتِ التَّراقِيَ‌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الفعل وترك ذكر الفاعل، وهذا يدلّ على وجود شيءٍ وراء البدن يبلغ التراقي عند الاحتضار، فما هو هذا الشيء؟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هو ما يعبّر عنه بالروح تارة، وبالنفس الإنسانية ثانياً، وهذا يدلّ على أنّ البدن والروح، شيئان، وأنّ هنا أمراً وراء البدن يخرج شيئاً فشيئاً من قدميه إلى أن ينتهي إلى الترقوة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وراء البراهين الفلسفية والحسّية لفيف من الآيات القرآنية و سنذكر شيئاً من ذلك</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أقام الروحيون براهين فلسفية وتجربية على أنّ الإنسان مؤلّف من روح وبدن، والثاني غير الأوّل، وبما أنّ بحوثنا في هذه الرسالة تركّز على الاستضاءة بآيات الذكر الحكيم نقتصر بما تشير إليه، وما سنذكره هنا يدلّ بوضوح على أنّ وراء البدن شيء آخر على وجه لايمكن للباحث إنكاره</w:t>
      </w:r>
      <w:r>
        <w:rPr>
          <w:rFonts w:eastAsia="Amiri" w:cs="Amiri" w:ascii="Amiri" w:hAnsi="Amiri"/>
          <w:color w:val="111111"/>
          <w:sz w:val="28"/>
          <w:szCs w:val="28"/>
          <w:rtl w:val="true"/>
          <w:lang w:bidi="ar-SA"/>
        </w:rPr>
        <w:t>.</w:t>
      </w:r>
      <w:bookmarkStart w:id="760" w:name="pg16772_194721"/>
    </w:p>
    <w:p>
      <w:pPr>
        <w:pStyle w:val="Heading6"/>
        <w:numPr>
          <w:ilvl w:val="5"/>
          <w:numId w:val="1"/>
        </w:numPr>
        <w:rPr/>
      </w:pPr>
      <w:bookmarkStart w:id="761" w:name="__RefHeading___Toc6963943_73709187"/>
      <w:bookmarkStart w:id="762" w:name="_Toc290"/>
      <w:bookmarkEnd w:id="760"/>
      <w:bookmarkEnd w:id="761"/>
      <w:r>
        <w:rPr/>
        <w:t>1</w:t>
      </w:r>
      <w:r>
        <w:rPr>
          <w:rtl w:val="true"/>
        </w:rPr>
        <w:t xml:space="preserve">. </w:t>
      </w:r>
      <w:r>
        <w:rPr>
          <w:rtl w:val="true"/>
        </w:rPr>
        <w:t>آية التوفّي والإمساك والإرسال</w:t>
      </w:r>
      <w:bookmarkEnd w:id="762"/>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 الَّتِي لَمْ تَمُتْ فِي مَنامِها فَيُمْسِكُ الَّتِي قَضى عَلَيْهَا الْمَوْتَ وَ يُرْسِلُ الْأُخْرى إِلى أَجَلٍ مُسَمًّى إِنَّ فِي ذلِكَ لَآياتٍ لِقَوْمٍ يَتَفَكَّرُونَ‌</w:t>
      </w:r>
      <w:r>
        <w:rPr>
          <w:rFonts w:eastAsia="Amiri" w:cs="Amiri" w:ascii="Amiri" w:hAnsi="Amiri"/>
          <w:color w:val="111111"/>
          <w:sz w:val="28"/>
          <w:szCs w:val="28"/>
          <w:rtl w:val="true"/>
          <w:lang w:bidi="ar-SA"/>
        </w:rPr>
        <w:t>)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التوفّي في الآية بمعنى الأخذ والقبض لا الإماتة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تدلّ على أنّ للإنسان وراء البدن شيئاً يأخذه سبحانه حين الموت والنوم ثمّ يمسكه ولايرجعه إن كُتب عليه الموت، ويرسله إن لم يُكتب عليه ذلك 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الإنسان متمحّضاً في البدن فلا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الإرسال</w:t>
      </w:r>
      <w:r>
        <w:rPr>
          <w:rFonts w:eastAsia="Amiri" w:cs="Amiri" w:ascii="Amiri" w:hAnsi="Amiri"/>
          <w:color w:val="111111"/>
          <w:sz w:val="28"/>
          <w:szCs w:val="28"/>
          <w:rtl w:val="true"/>
          <w:lang w:bidi="ar-SA"/>
        </w:rPr>
        <w:t>).</w:t>
      </w:r>
    </w:p>
    <w:p>
      <w:pPr>
        <w:pStyle w:val="Heading6"/>
        <w:numPr>
          <w:ilvl w:val="5"/>
          <w:numId w:val="1"/>
        </w:numPr>
        <w:rPr/>
      </w:pPr>
      <w:bookmarkStart w:id="763" w:name="__RefHeading___Toc6963945_73709187"/>
      <w:bookmarkStart w:id="764" w:name="_Toc291"/>
      <w:bookmarkEnd w:id="763"/>
      <w:r>
        <w:rPr/>
        <w:t>2</w:t>
      </w:r>
      <w:r>
        <w:rPr>
          <w:rtl w:val="true"/>
        </w:rPr>
        <w:t xml:space="preserve">. </w:t>
      </w:r>
      <w:r>
        <w:rPr>
          <w:rtl w:val="true"/>
        </w:rPr>
        <w:t>آية حياة الشهداء</w:t>
      </w:r>
      <w:bookmarkEnd w:id="764"/>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 يَسْتَبْشِرُونَ بِالَّذِينَ لَمْ يَلْحَقُوا بِهِمْ مِنْ خَلْفِهِمْ أَلاّ خَوْفٌ عَلَيْهِمْ وَ 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يَسْتَبْشِرُونَ بِنِعْمَةٍ مِنَ اللّهِ وَ فَضْلٍ وَ أَنَّ اللّهَ لا يُضِيعُ أَجْرَ الْمُؤْمِنِينَ‌</w:t>
      </w:r>
      <w:r>
        <w:rPr>
          <w:rFonts w:eastAsia="Amiri" w:cs="Amiri" w:ascii="Amiri" w:hAnsi="Amiri"/>
          <w:color w:val="111111"/>
          <w:sz w:val="28"/>
          <w:szCs w:val="28"/>
          <w:rtl w:val="true"/>
          <w:lang w:bidi="ar-SA"/>
        </w:rPr>
        <w:t>) .</w:t>
      </w:r>
      <w:r>
        <w:rPr>
          <w:rStyle w:val="FootnoteAnchor"/>
          <w:rtl w:val="true"/>
        </w:rPr>
        <w:footnoteReference w:id="612"/>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صريحة في أنّ الشهداء أحياء أوّلاً، ويرزقون عند ربّهم ثانياً، وإنّهم يفرحون ويستبشرون ثالثاً، ولايخافون ولايحزنون رابعاً، فلو كان الإنسان متمحضاً في البدن فالمفروض أنّه قتل في المعركة، وربما صار إرباً إرباً</w:t>
      </w:r>
      <w:bookmarkStart w:id="765" w:name="pg16772_194722"/>
    </w:p>
    <w:p>
      <w:pPr>
        <w:pStyle w:val="BookText"/>
        <w:rPr/>
      </w:pPr>
      <w:bookmarkEnd w:id="765"/>
      <w:r>
        <w:rPr>
          <w:rFonts w:ascii="Amiri" w:hAnsi="Amiri" w:eastAsia="Amiri" w:cs="Amiri"/>
          <w:color w:val="111111"/>
          <w:sz w:val="28"/>
          <w:sz w:val="28"/>
          <w:szCs w:val="28"/>
          <w:rtl w:val="true"/>
          <w:lang w:bidi="ar-SA"/>
        </w:rPr>
        <w:t>أو تراباً رميماً ومع ذلك يصفهم سبحانه بأنّهم أحياء ويرزقون إلى آخر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هذه الآيات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يُقْتَلُ فِي سَبِيلِ اللّهِ أَمْواتٌ بَلْ أَحْياءٌ وَ لكِنْ لا تَشْعُرُونَ‌</w:t>
      </w:r>
      <w:r>
        <w:rPr>
          <w:rFonts w:eastAsia="Amiri" w:cs="Amiri" w:ascii="Amiri" w:hAnsi="Amiri"/>
          <w:color w:val="111111"/>
          <w:sz w:val="28"/>
          <w:szCs w:val="28"/>
          <w:rtl w:val="true"/>
          <w:lang w:bidi="ar-SA"/>
        </w:rPr>
        <w:t>) .</w:t>
      </w:r>
      <w:r>
        <w:rPr>
          <w:rStyle w:val="FootnoteAnchor"/>
          <w:rtl w:val="true"/>
        </w:rPr>
        <w:footnoteReference w:id="613"/>
      </w:r>
      <w:r>
        <w:rPr>
          <w:rFonts w:ascii="Amiri" w:hAnsi="Amiri" w:eastAsia="Amiri" w:cs="Amiri"/>
          <w:color w:val="111111"/>
          <w:sz w:val="28"/>
          <w:sz w:val="28"/>
          <w:szCs w:val="28"/>
          <w:rtl w:val="true"/>
          <w:lang w:bidi="ar-SA"/>
        </w:rPr>
        <w:t>فالآية تندد بمن يظن أنّ موت الشهداء نهاية حياتهم، ولكنّه يخطأ في قضائه، بل هم أحياء، وإن كان الماديّ لأجل ضيق نظرته لايفهم ذلك</w:t>
      </w:r>
      <w:r>
        <w:rPr>
          <w:rFonts w:eastAsia="Amiri" w:cs="Amiri" w:ascii="Amiri" w:hAnsi="Amiri"/>
          <w:color w:val="111111"/>
          <w:sz w:val="28"/>
          <w:szCs w:val="28"/>
          <w:rtl w:val="true"/>
          <w:lang w:bidi="ar-SA"/>
        </w:rPr>
        <w:t>.</w:t>
      </w:r>
    </w:p>
    <w:p>
      <w:pPr>
        <w:pStyle w:val="Heading6"/>
        <w:numPr>
          <w:ilvl w:val="5"/>
          <w:numId w:val="1"/>
        </w:numPr>
        <w:rPr/>
      </w:pPr>
      <w:bookmarkStart w:id="766" w:name="__RefHeading___Toc6963947_73709187"/>
      <w:bookmarkStart w:id="767" w:name="_Toc292"/>
      <w:bookmarkEnd w:id="766"/>
      <w:r>
        <w:rPr/>
        <w:t>3</w:t>
      </w:r>
      <w:r>
        <w:rPr>
          <w:rtl w:val="true"/>
        </w:rPr>
        <w:t xml:space="preserve">. </w:t>
      </w:r>
      <w:r>
        <w:rPr>
          <w:rtl w:val="true"/>
        </w:rPr>
        <w:t>عرض آل فرعون على النار</w:t>
      </w:r>
      <w:bookmarkEnd w:id="76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حاقَ بِآلِ فِرْعَوْنَ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يُعْرَضُونَ عَلَيْها غُدُوًّا وَ عَشِيًّا وَ يَوْمَ تَقُومُ السّاعَةُ أَدْخِلُوا آلَ فِرْعَوْنَ أَشَدَّ الْعَذابِ‌</w:t>
      </w:r>
      <w:r>
        <w:rPr>
          <w:rFonts w:eastAsia="Amiri" w:cs="Amiri" w:ascii="Amiri" w:hAnsi="Amiri"/>
          <w:color w:val="111111"/>
          <w:sz w:val="28"/>
          <w:szCs w:val="28"/>
          <w:rtl w:val="true"/>
          <w:lang w:bidi="ar-SA"/>
        </w:rPr>
        <w:t>)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ترى أنّه سبحانه يفصّل تعذيب آل فرعون بالعرض على النار تارة، والدخول فيها أُخرى؛ أمّا الأوّل فيعرضون عليها قبل يوم القيامة،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الدخول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بعد قيام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الموت إبطالاً للشخصية، فما معنى عرض هؤلاء على النار قبل قيام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6"/>
        <w:numPr>
          <w:ilvl w:val="5"/>
          <w:numId w:val="1"/>
        </w:numPr>
        <w:rPr/>
      </w:pPr>
      <w:bookmarkStart w:id="768" w:name="__RefHeading___Toc6963949_73709187"/>
      <w:bookmarkStart w:id="769" w:name="_Toc293"/>
      <w:bookmarkEnd w:id="768"/>
      <w:r>
        <w:rPr/>
        <w:t>4</w:t>
      </w:r>
      <w:r>
        <w:rPr>
          <w:rtl w:val="true"/>
        </w:rPr>
        <w:t xml:space="preserve">. </w:t>
      </w:r>
      <w:r>
        <w:rPr>
          <w:rtl w:val="true"/>
        </w:rPr>
        <w:t>ما يأخذه ملك الموت</w:t>
      </w:r>
      <w:bookmarkEnd w:id="769"/>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 .</w:t>
      </w:r>
      <w:r>
        <w:rPr>
          <w:rStyle w:val="FootnoteAnchor"/>
          <w:rtl w:val="true"/>
        </w:rPr>
        <w:footnoteReference w:id="615"/>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منكري المعاد كانوا يستدلّون بأنّ الموت يلازم ضلال الإنسان في الأرض وتفكّك أجزاء بدنه في أقطار العالم في البر والبحر، فكيف</w:t>
      </w:r>
    </w:p>
    <w:p>
      <w:pPr>
        <w:pStyle w:val="BookText"/>
        <w:rPr/>
      </w:pPr>
      <w:r>
        <w:rPr>
          <w:rFonts w:ascii="Amiri" w:hAnsi="Amiri" w:eastAsia="Amiri" w:cs="Amiri"/>
          <w:color w:val="111111"/>
          <w:sz w:val="28"/>
          <w:sz w:val="28"/>
          <w:szCs w:val="28"/>
          <w:rtl w:val="true"/>
          <w:lang w:bidi="ar-SA"/>
        </w:rPr>
        <w:t>يمكن جمع هذه الأجزاء المبعثرة في البر والبحر حتى يكون إنساناً تامّاً، ويشير سبحانه إلى هذه الشبهة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أَ إِذا ضَلَلْنا فِي الْأَرْضِ أَ إِنّا لَفِي خَلْقٍ جَدِيدٍ </w:t>
      </w:r>
      <w:r>
        <w:rPr>
          <w:rFonts w:eastAsia="Amiri" w:cs="Amiri" w:ascii="Amiri" w:hAnsi="Amiri"/>
          <w:color w:val="111111"/>
          <w:sz w:val="28"/>
          <w:szCs w:val="28"/>
          <w:rtl w:val="true"/>
          <w:lang w:bidi="ar-SA"/>
        </w:rPr>
        <w:t>...) .</w:t>
      </w:r>
      <w:r>
        <w:rPr>
          <w:rStyle w:val="FootnoteAnchor"/>
          <w:rtl w:val="true"/>
        </w:rPr>
        <w:footnoteReference w:id="616"/>
      </w:r>
      <w:r>
        <w:rPr>
          <w:rFonts w:ascii="Amiri" w:hAnsi="Amiri" w:eastAsia="Amiri" w:cs="Amiri"/>
          <w:color w:val="111111"/>
          <w:sz w:val="28"/>
          <w:sz w:val="28"/>
          <w:szCs w:val="28"/>
          <w:rtl w:val="true"/>
          <w:lang w:bidi="ar-SA"/>
        </w:rPr>
        <w:t>ثم إنّه سبحانه أجاب عن شبهتهم الواهية بجوابين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يريد بذلك أنّ السبب الحقيقي للتمسّك بهذه الشبهة أنّهم ينكرون لقاء اللّه يوم القيامة، لما فيه من الحساب والجزاء وبما هم يخافون منه لذلك عادوا يتمسّكون بهذه الشبهة تمسّك الغريق بالطحلب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ومعناه أنّ ملك الموت يأخذ ما هو الأصيل فيكم، وهو أمر غير ضال ولا متبعثر ولا متفرق، بل محفوظ عند ملك الموت، فإذا حان وقت القيامة يرجع ما أخذه إلى أبدانكم ثم إليه تُرجعون، فضلال البدن وتفرّقه وعدم التعرّف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مضرّ بعد وجود ما هو الأصيل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فما به تناط هويتكم الشخصية فهو غير ضال، وما هو 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لاتناط به شخصيتكم وهويتكم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تدلّ بصراحة على أنّ الموت ليس إبطالاً للشخصية، وإنّما الموت عبارة عن أخذ ملك الموت ما هو الجزء الأصيل من الإنسان وحفظه إلى يوم القيامة، وإن تبدّل بدنه واندثر وتفرّق تفرق أيادي سبأ</w:t>
      </w:r>
      <w:r>
        <w:rPr>
          <w:rFonts w:eastAsia="Amiri" w:cs="Amiri" w:ascii="Amiri" w:hAnsi="Amiri"/>
          <w:color w:val="111111"/>
          <w:sz w:val="28"/>
          <w:szCs w:val="28"/>
          <w:rtl w:val="true"/>
          <w:lang w:bidi="ar-SA"/>
        </w:rPr>
        <w:t>.</w:t>
      </w:r>
      <w:bookmarkStart w:id="770" w:name="pg16772_194724"/>
    </w:p>
    <w:p>
      <w:pPr>
        <w:pStyle w:val="Heading6"/>
        <w:numPr>
          <w:ilvl w:val="5"/>
          <w:numId w:val="1"/>
        </w:numPr>
        <w:rPr/>
      </w:pPr>
      <w:bookmarkStart w:id="771" w:name="__RefHeading___Toc6963951_73709187"/>
      <w:bookmarkStart w:id="772" w:name="_Toc294"/>
      <w:bookmarkEnd w:id="770"/>
      <w:bookmarkEnd w:id="771"/>
      <w:r>
        <w:rPr/>
        <w:t>5</w:t>
      </w:r>
      <w:r>
        <w:rPr>
          <w:rtl w:val="true"/>
        </w:rPr>
        <w:t xml:space="preserve">. </w:t>
      </w:r>
      <w:r>
        <w:rPr>
          <w:rtl w:val="true"/>
        </w:rPr>
        <w:t>الأمر بإخراج الأنفس</w:t>
      </w:r>
      <w:bookmarkEnd w:id="77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w:t>
      </w:r>
      <w:r>
        <w:rPr>
          <w:rFonts w:eastAsia="Amiri" w:cs="Amiri" w:ascii="Amiri" w:hAnsi="Amiri"/>
          <w:color w:val="111111"/>
          <w:sz w:val="28"/>
          <w:szCs w:val="28"/>
          <w:rtl w:val="true"/>
          <w:lang w:bidi="ar-SA"/>
        </w:rPr>
        <w:t>)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المراد من الأنفس هو نفس ما ورد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والآية تدلّ على أنّ للظالمين أبداناً وأنفساً والملائكة موكّلون بأخذ الأنفس وترك الأبدان ولذلك يخاطبوا الظالمين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الإنسان ممحّضاً في البدن فما معنى إخراج الأنفس، وأخذها؟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تدلّ على أنّ الظالم يعذّب يوم خروج نفسه بعذاب الهون، وهذا شيء لايشاهده من يكون عند المحتضر ولكن المحتضر لامس 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تُجْزَوْنَ عَذابَ 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المقصود من اليوم هو يوم قبض الروح</w:t>
      </w:r>
      <w:r>
        <w:rPr>
          <w:rFonts w:eastAsia="Amiri" w:cs="Amiri" w:ascii="Amiri" w:hAnsi="Amiri"/>
          <w:color w:val="111111"/>
          <w:sz w:val="28"/>
          <w:szCs w:val="28"/>
          <w:rtl w:val="true"/>
          <w:lang w:bidi="ar-SA"/>
        </w:rPr>
        <w:t>.</w:t>
      </w:r>
    </w:p>
    <w:p>
      <w:pPr>
        <w:pStyle w:val="Heading6"/>
        <w:numPr>
          <w:ilvl w:val="5"/>
          <w:numId w:val="1"/>
        </w:numPr>
        <w:rPr/>
      </w:pPr>
      <w:bookmarkStart w:id="773" w:name="__RefHeading___Toc6963953_73709187"/>
      <w:bookmarkStart w:id="774" w:name="_Toc295"/>
      <w:bookmarkEnd w:id="773"/>
      <w:r>
        <w:rPr/>
        <w:t>6</w:t>
      </w:r>
      <w:r>
        <w:rPr>
          <w:rtl w:val="true"/>
        </w:rPr>
        <w:t xml:space="preserve">. </w:t>
      </w:r>
      <w:r>
        <w:rPr>
          <w:rtl w:val="true"/>
        </w:rPr>
        <w:t>الأمر بدخول الجنة حين الموت</w:t>
      </w:r>
      <w:bookmarkEnd w:id="774"/>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لِي رَبِّي وَ جَعَلَنِي مِنَ الْمُكْرَمِينَ‌</w:t>
      </w:r>
      <w:r>
        <w:rPr>
          <w:rFonts w:eastAsia="Amiri" w:cs="Amiri" w:ascii="Amiri" w:hAnsi="Amiri"/>
          <w:color w:val="111111"/>
          <w:sz w:val="28"/>
          <w:szCs w:val="28"/>
          <w:rtl w:val="true"/>
          <w:lang w:bidi="ar-SA"/>
        </w:rPr>
        <w:t>) .</w:t>
      </w:r>
      <w:r>
        <w:rPr>
          <w:rStyle w:val="FootnoteAnchor"/>
          <w:rtl w:val="true"/>
        </w:rPr>
        <w:footnoteReference w:id="619"/>
      </w:r>
      <w:bookmarkStart w:id="775" w:name="pg16772_194725"/>
    </w:p>
    <w:p>
      <w:pPr>
        <w:pStyle w:val="BookText"/>
        <w:rPr/>
      </w:pPr>
      <w:bookmarkEnd w:id="775"/>
      <w:r>
        <w:rPr>
          <w:rFonts w:ascii="Amiri" w:hAnsi="Amiri" w:eastAsia="Amiri" w:cs="Amiri"/>
          <w:color w:val="111111"/>
          <w:sz w:val="28"/>
          <w:sz w:val="28"/>
          <w:szCs w:val="28"/>
          <w:rtl w:val="true"/>
          <w:lang w:bidi="ar-SA"/>
        </w:rPr>
        <w:t>دلالة الآية على ما ذكرنا من التعدد تُعلم من الوقوف على شأن نزول الآية، يقول المفسّرون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المسيح عليه السلام بعث رسولين من الحواريين إلى مدينة انطاكية، فلقيا من أهلها عنفاً وردّاً، غير أنّ واحداً من أهلها اسمه حبيب النجّار آمن بهما وأظهر إيمانه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آمَنْتُ بِرَبِّكُمْ فَاسْمَعُونِ‌</w:t>
      </w:r>
      <w:r>
        <w:rPr>
          <w:rFonts w:eastAsia="Amiri" w:cs="Amiri" w:ascii="Amiri" w:hAnsi="Amiri"/>
          <w:color w:val="111111"/>
          <w:sz w:val="28"/>
          <w:szCs w:val="28"/>
          <w:rtl w:val="true"/>
          <w:lang w:bidi="ar-SA"/>
        </w:rPr>
        <w:t>)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فلمّا وقف القوم على إيمانه أخذوا بوطئه بأرجلهم حتى مات، فعند ذلك خوطب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ادْخُلِ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يسأل هو المراد من الجنّة التي أُمر بالدخول فيها؟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الجنة غير الجنة التي وعد المتقون يوم القيامة، وهذا يدلّ على أنّ الإنسان الشهيد في طريق إعلاء كلمة اللّه يدخل الجنة، فعندئذ فما هو الداخل هل هو البدن والمفروض أنّه وطئ بأرجل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أنّ المراد غير البدن،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التي كانت تدبر البدن، فهي باقية بعده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أنّه بعدما خوطب بدخول الجنة أخبر عن مصيره المبارك،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لَيْتَ قَوْمِي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لِي رَبِّي وَ جَعَلَنِي مِنَ الْمُكْرَمِينَ‌</w:t>
      </w:r>
      <w:r>
        <w:rPr>
          <w:rFonts w:eastAsia="Amiri" w:cs="Amiri" w:ascii="Amiri" w:hAnsi="Amiri"/>
          <w:color w:val="111111"/>
          <w:sz w:val="28"/>
          <w:szCs w:val="28"/>
          <w:rtl w:val="true"/>
          <w:lang w:bidi="ar-SA"/>
        </w:rPr>
        <w:t>) .</w:t>
      </w:r>
      <w:r>
        <w:rPr>
          <w:rStyle w:val="FootnoteAnchor"/>
          <w:rtl w:val="true"/>
        </w:rPr>
        <w:footnoteReference w:id="621"/>
      </w:r>
    </w:p>
    <w:p>
      <w:pPr>
        <w:pStyle w:val="Heading6"/>
        <w:numPr>
          <w:ilvl w:val="5"/>
          <w:numId w:val="1"/>
        </w:numPr>
        <w:rPr/>
      </w:pPr>
      <w:bookmarkStart w:id="776" w:name="__RefHeading___Toc6963955_73709187"/>
      <w:bookmarkStart w:id="777" w:name="_Toc296"/>
      <w:bookmarkEnd w:id="776"/>
      <w:r>
        <w:rPr/>
        <w:t>7</w:t>
      </w:r>
      <w:r>
        <w:rPr>
          <w:rtl w:val="true"/>
        </w:rPr>
        <w:t xml:space="preserve">. </w:t>
      </w:r>
      <w:r>
        <w:rPr>
          <w:rtl w:val="true"/>
        </w:rPr>
        <w:t>إنشاء خلق آخر</w:t>
      </w:r>
      <w:bookmarkEnd w:id="777"/>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خَلَقْنَا الْإِنْسانَ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w:t>
      </w:r>
      <w:bookmarkStart w:id="778" w:name="pg16772_194726"/>
    </w:p>
    <w:p>
      <w:pPr>
        <w:pStyle w:val="BookText"/>
        <w:rPr/>
      </w:pPr>
      <w:bookmarkEnd w:id="778"/>
      <w:r>
        <w:rPr>
          <w:rFonts w:ascii="Amiri" w:hAnsi="Amiri" w:eastAsia="Amiri" w:cs="Amiri"/>
          <w:color w:val="111111"/>
          <w:sz w:val="28"/>
          <w:sz w:val="28"/>
          <w:szCs w:val="28"/>
          <w:rtl w:val="true"/>
          <w:lang w:bidi="ar-SA"/>
        </w:rPr>
        <w:t>اَلْخالِقِينَ‌</w:t>
      </w:r>
      <w:r>
        <w:rPr>
          <w:rFonts w:eastAsia="Amiri" w:cs="Amiri" w:ascii="Amiri" w:hAnsi="Amiri"/>
          <w:color w:val="111111"/>
          <w:sz w:val="28"/>
          <w:szCs w:val="28"/>
          <w:rtl w:val="true"/>
          <w:lang w:bidi="ar-SA"/>
        </w:rPr>
        <w:t>) .</w:t>
      </w:r>
      <w:r>
        <w:rPr>
          <w:rStyle w:val="FootnoteAnchor"/>
          <w:rtl w:val="true"/>
        </w:rPr>
        <w:footnoteReference w:id="622"/>
      </w:r>
    </w:p>
    <w:p>
      <w:pPr>
        <w:pStyle w:val="Heading6"/>
        <w:numPr>
          <w:ilvl w:val="5"/>
          <w:numId w:val="1"/>
        </w:numPr>
        <w:rPr/>
      </w:pPr>
      <w:bookmarkStart w:id="779" w:name="__RefHeading___Toc6963957_73709187"/>
      <w:bookmarkStart w:id="780" w:name="_Toc297"/>
      <w:bookmarkEnd w:id="779"/>
      <w:r>
        <w:rPr>
          <w:rtl w:val="true"/>
        </w:rPr>
        <w:t>والدلالة من وجوه</w:t>
      </w:r>
      <w:r>
        <w:rPr>
          <w:rtl w:val="true"/>
        </w:rPr>
        <w:t>:</w:t>
      </w:r>
      <w:bookmarkEnd w:id="78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يبيّن مسير خلقة الإنسان من مرحلة إلى مرحلة، فمن نطفة إلى مضغة إلى علقة، ومنها إلى خلق العظام، ثم كسوتها باللحم، وعند ذلك تتغيّر صيغة الكلام وسياقه فيبدأ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المراحل المتقدّمة حيث كان يعطف كلّ مرحلة على مرحلة أُخرى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النوع من التعبير يدلّ على أنّ هذه المرحلة من حيث الخلقة والجوهر تباين المراحل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في بيان هذه المرحلة بلفظ الإنشاء الذي هو بمعنى الإبداع، وكأنّ هذه المرحلة ليست لها مثيل في المراحل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يثني على نفسه عند بيان هذه المرحلة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الفاء تدلّ على الترتيب بلا فصل، فكأنّه ثناء على اللّه على تمامية الخلقة لا على سائر المراحل لوجود الفاصل بين الثناء وخلق سائر المراحل</w:t>
      </w:r>
      <w:r>
        <w:rPr>
          <w:rFonts w:eastAsia="Amiri" w:cs="Amiri" w:ascii="Amiri" w:hAnsi="Amiri"/>
          <w:color w:val="111111"/>
          <w:sz w:val="28"/>
          <w:szCs w:val="28"/>
          <w:rtl w:val="true"/>
          <w:lang w:bidi="ar-SA"/>
        </w:rPr>
        <w:t>.</w:t>
      </w:r>
    </w:p>
    <w:p>
      <w:pPr>
        <w:pStyle w:val="Heading6"/>
        <w:numPr>
          <w:ilvl w:val="5"/>
          <w:numId w:val="1"/>
        </w:numPr>
        <w:rPr/>
      </w:pPr>
      <w:bookmarkStart w:id="781" w:name="__RefHeading___Toc6963959_73709187"/>
      <w:bookmarkStart w:id="782" w:name="_Toc298"/>
      <w:bookmarkEnd w:id="781"/>
      <w:r>
        <w:rPr/>
        <w:t>8</w:t>
      </w:r>
      <w:r>
        <w:rPr>
          <w:rtl w:val="true"/>
        </w:rPr>
        <w:t xml:space="preserve">. </w:t>
      </w:r>
      <w:r>
        <w:rPr>
          <w:rtl w:val="true"/>
        </w:rPr>
        <w:t>التركيز على إنجاء البدن</w:t>
      </w:r>
      <w:bookmarkEnd w:id="78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نُنَجِّيكَ بِبَدَنِكَ لِتَكُونَ لِمَنْ خَلْفَكَ آيَةً‌</w:t>
      </w:r>
      <w:r>
        <w:rPr>
          <w:rFonts w:eastAsia="Amiri" w:cs="Amiri" w:ascii="Amiri" w:hAnsi="Amiri"/>
          <w:color w:val="111111"/>
          <w:sz w:val="28"/>
          <w:szCs w:val="28"/>
          <w:rtl w:val="true"/>
          <w:lang w:bidi="ar-SA"/>
        </w:rPr>
        <w:t>) .</w:t>
      </w:r>
      <w:r>
        <w:rPr>
          <w:rStyle w:val="FootnoteAnchor"/>
          <w:rtl w:val="true"/>
        </w:rPr>
        <w:footnoteReference w:id="623"/>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83" w:name="__RefHeading___Toc6963961_73709187"/>
      <w:bookmarkStart w:id="784" w:name="_Toc299"/>
      <w:bookmarkEnd w:id="783"/>
      <w:r>
        <w:rPr>
          <w:rtl w:val="true"/>
        </w:rPr>
        <w:t>وجه الدلالة</w:t>
      </w:r>
      <w:r>
        <w:rPr>
          <w:rtl w:val="true"/>
        </w:rPr>
        <w:t>:</w:t>
      </w:r>
      <w:bookmarkStart w:id="785" w:name="pg16772_194727"/>
      <w:bookmarkEnd w:id="784"/>
    </w:p>
    <w:p>
      <w:pPr>
        <w:pStyle w:val="BookText"/>
        <w:rPr/>
      </w:pPr>
      <w:bookmarkEnd w:id="785"/>
      <w:r>
        <w:rPr>
          <w:rFonts w:ascii="Amiri" w:hAnsi="Amiri" w:eastAsia="Amiri" w:cs="Amiri"/>
          <w:color w:val="111111"/>
          <w:sz w:val="28"/>
          <w:sz w:val="28"/>
          <w:szCs w:val="28"/>
          <w:rtl w:val="true"/>
          <w:lang w:bidi="ar-SA"/>
        </w:rPr>
        <w:t>أنّه سبحانه يخاطب فرعون بعدما غرق ومات بأنّه ينجو ببدنه ليكون للآخرين عبرة، والآية تدلّ على أنّه سبحانه أنجى فرعون ببدنه واستبقى شيئاً آخر، وما هو إلّاالروح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الآيات التي تدلّ على أنّ واقع الإنسان وهويته وشخصيته تكمن وراء بدنه، ولذلك يقول سبحانه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إِذا بَلَغَتِ التَّراقِيَ‌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شيء يبلغ التراقي وشيء آخر يبقى بحاله، والأوّل هو الروح والثاني هو البدن</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6963963_73709187"/>
      <w:bookmarkStart w:id="787" w:name="_Toc300"/>
      <w:bookmarkEnd w:id="786"/>
      <w:r>
        <w:rPr>
          <w:rtl w:val="true"/>
        </w:rPr>
        <w:t>الآيات الحادية والثلاثون إلى الخامسة والثلاثين</w:t>
      </w:r>
      <w:r>
        <w:rPr>
          <w:rtl w:val="true"/>
        </w:rPr>
        <w:t>:</w:t>
      </w:r>
      <w:bookmarkEnd w:id="787"/>
    </w:p>
    <w:p>
      <w:pPr>
        <w:pStyle w:val="Heading5"/>
        <w:numPr>
          <w:ilvl w:val="4"/>
          <w:numId w:val="1"/>
        </w:numPr>
        <w:rPr/>
      </w:pPr>
      <w:bookmarkStart w:id="788" w:name="__RefHeading___Toc6963965_73709187"/>
      <w:bookmarkStart w:id="789" w:name="_Toc301"/>
      <w:bookmarkEnd w:id="788"/>
      <w:r>
        <w:rPr>
          <w:rtl w:val="true"/>
        </w:rPr>
        <w:t>اشارة</w:t>
      </w:r>
      <w:bookmarkEnd w:id="7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 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إِلى أَهْلِهِ يَتَمَطّى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أَوْلى لَكَ فَأَوْلى‌</w:t>
      </w:r>
      <w:r>
        <w:rPr>
          <w:rFonts w:eastAsia="Amiri" w:cs="Amiri" w:ascii="Amiri" w:hAnsi="Amiri"/>
          <w:color w:val="111111"/>
          <w:sz w:val="28"/>
          <w:szCs w:val="28"/>
          <w:rtl w:val="true"/>
          <w:lang w:bidi="ar-SA"/>
        </w:rPr>
        <w:t>) .</w:t>
      </w:r>
      <w:r>
        <w:rPr>
          <w:rStyle w:val="FootnoteAnchor"/>
          <w:rtl w:val="true"/>
        </w:rPr>
        <w:footnoteReference w:id="624"/>
      </w:r>
    </w:p>
    <w:p>
      <w:pPr>
        <w:pStyle w:val="Heading5"/>
        <w:numPr>
          <w:ilvl w:val="4"/>
          <w:numId w:val="1"/>
        </w:numPr>
        <w:rPr/>
      </w:pPr>
      <w:bookmarkStart w:id="790" w:name="__RefHeading___Toc6963967_73709187"/>
      <w:bookmarkStart w:id="791" w:name="_Toc302"/>
      <w:bookmarkEnd w:id="790"/>
      <w:r>
        <w:rPr>
          <w:rtl w:val="true"/>
        </w:rPr>
        <w:t>المفردات</w:t>
      </w:r>
      <w:r>
        <w:rPr>
          <w:rtl w:val="true"/>
        </w:rPr>
        <w:t>:</w:t>
      </w:r>
      <w:bookmarkEnd w:id="791"/>
    </w:p>
    <w:p>
      <w:pPr>
        <w:pStyle w:val="BookText"/>
        <w:rPr/>
      </w:pP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معنيين، أوّلهما التصدّق بالزكاة وغيرها، كما عليه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فَأَصَّدَّقَ وَ أَكُنْ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بالرسول وكتابه وما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هو الثاني بشهادة مقابله في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كَذَّبَ‌</w:t>
      </w:r>
      <w:r>
        <w:rPr>
          <w:rFonts w:eastAsia="Amiri" w:cs="Amiri" w:ascii="Amiri" w:hAnsi="Amiri"/>
          <w:color w:val="111111"/>
          <w:sz w:val="28"/>
          <w:szCs w:val="28"/>
          <w:rtl w:val="true"/>
          <w:lang w:bidi="ar-SA"/>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هو الدعاء أو العبادة المخصوصة، والإنسان في كلا الحالين يتوجّه إلى اللّه سبحانه، ولذلك جاء في مقابله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w:t>
      </w:r>
      <w:bookmarkStart w:id="792" w:name="pg16772_194728"/>
    </w:p>
    <w:p>
      <w:pPr>
        <w:pStyle w:val="BookText"/>
        <w:rPr/>
      </w:pPr>
      <w:bookmarkEnd w:id="792"/>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يتمطّى‌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يتمطّى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إحدى الطائين ياءً‌،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يتمدّد، لأنّ المتبختر يمدّ خطاه، فهي مشية المعجب بنفسه</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6963969_73709187"/>
      <w:bookmarkStart w:id="794" w:name="_Toc303"/>
      <w:bookmarkEnd w:id="793"/>
      <w:r>
        <w:rPr>
          <w:rtl w:val="true"/>
        </w:rPr>
        <w:t>التفسير</w:t>
      </w:r>
      <w:r>
        <w:rPr>
          <w:rtl w:val="true"/>
        </w:rPr>
        <w:t>:</w:t>
      </w:r>
      <w:bookmarkEnd w:id="794"/>
    </w:p>
    <w:p>
      <w:pPr>
        <w:pStyle w:val="BookText"/>
        <w:rPr/>
      </w:pPr>
      <w:r>
        <w:rPr>
          <w:rFonts w:ascii="Amiri" w:hAnsi="Amiri" w:eastAsia="Amiri" w:cs="Amiri"/>
          <w:color w:val="111111"/>
          <w:sz w:val="28"/>
          <w:sz w:val="28"/>
          <w:szCs w:val="28"/>
          <w:rtl w:val="true"/>
          <w:lang w:bidi="ar-SA"/>
        </w:rPr>
        <w:t>تتعلّق هذه الآيات بالإنسان المذكور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يُرِيدُ الْإِنْسانُ لِيَفْجُرَ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أنّه أعرض عن دعوة الأنبياء فصار كما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صَدَّقَ وَ 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كَذَّبَ وَ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فالآيتان تأكيد لماقبلهما، ولم يقتصر على التكذيب بل عاد يتكبّر ويتبختر ويذهب إلى أهله متكبّراً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ذَهَبَ إِلى أَهْلِهِ يَتَمَطّى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الآيات تنطبق على أشد المعاندين والمكذبين، وعلى رأسهم أبو جهل بن هشام، حيث كذّب وتولّى ثم رجع إلى أهله مختالاً ومتكبّراً، نظيره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مَنْ أُوتِيَ كِتابَهُ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يَدْعُوا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أَهْلِهِ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ظَنَّ أَنْ لَنْ يَحُورَ</w:t>
      </w:r>
      <w:r>
        <w:rPr>
          <w:rFonts w:eastAsia="Amiri" w:cs="Amiri" w:ascii="Amiri" w:hAnsi="Amiri"/>
          <w:color w:val="111111"/>
          <w:sz w:val="28"/>
          <w:szCs w:val="28"/>
          <w:rtl w:val="true"/>
          <w:lang w:bidi="ar-SA"/>
        </w:rPr>
        <w:t>) .</w:t>
      </w:r>
      <w:r>
        <w:rPr>
          <w:rStyle w:val="FootnoteAnchor"/>
          <w:rtl w:val="true"/>
        </w:rPr>
        <w:footnoteReference w:id="626"/>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يهدد هذا الإنسان المكذب المولّي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أَوْلى لَكَ فَأَوْلى‌</w:t>
      </w:r>
      <w:r>
        <w:rPr>
          <w:rFonts w:eastAsia="Amiri" w:cs="Amiri" w:ascii="Amiri" w:hAnsi="Amiri"/>
          <w:color w:val="111111"/>
          <w:sz w:val="28"/>
          <w:szCs w:val="28"/>
          <w:rtl w:val="true"/>
          <w:lang w:bidi="ar-SA"/>
        </w:rPr>
        <w:t>) .</w:t>
      </w:r>
      <w:r>
        <w:rPr>
          <w:rStyle w:val="FootnoteAnchor"/>
          <w:rtl w:val="true"/>
        </w:rPr>
        <w:footnoteReference w:id="627"/>
      </w:r>
      <w:r>
        <w:rPr>
          <w:rFonts w:ascii="Amiri" w:hAnsi="Amiri" w:eastAsia="Amiri" w:cs="Amiri"/>
          <w:color w:val="111111"/>
          <w:sz w:val="28"/>
          <w:sz w:val="28"/>
          <w:szCs w:val="28"/>
          <w:rtl w:val="true"/>
          <w:lang w:bidi="ar-SA"/>
        </w:rPr>
        <w:t>فالمعنى ما أنت عليه من الحال من التكذيب والتولّي أرجح لك فأولى، ثم أولى لك فأولى لتذوق وبال أمرك ويأخذك ما أعدّ لك من العذاب،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أُنْزِلَتْ سُورَةٌ مُحْكَمَةٌ وَ ذُكِرَ فِيهَا الْقِتالُ رَأَيْتَ الَّذِينَ فِي قُلُوبِهِمْ مَرَضٌ يَنْظُرُونَ إِلَيْكَ نَظَرَ الْمَغْشِيِّ عَلَيْهِ مِنَ الْمَوْتِ فَأَوْلى‌</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 نظير هذا التعبير كثير في المحاورات العرفية فالإنسان إذا نصح شاباً غارقاً في الفساد والمعاصي وكرّر عليه النصح ولكنّه لم يتّعظ من نصح المحبّ‌، حتى يأس الناصح فعندئذ يخاطبه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بأن تكون في هذا الحال حتى تذوق وبال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التفسير ما رواه الطبرسي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بذلك أبوجهل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أَوْلى لَكَ فَأَوْلى‌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تهدّدني لاتستطيع أنت ولا ربّك أن تفعلا بي شيئاً وإنّي لأعزّ أهل هذا الوادي، فأنزل اللّه كما قال له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629"/>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وهو ضمير عائد إلى ما ذكر من حال هذا الإنسان، وهو أنّه لم يصدّق ولم يصلّي ولكن كذّب وتولّى ثم ذهب إلى أهله يتمطّى‌</w:t>
      </w:r>
      <w:r>
        <w:rPr>
          <w:rFonts w:eastAsia="Amiri" w:cs="Amiri" w:ascii="Amiri" w:hAnsi="Amiri"/>
          <w:color w:val="111111"/>
          <w:sz w:val="28"/>
          <w:szCs w:val="28"/>
          <w:rtl w:val="true"/>
          <w:lang w:bidi="ar-SA"/>
        </w:rPr>
        <w:t>.</w:t>
      </w:r>
      <w:bookmarkStart w:id="795" w:name="pg16772_194730"/>
    </w:p>
    <w:p>
      <w:pPr>
        <w:pStyle w:val="Heading4"/>
        <w:numPr>
          <w:ilvl w:val="3"/>
          <w:numId w:val="1"/>
        </w:numPr>
        <w:rPr/>
      </w:pPr>
      <w:bookmarkStart w:id="796" w:name="__RefHeading___Toc6963971_73709187"/>
      <w:bookmarkStart w:id="797" w:name="_Toc304"/>
      <w:bookmarkEnd w:id="795"/>
      <w:bookmarkEnd w:id="796"/>
      <w:r>
        <w:rPr>
          <w:rtl w:val="true"/>
        </w:rPr>
        <w:t>الآيات السادسة والثلاثون إلى الأربعين</w:t>
      </w:r>
      <w:r>
        <w:rPr>
          <w:rtl w:val="true"/>
        </w:rPr>
        <w:t>:</w:t>
      </w:r>
      <w:bookmarkEnd w:id="797"/>
    </w:p>
    <w:p>
      <w:pPr>
        <w:pStyle w:val="Heading5"/>
        <w:numPr>
          <w:ilvl w:val="4"/>
          <w:numId w:val="1"/>
        </w:numPr>
        <w:rPr/>
      </w:pPr>
      <w:bookmarkStart w:id="798" w:name="__RefHeading___Toc6963973_73709187"/>
      <w:bookmarkStart w:id="799" w:name="_Toc305"/>
      <w:bookmarkEnd w:id="798"/>
      <w:r>
        <w:rPr>
          <w:rtl w:val="true"/>
        </w:rPr>
        <w:t>اشارة</w:t>
      </w:r>
      <w:bookmarkEnd w:id="7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يَحْسَبُ الْإِنْسانُ أَنْ يُتْرَكَ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 نُطْفَةً مِنْ مَنِيٍّ 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عَلَقَةً فَخَلَقَ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الزَّوْجَيْنِ الذَّكَرَ وَ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ذلِكَ بِقادِرٍ عَلى أَنْ يُحْيِيَ الْمَوْتى‌</w:t>
      </w:r>
      <w:r>
        <w:rPr>
          <w:rFonts w:eastAsia="Amiri" w:cs="Amiri" w:ascii="Amiri" w:hAnsi="Amiri"/>
          <w:color w:val="111111"/>
          <w:sz w:val="28"/>
          <w:szCs w:val="28"/>
          <w:rtl w:val="true"/>
          <w:lang w:bidi="ar-SA"/>
        </w:rPr>
        <w:t>) .</w:t>
      </w:r>
      <w:r>
        <w:rPr>
          <w:rStyle w:val="FootnoteAnchor"/>
          <w:rtl w:val="true"/>
        </w:rPr>
        <w:footnoteReference w:id="630"/>
      </w:r>
    </w:p>
    <w:p>
      <w:pPr>
        <w:pStyle w:val="Heading5"/>
        <w:numPr>
          <w:ilvl w:val="4"/>
          <w:numId w:val="1"/>
        </w:numPr>
        <w:rPr/>
      </w:pPr>
      <w:bookmarkStart w:id="800" w:name="__RefHeading___Toc6963975_73709187"/>
      <w:bookmarkStart w:id="801" w:name="_Toc306"/>
      <w:bookmarkEnd w:id="800"/>
      <w:r>
        <w:rPr>
          <w:rtl w:val="true"/>
        </w:rPr>
        <w:t>المفردات</w:t>
      </w:r>
      <w:r>
        <w:rPr>
          <w:rtl w:val="true"/>
        </w:rPr>
        <w:t>:</w:t>
      </w:r>
      <w:bookmarkEnd w:id="801"/>
    </w:p>
    <w:p>
      <w:pPr>
        <w:pStyle w:val="BookText"/>
        <w:rPr/>
      </w:pPr>
      <w:r>
        <w:rPr>
          <w:rFonts w:ascii="Amiri" w:hAnsi="Amiri" w:eastAsia="Amiri" w:cs="Amiri"/>
          <w:color w:val="111111"/>
          <w:sz w:val="28"/>
          <w:sz w:val="28"/>
          <w:szCs w:val="28"/>
          <w:rtl w:val="true"/>
          <w:lang w:bidi="ar-SA"/>
        </w:rPr>
        <w:t>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هدى، وهو المهمل، ويقال للإبل السائبة التي تترك بلا 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من الماء، سمّي بها ماء التناسل لقلّته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يراق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بمكة بها لأنّه تراق فيها دماء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الصغيرة من الدم المتعقّدة، ولأجل وجود الفاصل الزماني بين النطفة والعلقة أتى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الشيء معدّلاً مقوّماً،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فَسَوّاهُنَّ سَبْعَ سَماواتٍ‌</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فَسَوّى</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فإكمال الخلق هو التسوية</w:t>
      </w:r>
      <w:r>
        <w:rPr>
          <w:rFonts w:eastAsia="Amiri" w:cs="Amiri" w:ascii="Amiri" w:hAnsi="Amiri"/>
          <w:color w:val="111111"/>
          <w:sz w:val="28"/>
          <w:szCs w:val="28"/>
          <w:rtl w:val="true"/>
          <w:lang w:bidi="ar-SA"/>
        </w:rPr>
        <w:t>.</w:t>
      </w:r>
    </w:p>
    <w:p>
      <w:pPr>
        <w:pStyle w:val="Heading5"/>
        <w:numPr>
          <w:ilvl w:val="4"/>
          <w:numId w:val="1"/>
        </w:numPr>
        <w:rPr/>
      </w:pPr>
      <w:bookmarkStart w:id="802" w:name="__RefHeading___Toc6963977_73709187"/>
      <w:bookmarkStart w:id="803" w:name="_Toc307"/>
      <w:bookmarkEnd w:id="802"/>
      <w:r>
        <w:rPr>
          <w:rtl w:val="true"/>
        </w:rPr>
        <w:t>التفسير</w:t>
      </w:r>
      <w:r>
        <w:rPr>
          <w:rtl w:val="true"/>
        </w:rPr>
        <w:t>:</w:t>
      </w:r>
      <w:bookmarkEnd w:id="803"/>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يَحْسَبُ الْإِنْسانُ أَنْ يُتْرَكَ سُدىً‌</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عود على بدأ، حيث</w:t>
      </w:r>
    </w:p>
    <w:p>
      <w:pPr>
        <w:pStyle w:val="BookText"/>
        <w:rPr/>
      </w:pPr>
      <w:r>
        <w:rPr>
          <w:rFonts w:ascii="Amiri" w:hAnsi="Amiri" w:eastAsia="Amiri" w:cs="Amiri"/>
          <w:color w:val="111111"/>
          <w:sz w:val="28"/>
          <w:sz w:val="28"/>
          <w:szCs w:val="28"/>
          <w:rtl w:val="true"/>
          <w:lang w:bidi="ar-SA"/>
        </w:rPr>
        <w:t xml:space="preserve">قال في أوّل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يَحْسَبُ الْإِنْسانُ أَلَّنْ نَجْمَعَ عِظامَهُ‌</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وهو بصورة الاستفهام الإنكاري، فأتى به أيضاً في أواخر السورة بتعبير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يَحْسَبُ الْإِنْسانُ أَنْ يُتْرَكَ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والآيتان تشيران إلى معنى واحد، وهو أنّ الإنسان المشرك أو الملحد يستبعد المعاد وينكره بزعم أنّه محال، ونتيجة ذلك أنّه خلق سدى بلا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أشار في هذه الآيات إلى دليلين لطيفين على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على كون المعاد نتيجة الحكمة الإلهية وهدف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على بيان قدرته سبحانه ببيان أنّ من صيّر النطفة عبر مراحل إنساناً كاملاً فهو قادر على إحياء الموتى‌، وإليك البيانين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حكيم لايعبث، فلا ينفكّ فعله عن الغاية التي ترجع إلى المخلوق، وإلّا يكون عابثاً تعالى عن ذلك</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سبحانه في غير واحدة من الآيات إلى أنّ مقتضى الحكمة ترتّب الغاية على فعله،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بَيْنَهُما باطِلاً ذلِكَ ظَنُّ الَّذِينَ كَفَرُوا فَوَيْلٌ لِلَّذِينَ كَفَرُوا مِنَ النّارِ</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فإذا كان الحال كذلك فالإنسان الذي كرّمه اللّه سبحانه على سائر الخلائق أولى بأن لايكون مهملاً و أن تكون لخلقه غاية وهي الرجوع إلى اللّه يوم القيامة، فمن تصوّر أنّ الموت بطلان للشخصية الإنسانية وختام لوجودها فما عرف اللّه حق معرفته، إذ أنّه يصف عمله بالعبث، ولصيانة عمله عن اللغو لابدّ أن تكون بعد الحياة الدنيوية حياة</w:t>
      </w:r>
    </w:p>
    <w:p>
      <w:pPr>
        <w:pStyle w:val="BookText"/>
        <w:rPr/>
      </w:pPr>
      <w:r>
        <w:rPr>
          <w:rFonts w:ascii="Amiri" w:hAnsi="Amiri" w:eastAsia="Amiri" w:cs="Amiri"/>
          <w:color w:val="111111"/>
          <w:sz w:val="28"/>
          <w:sz w:val="28"/>
          <w:szCs w:val="28"/>
          <w:rtl w:val="true"/>
          <w:lang w:bidi="ar-SA"/>
        </w:rPr>
        <w:t>أُخرى تُعد غاية الفعل وغرضه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يكون مجرّداً عن التكليف والأمر، وبالتالي بأن يفعل ما يشاء ويترك ما يشاء، بل أنّ اللّه وضع عليه التكليف وحدّد حياته به فلو أطاع يثاب يوم القيامة ولو خالف يُجزى به، وعلى كل تقدير فهذه الفقرة برهان لوجود المعاد بعد الارتحال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سعة قدرته سبحانه وأنّ منكري المعاد ما عرفوا اللّه حق معرفته، فجعلوا قدرته نظير قدرة الإنسان فأنكروا المعاد، ولكن قياس قدرة الإنسان على قدرة اللّه قياس باطل، فأين الظلمة من النور، والعجز من القدرة،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لَخَلْقُ السَّماواتِ وَ الْأَرْضِ أَكْبَرُ مِنْ خَلْقِ النّاسِ وَ لكِنَّ أَكْثَرَ النّاسِ لا يَعْلَمُونَ‌</w:t>
      </w:r>
      <w:r>
        <w:rPr>
          <w:rFonts w:eastAsia="Amiri" w:cs="Amiri" w:ascii="Amiri" w:hAnsi="Amiri"/>
          <w:color w:val="111111"/>
          <w:sz w:val="28"/>
          <w:szCs w:val="28"/>
          <w:rtl w:val="true"/>
          <w:lang w:bidi="ar-SA"/>
        </w:rPr>
        <w:t>)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 من مظاهر قدرته نشأة الإنسان وتطوّره من النطفة إلى العلقة ثم إلى الإنسان السويّ‌؛ فهذا يدلّ‌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خلقة الإنسان ذات نظام خاص مخطط له حيث إنّ كلّ مرحلة من مراحل الخلقة في الأرحام مقدّمة للمرحلة الأُخرى، فهذا يدلّ على أنّ هناك حكيماً ناظراً إلى تطوّر الخلقة وتكاملها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القادر على تصيير النطفة إنساناً سويّاً أولى بأن يكون قادراً على إعادته إلى الحياة مرّة أُخرى، ولذلك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يَكُ نُطْفَةً مِنْ مَنِيٍّ يُمْنى‌</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فكيف يظن أنّه مهمل مع أنّه ينقل من حال إلى حال ومن نطفة إلى</w:t>
      </w:r>
    </w:p>
    <w:p>
      <w:pPr>
        <w:pStyle w:val="BookText"/>
        <w:rPr/>
      </w:pP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ثم إنّه سبحانه لم يقتصر على إنشائه على البسيطة، بل شاء أن يبقى الإنسان فيها ولذلك خلق له من جنسه أُنثى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الزَّوْجَيْنِ الذَّكَرَ وَ الْأُنْثى‌</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وهذه الآية تدلّ على إمكان المعاد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ذلِكَ بِقادِرٍ عَلى أَنْ يُحْيِيَ الْمَوْتى‌</w:t>
      </w:r>
      <w:r>
        <w:rPr>
          <w:rFonts w:eastAsia="Amiri" w:cs="Amiri" w:ascii="Amiri" w:hAnsi="Amiri"/>
          <w:color w:val="111111"/>
          <w:sz w:val="28"/>
          <w:szCs w:val="28"/>
          <w:rtl w:val="true"/>
          <w:lang w:bidi="ar-SA"/>
        </w:rPr>
        <w:t>)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 في الحديث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وبلى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ذلك أيضاً عن أبي جعفر وأبي عبداللّه عليهما السلام</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و ربما يستدلّ بالآية على صحّة القياس حيث إنّ القرآن قاس إمكان الحياة الأُخروية ووقوعها بإمكان الحياة الدنيوية ووقوعها؛ وهو وإن كان صحيحاً إلّاأنّ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بملاك قطعيّ وهو سعة قدرة اللّه سبحانه، فلو كان المناط في القياس قطعيّاً لا محتملاً فلا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المورد من قبيل القياس الأولويّ الذي هو حجّة حتّى عند المنكرين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تحرير تفسير هذه السورة المباركة</w:t>
      </w:r>
    </w:p>
    <w:p>
      <w:pPr>
        <w:pStyle w:val="BookText"/>
        <w:rPr/>
      </w:pPr>
      <w:r>
        <w:rPr>
          <w:rFonts w:ascii="Amiri" w:hAnsi="Amiri" w:eastAsia="Amiri" w:cs="Amiri"/>
          <w:color w:val="111111"/>
          <w:sz w:val="28"/>
          <w:sz w:val="28"/>
          <w:szCs w:val="28"/>
          <w:rtl w:val="true"/>
          <w:lang w:bidi="ar-SA"/>
        </w:rPr>
        <w:t xml:space="preserve">صبيحة يوم الجمعة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ربيع الثاني</w:t>
      </w:r>
    </w:p>
    <w:p>
      <w:pPr>
        <w:pStyle w:val="BookText"/>
        <w:rPr/>
      </w:pPr>
      <w:r>
        <w:rPr>
          <w:rFonts w:ascii="IRNazanin" w:hAnsi="IRNazanin" w:eastAsia="IRNazanin"/>
          <w:color w:val="111111"/>
          <w:sz w:val="28"/>
          <w:sz w:val="28"/>
          <w:szCs w:val="28"/>
          <w:rtl w:val="true"/>
          <w:lang w:bidi="fa-IR"/>
        </w:rPr>
        <w:t xml:space="preserve">من شهور عام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الذي بنعمته تتم الصالحات</w:t>
      </w:r>
      <w:r>
        <w:rPr>
          <w:rFonts w:eastAsia="Amiri" w:cs="Amiri" w:ascii="Amiri" w:hAnsi="Amiri"/>
          <w:color w:val="111111"/>
          <w:sz w:val="28"/>
          <w:szCs w:val="28"/>
          <w:rtl w:val="true"/>
          <w:lang w:bidi="ar-SA"/>
        </w:rPr>
        <w:t>.</w:t>
      </w:r>
      <w:bookmarkStart w:id="804" w:name="pg16772_194734"/>
    </w:p>
    <w:p>
      <w:pPr>
        <w:pStyle w:val="Heading2"/>
        <w:numPr>
          <w:ilvl w:val="1"/>
          <w:numId w:val="1"/>
        </w:numPr>
        <w:rPr/>
      </w:pPr>
      <w:bookmarkStart w:id="805" w:name="__RefHeading___Toc6963979_73709187"/>
      <w:bookmarkStart w:id="806" w:name="_Toc308"/>
      <w:bookmarkEnd w:id="804"/>
      <w:bookmarkEnd w:id="805"/>
      <w:r>
        <w:rPr>
          <w:rtl w:val="true"/>
        </w:rPr>
        <w:t>الفصل الرابع</w:t>
      </w:r>
      <w:r>
        <w:rPr>
          <w:rtl w:val="true"/>
        </w:rPr>
        <w:t xml:space="preserve">: </w:t>
      </w:r>
      <w:r>
        <w:rPr>
          <w:rtl w:val="true"/>
        </w:rPr>
        <w:t>رسائل وتقاريظ</w:t>
      </w:r>
      <w:bookmarkEnd w:id="806"/>
    </w:p>
    <w:p>
      <w:pPr>
        <w:pStyle w:val="Heading3"/>
        <w:numPr>
          <w:ilvl w:val="2"/>
          <w:numId w:val="1"/>
        </w:numPr>
        <w:rPr/>
      </w:pPr>
      <w:bookmarkStart w:id="807" w:name="__RefHeading___Toc6963981_73709187"/>
      <w:bookmarkStart w:id="808" w:name="_Toc309"/>
      <w:bookmarkEnd w:id="807"/>
      <w:r>
        <w:rPr>
          <w:rtl w:val="true"/>
        </w:rPr>
        <w:t>اشارة</w:t>
      </w:r>
      <w:bookmarkEnd w:id="8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والقبح العقليان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كلام الإمام علي عليه السلام في توحيده سبحانه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استنكار الاحتفال الذي أُقيم في لندن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السبحاني إلى طالبات الحوزة المهدوية في المدينة المنورة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دائرة معارف إسلامية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خصوصيات التشريع الإسلامي والمسائل المستحدثة</w:t>
      </w:r>
      <w:bookmarkStart w:id="809" w:name="pg16772_194736"/>
    </w:p>
    <w:p>
      <w:pPr>
        <w:pStyle w:val="Heading3"/>
        <w:numPr>
          <w:ilvl w:val="2"/>
          <w:numId w:val="1"/>
        </w:numPr>
        <w:rPr/>
      </w:pPr>
      <w:bookmarkStart w:id="810" w:name="__RefHeading___Toc6963983_73709187"/>
      <w:bookmarkStart w:id="811" w:name="_Toc310"/>
      <w:bookmarkEnd w:id="809"/>
      <w:bookmarkEnd w:id="810"/>
      <w:r>
        <w:rPr/>
        <w:t>1</w:t>
      </w:r>
      <w:r>
        <w:rPr>
          <w:rtl w:val="true"/>
        </w:rPr>
        <w:t xml:space="preserve"> </w:t>
      </w:r>
      <w:r>
        <w:rPr>
          <w:rtl w:val="true"/>
        </w:rPr>
        <w:t>الحسن والقبح العقليان</w:t>
      </w:r>
      <w:bookmarkEnd w:id="811"/>
    </w:p>
    <w:p>
      <w:pPr>
        <w:pStyle w:val="Heading4"/>
        <w:numPr>
          <w:ilvl w:val="3"/>
          <w:numId w:val="1"/>
        </w:numPr>
        <w:rPr/>
      </w:pPr>
      <w:bookmarkStart w:id="812" w:name="__RefHeading___Toc6963985_73709187"/>
      <w:bookmarkStart w:id="813" w:name="_Toc311"/>
      <w:bookmarkEnd w:id="812"/>
      <w:r>
        <w:rPr>
          <w:rtl w:val="true"/>
        </w:rPr>
        <w:t>اشارة</w:t>
      </w:r>
      <w:bookmarkEnd w:id="813"/>
    </w:p>
    <w:p>
      <w:pPr>
        <w:pStyle w:val="BookText"/>
        <w:rPr/>
      </w:pPr>
      <w:r>
        <w:rPr>
          <w:rFonts w:ascii="Amiri" w:hAnsi="Amiri" w:eastAsia="Amiri" w:cs="Amiri"/>
          <w:color w:val="111111"/>
          <w:sz w:val="28"/>
          <w:sz w:val="28"/>
          <w:szCs w:val="28"/>
          <w:rtl w:val="true"/>
          <w:lang w:bidi="ar-SA"/>
        </w:rPr>
        <w:t>سماحة الأُستاذ الدكتور عبدالوهاب إبراهيم أبو سليمان</w:t>
      </w:r>
    </w:p>
    <w:p>
      <w:pPr>
        <w:pStyle w:val="BookText"/>
        <w:rPr/>
      </w:pPr>
      <w:r>
        <w:rPr>
          <w:rFonts w:ascii="Amiri" w:hAnsi="Amiri" w:eastAsia="Amiri" w:cs="Amiri"/>
          <w:color w:val="111111"/>
          <w:sz w:val="28"/>
          <w:sz w:val="28"/>
          <w:szCs w:val="28"/>
          <w:rtl w:val="true"/>
          <w:lang w:bidi="ar-SA"/>
        </w:rPr>
        <w:t>دامت معاليه وتواترت بيض أياديه</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أُحيّيكم ومن حولكم من الأعزاء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وصلتني رسالتكم الكريمة، ووقفت على ما قام به أمير مكّة وغيره بواجبهم تجاه سماحتكم الكريمة الفذّة الّتي يضن بها الدهر إلّافي فترات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ما زانك المهرجان، ومن حضره، وإنّما أنت الّذي زنتَه وأضفيتَ عليه رونقاً وتألقّاً، فحضور المهرجان هم بحاجة لأن يفتخروا بك، وأنت في غنى من تهنئتهم، على حدّ قول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استطال الشيء قام بنفسه وصفات ضوء الشمس تذهب باطلاً</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مقالتكم الّتي قدمتموها في ندوة الذكرى الألفية لإمام الحرمين الجويني، فوجدت أنّها قد استقصت ما يتعلّق بآراء الإمام الجويني في الفكر الأُصولي، فجزاك اللّه خير الجزاء</w:t>
      </w:r>
      <w:r>
        <w:rPr>
          <w:rFonts w:eastAsia="Amiri" w:cs="Amiri" w:ascii="Amiri" w:hAnsi="Amiri"/>
          <w:color w:val="111111"/>
          <w:sz w:val="28"/>
          <w:szCs w:val="28"/>
          <w:rtl w:val="true"/>
          <w:lang w:bidi="ar-SA"/>
        </w:rPr>
        <w:t>.</w:t>
      </w:r>
      <w:bookmarkStart w:id="814" w:name="pg16772_194737"/>
    </w:p>
    <w:p>
      <w:pPr>
        <w:pStyle w:val="BookText"/>
        <w:rPr/>
      </w:pPr>
      <w:bookmarkEnd w:id="814"/>
      <w:r>
        <w:rPr>
          <w:rFonts w:ascii="Amiri" w:hAnsi="Amiri" w:eastAsia="Amiri" w:cs="Amiri"/>
          <w:color w:val="111111"/>
          <w:sz w:val="28"/>
          <w:sz w:val="28"/>
          <w:szCs w:val="28"/>
          <w:rtl w:val="true"/>
          <w:lang w:bidi="ar-SA"/>
        </w:rPr>
        <w:t>وأظن أنّ الإمام الجويني لو أراد أن يشرح آراءه الخاصّة لما تيسّر له أزيد ممّا سطّر يراعك، فقد تتبعت كتابه صفحة بعد صفحة ثم أخرجتْ يمينُك دُرره وجواهره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وجدت ما ذكرتموه حول تصويب المجتهدين مطابقاً لما عليه أئمة أهل البيت عليهم السلام فإنّهم اتّفقوا على أنّ المصيب واحد، وغيره مخطئ، ومع ذلك كلّه فالجميع مثابون مأجورون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النبي الأكرم صلى الله عليه و آله و سلم في خطبته في حجّة الوداع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ما من شيء يقربكم إلى الجنّة ويبعدكم عن النار إلّاوأمرتكم به، وما من شيء يبعدكم عن الجنّة ويقربكم من النار إلّاونهيتكم عنه</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كيف يكون الجميع على حدّ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 معكم وقفة في تلك الرسالة حول التحسين والتقبيح العقليين، ووقفة أُخرى في تفسير آية الوضوء</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6963987_73709187"/>
      <w:bookmarkStart w:id="816" w:name="_Toc312"/>
      <w:bookmarkEnd w:id="815"/>
      <w:r>
        <w:rPr>
          <w:rtl w:val="true"/>
        </w:rPr>
        <w:t>وقفة حول التحسين والتقبيح العقليين</w:t>
      </w:r>
      <w:bookmarkEnd w:id="816"/>
    </w:p>
    <w:p>
      <w:pPr>
        <w:pStyle w:val="BookText"/>
        <w:rPr/>
      </w:pPr>
      <w:r>
        <w:rPr>
          <w:rFonts w:ascii="Amiri" w:hAnsi="Amiri" w:eastAsia="Amiri" w:cs="Amiri"/>
          <w:color w:val="111111"/>
          <w:sz w:val="28"/>
          <w:sz w:val="28"/>
          <w:szCs w:val="28"/>
          <w:rtl w:val="true"/>
          <w:lang w:bidi="ar-SA"/>
        </w:rPr>
        <w:t>إنّ أكثر المنكرين للتحسين والتقبيح العقليين لم يحدّدوا محلّ النزاع، ولذلك ذهبوا إلى مذاهب، ولو عرفوا ما هو مصبّ النزاع لاعترفوا بأنّهما من العقليات الواضحة الّتي تزامنت مع فطرة الإنسان في عامّة الأزمان والأجيال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 كثيراً منهم يفسّرون التحسين بموافقة الأغراض والمصالح،</w:t>
      </w:r>
    </w:p>
    <w:p>
      <w:pPr>
        <w:pStyle w:val="BookText"/>
        <w:rPr/>
      </w:pPr>
      <w:r>
        <w:rPr>
          <w:rFonts w:ascii="Amiri" w:hAnsi="Amiri" w:eastAsia="Amiri" w:cs="Amiri"/>
          <w:color w:val="111111"/>
          <w:sz w:val="28"/>
          <w:sz w:val="28"/>
          <w:szCs w:val="28"/>
          <w:rtl w:val="true"/>
          <w:lang w:bidi="ar-SA"/>
        </w:rPr>
        <w:t>والتقبيح بمخالفتها، فكلّ فعل يؤمّن مصلحة الشخص أو مطلق النوع، فهو حسن، وإلّا فهو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النوع من البحث غفلة عن ملاك النزاع، فإنّ البحث فيهما فوق مستوى البحث عن المصالح الشخصية والنوعية،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مستوى المفاسد الشخصية والنوعية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 بعضهم يفسّر التحسين والتقبيح بموافقة العادات والتقاليد أو مخالفتها، وهذا أيضاً خروج عن نطاق البحث وغاياته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ثالث آخر يفسّر الحسن والقبح بما تعلّق به المدح والثواب والذمُ والعقاب، وهذا أيضاً خروج عن التحسين والتقبيح العقليين، بل يرجع إلى الشرعيين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فالتحسين والتقبيح العقليان لا صلة لهما بالمقاصد الفردية أو النوعية ولا بالأعراف الرائجة ولا ما ورد فيه المدح والذم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غفلوا عن الغاية من عنوان المسألة، وما هي إلّاالتعرف على أفعاله سبحانه دون أفعال البشر، ولو دخل الثاني فإنّما دخل استطراداً، ومن المعلوم أنّ فعله سبحانه خارج عن إطار المصلحة والمفسدة، بل هو على مستوى فوق ذينك الأمرين، وقس عليه الملاك الثاني أو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مصبّ البحث وملاكه هو أمر آخر، وهو أنّ الفعل الصادر من الفاعل المختار سواء أكان واجباً أم ممكناً إذا نظر إليه العقل وتجرّد عن كلّ شيء، هل يستقل بحسنه أو بقبحه أو لا؟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مع غضّ النظر عمّا يترتّب عليه من المفاسد، أو كونه موافقاً</w:t>
      </w:r>
    </w:p>
    <w:p>
      <w:pPr>
        <w:pStyle w:val="BookText"/>
        <w:rPr/>
      </w:pPr>
      <w:r>
        <w:rPr>
          <w:rFonts w:ascii="Amiri" w:hAnsi="Amiri" w:eastAsia="Amiri" w:cs="Amiri"/>
          <w:color w:val="111111"/>
          <w:sz w:val="28"/>
          <w:sz w:val="28"/>
          <w:szCs w:val="28"/>
          <w:rtl w:val="true"/>
          <w:lang w:bidi="ar-SA"/>
        </w:rPr>
        <w:t>لغرض الفاعل أو مخالفته، فإنّ كلّ هذه الضمائم لا حاجة إليها في قضاء العقل بالحسن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لاحظ العقل نفس الفعل، مجرداً عن كون فاعله واجباً أو ممكناً مجرداً عمّا يترتّب عليه من الآثار، هل يدرك العقل حسنه ويأمر بإتيانه، أو يدرك قبحه فيحكم بتركه‌؟</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الإحسان وقبح الظلم، أو حسن العمل بالميثاق وقبح نقضه، أو حسن جزاء الإحسان بالإحسان، وقبح جزاء الإحسان بالسوء، إلى غير ذلك من القضايا الّتي يستقل بحسنها وقبحها على وجه الإطلاق مجرّداً عن كلّ ما يترتّب عليها من الآثار في الحياة الفردية أو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وبغض النظر عن كون الفاعل واجباً أو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أردت التفصيل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مصبّ النزاع أمر لا يمتّ لما ذكر هؤلاء من الملاكات، بصلة، فليس البحث مركّزاً على ما يلائم الغرض أو يضادّه، ولا على ما يستحسنه العقلاء حسب العادات والتقاليد أو يستقبحوه، ولا على ما يترتّب عليه المدح والثواب، أو الذم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خارج عمّا يقصد به في المقام، فكلّ مَن حاول إخضاع القاعدة لهذه الأُمور فقد ضلّ وأضلّ‌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الّذي ترومه القاعدة وتدلّ عليه الأدلّة هو أنّ في الحكمة العملية قضايا خاصّة إذا لاحظها العقل متجرّدة عن كلّ شيء ملاحظاً نفس القضية يجد بعضه أمراً حسناً موافقاً للفطرة الإنسانية وأُموراً قبيحة ينفر عنها الطبع الإنساني،</w:t>
      </w:r>
    </w:p>
    <w:p>
      <w:pPr>
        <w:pStyle w:val="BookText"/>
        <w:rPr/>
      </w:pPr>
      <w:r>
        <w:rPr>
          <w:rFonts w:ascii="Amiri" w:hAnsi="Amiri" w:eastAsia="Amiri" w:cs="Amiri"/>
          <w:color w:val="111111"/>
          <w:sz w:val="28"/>
          <w:sz w:val="28"/>
          <w:szCs w:val="28"/>
          <w:rtl w:val="true"/>
          <w:lang w:bidi="ar-SA"/>
        </w:rPr>
        <w:t xml:space="preserve">وعندئذٍ يجد العقل أنّ الحسن والقبح من ذاتيات تلك القضايا أو من ذاتيات موضوعه من غير فرق بين كونه صادراً عن الواجب جلّ شأنه أو عن الممكن، فإنّ الحسن والقبح من لوازم الموضوع نظير الزوجية فإنّها من لوازم الأربعة من غير فرق بين كون الأربعة في عالم المادّة أو في عالم البرزخ أو عند الممكن أو عند الواجب، وهذا هو الّذي يدّعيه القائلون بالتحسين والتقبيح العقليين بأنّ في الحكمة العملية قضايا اتّفق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قضاء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الحسن أو القبح فيها، من غير فرق بين المؤمن والكافر، والإلهي والمادي، ومن غير فرق بين صدورها عن اللّه سبحانه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الذكر الحكيم إشارات إلى هذا ا لنوع من الحسن والقبح بشرط التدبّر في الآيات، فهناك آيات يحتجّ القرآن فيها بقضاء الفطرة على حسن بعض الأفعال وقبح أُخرى على نحو يسلّم أنّ الفطرة صالحة لدرك حسن الشيء وقبحه، ولذلك يتّخذ وجدان الإنسان قاضياً صادقاً في قضائه، ويقول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الَّذِينَ آمَنُوا وَ عَمِلُوا الصّالِحاتِ كَالْمُفْسِدِينَ فِي الْأَرْضِ أَمْ نَجْعَلُ الْمُتَّقِينَ كَالْفُجّارِ</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فَنَجْعَلُ الْمُسْلِمِينَ كَالْمُجْرِمِينَ‌</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هذه الطائفة من الآيات يوكِّل الذكر الحكيم القضاء إلى وجدان</w:t>
      </w:r>
    </w:p>
    <w:p>
      <w:pPr>
        <w:pStyle w:val="BookText"/>
        <w:rPr/>
      </w:pPr>
      <w:r>
        <w:rPr>
          <w:rFonts w:ascii="Amiri" w:hAnsi="Amiri" w:eastAsia="Amiri" w:cs="Amiri"/>
          <w:color w:val="111111"/>
          <w:sz w:val="28"/>
          <w:sz w:val="28"/>
          <w:szCs w:val="28"/>
          <w:rtl w:val="true"/>
          <w:lang w:bidi="ar-SA"/>
        </w:rPr>
        <w:t>الإنسان، وأنّه هل يصح التسوية بين المفسدين والمتّقين، والمسلمين والمجرمين، كما يتّخذ من الوجدان قاضياً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وهناك آيات أُخرى تأمر بالمعروف كالعدل والإحسان، وإيتاء ذي القربى‌، وتنهى عن الفحشاء والمنكر والبغي على نحو تسلِّم أنّ المخاطب يعرفها معرفة ذاتية ولا يحتاج إلى الشرع بغية التعرّف على الموضوع، وكأنّ الشرع يؤكّد ما يجده الإنسان بفطرته، يقول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رَبِّيَ الْفَواحِشَ ما ظَهَرَ مِنْها وَ ما بَطَنَ‌</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يَأْمُرُهُمْ بِالْمَعْرُوفِ وَ يَنْهاهُمْ عَنِ الْمُنْكَرِ</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وكيفية دلالة هذه الآيات على قابلية العقل على درك الحسن والقبح عُلم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آية أُخرى تندِّد بعمل المشركين حينما ينسبون بعض أعمالهم المنكرة إلى أمره سبحانه، وهو يردّ عليهم بأنّ عملهم فحشاء واللّه لا يأمر بها، وبذلك سلم قضاء الوجدان على أنّ اللّه منزّه عن ارتكاب القبائح والمنكرات،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فَعَلُوا فاحِشَةً قالُوا وَجَدْنا عَلَيْها آباءَنا وَ اللّهُ أَمَرَنا بِها قُلْ إِنَّ اللّهَ لا</w:t>
      </w:r>
      <w:bookmarkStart w:id="817" w:name="pg16772_194742"/>
    </w:p>
    <w:p>
      <w:pPr>
        <w:pStyle w:val="BookText"/>
        <w:rPr/>
      </w:pPr>
      <w:bookmarkEnd w:id="817"/>
      <w:r>
        <w:rPr>
          <w:rFonts w:ascii="Amiri" w:hAnsi="Amiri" w:eastAsia="Amiri" w:cs="Amiri"/>
          <w:color w:val="111111"/>
          <w:sz w:val="28"/>
          <w:sz w:val="28"/>
          <w:szCs w:val="28"/>
          <w:rtl w:val="true"/>
          <w:lang w:bidi="ar-SA"/>
        </w:rPr>
        <w:t>يَأْمُرُ بِالْفَحْشاءِ‌</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8" w:name="__RefHeading___Toc6963989_73709187"/>
      <w:bookmarkStart w:id="819" w:name="_Toc313"/>
      <w:bookmarkEnd w:id="818"/>
      <w:r>
        <w:rPr>
          <w:rtl w:val="true"/>
        </w:rPr>
        <w:t>سلبيات إنكار التحسين والتقبيح العقليين</w:t>
      </w:r>
      <w:bookmarkEnd w:id="819"/>
    </w:p>
    <w:p>
      <w:pPr>
        <w:pStyle w:val="BookText"/>
        <w:rPr/>
      </w:pPr>
      <w:r>
        <w:rPr>
          <w:rFonts w:ascii="Amiri" w:hAnsi="Amiri" w:eastAsia="Amiri" w:cs="Amiri"/>
          <w:color w:val="111111"/>
          <w:sz w:val="28"/>
          <w:sz w:val="28"/>
          <w:szCs w:val="28"/>
          <w:rtl w:val="true"/>
          <w:lang w:bidi="ar-SA"/>
        </w:rPr>
        <w:t>إنّ مَن أنكر إدراك العقل للحسن والقبح لا يمكنه إثبات المعارف الّتي بُني عليها الدين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معرفة اللّه تبارك وتعالى، فما الدليل على وجوبه هل هو الشرع‌؟ والشرع بعد ليس ثابتاً، فما هو إلّاالعقل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تنزيه فعله سبحانه عن العبث، فما الدليل على هذا التنزيه‌؟ هل هو الشرع وهو بعد لم يثبت‌؟ فليس إلّاالعقل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تكليف العباد وعدم تركهم سُدى، وليس له دليل إلّاالعقل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بعث الأنبياء فما هو الدليل عليه‌؟ والشرع بعد لم يثبت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الإعجاز دليل على صدق المدّعي، فما الدليل على ذلك‌؟</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ثبات المبادئ الأخلاقية وعدم تغيرها بتغيّر الزمان والمكان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قبح التكليف بما لا يطاق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قبح الكذب على اللّه سبحانه وعلى رُسله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المعارف العليا للشرائع ولا سيّما الإسلام، فمن حاول أنكار التحسين والتقبيح العقليين فقد عرقل عجلة البحث في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التمسّك في ثبوت هذه الأُمور بالآيات والروايات دور واضح، فإنّ هذه الأُمور مبادئ لثبوت الشرع وصدقه</w:t>
      </w:r>
      <w:r>
        <w:rPr>
          <w:rFonts w:eastAsia="Amiri" w:cs="Amiri" w:ascii="Amiri" w:hAnsi="Amiri"/>
          <w:color w:val="111111"/>
          <w:sz w:val="28"/>
          <w:szCs w:val="28"/>
          <w:rtl w:val="true"/>
          <w:lang w:bidi="ar-SA"/>
        </w:rPr>
        <w:t>.</w:t>
      </w:r>
      <w:bookmarkStart w:id="820" w:name="pg16772_194743"/>
    </w:p>
    <w:p>
      <w:pPr>
        <w:pStyle w:val="Heading4"/>
        <w:numPr>
          <w:ilvl w:val="3"/>
          <w:numId w:val="1"/>
        </w:numPr>
        <w:rPr/>
      </w:pPr>
      <w:bookmarkStart w:id="821" w:name="__RefHeading___Toc6963991_73709187"/>
      <w:bookmarkStart w:id="822" w:name="_Toc314"/>
      <w:bookmarkEnd w:id="820"/>
      <w:bookmarkEnd w:id="821"/>
      <w:r>
        <w:rPr>
          <w:rtl w:val="true"/>
        </w:rPr>
        <w:t>سؤال وجواب</w:t>
      </w:r>
      <w:bookmarkEnd w:id="822"/>
    </w:p>
    <w:p>
      <w:pPr>
        <w:pStyle w:val="BookText"/>
        <w:rPr/>
      </w:pPr>
      <w:r>
        <w:rPr>
          <w:rFonts w:ascii="Amiri" w:hAnsi="Amiri" w:eastAsia="Amiri" w:cs="Amiri"/>
          <w:color w:val="111111"/>
          <w:sz w:val="28"/>
          <w:sz w:val="28"/>
          <w:szCs w:val="28"/>
          <w:rtl w:val="true"/>
          <w:lang w:bidi="ar-SA"/>
        </w:rPr>
        <w:t xml:space="preserve">الّذي يصدّ أمثال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إمام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القول بالتحسين والتقبيح العقليين حتّى في حكم اللّه سبحانه، هو تصوّر أنّ القول بذلك يلازم حكم العباد على اللّه سبحانه بأنّه يجب عليه أن يفعل كذا، ويجب أن لا يفعل كذا، ومن المعلوم أنّ الممكن أدون من أن يكون حاكماً على اللّه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صحيح، ولكن أين التراب من رب الأرباب، فليس للممكن الفقير أن يحكم على الغني المطلق، كيف والحال كما يذكره الذكر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المراد من الإيجاب هو استكشاف ذلك الحكم من الصفات الّتي دلّ العقل والشرع على اتّصافه سبحانه بها، فبما أنّه سبحانه حكيم غنيّ لا يناقض ولا يعبث، فهذه الصفات تقتضي أن يكون فعله سبحانه مطابقاً لحكمته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النوع من الحكم ليس حكماً بالمعنى المصطلح، بل يُعدّ استكشافاً لما تقتضيه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زوايا المثلث تساوي زاويتين قائمتين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نحكم بذلك ولكن حكمنا هذا لا يؤثر في التكوين، فإنّ التكوين لا يخضع لإرادتنا وحكمنا، وإنّما نستكشف من البراهين القاطعة هذا، وقس عليه حكمنا أنّه يجب على اللّه سبحانه أن يحكم بين العباد بالعدل لا بالجور، وأنّ عليه أن لا يأخذ البريء بذنب المجرم، وأنّ عليه أن لا يعطي الإعجاز لمدّعي</w:t>
      </w:r>
    </w:p>
    <w:p>
      <w:pPr>
        <w:pStyle w:val="BookText"/>
        <w:rPr/>
      </w:pPr>
      <w:r>
        <w:rPr>
          <w:rFonts w:ascii="Amiri" w:hAnsi="Amiri" w:eastAsia="Amiri" w:cs="Amiri"/>
          <w:color w:val="111111"/>
          <w:sz w:val="28"/>
          <w:sz w:val="28"/>
          <w:szCs w:val="28"/>
          <w:rtl w:val="true"/>
          <w:lang w:bidi="ar-SA"/>
        </w:rPr>
        <w:t>النبوة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يُعلم أنّ ما ذكرتم حول نظرية إمام الحرمين في مسألة الحسن والقبح لا يمتّ للموضوع ولا بما يراد به، وهو 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مسألتنا مداره على ما يقبح ويحسن في حكم اللّه تعالى، وإن كان لا ينالنا منه ضرر، ولا يفوتنا بسببه نفع لا يرخص العقل في تركه، وما كان كذلك فمدرك قبحه وحسنه من عقاب اللّه تعالى إيّانا، وإحسانه إلينا عند أفعالنا وذلك عيب، والرب سبحانه وتعالى لا يتأثر بضررنا ونفعنا، فاستحال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بقبح الشيء في حكم اللّه تعالى وحسنه، ولم يمتنع إجراء هذين الوصفين فينا، إذا تنجّز ضرر، أو أمكن نفع بشرط أن يعزى إلى اللّه، ولا يوجب عليه أن يعاقب، أو يثيب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فلينظر هذا الكلام، فإنّ القائل به ظن أنّ مصبّ النزاع في الحسن والقبح وجود الضرر والنفع في الفعل، فاستنتج بذلك أنّ ما كان كذلك أن الرب تعالى لا يتأثر بضررنا ونفعنا فاستحال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بقبح الشيء في حكم اللّه وحسنه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بعيد عن نظر القائلين بالحسن والقبح العقليين، فليس في المسألة وجود الضرر والنفع في أفعالنا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لا يتأثر بضررنا ونفعنا، بل النزاع في إمكان درك العقل لحسن قضية ما أو قبحها كذلك، من دون أن يقرنها بالضرر والنفع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تيسّر لي من بيان الحسن والقبح عسى أن تقرأه متجرّداً عن كلّ شيء، كما هي شيمتك في عامّة القضايا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في الموضوع كتاب سبق وأن أرسلته إليكم، فإن شئتم التفصيل</w:t>
      </w:r>
      <w:bookmarkStart w:id="823" w:name="pg16772_194745"/>
    </w:p>
    <w:p>
      <w:pPr>
        <w:pStyle w:val="BookText"/>
        <w:rPr/>
      </w:pPr>
      <w:bookmarkEnd w:id="823"/>
      <w:r>
        <w:rPr>
          <w:rFonts w:ascii="Amiri" w:hAnsi="Amiri" w:eastAsia="Amiri" w:cs="Amiri"/>
          <w:color w:val="111111"/>
          <w:sz w:val="28"/>
          <w:sz w:val="28"/>
          <w:szCs w:val="28"/>
          <w:rtl w:val="true"/>
          <w:lang w:bidi="ar-SA"/>
        </w:rPr>
        <w:t>فراجعوه وهو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التحسين والتقبيح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ما ذكرناه من الملاحظات لا ينقص من قيمة مقالكم البارع، ولا من إمام الحرمين رحمه الله، فإنّ المؤلّف والمعلِّق هم من رجالات العلم وفي قمم الإنصاف في القضاء</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6963993_73709187"/>
      <w:bookmarkStart w:id="825" w:name="_Toc315"/>
      <w:bookmarkEnd w:id="824"/>
      <w:r>
        <w:rPr>
          <w:rtl w:val="true"/>
        </w:rPr>
        <w:t>وقفة أُخرى حول آية الوضوء</w:t>
      </w:r>
      <w:bookmarkEnd w:id="825"/>
    </w:p>
    <w:p>
      <w:pPr>
        <w:pStyle w:val="BookText"/>
        <w:rPr/>
      </w:pPr>
      <w:r>
        <w:rPr>
          <w:rFonts w:ascii="Amiri" w:hAnsi="Amiri" w:eastAsia="Amiri" w:cs="Amiri"/>
          <w:color w:val="111111"/>
          <w:sz w:val="28"/>
          <w:sz w:val="28"/>
          <w:szCs w:val="28"/>
          <w:rtl w:val="true"/>
          <w:lang w:bidi="ar-SA"/>
        </w:rPr>
        <w:t>لاشكّ أنّ آية الوضوء آية واضحة أنزلها اللّه سبحانه على قلب سيد المرسلين صلى الله عليه و آله و سلم ليقرأها على عامّة الناس، وبما أنّ الآية تتضمّن حكماً تشريعياً يبتلي به المسلمون ليل نهار، فلابدّ أن تكون واضحة الدلالة مبيّنة المفهوم مجردةً عن الإبهام والإجمال، فمن تصوّر وجود الإجمال فيها فقد بعد عن معنى الآية، إنّما الكلام في الاختلاف الواقع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 وَ أَرْجُلَكُمْ إِلَى الْكَعْبَيْنِ‌</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وقد 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بِرُؤُسِكُمْ وَ أَرْجُلَكُمْ‌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بها ثلاثّة من القرّاء السبعة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بِرُؤُسِكُمْ وَ أَرْجُلَكُمْ‌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بها أربعة من القرّاء السبعة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القراءة الأُولى، فالفتح لأجل كونها معطوفة على محل الرؤوس، والعطف على المحلّ أمر رائج في الكتاب والسنّة وشعر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بَرِيءٌ مِنَ الْمُشْرِكِينَ وَ رَسُولُهُ‌</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قرأ رسوله بالرفع وهو عطف على لفظ الجلالة إسم إنّ فإن محلّه بما أنّه 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إمام الحرمين مكان أن يأتي بمثال من الذكر الحكيم يتمسّك بكلام بعضهم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الجواد،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المنادى المفرد العلم وإن كان مبنياً على الرفع فأصله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الأولى الاستشهاد بالذكر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حول القراءة بالفتح، إنّما الكلام على القراءة بالكسر فقد أوجدت إشكالاً بين القائلين بغسل الأرجل فقد ذكروا وجوهاً بعيدة تعرضنا لها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في مسائل دام فيها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أردأ الوجوه الّذي ردّه أيضاً إمام الحرمين هو القول بأنّ الجرّ للجوار بمعنى أنّ الأرجل معطوف على وجوهكم فيكون المعنى فاغسلوا وجوهكم وأرجلكم، ومقتضى العطف هو النصب، لكنّ الجرّ لأجل كونه في جوار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فاكتسب الجر من الجار، كما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جحر ضبٍّ خربٍّ‌،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وكان يجب أن يُرفع لأنّه خبر جُحر، وما ذلك إلّالكونه في جوار 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 بالجوار لا يوجد ولم يوجد في الكلام الفصيح، ولو قيل به فإنّما يجوز في مضايق القوافي لأجل حفظ أوزان الشعر، وأمّا الكلام الفصيح الّذي ورد لبيان الحكم الإلهي الّذي يبتلي به المكلّف يومه ونهاره، فلا يجري فيه أبداً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ممّا اتفقنا عليه مع إمام الحرمين جزاه اللّه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حاول أن يجد وجهاً للجر، فالتجأ فيه إلى كلام سيد الصياغة سيبويه، وأنّه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الجزل الفصيح يسترسل في الأحايين استرسالاً، ولا تختلف مبانيه لأدنى تغيير لدقائق في المعاني لا تحتفل بها العرب ثم عضد ما قاله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الرب تعالى فرض الرجلين ذكره فرض اليدين، وربط منتهى الفرض في الرجلين بالكعبين ربطه واجب منتهى فرض اليدين بالمرفقين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يكتفي بالمسح فلا معنى لذكر الكعبين عنده، وهذا راجع إلى إطباق حملة الشريعة قبل ظهور الآراء على غسل الرجلين، ولمّا أراد رسول اللّه صلى الله عليه و آله و سلم أن يبيّن الوضوء غسل رجليه، فاجتماع هذه الأُمور في القرآن والسنّة، وفعل السلف أظهر من الجريان على ما يقتضيه ظاهر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الذكر الحكيم لم ينزل على رأي سيبويه وأضرابه، بل نزل على فهم عامّة الذين يفهمون معاني الجمل والكلمات، بصميم ذواتهم وبطريقتهم المألوفة بين المدني والبدوي، فما ذكره من أنّ الكلام الجزل يسترسل في الأحايين استرسالاً، لا يناسب مقام التشريع والتقنين، فإنّ الحاجّة هنا ماسّة للتعبير الناصع، والبيان الواضح لا البيان الّذي يوجب الإجمال والإبهام حتّى تصل النوبة إلى سيد الصياغة ويفسّره بما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هنا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التشريع وتبيين الوظيفة لعامّة الناس من مدنيهم وبدويهم وعالمهم وجاهلهم، فهذا المقام رهن وضوح البيان، وإلّا لناقض الغرض منها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 بفصيح الكلام وبليغه وإعمال المحسّنات اللفظية، وهذا ما يناسب غير مقام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تشبيه فرض الرجلين بفرض اليدين، وربط منتهى الفرض في الرجلين بالكعبين ربط منتهى فرض اليدين بالمرفقين صحيح، ولكن لا يقتضي أن يكونا متّحدين في الحكم بمعنى أنّ حكم اليدين هو الغسل، والرجلين أيضاً كذلك، بل الوجه هو أنّ اليد مشترك بين أُصول الأصابع والزند والمرفق والكتفين، فلزم بيان الحدّ، وكذلك الرجل مشترك بين قبّة القدم والكعبين الناتئين والركبة وما فوقها، فلزم تحديد القدم على نحو يرفع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وجه الشبه بين اليدين والرجلين لا وحدة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أنّه من يكتفي بالمسح فلا معنى لذكر الكعبين عنده، كلام غير تام، لما عرفت من اشتراك الرجل في الاستعمال كاشتراك اليد، فلولا تحديده بالكعبين لما علم حدّ المسح، كما إذا لم تحدّ اليد لم يعلم حدّ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أنّه لمّا أراد رسول اللّه صلى الله عليه و آله و سلم أن يبّين الوضوء غسل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صحيح لكنّه في فترة خاصّة، ولكنّه في فترة أُخرى مسح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تضافرت الروايات عن أنّه صلى الله عليه و آله و سلم مسح، ومن المعلوم أنّ سورة المائدة هي السورة الأخيرة النازلة على النبي ولم ينزل على النبي سورة أو آية بعد هذه السورة، فالذكر الحكيم هو المحكّم، والسنّة تبيّن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أنّا بسطنا الكلام في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في مسائل دام فيها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فلنقتصر على هذا المقدار داعين الأُستاذ المحقّق مراجعة ما كتبناه في هذا الصدد، فيجد فيه تبييناً لما أجملناه وتوضيحاً لما أُبهم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رسالتي للأُستاذ المفضال الدكتور عبدالوهاب إبراهيم أبو سليمان</w:t>
      </w:r>
    </w:p>
    <w:p>
      <w:pPr>
        <w:pStyle w:val="BookText"/>
        <w:rPr/>
      </w:pPr>
      <w:r>
        <w:rPr>
          <w:rFonts w:ascii="Amiri" w:hAnsi="Amiri" w:eastAsia="Amiri" w:cs="Amiri"/>
          <w:color w:val="111111"/>
          <w:sz w:val="28"/>
          <w:sz w:val="28"/>
          <w:szCs w:val="28"/>
          <w:rtl w:val="true"/>
          <w:lang w:bidi="ar-SA"/>
        </w:rPr>
        <w:t>راجياً النظر فيها بالتجرّد عن كلّ رأي مسبق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اسأل اللّه سبحانه أن يوفقنا وإيّاه لما فيه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حرّرت في يوم الجمعة الرابع عشر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رجب المرجب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826" w:name="pg16772_194750"/>
    </w:p>
    <w:p>
      <w:pPr>
        <w:pStyle w:val="Heading3"/>
        <w:numPr>
          <w:ilvl w:val="2"/>
          <w:numId w:val="1"/>
        </w:numPr>
        <w:rPr/>
      </w:pPr>
      <w:bookmarkStart w:id="827" w:name="__RefHeading___Toc6963995_73709187"/>
      <w:bookmarkStart w:id="828" w:name="_Toc316"/>
      <w:bookmarkEnd w:id="826"/>
      <w:bookmarkEnd w:id="827"/>
      <w:r>
        <w:rPr/>
        <w:t>2</w:t>
      </w:r>
      <w:r>
        <w:rPr>
          <w:rtl w:val="true"/>
        </w:rPr>
        <w:t xml:space="preserve"> </w:t>
      </w:r>
      <w:r>
        <w:rPr>
          <w:rtl w:val="true"/>
        </w:rPr>
        <w:t>تفسير كلام الإمام علي عليه السلام في توحيده سبحانه</w:t>
      </w:r>
      <w:bookmarkEnd w:id="828"/>
    </w:p>
    <w:p>
      <w:pPr>
        <w:pStyle w:val="BookText"/>
        <w:rPr/>
      </w:pPr>
      <w:r>
        <w:rPr>
          <w:rFonts w:ascii="Amiri" w:hAnsi="Amiri" w:eastAsia="Amiri" w:cs="Amiri"/>
          <w:color w:val="111111"/>
          <w:sz w:val="28"/>
          <w:sz w:val="28"/>
          <w:szCs w:val="28"/>
          <w:rtl w:val="true"/>
          <w:lang w:bidi="ar-SA"/>
        </w:rPr>
        <w:t>سماحة العلّامة الحجة السيد زكي محمد أمين الحكيم دامت بركاته</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وصلتني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رسالتكم تطلب تبيين معنى قول الإمام علي عليه السلام في خطبته الأُولى ففيها فقرات أربع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كائن لا عن 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 لا عن عدم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كلّ شيء لا بمقارنة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كلّ شيء لا بمزايلة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بسط الكلام العلمان الجليلان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ميثم البحراني وابن أبي الحديد في شرحهما على نهج البلاغة في تبيين هذه الفقرات، خصوصاً البحراني قدس سره لأنّه من أبطال هذه الحلبة، فعلى الباحث أن يرجع إلى الشرح الحديدي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والشرح الميثمي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المعنى الّذي نختاره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كائن لا عن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تنزّهه عن موجود وجد منه بأن يكون لوجوده مادة سابقة تحوّلت إلى الوجود الفعلي؛ لأنّ ذلك من أحكام الممكنات كيف وهو واجب الوجود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موجود لا عن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وجوده غير مسبوق بالعدم فوجوده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نابع من صميم ذاته فلا يتصوّر له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فالفقرة الأُولى تشير إلى عدم خلو زمان عن وجوده، لأنّ المفروض أنّه غير متحوّل من مادة، فلا بأس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قديم زماناً وإن كان قدمه أفضل من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والفقرة الثانية تشير إلى عدم سبق العدم على وجوده، فيكون وجوده ووجوبه أزلياً فوق كلّ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كلّ شيء لا بمقارنة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تبيين المراد من العبارة يحتاج إلى بيان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العلّة ويراد بها المعنى الفلسفي، أي معطي الوجود وإيجاد الشيء من كتم العدم كالنفس الإنسانية الخلّاقة للصور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العلّة ويراد بها العلّة المادية، وهي بمعنى تحوّل شيء إلى شيء آخر من دون إعطاء الوجود، كتحوّل الحطب إلى النار ثم الرماد، فليس الحطب معطياً للصورة النارية أو الرمادية، وإنّما هي علّة إعدادية لإفاضة الصور من جانب خالق الصور والموجودات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 ذلك فنقول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نسبة المعلول الفلسفي إلى علّته نسبة المعنى الحرفي إلى المعنى الاسمي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الأوّل قائم بالثاني بحيث لو قطعت الصلة بينهما لانعدم المعنى الحرفي، فالممكنات عامّة أشبه بالمعنى الحرفي بالنسبة إلى الواجب فوجودها</w:t>
      </w:r>
    </w:p>
    <w:p>
      <w:pPr>
        <w:pStyle w:val="BookText"/>
        <w:rPr/>
      </w:pPr>
      <w:r>
        <w:rPr>
          <w:rFonts w:ascii="Amiri" w:hAnsi="Amiri" w:eastAsia="Amiri" w:cs="Amiri"/>
          <w:color w:val="111111"/>
          <w:sz w:val="28"/>
          <w:sz w:val="28"/>
          <w:szCs w:val="28"/>
          <w:rtl w:val="true"/>
          <w:lang w:bidi="ar-SA"/>
        </w:rPr>
        <w:t>وقوامها بالواجب جلّ ذكره، فلو حدث انقطاع بينهما لصار مصير الممكنات هو الإعدام، فللّه سبحانه مع الممكنات معيّة قيومية لا معيّة حلولية، نظير كون النفس مع الصور العلمية فلها مقام شامخ مع قطع النظر عن الصور، وفي الوقت نفسه هي مع الصور معيّة قيومية لو انقطعت الصلة لصار المصير انعدام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معيّة حلولية كما عليه أصحاب التصوّف، وإلى هذا المعنى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 كلّ شيء لا بمزايلة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ليست بينهما بينونة على وجه تنقطع صلة المخلوق إلى الخالق، لما عرفت من أنّ في البينونة الحقيقية انعدام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القائل تصوير ذلك وإن كان المثال أنزل بكثير عن الممثل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الممكنات إلى الواجب كمثل النور الحسّي إلى الأجهزة المولّدة له، فالنور غير الأجهزة والأجهزة غير النور، لكنّ المغايرة ليست بالمباينة كما أنّ المقارنة ليست بالحلول والنفوذ، ولكن لو انقطعت صلة النور المضيء مع الأجهزة لعمّت الظلمة عامّة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سمح به الوقت لامتثال أمركم السامي، والتفصيل موكول إلى محاضراتنا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اللّه على أمير البيان ووليد بيت الوحي حيث أفاد في هذه الفقرات</w:t>
      </w:r>
    </w:p>
    <w:p>
      <w:pPr>
        <w:pStyle w:val="BookText"/>
        <w:rPr/>
      </w:pPr>
      <w:r>
        <w:rPr>
          <w:rFonts w:ascii="Amiri" w:hAnsi="Amiri" w:eastAsia="Amiri" w:cs="Amiri"/>
          <w:color w:val="111111"/>
          <w:sz w:val="28"/>
          <w:sz w:val="28"/>
          <w:szCs w:val="28"/>
          <w:rtl w:val="true"/>
          <w:lang w:bidi="ar-SA"/>
        </w:rPr>
        <w:t>الموجزة أسمى الحقائق الفلسفية والمعارف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ميلاد الإمام الحسن عليه السلام</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عشر من شهر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829" w:name="pg16772_194754"/>
    </w:p>
    <w:p>
      <w:pPr>
        <w:pStyle w:val="Heading3"/>
        <w:numPr>
          <w:ilvl w:val="2"/>
          <w:numId w:val="1"/>
        </w:numPr>
        <w:rPr/>
      </w:pPr>
      <w:bookmarkStart w:id="830" w:name="__RefHeading___Toc6963997_73709187"/>
      <w:bookmarkStart w:id="831" w:name="_Toc317"/>
      <w:bookmarkEnd w:id="829"/>
      <w:bookmarkEnd w:id="830"/>
      <w:r>
        <w:rPr/>
        <w:t>3</w:t>
      </w:r>
      <w:r>
        <w:rPr>
          <w:rtl w:val="true"/>
        </w:rPr>
        <w:t xml:space="preserve"> </w:t>
      </w:r>
      <w:r>
        <w:rPr>
          <w:rtl w:val="true"/>
        </w:rPr>
        <w:t>استنكار الاحتفال الّذي أُقيم في لندن</w:t>
      </w:r>
      <w:bookmarkEnd w:id="831"/>
    </w:p>
    <w:p>
      <w:pPr>
        <w:pStyle w:val="BookText"/>
        <w:rPr/>
      </w:pPr>
      <w:r>
        <w:rPr>
          <w:rFonts w:ascii="Amiri" w:hAnsi="Amiri" w:eastAsia="Amiri" w:cs="Amiri"/>
          <w:color w:val="111111"/>
          <w:sz w:val="28"/>
          <w:sz w:val="28"/>
          <w:szCs w:val="28"/>
          <w:rtl w:val="true"/>
          <w:lang w:bidi="ar-SA"/>
        </w:rPr>
        <w:t xml:space="preserve">سماحة حجة الإسلام الشيخ 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بلغنا نبأ الاحتفال الذي أُقيم في لندن حول زوجة الرسول صلى الله عليه و آله و سلم، فإذا صحّ ذلك، وصحّ أنّه أُلقيت فيه كلمات تضمّنت ألفاظاً نابية، فإنّنا ندعو، انطلاقاً من مسؤوليتنا الرسالية والأخلاقية، جميع المسلمين إلى الاهتمام بقضاياهم المصيرية، ومواجهة التحدّيات والأخطار التي تتهدّدهم، لا سيّما الخطر الصهيوني المدمّر، وإلى العمل الدؤوب على تعزيز التعاون والتضامن بينهم، من خلال التأكيد على ما يجمعهم من مشتركات، وما أكثرها، وتجنّب إثارة كلّ ما من شأنه أن يثير الخلاف، ويؤجّج النزاع بينهم، والكفّ عن كلّ التصرّفات التي تسيء إلى الهدف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الإسلامية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إذ ندين ما يصدر هنا وهناك من أقوال وأفعال لا تنسجم مع الإسلام في أهدافه وروحه وخلقه، فإننا نُهيب بالعلماء الواعين وبالمثقفين الحريصين على أُمّتهم، أن يضعوا، عبر الحوارات واللقاءات المشتركة، حلولاً ناجعة لما تعانيه أُمّتنا من تمزّق وتشرذم، وأن يقفوا موقفاً صريحاً ومسؤولاً، لكي يحسموا مادة النزاع وأصل الداء، من ظاهرة التكفير والاتّهام بالشرك</w:t>
      </w:r>
    </w:p>
    <w:p>
      <w:pPr>
        <w:pStyle w:val="BookText"/>
        <w:rPr/>
      </w:pPr>
      <w:r>
        <w:rPr>
          <w:rFonts w:ascii="Amiri" w:hAnsi="Amiri" w:eastAsia="Amiri" w:cs="Amiri"/>
          <w:color w:val="111111"/>
          <w:sz w:val="28"/>
          <w:sz w:val="28"/>
          <w:szCs w:val="28"/>
          <w:rtl w:val="true"/>
          <w:lang w:bidi="ar-SA"/>
        </w:rPr>
        <w:t>والابتداع التي تتبناها بعض المؤسسات الدينية، وأن يعلنوا عن شجبهم واستنكارهم للحملة الإعلامية الشعواء التي تشنّ ضد أتباع أئمة أهل البيت عليهم السلام، من قبل بعض القنوات الفضائية المقيتة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أنّ السكوت والوقوف موقف المتفرّج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التحريض وشحن النفوس بالحقد والبغضاء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ما يحدث لشيعة أهل البيت لا سيّما في العراق وباكستان من مجازر دموية رهيبة، يذهب ضحيّتها الآلاف منهم بغير حقّ‌، إنّ السكوت عن ذلك يعدّ جريمة كبرى، وتشجيعاً للمتشدّدين على التخبّط أكثر في الظلام، وعلى ارتكاب المزيد من الجرائم وعمليات القتل الجماعي، والمزيد من ردود الأفعال السلبيّة والتصرّفات غير اللائقة، وكلّ ذلك لا يخدم ما يهدف إليه المخلصون الواعون في أُمّتنا من دعوة المسلمين جميعاً إلى الاعتصام بحبل اللّه تعالى، ومدّ جسور الثقة بينهم، ونبذ الخلاف والفرقة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بالنسبة إلى موقف الشيعة من قضية الإفك، فهو ماذكره شيخنا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أراد من إخواننا السنّة الوقوف على رأي علماء الشيعة، فليرجع إليه، وبإمكانكم نشر كلامه في الوسائل الإعلامية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من شوال المكرّم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832" w:name="pg16772_194756"/>
    </w:p>
    <w:p>
      <w:pPr>
        <w:pStyle w:val="Heading3"/>
        <w:numPr>
          <w:ilvl w:val="2"/>
          <w:numId w:val="1"/>
        </w:numPr>
        <w:rPr/>
      </w:pPr>
      <w:bookmarkStart w:id="833" w:name="__RefHeading___Toc6963999_73709187"/>
      <w:bookmarkStart w:id="834" w:name="_Toc318"/>
      <w:bookmarkEnd w:id="832"/>
      <w:bookmarkEnd w:id="833"/>
      <w:r>
        <w:rPr/>
        <w:t>4</w:t>
      </w:r>
      <w:r>
        <w:rPr>
          <w:rtl w:val="true"/>
        </w:rPr>
        <w:t xml:space="preserve"> </w:t>
      </w:r>
      <w:r>
        <w:rPr>
          <w:rtl w:val="true"/>
        </w:rPr>
        <w:t>بيان إلى طالبات الحوزة المهدوية في المدينة المنوّرة</w:t>
      </w:r>
      <w:bookmarkEnd w:id="834"/>
    </w:p>
    <w:p>
      <w:pPr>
        <w:pStyle w:val="BookText"/>
        <w:rPr/>
      </w:pPr>
      <w:r>
        <w:rPr>
          <w:rFonts w:ascii="Amiri" w:hAnsi="Amiri" w:eastAsia="Amiri" w:cs="Amiri"/>
          <w:color w:val="111111"/>
          <w:sz w:val="28"/>
          <w:sz w:val="28"/>
          <w:szCs w:val="28"/>
          <w:rtl w:val="true"/>
          <w:lang w:bidi="ar-SA"/>
        </w:rPr>
        <w:t>الحمدللّه ربّ العالمين الّذي فضّل مداد العلماء على دماء الشهداء، وجعلهم ورثة الأنبياء وصيّر أجنحة الملائكة مواطئ لأقدامهم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محمد وآله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نبي اللّه الأعظم وعلى بضعته فاطمة الزهراء عليها السلام وأسباطه المكرّمين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بناتي المؤمنات في الحوزة المهدوية</w:t>
      </w:r>
    </w:p>
    <w:p>
      <w:pPr>
        <w:pStyle w:val="BookText"/>
        <w:rPr/>
      </w:pPr>
      <w:r>
        <w:rPr>
          <w:rFonts w:ascii="Amiri" w:hAnsi="Amiri" w:eastAsia="Amiri" w:cs="Amiri"/>
          <w:color w:val="111111"/>
          <w:sz w:val="28"/>
          <w:sz w:val="28"/>
          <w:szCs w:val="28"/>
          <w:rtl w:val="true"/>
          <w:lang w:bidi="ar-SA"/>
        </w:rPr>
        <w:t>السلام عليكنّ ورحمة اللّه وبركاته</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عظيم سروري أن أسمع بأخبار اهتمامكنّ بدراسة علوم أهل البيت عليهم السلام وتفوقكنّ في كسب المقامات السامية في هذه الدروس، فإنّه ممّا يثلج الصدر أن تشتغل بناتنا في تحصيل العلوم الدينية، وأن يتفرغ بعض نسائنا لإبلاغ الرسالة في بيئاتهن، إجابة لأمر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w:t>
      </w:r>
    </w:p>
    <w:p>
      <w:pPr>
        <w:pStyle w:val="BookText"/>
        <w:rPr/>
      </w:pPr>
      <w:r>
        <w:rPr>
          <w:rFonts w:ascii="Amiri" w:hAnsi="Amiri" w:eastAsia="Amiri" w:cs="Amiri"/>
          <w:color w:val="111111"/>
          <w:sz w:val="28"/>
          <w:sz w:val="28"/>
          <w:szCs w:val="28"/>
          <w:rtl w:val="true"/>
          <w:lang w:bidi="ar-SA"/>
        </w:rPr>
        <w:t>لِيَتَفَقَّهُوا فِي الدِّينِ‌</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الواجبات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كسب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فرضت على كلا الجنسين حيث لم تتميز المرأة عن الرجل في أغلب التكاليف،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مسألة الدراسة الحوزوية إلّاواحدة من هذه التكاليف التي يجب على شبابنا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بها، والتفوّق فيها، فهي الدرع الواقية أمام هجمات معسكر الكفر وحملاته الشرسة التي تبغي مسخ هوية المسلمين وإذابتها في ما يسمّى بالعولمة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دور المرأة المتعلّمة في بعض المواقع أهم من دور الرجل، إذ أنّها تدخل إلى مجالس النساء ويرتفع بينها وبينهن ما يمكن أن يكون حائلاً من مصارحة المرأة للرجل بقضاياها الخاصة وتكاليفها وواجباتها، لأسباب كالحياء مثلاً، كما أنّ المثابرة التي تمتاز بها المرأة توفر لها إمكانية التعمّق في فهم المسائل العقائدية والفقهية، وهذه نعمة إلهية يجب على النساء شكرها، وشكر النعم هو وضعها واستخدامها في مواضعها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المسيرة العلمية للفقه في ظلال رعاية أهل البيت عليهم السلام شهدت نبوغ</w:t>
      </w:r>
    </w:p>
    <w:p>
      <w:pPr>
        <w:pStyle w:val="BookText"/>
        <w:rPr/>
      </w:pPr>
      <w:r>
        <w:rPr>
          <w:rFonts w:ascii="Amiri" w:hAnsi="Amiri" w:eastAsia="Amiri" w:cs="Amiri"/>
          <w:color w:val="111111"/>
          <w:sz w:val="28"/>
          <w:sz w:val="28"/>
          <w:szCs w:val="28"/>
          <w:rtl w:val="true"/>
          <w:lang w:bidi="ar-SA"/>
        </w:rPr>
        <w:t>عدد من المحدّثات وراويات الأخبار، كما برز عدد من الفاضلات في مجال التأليف والبحث والدراسة، وذلك اقتداءً بسيدة النساء فاطمة الزهراء عليها السلام التي انبرت لتدافع عن حق الإمام علي عليه السلام في الخلافة وتبيّن مواضع الخلل والخروج عن سنّة النبي الأكرم صلى الله عليه و آله و سلم، لكي تحافظ على الجهود التي بذلها أبوها صلى الله عليه و آله و سلم في بناء المجتمع الإسلامي وترسيخ جذور هيكلية الإسلام، وبيان تعاليمه وواجبات الأمة تجاه القرآن والعترة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مواقف السيدة زينب عليها السلام ودورها في نشر مفاهيم الثورة الحسينية ليس بعيداً عن أذهان بناتنا المؤمنات، وصدق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لولا زينب عليها السلام لبقيت ثورة كربلاء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المرأة المسلمة أن تقتدي بفاطمة وزينب عليهما السلام في الدفاع عن الإسلام عقيدة وشريعة، وهذا لا يتوفر إلّابفهم الأبحاث العقائدية والنظريات الفكرية لمدرسة أهل البيت عليهم السلام، وكذلك الإحاطة التامّة بالمسائل الفقهية، وبالأخص ما يتعلّق بأحكام النساء، لتكون داعية ناجحة، ومبلّغة متمكّنة من الإجابة عن كلّ الشبهات التي تثار هذه الأيام على صفحات الانترنت وشاشات الفضائيات المغرضة التي لا يهدف أصحابها إلّاإلى زرع الفتنة وتمزيق الأُمّة، ومركبهم في ذلك هو الجهل، فإذا أبدلناه بالعلم والوعي فقدوا ما يعتمدون عليه في نشر أباطيلهم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دراسة علوم أهل البيت عليهم السلام من قبل أبناء وبنات الحجاز لها أهمية خاصّة وذلك بالنظر للتعتيم الفكري والفقهي المطبق على المناهج الدراسية المتبعة هناك، والتي اعتمدت غلق باب الحوار وعدم سماع الرأي المخالف،</w:t>
      </w:r>
    </w:p>
    <w:p>
      <w:pPr>
        <w:pStyle w:val="BookText"/>
        <w:rPr/>
      </w:pPr>
      <w:r>
        <w:rPr>
          <w:rFonts w:ascii="Amiri" w:hAnsi="Amiri" w:eastAsia="Amiri" w:cs="Amiri"/>
          <w:color w:val="111111"/>
          <w:sz w:val="28"/>
          <w:sz w:val="28"/>
          <w:szCs w:val="28"/>
          <w:rtl w:val="true"/>
          <w:lang w:bidi="ar-SA"/>
        </w:rPr>
        <w:t>وفرضت رأي مذهب واحد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وفّقكن اللّه تعالى لكلّ خير، وبارك اللّه لكنّ في تفوقكنّ في الدراسة الدينية، وأُوصيكنّ بمواصلة الجهود والسعي للتفوّق في بقية مجالات الحياة،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ثامن ربيع الأوّل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835" w:name="pg16772_194760"/>
    </w:p>
    <w:p>
      <w:pPr>
        <w:pStyle w:val="Heading3"/>
        <w:numPr>
          <w:ilvl w:val="2"/>
          <w:numId w:val="1"/>
        </w:numPr>
        <w:rPr/>
      </w:pPr>
      <w:bookmarkStart w:id="836" w:name="__RefHeading___Toc6964001_73709187"/>
      <w:bookmarkStart w:id="837" w:name="_Toc319"/>
      <w:bookmarkEnd w:id="835"/>
      <w:bookmarkEnd w:id="836"/>
      <w:r>
        <w:rPr/>
        <w:t>5</w:t>
      </w:r>
      <w:r>
        <w:rPr>
          <w:rtl w:val="true"/>
        </w:rPr>
        <w:t xml:space="preserve"> </w:t>
      </w:r>
      <w:r>
        <w:rPr>
          <w:rtl w:val="true"/>
        </w:rPr>
        <w:t>بحار الأنوار دائرة معارف إسلامية</w:t>
      </w:r>
      <w:bookmarkEnd w:id="837"/>
    </w:p>
    <w:p>
      <w:pPr>
        <w:pStyle w:val="BookText"/>
        <w:rPr/>
      </w:pPr>
      <w:r>
        <w:rPr>
          <w:rFonts w:ascii="Amiri" w:hAnsi="Amiri" w:eastAsia="Amiri" w:cs="Amiri"/>
          <w:color w:val="111111"/>
          <w:sz w:val="28"/>
          <w:sz w:val="28"/>
          <w:szCs w:val="28"/>
          <w:rtl w:val="true"/>
          <w:lang w:bidi="ar-SA"/>
        </w:rPr>
        <w:t xml:space="preserve">إنّ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معارف إسلامية بصبغة شيعية، جُمع فيها لأوّل مرّة ما يرجع إلى الكتاب والسنّة من متون الفقه والتفسير والحديث والرجال وأُصول العقائد والكلام وأُصول الفقه والتاريخ والنجوم والفلكيات، إلى غير ذلك من فنون ابتكرها المسلمون عبر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بذل العلّامة المجلسي رحمه الله جهده في تأليف هذا الكتاب فطفق يكاتب أصحاب المكتبات والشخصيات البارزة في شرق البلاد وغربها حتّى يحصل على الكتب الّتي لم تكن موجودة عنده، فاجتمع بفضل ذلك كثير من الأُصول والكتب المعوّل عليها في الأعصار الماضية، فرتّب مضامين هذه الكتب بترتيب فائق يقف عليه من يسبر الموسوعة ويمعن النظر فيه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أنّه استعان في تأليف الكتاب بجماعة من المحقّقين والمحدّثين لم يُوّفق لإنجاز مثله، فإنّ تأليف كتاب بهذا الحجم الّذي يناهز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لا يقوم به الفرد مهما بذل من جهد، ولذلك استعان بكثير من تلامذته الذين ناهز عددهم المائتين، وهم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 ومحدّث ومفسّر ولغوي ومؤرّخ وناسخ ومصحّح، ومع ذلك انفرد رحمه الله بتفسير معضلات الأحاديث ومشكلاتها، وقد</w:t>
      </w:r>
    </w:p>
    <w:p>
      <w:pPr>
        <w:pStyle w:val="BookText"/>
        <w:rPr/>
      </w:pPr>
      <w:r>
        <w:rPr>
          <w:rFonts w:ascii="Amiri" w:hAnsi="Amiri" w:eastAsia="Amiri" w:cs="Amiri"/>
          <w:color w:val="111111"/>
          <w:sz w:val="28"/>
          <w:sz w:val="28"/>
          <w:szCs w:val="28"/>
          <w:rtl w:val="true"/>
          <w:lang w:bidi="ar-SA"/>
        </w:rPr>
        <w:t>شاهدنا بعض الأجزاء الّذي كتب فيه الحديث بخط الناسخ، لكن كان الشرح والبيان بخط المؤلف المعروف بخصوصياته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الغاية من تأليف هذه الموسوعة هي جمع الشوارد والمتفرّقات من الكتب في كتاب واحد، فطبع الحال يقتضي أن يشتمل من الأحاديث على صحيحها وموثّقها وحسنها وضعيفها حتّى على ما ربّما لا يوافق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يخالف ما اجتمعت عليه الطائفة المحقّة، ولكن هذا لا يقلّل من أهمية الكتاب، لما مرّ من أنّ الهدف هو التأليف لا التحقيق في عامة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أُستاذنا الراحل السيد محمد البادكوبي قدس سره</w:t>
      </w:r>
      <w:r>
        <w:rPr>
          <w:rStyle w:val="FootnoteAnchor"/>
          <w:rtl w:val="true"/>
        </w:rPr>
        <w:footnoteReference w:id="659"/>
      </w:r>
      <w:r>
        <w:rPr>
          <w:rFonts w:ascii="Amiri" w:hAnsi="Amiri" w:eastAsia="Amiri" w:cs="Amiri"/>
          <w:color w:val="111111"/>
          <w:sz w:val="28"/>
          <w:sz w:val="28"/>
          <w:szCs w:val="28"/>
          <w:rtl w:val="true"/>
          <w:lang w:bidi="ar-SA"/>
        </w:rPr>
        <w:t xml:space="preserve">عن شيخه وأُستاذه شيخ الشريعة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يتمنّى أن يقوم الأمثل فالأمثل أو لجنة علمية على تهذيب البحار وتنقيحها سنداً ومضموناً، ومن المعلوم أنّ هذا النوع من العمل لا يقوم به إلّاالأماثل من المحقّقين الذين يحيطون بعلوم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علمائنا الماضين الذين قاموا بواجبهم ووظائفهم على أحسن وجه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اطّلعنا أخيراً على أنّ الشيخ الفاضل المحقّق جابر عبد العزيز الجوير قد قام بتحقيق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بذكر الصحيح والحسن والموثّق من</w:t>
      </w:r>
    </w:p>
    <w:p>
      <w:pPr>
        <w:pStyle w:val="BookText"/>
        <w:rPr/>
      </w:pPr>
      <w:r>
        <w:rPr>
          <w:rFonts w:ascii="Amiri" w:hAnsi="Amiri" w:eastAsia="Amiri" w:cs="Amiri"/>
          <w:color w:val="111111"/>
          <w:sz w:val="28"/>
          <w:sz w:val="28"/>
          <w:szCs w:val="28"/>
          <w:rtl w:val="true"/>
          <w:lang w:bidi="ar-SA"/>
        </w:rPr>
        <w:t xml:space="preserve">الروايات بعد دراسة الأسانيد ومضامين الروايات، فخرج عمله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اختصر فيها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بحار الأنوار بعد أن ترك الأجزاء المخصصة للإجازات الروائية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سبرنا قسماً من الجزء الأوّل من هذا العمل فوجدناه نافعاً في بابه، ورأينا أنّ المحقّق قد بذل جهده لإنجاز هذا العمل، فجاء عمله مشكوراً مقبولاً عند اللّه عزّوجلّ وعند أوليائه الكرام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يسعني إلّاأن أنبه على أمر، وهو أنّ ضعف الرواية من حيث السند لا يدلّ على بطلانها وعدم صدورها، نعم لا تكون حجّة علينا وإن كانت في الواقع صادرة عن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دراسة السند لا تغني عن دراسة المضمون، إذ ربّما يكون السند صحيحاً ولكن المضمون يكون غير مقبول، وذلك بطروء الخلل على الحديث من جانب الرواة أو الناسخين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به تتم الصالحات</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838" w:name="pg16772_194763"/>
    </w:p>
    <w:p>
      <w:pPr>
        <w:pStyle w:val="Heading3"/>
        <w:numPr>
          <w:ilvl w:val="2"/>
          <w:numId w:val="1"/>
        </w:numPr>
        <w:rPr/>
      </w:pPr>
      <w:bookmarkStart w:id="839" w:name="__RefHeading___Toc6964003_73709187"/>
      <w:bookmarkStart w:id="840" w:name="_Toc320"/>
      <w:bookmarkEnd w:id="838"/>
      <w:bookmarkEnd w:id="839"/>
      <w:r>
        <w:rPr/>
        <w:t>6</w:t>
      </w:r>
      <w:r>
        <w:rPr>
          <w:rtl w:val="true"/>
        </w:rPr>
        <w:t xml:space="preserve"> </w:t>
      </w:r>
      <w:r>
        <w:rPr>
          <w:rtl w:val="true"/>
        </w:rPr>
        <w:t>خصوصيات التشريع الإسلامي والمسائل المستحدثة</w:t>
      </w:r>
      <w:bookmarkEnd w:id="840"/>
    </w:p>
    <w:p>
      <w:pPr>
        <w:pStyle w:val="BookText"/>
        <w:rPr/>
      </w:pPr>
      <w:r>
        <w:rPr>
          <w:rFonts w:ascii="Amiri" w:hAnsi="Amiri" w:eastAsia="Amiri" w:cs="Amiri"/>
          <w:color w:val="111111"/>
          <w:sz w:val="28"/>
          <w:sz w:val="28"/>
          <w:szCs w:val="28"/>
          <w:rtl w:val="true"/>
          <w:lang w:bidi="ar-SA"/>
        </w:rPr>
        <w:t>الحمدللّه ربّ العالمين، والصلاة والسلام على نبيّه المصطفى وآله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مصادر التشريع الإسلامي التي يعتمد عليها الفقيه في استنباط الأحكام الفرعية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والإجماع والعقل الحصيف الذي به عرف الإنسان ربه ورسله وما أُنزل معهم؛ وما سوى هذه الأربعة إمّا ليست من مصادره، أو يرجع إليها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المصادر أُصول وقواعد كلّية، استطاعت أن تجعل حلولاً لكلّ الحوادث الطارئة على الحياة الإنسانية، وليس هذا قولاً اعتباطياً، والتاريخ أفضل شاهد على ذلك، فمنذ رحيل النبي صلى الله عليه و آله و سلم الذي زامن إقفال باب الوحي، واجه المسلمون في كلّ عصر مسائل مستحدثة لم تكن في عصر الرسالة، ولكن كان في اشتقاق هذه المصادر الأربعة غنى وكفاية في الإجابة عن كافة تلك الأسئلة وفي كلّ عصر من العصور إلى يومنا هذا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التشريع الإسلامي يتمتّع بخصوصيات تجعله صالحاً للبقاء والإجابة عن كلّ ما يطرح من المسائل المتجدّدة، وهذه الخصوصيات عبارة عن أُمور نشير إلى عناوينها ونترك تفصيلها إلى وقت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كثرة النصوص حول الأحكام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 تحت إشراف أُستاذنا آية اللّه البروجردي قدس سره يحتوي على خمسين ألف حديث عن النبي وآله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مرونة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أعطت هذه الخصوصية للتشريع الإسلامي مكانة عالية لقيادة المجتمعات بما فيها من حضارات مختلفة،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 إلى المعاني لا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تخصّ النظر إلى المصالح العامّة، فلو حكم بحرمة بيع الدم سابقاً لانحصار منفعته يوم ذاك بالأكل، فإنّه يحكم بحلّية بيعه في الوقت الحاضر لما فيه من حاجة المرضى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العقل في استنباط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باب الملازمات العقلية، أو إدراك العقل الحسن والقبح العقليين، أو إدراكه المصالح والمفاسد العامّة، فللعقل في هذا المقام دور واضح في استنباط الأحكام الشرعية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الحضارة الصناعية كما أثرت في مظاهر الحياة، أوجدت مسائل جديدة في غير واحد من مختلف أبواب الفقه التي لم يكن لها جذور في مختلف العصور السابقة، ولذلك فتحت أمام الفقهاء باباً واسعاً تضمّن مسائل مستحدثة، وقد قام فقهاؤنا بتحليلها ودراستها في إطار أُصول عامّة، وقد صدرت رسائل وكتب في هذا المجال، شكر اللّه مساعيهم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جدّ واجتهد في هذا المضمار، بل تقدّم على سائر الأقران وفاز بالقدح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المحقّق الشيخ مرتضى الترابي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لمرضاته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أهدى إلى المكتبة الإسلامية كتاباً فقهياً حديثاً في موضوعه، بقلم رائع، وبيان ساطع، يعرب عن توقّد ذهنه وعلوّ شأنه في هذا المضمار، وهانحن نثمن جهوده في سدّ الفراغ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حسن الحظ أنّ هذه الرسائل حول مختلف المسائل قد أُلقيت في مجمع الفقه الإسلامي المنبثق من المؤتمر الإسلامي، ونالت استحسان الحاضرين في هذا الحفل وقد نشرت في مجلتهم 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الفقه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نقدّم فائق شكرنا لجامعة المصطفى التي تقوم بنشر هذه الرسائل، شاكرين للمؤلّف أيضاً جهده هذا، راجين أن يكون باكورة خير لسائر الموضوعات، وهو أهل لذلك، وجدير بتحقيق الأُمنية، شكر اللّه مساعيه، ورزقه اللّه 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المشرفة</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1432</w:t>
      </w:r>
      <w:bookmarkStart w:id="841" w:name="pg16772_194766"/>
    </w:p>
    <w:p>
      <w:pPr>
        <w:pStyle w:val="Heading2"/>
        <w:numPr>
          <w:ilvl w:val="1"/>
          <w:numId w:val="1"/>
        </w:numPr>
        <w:rPr/>
      </w:pPr>
      <w:bookmarkStart w:id="842" w:name="__RefHeading___Toc6964005_73709187"/>
      <w:bookmarkStart w:id="843" w:name="_Toc321"/>
      <w:bookmarkEnd w:id="841"/>
      <w:bookmarkEnd w:id="842"/>
      <w:r>
        <w:rPr>
          <w:rtl w:val="true"/>
        </w:rPr>
        <w:t>فهرس المحتويات</w:t>
      </w:r>
      <w:bookmarkEnd w:id="843"/>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المقالات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الحدوث والقدم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أصحاب الشرائع على حدوث العالم زماناً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الخاطئ لما نقل عن أفلاطون وأرسطو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أقسام الحدوث والقدم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الحدوث الزماني للعالم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تقييم النظرية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ما هي المصلحة في إمساك الفيض‌؟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الحدوث الذاتي للعالم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المحقّق الداماد ونقد الحدوث الذاتي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المحقّق الداماد والحدوث الزماني </w:t>
      </w:r>
      <w:r>
        <w:rPr>
          <w:rFonts w:eastAsia="Amiri" w:cs="Amiri" w:ascii="Amiri" w:hAnsi="Amiri"/>
          <w:color w:val="111111"/>
          <w:sz w:val="28"/>
          <w:szCs w:val="28"/>
          <w:lang w:bidi="ar-SA"/>
        </w:rPr>
        <w:t>22</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نظريتنا في الاعتراض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الشيخ الرئيس وحدوث العالم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الحدوث الدهري للعالم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في شرح المقولات الثلاثة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مقولة الزمان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مقولة الدهر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مقولة السرمد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صدر المتألّهين والحركة الجوهرية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حدوث المادة والعلوم التجريبية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الاستنتاج الفلسفي من القانون الحراري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الحدوث الإسمي للعالم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نظريتنا في الحدوث الزماني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عوالم قبل هذا العالم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حدوث ما سوى اللّه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تطوّر العلوم سرّ بلوغ القمّة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معنى التطوّر في العلوم الشرعية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منهجية التطور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دور الزمان والمكان في الاستنباط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مسائل مستحدثة بحاجة إلى دراسة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توصيات عملية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مخاضات التأصيل </w:t>
      </w:r>
      <w:r>
        <w:rPr>
          <w:rFonts w:eastAsia="Amiri" w:cs="Amiri" w:ascii="Amiri" w:hAnsi="Amiri"/>
          <w:color w:val="111111"/>
          <w:sz w:val="28"/>
          <w:szCs w:val="28"/>
          <w:lang w:bidi="ar-SA"/>
        </w:rPr>
        <w:t>53</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بشرية علم الفقه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تبعية علم الفقه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دنيوية علم الفقه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الفقه يُعنى بالظواهر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المجتمع الفقهي ليس متقدّماً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الفقه علمٌ استهلاكي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الفقه علمٌ مختصر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علم الفقه متأثّر بالبنية الاجتماعية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لا شأن للفقه بالحقوق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الفقه والمصالح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حجّ رسول اللّه صلى الله عليه و آله و سلم في حديث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الصادقين عليهما السلام في الحج قلّل الاختلاف في المناسك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الإمام الباقر عليه السلام يصف حج رسول اللّه صلى الله عليه و آله و سلم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السيّد البروجردي يهدي هذا الحديث إلى الملك سعود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تغيير الجنس في الشريعة الإسلامية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في أقسام التغيير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الجنس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التغيير في الجنس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آلتان لكن تترجّح إحدى الآلتين على الأُخرى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آلتان ولم تترجّح إحدى الآلتين على الأُخرى </w:t>
      </w:r>
      <w:r>
        <w:rPr>
          <w:rFonts w:eastAsia="Amiri" w:cs="Amiri" w:ascii="Amiri" w:hAnsi="Amiri"/>
          <w:color w:val="111111"/>
          <w:sz w:val="28"/>
          <w:szCs w:val="28"/>
          <w:lang w:bidi="ar-SA"/>
        </w:rPr>
        <w:t>94</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نتيجة البحث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شدّ الرحال إلى زيارة قبر النبي صلى الله عليه و آله و سلم وآله عليهم السلام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وفيه مقامان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مفاد الحديث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استحباب زيارة قبر النبي صلى الله عليه و آله و سلم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المسلمين عبر القرون في السفر لزيارة قبر النبي صلى الله عليه و آله و سلم وآله عليهم السلام وغيرهم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 السيدة فاطمة الزهراء عليها السلام لزيارة قبر حمزة سيد الشهداء في أُحد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 عائشة إلى زيارة قبر أخيها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 بلال إلى المدينة لزيارة قبر النبي صلى الله عليه و آله و سلم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إبراد عمر بن عبدالعزيز بالسلام على رسول اللّه صلى الله عليه و آله و سلم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 كعب الأحبار إلى المدينة لزيارة قبر النبي صلى الله عليه و آله و سلم بدعوة من الخليفة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 أئمة الحديث لزيارة الإمام الرضا عليه السلام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إطباق المسلمين على جواز السفر لزيارة قبر النبي صلى الله عليه و آله و سلم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حصيلة الكلام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ميثم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مليئة بالعطاء والأحداث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مكانته العلمية وثناء العلماء عليه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عصر المؤلّف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أساتذته وشيوخه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تلامذته والراوون عنه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مصنّفاته وآثاره العلمية </w:t>
      </w:r>
      <w:r>
        <w:rPr>
          <w:rFonts w:eastAsia="Amiri" w:cs="Amiri" w:ascii="Amiri" w:hAnsi="Amiri"/>
          <w:color w:val="111111"/>
          <w:sz w:val="28"/>
          <w:szCs w:val="28"/>
          <w:lang w:bidi="ar-SA"/>
        </w:rPr>
        <w:t>115</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مدفنه وقبره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IRNazanin" w:hAnsi="IRNazanin" w:eastAsia="IRNazanin"/>
          <w:color w:val="111111"/>
          <w:sz w:val="28"/>
          <w:sz w:val="28"/>
          <w:szCs w:val="28"/>
          <w:rtl w:val="true"/>
          <w:lang w:bidi="fa-IR"/>
        </w:rPr>
        <w:t>مقالات وردود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إتقان الاستدلال بآية الابتلاء على عصمة الإمام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نقدية حول قاعدتي الاختبار واللطف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القاعدة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الاختبار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الاستدلال بنصوص ثلاثة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النص الأوّل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الكلام حول قاعدة الاختبار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النصّ الثاني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النصّ الثالث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اللطف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برهان وجوب اللطف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عصمة الأنبياء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الوعد والوعيد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نصب الإمام المعصوم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شبهات حول التقية والرد عليها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زيارة وحوار مع الشيخ صالح بن عبدالرحمن الحصين رئيس شؤون الحرمين الشريفين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الفروق بين التقية الشرعية والتقية البدعية والرد عليها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البداء حقيقة قرآنية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حقيقة البداء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الأثر البنّاء للبداء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ممّا يترتّب على القول بالبداء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رفع العذاب عن قوم نبي اللّه يونس عليه السلام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الإعراض عن ذبح إسماعيل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إكمال ميقات موسى عليه السلام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الرسول صلى الله عليه و آله و سلم‌؟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مقالات قرآنية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المجاز في القرآن الكريم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الغاية المتوخاة من المجاز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التأكيد على الحسن والصباحة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التأكيد على الشجاعة التامّة </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إثارة التعجّب </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رفع التعجّب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سؤال وإجابة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سؤال آخر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الكناية والتعريض في القرآن الكريم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أدلّة النافين لوجود المجاز في القرآن وشبهاتهم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عدول المتكلّم عن الحقيقة إلى المجاز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أخو الكذب </w:t>
      </w:r>
      <w:r>
        <w:rPr>
          <w:rFonts w:eastAsia="Amiri" w:cs="Amiri" w:ascii="Amiri" w:hAnsi="Amiri"/>
          <w:color w:val="111111"/>
          <w:sz w:val="28"/>
          <w:szCs w:val="28"/>
          <w:lang w:bidi="ar-SA"/>
        </w:rPr>
        <w:t>200</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يجوز نفيه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ابن القيّم في إنكار المجاز نقلاً عن لسان شيخه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بالمجاز ينفي الكثير من صفات الكمال والجمال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في مناهج القوم حول الصفات الخبرية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المثبتون للصفات بمعانيها الحرفية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المثبتون بلا كيف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التفويض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التأويل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بالظهور التصديقي دون التصوري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الشبهة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ابن تيمية حول المجاز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الشبهة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إلى المجاز يقتضي نسبة العجز إلى اللّه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الشبهة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خاطب اللّه بالمجاز لصحّ وصفه بالمتجوّز والمستعير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الشبهة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لا يفهم بدون قرينة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المجازات في الأحاديث النبوية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عود على بدء أو نقد رسالة الشيخ الشنقيطي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النزاع في اللفظ والتسمية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زلّة لا تستقال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نقضت غزلها أنكاثاً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الوحي لغة واصطلاحاً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الوحي في القرآن الكريم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تقدير الخلقة بالسنن والقوانين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الإدراك والغريزة </w:t>
      </w:r>
      <w:r>
        <w:rPr>
          <w:rFonts w:eastAsia="Amiri" w:cs="Amiri" w:ascii="Amiri" w:hAnsi="Amiri"/>
          <w:color w:val="111111"/>
          <w:sz w:val="28"/>
          <w:szCs w:val="28"/>
          <w:lang w:bidi="ar-SA"/>
        </w:rPr>
        <w:t>238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الإلهام والإلقاء في القلب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الإشارة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الإلقاءات الشيطانية </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اللّه المنزل على نبي من أنبيائه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قنوات المعرفة الثلاث </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الطريق الحسّي والتجربي </w:t>
      </w:r>
      <w:r>
        <w:rPr>
          <w:rFonts w:eastAsia="Amiri" w:cs="Amiri" w:ascii="Amiri" w:hAnsi="Amiri"/>
          <w:color w:val="111111"/>
          <w:sz w:val="28"/>
          <w:szCs w:val="28"/>
          <w:lang w:bidi="ar-SA"/>
        </w:rPr>
        <w:t>241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الطريق التعقّلي النظري </w:t>
      </w:r>
      <w:r>
        <w:rPr>
          <w:rFonts w:eastAsia="Amiri" w:cs="Amiri" w:ascii="Amiri" w:hAnsi="Amiri"/>
          <w:color w:val="111111"/>
          <w:sz w:val="28"/>
          <w:szCs w:val="28"/>
          <w:lang w:bidi="ar-SA"/>
        </w:rPr>
        <w:t>241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طريق الإلهام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أنواع الوحي وأقسامه </w:t>
      </w:r>
      <w:r>
        <w:rPr>
          <w:rFonts w:eastAsia="Amiri" w:cs="Amiri" w:ascii="Amiri" w:hAnsi="Amiri"/>
          <w:color w:val="111111"/>
          <w:sz w:val="28"/>
          <w:szCs w:val="28"/>
          <w:lang w:bidi="ar-SA"/>
        </w:rPr>
        <w:t>242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الوحي وليد النبوغ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الوحي ثمرة الأحوال الروحية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نبوة أو أضغاث أحلام‌؟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 القرآن في شهر رمضان و بعثته في رجب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هل كانت النبوة مقترنة بنزول الوحي والقرآن‌؟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سؤال وإجابة </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فرية انقطاع الوحي وفتوره وأُسطورة شق الصدر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فرية انقطاع الوحي وفتوره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شقّ الصدر أو القلب أو البطن، أُسطورة أُخرى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غار حراء، وذكريات النبي صلى الله عليه و آله و سلم فيه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روايتان حول نزول الوحي على النبي الأكرم صلى الله عليه و آله و سلم ومناقشتهما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تغطية جبرئيل النبي صلى الله عليه و آله و سلم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 النبي صلى الله عليه و آله و سلم في نبوته ورسالته </w:t>
      </w:r>
      <w:r>
        <w:rPr>
          <w:rFonts w:eastAsia="Amiri" w:cs="Amiri" w:ascii="Amiri" w:hAnsi="Amiri"/>
          <w:color w:val="111111"/>
          <w:sz w:val="28"/>
          <w:szCs w:val="28"/>
          <w:lang w:bidi="ar-SA"/>
        </w:rPr>
        <w:t>276</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نظرة تحليلية حول هذه النصوص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صيانة القرآن من التحريف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القرآن الكريم عند أهل البيت عليهم السلام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صيانة القرآن من التحريف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القرآن مقياس الحق والباطل، وفيه طوائف من الروايات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عرض الروايات المتعارضة على القرآن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بكمال القرآن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شتّان بينهما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أقوال العلماء السنّة في مسألة القول بالتحريف عند الشيعة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الدهلوي الكيرانوي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الدكتورة عائشة يوسف المناعي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علي القصيمي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عبدالملك بن عبدالرحمن الشافعي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رسالتان لعبدالملك الشافعي ينتقد فيهما الشيعة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مناقشة الرسالة الأُولى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الفصام النكد، دراسة لحقيقة الأزمة بين علماء الشيعة والقرآن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مناقشة الفصل الأوّل الذي يدور حول مناقب الصحابة وجمعهم للقرآن الكريم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مناقشة قوله بأنّ الصحابة جمعوا القرآن بعد وفاة النبي صلى الله عليه و آله و سلم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ما يدلّ على جمع القرآن في عصر النبي صلى الله عليه و آله و سلم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313</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النبوية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ختم القرآن في العهد النبوي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قراءة القرآن في المصحف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دليل قوي على جمع القرآن في العهد النبوي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العقل الحصيف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النتائج السلبية لرواية جمع القرآن بعد وفاة النبي صلى الله عليه و آله و سلم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فرية بعد مرية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مناقشة الفصل الثاني الذي يدور حول مصحف علي عليه السلام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واقع مصحف عليّ عليه السلام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الفصل الثالث وفيه مظاهر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مناقشة المظهر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الشيعة تكفير القائل بتحريف القرآن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عائشة وتحريف القرآن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عمر بن الخطاب والقول بنقص القرآن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الشيخ والشيخة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الرغبة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الجهاد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الفراش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أُبيّ بن كعب والقول بنقص سورة الأحزاب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تبرير القول بالتحريف بالقول بنسخ التلاوة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مناقشة المظهر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الشيعة وثناؤهم على القائل بتحريف القرآن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وشهد شاهد من أهلها </w:t>
      </w:r>
      <w:r>
        <w:rPr>
          <w:rFonts w:eastAsia="IRNazanin" w:cs="IRNazanin"/>
          <w:color w:val="111111"/>
          <w:sz w:val="28"/>
          <w:szCs w:val="28"/>
          <w:lang w:bidi="fa-IR"/>
        </w:rPr>
        <w:t>344</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مناقشة المظهر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الإعراض عن دراسة القرآن في الحوزات الشيعية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مناقشة الرسالة الثانية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الروايات الشيعية النافية لتحريف القرآن دراسة وتحليل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زعم عبدالملك الشافعي أنّ الشيعة تستدلّ بروايتين إحداهما ضعيفة السند والأُخرى صدرت تقية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مناقشة الكاتب للرواية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مناقشة الكاتب للمضمون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مناقشة المؤلّف للسند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الآن حصص الحق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الإعجاز البياني للقرآن الكريم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تعريف الفصاحة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تعريف البلاغة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تقدّم الشيعة في علم البيان والمعاني والبديع </w:t>
      </w:r>
      <w:r>
        <w:rPr>
          <w:rFonts w:eastAsia="Amiri" w:cs="Amiri" w:ascii="Amiri" w:hAnsi="Amiri"/>
          <w:color w:val="111111"/>
          <w:sz w:val="28"/>
          <w:szCs w:val="28"/>
          <w:lang w:bidi="ar-SA"/>
        </w:rPr>
        <w:t>369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سورة القيامة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الآية الأُولى والثانية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نظرية الماديّين والإلهيّين حول الروح </w:t>
      </w:r>
      <w:r>
        <w:rPr>
          <w:rFonts w:eastAsia="Amiri" w:cs="Amiri" w:ascii="Amiri" w:hAnsi="Amiri"/>
          <w:color w:val="111111"/>
          <w:sz w:val="28"/>
          <w:szCs w:val="28"/>
          <w:lang w:bidi="ar-SA"/>
        </w:rPr>
        <w:t>385</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مراتب النفس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النفس الملهمة </w:t>
      </w:r>
      <w:r>
        <w:rPr>
          <w:rFonts w:eastAsia="Amiri" w:cs="Amiri" w:ascii="Amiri" w:hAnsi="Amiri"/>
          <w:color w:val="111111"/>
          <w:sz w:val="28"/>
          <w:szCs w:val="28"/>
          <w:lang w:bidi="ar-SA"/>
        </w:rPr>
        <w:t>387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النفس الأمّارة </w:t>
      </w:r>
      <w:r>
        <w:rPr>
          <w:rFonts w:eastAsia="Amiri" w:cs="Amiri" w:ascii="Amiri" w:hAnsi="Amiri"/>
          <w:color w:val="111111"/>
          <w:sz w:val="28"/>
          <w:szCs w:val="28"/>
          <w:lang w:bidi="ar-SA"/>
        </w:rPr>
        <w:t>388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النفس اللوامة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ما هي الصلة بين المقسم به وجواب القسم‌؟ </w:t>
      </w:r>
      <w:r>
        <w:rPr>
          <w:rFonts w:eastAsia="Amiri" w:cs="Amiri" w:ascii="Amiri" w:hAnsi="Amiri"/>
          <w:color w:val="111111"/>
          <w:sz w:val="28"/>
          <w:szCs w:val="28"/>
          <w:lang w:bidi="ar-SA"/>
        </w:rPr>
        <w:t>393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النفس المطمئنّة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كلام حول مرضاة اللّه تعالى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الآيات الثالثة والرابعة والخامسة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الآية السادسة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الآيات السابعة إلى الثالثة عشرة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في الطرق الّتي ينبّأ بها الإنسان بما قدّم وأخّر </w:t>
      </w:r>
      <w:r>
        <w:rPr>
          <w:rFonts w:eastAsia="Amiri" w:cs="Amiri" w:ascii="Amiri" w:hAnsi="Amiri"/>
          <w:color w:val="111111"/>
          <w:sz w:val="28"/>
          <w:szCs w:val="28"/>
          <w:lang w:bidi="ar-SA"/>
        </w:rPr>
        <w:t>406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الأعمال من الملائكة </w:t>
      </w:r>
      <w:r>
        <w:rPr>
          <w:rFonts w:eastAsia="Amiri" w:cs="Amiri" w:ascii="Amiri" w:hAnsi="Amiri"/>
          <w:color w:val="111111"/>
          <w:sz w:val="28"/>
          <w:szCs w:val="28"/>
          <w:lang w:bidi="ar-SA"/>
        </w:rPr>
        <w:t>406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الأعمال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الآيتان الرابعة عشرة والخامسة عشرة </w:t>
      </w:r>
      <w:r>
        <w:rPr>
          <w:rFonts w:eastAsia="Amiri" w:cs="Amiri" w:ascii="Amiri" w:hAnsi="Amiri"/>
          <w:color w:val="111111"/>
          <w:sz w:val="28"/>
          <w:szCs w:val="28"/>
          <w:lang w:bidi="ar-SA"/>
        </w:rPr>
        <w:t>409</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الآيات السادسة عشرة إلى التاسعة عشرة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الآيتان العشرون والحادية والعشرون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الآيات الثانية والعشرون إلى الخامسة والعشرين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بيان آخر لرفع الإبهام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الآيات السادسة والعشرون إلى الثلاثين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الروح حقيقة وراء البدن </w:t>
      </w:r>
      <w:r>
        <w:rPr>
          <w:rFonts w:eastAsia="Amiri" w:cs="Amiri" w:ascii="Amiri" w:hAnsi="Amiri"/>
          <w:color w:val="111111"/>
          <w:sz w:val="28"/>
          <w:szCs w:val="28"/>
          <w:lang w:bidi="ar-SA"/>
        </w:rPr>
        <w:t>429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التوفّي والإمساك والإرسال </w:t>
      </w:r>
      <w:r>
        <w:rPr>
          <w:rFonts w:eastAsia="Amiri" w:cs="Amiri" w:ascii="Amiri" w:hAnsi="Amiri"/>
          <w:color w:val="111111"/>
          <w:sz w:val="28"/>
          <w:szCs w:val="28"/>
          <w:lang w:bidi="ar-SA"/>
        </w:rPr>
        <w:t>430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حياة الشهداء </w:t>
      </w:r>
      <w:r>
        <w:rPr>
          <w:rFonts w:eastAsia="Amiri" w:cs="Amiri" w:ascii="Amiri" w:hAnsi="Amiri"/>
          <w:color w:val="111111"/>
          <w:sz w:val="28"/>
          <w:szCs w:val="28"/>
          <w:lang w:bidi="ar-SA"/>
        </w:rPr>
        <w:t>430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 آل فرعون على النار </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يأخذه ملك الموت </w:t>
      </w:r>
      <w:r>
        <w:rPr>
          <w:rFonts w:eastAsia="Amiri" w:cs="Amiri" w:ascii="Amiri" w:hAnsi="Amiri"/>
          <w:color w:val="111111"/>
          <w:sz w:val="28"/>
          <w:szCs w:val="28"/>
          <w:lang w:bidi="ar-SA"/>
        </w:rPr>
        <w:t>431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الأمر بإخراج الأنفس </w:t>
      </w:r>
      <w:r>
        <w:rPr>
          <w:rFonts w:eastAsia="IRNazanin" w:cs="IRNazanin"/>
          <w:color w:val="111111"/>
          <w:sz w:val="28"/>
          <w:szCs w:val="28"/>
          <w:lang w:bidi="fa-IR"/>
        </w:rPr>
        <w:t>433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بدخول الجنة حين الموت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إنشاء خلق آخر </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التركيز على إنجاء البدن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الآيات الحادية والثلاثون إلى الخامسة والثلاثين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الآيات السادسة والثلاثون إلى الأربعين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رسائل وتقاريظ</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والقبح العقليان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وقفة حول التحسين والتقبيح العقليين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سلبيات إنكار التحسين والتقبيح العقليين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وقفة أُخرى حول آية الوضوء </w:t>
      </w:r>
      <w:r>
        <w:rPr>
          <w:rFonts w:eastAsia="Amiri" w:cs="Amiri" w:ascii="Amiri" w:hAnsi="Amiri"/>
          <w:color w:val="111111"/>
          <w:sz w:val="28"/>
          <w:szCs w:val="28"/>
          <w:lang w:bidi="ar-SA"/>
        </w:rPr>
        <w:t>454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كلام الإمام علي عليه السلام في توحيده سبحانه </w:t>
      </w:r>
      <w:r>
        <w:rPr>
          <w:rFonts w:eastAsia="Amiri" w:cs="Amiri" w:ascii="Amiri" w:hAnsi="Amiri"/>
          <w:color w:val="111111"/>
          <w:sz w:val="28"/>
          <w:szCs w:val="28"/>
          <w:lang w:bidi="ar-SA"/>
        </w:rPr>
        <w:t>459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استنكار الاحتفال الّذي أُقيم في لندن </w:t>
      </w:r>
      <w:r>
        <w:rPr>
          <w:rFonts w:eastAsia="Amiri" w:cs="Amiri" w:ascii="Amiri" w:hAnsi="Amiri"/>
          <w:color w:val="111111"/>
          <w:sz w:val="28"/>
          <w:szCs w:val="28"/>
          <w:lang w:bidi="ar-SA"/>
        </w:rPr>
        <w:t>463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إلى طالبات الحوزة المهدوية في المدينة المنوّرة </w:t>
      </w:r>
      <w:r>
        <w:rPr>
          <w:rFonts w:eastAsia="Amiri" w:cs="Amiri" w:ascii="Amiri" w:hAnsi="Amiri"/>
          <w:color w:val="111111"/>
          <w:sz w:val="28"/>
          <w:szCs w:val="28"/>
          <w:lang w:bidi="ar-SA"/>
        </w:rPr>
        <w:t>465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دائرة معارف إسلامية </w:t>
      </w:r>
      <w:r>
        <w:rPr>
          <w:rFonts w:eastAsia="Amiri" w:cs="Amiri" w:ascii="Amiri" w:hAnsi="Amiri"/>
          <w:color w:val="111111"/>
          <w:sz w:val="28"/>
          <w:szCs w:val="28"/>
          <w:lang w:bidi="ar-SA"/>
        </w:rPr>
        <w:t>469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خصوصيات التشريع الإسلامي والمسائل المستحدثة </w:t>
      </w:r>
      <w:r>
        <w:rPr>
          <w:rFonts w:eastAsia="Amiri" w:cs="Amiri" w:ascii="Amiri" w:hAnsi="Amiri"/>
          <w:color w:val="111111"/>
          <w:sz w:val="28"/>
          <w:szCs w:val="28"/>
          <w:lang w:bidi="ar-SA"/>
        </w:rPr>
        <w:t>472</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lang w:bidi="ar-SA"/>
        </w:rPr>
        <w:t>475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والنهي عن المنكر،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للفاضل القوشجي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للسبزواري، قسم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مكتب تشيّع، السنة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مقال العلّامة 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 والتنبيهات، 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والتنبيهات، 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 من كتاب الشفاء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الطبعة الثانية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المنظومة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للسبزواري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المؤسف أنّه قدس سره لم يُشر إلى المسائل الفلسفية الّتي أُضيفت من قبل حكماء الإسلام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السبق والرماية،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المستقبلية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الصادرة عن المركز الإسلامي للدراسات المستقبلية، 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أنّ الرسول صلى الله عليه و آله و سلم دعا إلى التمسك بالثقلين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والعترة، ورويت عنه صلى الله عليه و آله و سلم في ذلك روايات عديدة، منها ما رواه الترمذي بإسناده عن محمد الباقر، 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رسول اللّه صلى الله عليه و آله و سلم في حجّته يوم عرفة وهو على ناقته القصواء يخطب، فسمعته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إنّي تركت فيكم ما إن أخذتم به لن 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وعترتي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الباب عن أبي ذرّ وأبي سعيد وزيد بن أرقم وحذيفة بن أُسَيد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تحقيق جميل صدقي العطار،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ومصابيح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وصحّحه على شرط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زيد 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وأهل بيتي، وإنّهما لن يتفرّقا حتى يردا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صحيح مسلم، ولكن في سنن أبي داود العبارة أكثر وضوحاً، وهي 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وحوّل رسول اللّه صلى الله عليه و آله و سلم يده إلى الشق الآخر، وصرف الفضل وجهه إلى الشقّ الآخر ينظر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 حجة النبي؛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شرح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8/172</w:t>
      </w:r>
      <w:r>
        <w:rPr>
          <w:rFonts w:ascii="IRNazanin" w:hAnsi="IRNazanin" w:eastAsia="IRNazanin"/>
          <w:b w:val="false"/>
          <w:b w:val="false"/>
          <w:bCs w:val="false"/>
          <w:i w:val="false"/>
          <w:i w:val="false"/>
          <w:iCs w:val="false"/>
          <w:color w:val="333333"/>
          <w:sz w:val="20"/>
          <w:sz w:val="20"/>
          <w:szCs w:val="20"/>
          <w:rtl w:val="true"/>
        </w:rPr>
        <w:t xml:space="preserve">، باب حجة النبي، برقم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باب إذا لبس الإنسان قميصاً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رواية الكتب والحديث، كتاب فضل العلم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الاثناعشرية، للآلوسي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للموفق المكي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جامع مسانيد أبي حنيفة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تذكرة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552/5</w:t>
      </w:r>
      <w:r>
        <w:rPr>
          <w:rFonts w:ascii="IRNazanin" w:hAnsi="IRNazanin" w:eastAsia="IRNazanin"/>
          <w:b w:val="false"/>
          <w:b w:val="false"/>
          <w:bCs w:val="false"/>
          <w:i w:val="false"/>
          <w:i w:val="false"/>
          <w:iCs w:val="false"/>
          <w:color w:val="333333"/>
          <w:sz w:val="20"/>
          <w:sz w:val="20"/>
          <w:szCs w:val="20"/>
          <w:rtl w:val="true"/>
        </w:rPr>
        <w:t>، باب السحق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وما يناسبه،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المحرم،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خنث</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العدد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مسلم هذه الأحاديث الثلاثة في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كتاب الحج، باب لا تشدّ الرحال، وذكره أبو داود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كتاب الحج، وكذلك النسائي في سننه المطبوع مع شرح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إحياء علوم الدين للغزالي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كتاب آداب السفر، طبعة دار المعرفة بيروت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وفي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موسى بن إسماعيل، عن عبدالعزيز بن</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صحيحه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مَنْ زار قبره صلى الله عليه و آله و سلم، وهذا الباب أسقطه المهذِّب من الكتاب في طبعه، واللّه يعلم سرّ تحريفه هذا وما أضمرته سريرته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الغدير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كتاب الجنائز</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باب ما جاء في الرخصة في زيارة القبور، الحديث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في زيارة خير الأنام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المنكي لابن قدامة المقدسي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الشام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الثقات لابن حبّان التميمي البستي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ترجمة علي الرضا عليه السلام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في زيارة خير الأنام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 مصر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ترجمة المؤلّف الّتي أخذنا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الآداب في معجم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3819</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رياض العلماء وحياة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روضات الجنّات في أحوال العلماء والسادات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6/486</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12343</w:t>
      </w:r>
      <w:r>
        <w:rPr>
          <w:rFonts w:ascii="IRNazanin" w:hAnsi="IRNazanin" w:eastAsia="IRNazanin"/>
          <w:b w:val="false"/>
          <w:b w:val="false"/>
          <w:bCs w:val="false"/>
          <w:i w:val="false"/>
          <w:i w:val="false"/>
          <w:iCs w:val="false"/>
          <w:color w:val="333333"/>
          <w:sz w:val="20"/>
          <w:sz w:val="20"/>
          <w:szCs w:val="20"/>
          <w:rtl w:val="true"/>
        </w:rPr>
        <w:t>؛ أنوار البدرين في تراجم علماء القطيف والإحساء والبحرين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10/197</w:t>
      </w:r>
      <w:r>
        <w:rPr>
          <w:rFonts w:ascii="IRNazanin" w:hAnsi="IRNazanin" w:eastAsia="IRNazanin"/>
          <w:b w:val="false"/>
          <w:b w:val="false"/>
          <w:bCs w:val="false"/>
          <w:i w:val="false"/>
          <w:i w:val="false"/>
          <w:iCs w:val="false"/>
          <w:color w:val="333333"/>
          <w:sz w:val="20"/>
          <w:sz w:val="20"/>
          <w:szCs w:val="20"/>
          <w:rtl w:val="true"/>
        </w:rPr>
        <w:t>؛ 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12915</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معجم طبقات المتكلّمين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رسائل ومقالات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6/460</w:t>
      </w:r>
      <w:r>
        <w:rPr>
          <w:rFonts w:ascii="IRNazanin" w:hAnsi="IRNazanin" w:eastAsia="IRNazanin"/>
          <w:b w:val="false"/>
          <w:b w:val="false"/>
          <w:bCs w:val="false"/>
          <w:i w:val="false"/>
          <w:i w:val="false"/>
          <w:iCs w:val="false"/>
          <w:color w:val="333333"/>
          <w:sz w:val="20"/>
          <w:sz w:val="20"/>
          <w:szCs w:val="20"/>
          <w:rtl w:val="true"/>
        </w:rPr>
        <w:t>؛ ومقدّمة كتبه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الكبير، شرح مائة كلمة لأمير المؤمنين، النجاة في القيامة، قواعد المرام في علم الكلام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وفنون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25/119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3/389</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برقم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في علم الكلام للسيد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في علم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السند الّذي ذكره الكليني لهذه الرواية ورد أبو عمر الأعجمي، وليس له في الكتب الأربعة رواية غيرها، وهو لم يوثّق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ذلك أنّ أبا هريرة اتّقى وترك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بثّ حديث الرسول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تقية وحفظاً لنفسه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التقية عند أهل البيت عليهم السلام لمصطفى قصير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للقرطبي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كَفَرَ بِاللّهِ مِنْ بَعْدِ إِيمانِهِ‌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التقية عند أهل البيت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التقية عند أهل البيت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التقية عند أهل البيت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لعبدالرزاق الصنعاني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المراغي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كتاب الأنبياء، باب حديث أبرص وأعمى وأقرع من بني إسرائيل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660/13</w:t>
      </w:r>
      <w:r>
        <w:rPr>
          <w:rFonts w:ascii="IRNazanin" w:hAnsi="IRNazanin" w:eastAsia="IRNazanin"/>
          <w:b w:val="false"/>
          <w:b w:val="false"/>
          <w:bCs w:val="false"/>
          <w:i w:val="false"/>
          <w:i w:val="false"/>
          <w:iCs w:val="false"/>
          <w:color w:val="333333"/>
          <w:sz w:val="20"/>
          <w:sz w:val="20"/>
          <w:szCs w:val="20"/>
          <w:rtl w:val="true"/>
        </w:rPr>
        <w:t xml:space="preserve">، طبعة دارالفكر، بيروت،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ولاحظ ما ذكر حول قصة يونس عليه السلام في 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الإمامية للصدوق المطبوع في ذيل الباب الحادي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وأوائل المقالات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ورسائل الشريف المرتضى، المسألة الرازية، المسألة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وعدة الأُصول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ونبراس الضياء للسيد المحقق الداماد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وأجوبة مسائل جار اللّه للسيد عبدالحسين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كتاب الأنبياء، باب حديث أبرص وأقرع وأعمى في بني إسرائيل، برقم </w:t>
      </w:r>
      <w:r>
        <w:rPr>
          <w:rFonts w:eastAsia="IRNazanin" w:cs="IRNazanin"/>
          <w:b w:val="false"/>
          <w:bCs w:val="false"/>
          <w:i w:val="false"/>
          <w:iCs w:val="false"/>
          <w:color w:val="333333"/>
          <w:sz w:val="20"/>
          <w:szCs w:val="20"/>
        </w:rPr>
        <w:t>3464</w:t>
      </w:r>
      <w:r>
        <w:rPr>
          <w:rFonts w:ascii="IRNazanin" w:hAnsi="IRNazanin" w:eastAsia="IRNazanin"/>
          <w:b w:val="false"/>
          <w:b w:val="false"/>
          <w:bCs w:val="false"/>
          <w:i w:val="false"/>
          <w:i w:val="false"/>
          <w:iCs w:val="false"/>
          <w:color w:val="333333"/>
          <w:sz w:val="20"/>
          <w:sz w:val="20"/>
          <w:szCs w:val="20"/>
          <w:rtl w:val="true"/>
        </w:rPr>
        <w:t xml:space="preserve">، طبعة دارالفكر، بيروت،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تخريج وتنسيق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صدقي جميل العطار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الكتب، 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وقاية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تلخيص البيان في مجازات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المجاز والكناية، هو أنّ القرينة في المجاز تمنع من إرادة المعنى الوضعي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لا تمنع منه، بشكل عام، في الكناية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جنح</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تخليص البيان في مجازات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في ظلال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البيان في مجازات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بعض العلماء اعتبر الكناية ضرباً من ضروب المجاز، ولذا أنكر وقوعها في القرآن منكروالمجاز فيه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وسيوافيك تفصيله عند الردّ على رسالة المنع للشنقيطي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جواز المجاز في المنزل للتعبد والإعجاز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المطبوع في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أضواء البيان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رسالة الشنقيطي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جواز المجاز في المنزل للتعبد والإعجاز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الإيمان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القاسمي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الذادة جمع ذائد وهو الحامي الدافع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حمس الحرب أي اشتدت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حمس</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المجالدة والمضاربة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أضواء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أضواء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أضواء البيان في إيضاح القرآن بالقرآن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أضواء البيان في إيضاح القرآن بالقرآن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أضواء البيان في إيضاح القرآن بالقرآن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الوحي المحمدي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كلام الإمام أميرالمؤمنين عليه السلام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طبعة محمد عبده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189/18</w:t>
      </w:r>
      <w:r>
        <w:rPr>
          <w:rFonts w:ascii="IRNazanin" w:hAnsi="IRNazanin" w:eastAsia="IRNazanin"/>
          <w:b w:val="false"/>
          <w:b w:val="false"/>
          <w:bCs w:val="false"/>
          <w:i w:val="false"/>
          <w:i w:val="false"/>
          <w:iCs w:val="false"/>
          <w:color w:val="333333"/>
          <w:sz w:val="20"/>
          <w:sz w:val="20"/>
          <w:szCs w:val="20"/>
          <w:rtl w:val="true"/>
        </w:rPr>
        <w:t>، نقلاً عن الكافي وأمالي الشيخ الطوسي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189/18</w:t>
      </w:r>
      <w:r>
        <w:rPr>
          <w:rFonts w:ascii="IRNazanin" w:hAnsi="IRNazanin" w:eastAsia="IRNazanin"/>
          <w:b w:val="false"/>
          <w:b w:val="false"/>
          <w:bCs w:val="false"/>
          <w:i w:val="false"/>
          <w:i w:val="false"/>
          <w:iCs w:val="false"/>
          <w:color w:val="333333"/>
          <w:sz w:val="20"/>
          <w:sz w:val="20"/>
          <w:szCs w:val="20"/>
          <w:rtl w:val="true"/>
        </w:rPr>
        <w:t>، نقلاً عن الكافي وأمالي الشيخ الطوسي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189/18</w:t>
      </w:r>
      <w:r>
        <w:rPr>
          <w:rFonts w:ascii="IRNazanin" w:hAnsi="IRNazanin" w:eastAsia="IRNazanin"/>
          <w:b w:val="false"/>
          <w:b w:val="false"/>
          <w:bCs w:val="false"/>
          <w:i w:val="false"/>
          <w:i w:val="false"/>
          <w:iCs w:val="false"/>
          <w:color w:val="333333"/>
          <w:sz w:val="20"/>
          <w:sz w:val="20"/>
          <w:szCs w:val="20"/>
          <w:rtl w:val="true"/>
        </w:rPr>
        <w:t>، نقلاً عن الكافي وأمالي الشيخ الطوسي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بيت أبيك</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النبي الأعظم صلى الله عليه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أبوجعفر الصدوق، وقد قال في 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القرآن في شهر رمضان في ليلة القدر جملة واحدة إلى البيت المعمور، ثم أنزل إلى النبي في مدة عشرين سنة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تفسير 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يحيى بن عيسى ضعّف الضحّاك بن مزاحم و كان يروي عن ابن عباس وأنكر لقاءه له حتى قيل إنّه ما رآه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قتادة فقد ذكروا أنّه مدلّس</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القرآن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يدخلان يديهما في بطنه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متغيراً، صار لونه كلون النقع أو الغبار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المعروفة بالخطبة القاصعة، الفقرة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محمد صلى الله عليه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الرحيق المختوم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وللحديث تتمة نأتي بها عن قريب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 القرآن في شهر رمضان وبعثته في رجب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يلبث</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باب كيف كان بدء الوحي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 xml:space="preserve">، كتاب فضل القرآن،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w:t>
      </w:r>
      <w:r>
        <w:rPr>
          <w:rFonts w:ascii="IRNazanin" w:hAnsi="IRNazanin" w:eastAsia="IRNazanin"/>
          <w:b w:val="false"/>
          <w:b w:val="false"/>
          <w:bCs w:val="false"/>
          <w:i w:val="false"/>
          <w:i w:val="false"/>
          <w:iCs w:val="false"/>
          <w:color w:val="333333"/>
          <w:sz w:val="20"/>
          <w:sz w:val="20"/>
          <w:szCs w:val="20"/>
          <w:rtl w:val="true"/>
        </w:rPr>
        <w:t xml:space="preserve">، كتاب فضل القرآن،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كتاب فضل القرآن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الطبرسي في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قسم الفن الخامس، طبعة صيدا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عدّ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أخبار التحريف من المطاعن على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يدلّ على أن الشيعة لم يقولوا بالتحريف، وإلّا لم يكن ابن شاذان ليشنّع على أهل السنة بذلك، وهو يرى مجالاً للنقض عليه بأخبار التحريف عند أهل مذهبه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 في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مسندأحمد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5/182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7/123</w:t>
      </w:r>
      <w:r>
        <w:rPr>
          <w:rFonts w:ascii="IRNazanin" w:hAnsi="IRNazanin" w:eastAsia="IRNazanin"/>
          <w:b w:val="false"/>
          <w:b w:val="false"/>
          <w:bCs w:val="false"/>
          <w:i w:val="false"/>
          <w:i w:val="false"/>
          <w:iCs w:val="false"/>
          <w:color w:val="333333"/>
          <w:sz w:val="20"/>
          <w:sz w:val="20"/>
          <w:szCs w:val="20"/>
          <w:rtl w:val="true"/>
        </w:rPr>
        <w:t>، فضائل علي؛ وسنن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الإمامية من كتاب اللّه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عَسيب وهو جريد النخل، كانوا يكشطون الخوص ويكتبون في الطرف العريض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اللخاف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بكسر اللام وبخاء معجمة خفيفة آخره 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لخفة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اللام وسكون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الحجارة الدقاق، وقال الخطابي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صفائح الحجارة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رقعة وقد تكون من جلد أو رقّ أو كاغذ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كتف، وهو العظم الّذي للبعير أو الشاة، كانوا إذا جفّ كتبوا عليه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4679</w:t>
      </w:r>
      <w:r>
        <w:rPr>
          <w:rFonts w:ascii="IRNazanin" w:hAnsi="IRNazanin" w:eastAsia="IRNazanin"/>
          <w:b w:val="false"/>
          <w:b w:val="false"/>
          <w:bCs w:val="false"/>
          <w:i w:val="false"/>
          <w:i w:val="false"/>
          <w:iCs w:val="false"/>
          <w:color w:val="333333"/>
          <w:sz w:val="20"/>
          <w:sz w:val="20"/>
          <w:szCs w:val="20"/>
          <w:rtl w:val="true"/>
        </w:rPr>
        <w:t>، كتاب تفسير القرآن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المغازي برقم </w:t>
      </w:r>
      <w:r>
        <w:rPr>
          <w:rFonts w:eastAsia="IRNazanin" w:cs="IRNazanin"/>
          <w:b w:val="false"/>
          <w:bCs w:val="false"/>
          <w:i w:val="false"/>
          <w:iCs w:val="false"/>
          <w:color w:val="333333"/>
          <w:sz w:val="20"/>
          <w:szCs w:val="20"/>
        </w:rPr>
        <w:t>4048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4593</w:t>
      </w:r>
      <w:r>
        <w:rPr>
          <w:rFonts w:ascii="IRNazanin" w:hAnsi="IRNazanin" w:eastAsia="IRNazanin"/>
          <w:b w:val="false"/>
          <w:b w:val="false"/>
          <w:bCs w:val="false"/>
          <w:i w:val="false"/>
          <w:i w:val="false"/>
          <w:iCs w:val="false"/>
          <w:color w:val="333333"/>
          <w:sz w:val="20"/>
          <w:sz w:val="20"/>
          <w:szCs w:val="20"/>
          <w:rtl w:val="true"/>
        </w:rPr>
        <w:t>، كتاب التفسير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كتاب تفسير القرآن،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3097</w:t>
      </w:r>
      <w:r>
        <w:rPr>
          <w:rFonts w:ascii="IRNazanin" w:hAnsi="IRNazanin" w:eastAsia="IRNazanin"/>
          <w:b w:val="false"/>
          <w:b w:val="false"/>
          <w:bCs w:val="false"/>
          <w:i w:val="false"/>
          <w:i w:val="false"/>
          <w:iCs w:val="false"/>
          <w:color w:val="333333"/>
          <w:sz w:val="20"/>
          <w:sz w:val="20"/>
          <w:szCs w:val="20"/>
          <w:rtl w:val="true"/>
        </w:rPr>
        <w:t>، تحقيق صدقي العطار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3810</w:t>
      </w:r>
      <w:r>
        <w:rPr>
          <w:rFonts w:ascii="IRNazanin" w:hAnsi="IRNazanin" w:eastAsia="IRNazanin"/>
          <w:b w:val="false"/>
          <w:b w:val="false"/>
          <w:bCs w:val="false"/>
          <w:i w:val="false"/>
          <w:i w:val="false"/>
          <w:iCs w:val="false"/>
          <w:color w:val="333333"/>
          <w:sz w:val="20"/>
          <w:sz w:val="20"/>
          <w:szCs w:val="20"/>
          <w:rtl w:val="true"/>
        </w:rPr>
        <w:t>، كتاب مناقب الأنصار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5052</w:t>
      </w:r>
      <w:r>
        <w:rPr>
          <w:rFonts w:ascii="IRNazanin" w:hAnsi="IRNazanin" w:eastAsia="IRNazanin"/>
          <w:b w:val="false"/>
          <w:b w:val="false"/>
          <w:bCs w:val="false"/>
          <w:i w:val="false"/>
          <w:i w:val="false"/>
          <w:iCs w:val="false"/>
          <w:color w:val="333333"/>
          <w:sz w:val="20"/>
          <w:sz w:val="20"/>
          <w:szCs w:val="20"/>
          <w:rtl w:val="true"/>
        </w:rPr>
        <w:t>، كتاب فضائل القرآن، باب في كم يقرأ القرآن‌؟</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في شعب الإيمان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القرآن للرافعي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القرآن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المصاحف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مسائل موسى جار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تحقيق عبدالسلام محمد هارون، طبعة 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المقالة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الثالث</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التسهيل لعلوم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طبعة دار الكتب العلمية، بيروت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كتاب الإيمان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ولاحظ ما أورد الزيعلي في هامش صحيح مسلم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باب رجم الحبلى‌؛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12/127</w:t>
      </w:r>
      <w:r>
        <w:rPr>
          <w:rFonts w:ascii="IRNazanin" w:hAnsi="IRNazanin" w:eastAsia="IRNazanin"/>
          <w:b w:val="false"/>
          <w:b w:val="false"/>
          <w:bCs w:val="false"/>
          <w:i w:val="false"/>
          <w:i w:val="false"/>
          <w:iCs w:val="false"/>
          <w:color w:val="333333"/>
          <w:sz w:val="20"/>
          <w:sz w:val="20"/>
          <w:szCs w:val="20"/>
          <w:rtl w:val="true"/>
        </w:rPr>
        <w:t>؛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w:t>
      </w:r>
      <w:r>
        <w:rPr>
          <w:rFonts w:ascii="IRNazanin" w:hAnsi="IRNazanin" w:eastAsia="IRNazanin"/>
          <w:b w:val="false"/>
          <w:b w:val="false"/>
          <w:bCs w:val="false"/>
          <w:i w:val="false"/>
          <w:i w:val="false"/>
          <w:iCs w:val="false"/>
          <w:color w:val="333333"/>
          <w:sz w:val="20"/>
          <w:sz w:val="20"/>
          <w:szCs w:val="20"/>
          <w:rtl w:val="true"/>
        </w:rPr>
        <w:t xml:space="preserve">، كتاب الحدود،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النوع الثامن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جمع القرآن وترتيبه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المحاربين من أهل الكفر والردّة،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6830</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يقرب من مائتين وثمانين آية، وهذا يعني أنّها أربعة أضعاف الموجود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الإتقان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الفصام النكد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الشيعة والسنة دراسة مقارنة في التفسير وأُصوله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الشهير بتفسير المنار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نص اللّه عزوجل ورسوله على الأئمة عليهم السلام واحداً فواحداً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الشيعية النافية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الشيعية النافية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الشيعية النافية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متضافر، يغني عن ذكر السند له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 للسكاكي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قسم البيان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التصوير الفنّي في القرآن الكريم لسيد قطب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فصل سحر القرآن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يطلق النظم في كلماتهم ويراد منه الأُسلوب والسبك الّذي هو الأمر الرابع</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بحوث في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الفصل الثاني عشر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مجلة 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فقد بسط الكلام في المقام، وما ذكرناه مقتبس منه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يَوْمَ الْفَتْحِ لا يَنْفَعُ الَّذِينَ كَفَرُوا إِيمانُهُمْ وَ لا هُمْ يُنْظَرُونَ‌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الفتح هو الحكم بالثواب والعقاب يوم القيامة، وكان المشركون يسمعون المسلمين يستفتحون باللّه عليهم، فقالوا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هذا الفتح، أي متى هذا الحكم فينا؟ فأُجيبوا بما في الآية، ويؤيده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يَجْمَعُ بَيْنَنا رَبُّنا ثُمَّ يَفْتَحُ بَيْنَنا بِالْحَقِّ وَ هُوَ الْفَتّاحُ الْعَلِيمُ‌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الشفاء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قسم الطبيعيات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لإبن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منظومة الحكيم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ضمن المصنفات الأربعة للشيخ زين الدين بن علي العاملي الشهيد الثاني رحمه الله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229/12</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13956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798/10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4929</w:t>
      </w:r>
      <w:r>
        <w:rPr>
          <w:rFonts w:ascii="IRNazanin" w:hAnsi="IRNazanin" w:eastAsia="IRNazanin"/>
          <w:b w:val="false"/>
          <w:b w:val="false"/>
          <w:bCs w:val="false"/>
          <w:i w:val="false"/>
          <w:i w:val="false"/>
          <w:iCs w:val="false"/>
          <w:color w:val="333333"/>
          <w:sz w:val="20"/>
          <w:sz w:val="20"/>
          <w:szCs w:val="20"/>
          <w:rtl w:val="true"/>
        </w:rPr>
        <w:t xml:space="preserve">، كتاب تفسير القرآن،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قرأناه فاتبع قرآنه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10/197</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6/289</w:t>
      </w:r>
      <w:r>
        <w:rPr>
          <w:rFonts w:ascii="IRNazanin" w:hAnsi="IRNazanin" w:eastAsia="IRNazanin"/>
          <w:b w:val="false"/>
          <w:b w:val="false"/>
          <w:bCs w:val="false"/>
          <w:i w:val="false"/>
          <w:i w:val="false"/>
          <w:iCs w:val="false"/>
          <w:color w:val="333333"/>
          <w:sz w:val="20"/>
          <w:sz w:val="20"/>
          <w:szCs w:val="20"/>
          <w:rtl w:val="true"/>
        </w:rPr>
        <w:t>، تفسير سورة القيامة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606/10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الإجمال في الطلب، كتاب المعيشة؛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9316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رحمه الله في النجف الأشرف من تلاميذ المحقّق الخراساني، وشيخ الشريعة الاصفهاني ولمّا أكمل دروسه، غادر النجف راجعاً إلى موطنه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أوائل الثورة الشيوعية، اعتقل ككثير من العلماء ولمّا أُطلق سراحه، التجأ إلى إيران، وقطن مدينة تبريز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 بأعباء الإمامة والدراسة والتبليغ إلى أن وافاه الأجل مغفوراً له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image" Target="media/image2.jpeg"/><Relationship Id="rId483" Type="http://schemas.openxmlformats.org/officeDocument/2006/relationships/image" Target="media/image2.jpeg"/><Relationship Id="rId484" Type="http://schemas.openxmlformats.org/officeDocument/2006/relationships/footer" Target="footer477.xml"/><Relationship Id="rId485" Type="http://schemas.openxmlformats.org/officeDocument/2006/relationships/footnotes" Target="footnotes.xml"/><Relationship Id="rId486" Type="http://schemas.openxmlformats.org/officeDocument/2006/relationships/numbering" Target="numbering.xml"/><Relationship Id="rId487" Type="http://schemas.openxmlformats.org/officeDocument/2006/relationships/fontTable" Target="fontTable.xml"/><Relationship Id="rId488" Type="http://schemas.openxmlformats.org/officeDocument/2006/relationships/settings" Target="settings.xml"/><Relationship Id="rId4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488</Pages>
  <Words>64942</Words>
  <Characters>286645</Characters>
  <CharactersWithSpaces>348236</CharactersWithSpaces>
  <Paragraphs>3292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2026-08-22T04:21:00Z</dcterms:created>
  <dc:creator>ghaemiyeh.com</dc:creator>
  <dc:description/>
  <dc:language>en-US</dc:language>
  <cp:lastModifiedBy/>
  <dcterms:modified xsi:type="dcterms:W3CDTF">2026-08-22T07:51:15Z</dcterms:modified>
  <cp:revision>1</cp:revision>
  <dc:subject/>
  <dc:title>رسائل و مقالات تبحث فی مواضیع فقهیه اصولیه کلامیه تراجم و مکاتبات و حورات مع بعض الاعلام جلد 8</dc:title>
</cp:coreProperties>
</file>

<file path=docProps/custom.xml><?xml version="1.0" encoding="utf-8"?>
<Properties xmlns="http://schemas.openxmlformats.org/officeDocument/2006/custom-properties" xmlns:vt="http://schemas.openxmlformats.org/officeDocument/2006/docPropsVTypes"/>
</file>