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أهل البیت علیهم السلام بین السنة و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3678_23700411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63680_23700411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63682_237004111">
            <w:r>
              <w:rPr>
                <w:webHidden/>
                <w:rStyle w:val="IndexLink"/>
                <w:rtl w:val="true"/>
              </w:rPr>
              <w:t>فقه أهل البيت عليهم السلام بين السنّة والشيعة</w:t>
            </w:r>
            <w:r>
              <w:rPr>
                <w:rStyle w:val="IndexLink"/>
                <w:rtl w:val="true"/>
              </w:rPr>
              <w:tab/>
            </w:r>
            <w:r>
              <w:rPr>
                <w:rStyle w:val="IndexLink"/>
              </w:rPr>
              <w:t>9</w:t>
            </w:r>
          </w:hyperlink>
        </w:p>
        <w:p>
          <w:pPr>
            <w:pStyle w:val="Contents2"/>
            <w:tabs>
              <w:tab w:val="clear" w:pos="8743"/>
              <w:tab w:val="right" w:pos="9026" w:leader="dot"/>
            </w:tabs>
            <w:rPr/>
          </w:pPr>
          <w:hyperlink w:anchor="__RefHeading___Toc1663684_237004111">
            <w:r>
              <w:rPr>
                <w:webHidden/>
                <w:rStyle w:val="IndexLink"/>
                <w:rtl w:val="true"/>
              </w:rPr>
              <w:t>الفصل الأوّل</w:t>
            </w:r>
            <w:r>
              <w:rPr>
                <w:rStyle w:val="IndexLink"/>
                <w:rtl w:val="true"/>
              </w:rPr>
              <w:t xml:space="preserve">: </w:t>
            </w:r>
            <w:r>
              <w:rPr>
                <w:rStyle w:val="IndexLink"/>
                <w:rtl w:val="true"/>
              </w:rPr>
              <w:t>التعرّف على أهل البيت وفقههم</w:t>
            </w:r>
            <w:r>
              <w:rPr>
                <w:rStyle w:val="IndexLink"/>
                <w:rtl w:val="true"/>
              </w:rPr>
              <w:tab/>
            </w:r>
            <w:r>
              <w:rPr>
                <w:rStyle w:val="IndexLink"/>
              </w:rPr>
              <w:t>11</w:t>
            </w:r>
          </w:hyperlink>
        </w:p>
        <w:p>
          <w:pPr>
            <w:pStyle w:val="Contents3"/>
            <w:tabs>
              <w:tab w:val="clear" w:pos="8459"/>
              <w:tab w:val="right" w:pos="9026" w:leader="dot"/>
            </w:tabs>
            <w:rPr/>
          </w:pPr>
          <w:hyperlink w:anchor="__RefHeading___Toc1663686_237004111">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663688_237004111">
            <w:r>
              <w:rPr>
                <w:webHidden/>
                <w:rStyle w:val="IndexLink"/>
                <w:rtl w:val="true"/>
              </w:rPr>
              <w:t>المحور الأوّل</w:t>
            </w:r>
            <w:r>
              <w:rPr>
                <w:rStyle w:val="IndexLink"/>
                <w:rtl w:val="true"/>
              </w:rPr>
              <w:t xml:space="preserve">: </w:t>
            </w:r>
            <w:r>
              <w:rPr>
                <w:rStyle w:val="IndexLink"/>
                <w:rtl w:val="true"/>
              </w:rPr>
              <w:t>مَن هم أهل البيت؟</w:t>
            </w:r>
            <w:r>
              <w:rPr>
                <w:rStyle w:val="IndexLink"/>
                <w:rtl w:val="true"/>
              </w:rPr>
              <w:tab/>
            </w:r>
            <w:r>
              <w:rPr>
                <w:rStyle w:val="IndexLink"/>
              </w:rPr>
              <w:t>12</w:t>
            </w:r>
          </w:hyperlink>
        </w:p>
        <w:p>
          <w:pPr>
            <w:pStyle w:val="Contents4"/>
            <w:tabs>
              <w:tab w:val="clear" w:pos="8176"/>
              <w:tab w:val="right" w:pos="9026" w:leader="dot"/>
            </w:tabs>
            <w:rPr/>
          </w:pPr>
          <w:hyperlink w:anchor="__RefHeading___Toc1663690_237004111">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663692_237004111">
            <w:r>
              <w:rPr>
                <w:webHidden/>
                <w:rStyle w:val="IndexLink"/>
                <w:rtl w:val="true"/>
              </w:rPr>
              <w:t>الأُولى</w:t>
            </w:r>
            <w:r>
              <w:rPr>
                <w:rStyle w:val="IndexLink"/>
                <w:rtl w:val="true"/>
              </w:rPr>
              <w:t xml:space="preserve">: </w:t>
            </w:r>
            <w:r>
              <w:rPr>
                <w:rStyle w:val="IndexLink"/>
                <w:rtl w:val="true"/>
              </w:rPr>
              <w:t>إفراد البيت في مقابل البيوت</w:t>
            </w:r>
            <w:r>
              <w:rPr>
                <w:rStyle w:val="IndexLink"/>
                <w:rtl w:val="true"/>
              </w:rPr>
              <w:tab/>
            </w:r>
            <w:r>
              <w:rPr>
                <w:rStyle w:val="IndexLink"/>
              </w:rPr>
              <w:t>13</w:t>
            </w:r>
          </w:hyperlink>
        </w:p>
        <w:p>
          <w:pPr>
            <w:pStyle w:val="Contents4"/>
            <w:tabs>
              <w:tab w:val="clear" w:pos="8176"/>
              <w:tab w:val="right" w:pos="9026" w:leader="dot"/>
            </w:tabs>
            <w:rPr/>
          </w:pPr>
          <w:hyperlink w:anchor="__RefHeading___Toc1663694_237004111">
            <w:r>
              <w:rPr>
                <w:webHidden/>
                <w:rStyle w:val="IndexLink"/>
                <w:rtl w:val="true"/>
              </w:rPr>
              <w:t>الثانية</w:t>
            </w:r>
            <w:r>
              <w:rPr>
                <w:rStyle w:val="IndexLink"/>
                <w:rtl w:val="true"/>
              </w:rPr>
              <w:t xml:space="preserve">: </w:t>
            </w:r>
            <w:r>
              <w:rPr>
                <w:rStyle w:val="IndexLink"/>
                <w:rtl w:val="true"/>
              </w:rPr>
              <w:t>اللام في أهل البيت للعهد</w:t>
            </w:r>
            <w:r>
              <w:rPr>
                <w:rStyle w:val="IndexLink"/>
                <w:rtl w:val="true"/>
              </w:rPr>
              <w:tab/>
            </w:r>
            <w:r>
              <w:rPr>
                <w:rStyle w:val="IndexLink"/>
              </w:rPr>
              <w:t>14</w:t>
            </w:r>
          </w:hyperlink>
        </w:p>
        <w:p>
          <w:pPr>
            <w:pStyle w:val="Contents4"/>
            <w:tabs>
              <w:tab w:val="clear" w:pos="8176"/>
              <w:tab w:val="right" w:pos="9026" w:leader="dot"/>
            </w:tabs>
            <w:rPr/>
          </w:pPr>
          <w:hyperlink w:anchor="__RefHeading___Toc1663696_237004111">
            <w:r>
              <w:rPr>
                <w:webHidden/>
                <w:rStyle w:val="IndexLink"/>
                <w:rtl w:val="true"/>
              </w:rPr>
              <w:t>الثالثة</w:t>
            </w:r>
            <w:r>
              <w:rPr>
                <w:rStyle w:val="IndexLink"/>
                <w:rtl w:val="true"/>
              </w:rPr>
              <w:t xml:space="preserve">: </w:t>
            </w:r>
            <w:r>
              <w:rPr>
                <w:rStyle w:val="IndexLink"/>
                <w:rtl w:val="true"/>
              </w:rPr>
              <w:t>الإرادة في الآية تكوينية</w:t>
            </w:r>
            <w:r>
              <w:rPr>
                <w:rStyle w:val="IndexLink"/>
                <w:rtl w:val="true"/>
              </w:rPr>
              <w:tab/>
            </w:r>
            <w:r>
              <w:rPr>
                <w:rStyle w:val="IndexLink"/>
              </w:rPr>
              <w:t>15</w:t>
            </w:r>
          </w:hyperlink>
        </w:p>
        <w:p>
          <w:pPr>
            <w:pStyle w:val="Contents4"/>
            <w:tabs>
              <w:tab w:val="clear" w:pos="8176"/>
              <w:tab w:val="right" w:pos="9026" w:leader="dot"/>
            </w:tabs>
            <w:rPr/>
          </w:pPr>
          <w:hyperlink w:anchor="__RefHeading___Toc1663698_237004111">
            <w:r>
              <w:rPr>
                <w:webHidden/>
                <w:rStyle w:val="IndexLink"/>
                <w:rtl w:val="true"/>
              </w:rPr>
              <w:t>الرابعة</w:t>
            </w:r>
            <w:r>
              <w:rPr>
                <w:rStyle w:val="IndexLink"/>
                <w:rtl w:val="true"/>
              </w:rPr>
              <w:t xml:space="preserve">: </w:t>
            </w:r>
            <w:r>
              <w:rPr>
                <w:rStyle w:val="IndexLink"/>
                <w:rtl w:val="true"/>
              </w:rPr>
              <w:t>المراد بيت النبوة</w:t>
            </w:r>
            <w:r>
              <w:rPr>
                <w:rStyle w:val="IndexLink"/>
                <w:rtl w:val="true"/>
              </w:rPr>
              <w:tab/>
            </w:r>
            <w:r>
              <w:rPr>
                <w:rStyle w:val="IndexLink"/>
              </w:rPr>
              <w:t>17</w:t>
            </w:r>
          </w:hyperlink>
        </w:p>
        <w:p>
          <w:pPr>
            <w:pStyle w:val="Contents4"/>
            <w:tabs>
              <w:tab w:val="clear" w:pos="8176"/>
              <w:tab w:val="right" w:pos="9026" w:leader="dot"/>
            </w:tabs>
            <w:rPr/>
          </w:pPr>
          <w:hyperlink w:anchor="__RefHeading___Toc1663700_237004111">
            <w:r>
              <w:rPr>
                <w:webHidden/>
                <w:rStyle w:val="IndexLink"/>
                <w:rtl w:val="true"/>
              </w:rPr>
              <w:t>أهل البيت عليهم السلام في لسان النبي الأكرم صلى الله عليه و آله و سلم</w:t>
            </w:r>
            <w:r>
              <w:rPr>
                <w:rStyle w:val="IndexLink"/>
                <w:rtl w:val="true"/>
              </w:rPr>
              <w:tab/>
            </w:r>
            <w:r>
              <w:rPr>
                <w:rStyle w:val="IndexLink"/>
              </w:rPr>
              <w:t>18</w:t>
            </w:r>
          </w:hyperlink>
        </w:p>
        <w:p>
          <w:pPr>
            <w:pStyle w:val="Contents4"/>
            <w:tabs>
              <w:tab w:val="clear" w:pos="8176"/>
              <w:tab w:val="right" w:pos="9026" w:leader="dot"/>
            </w:tabs>
            <w:rPr/>
          </w:pPr>
          <w:hyperlink w:anchor="__RefHeading___Toc1663702_237004111">
            <w:r>
              <w:rPr>
                <w:webHidden/>
                <w:rStyle w:val="IndexLink"/>
                <w:rtl w:val="true"/>
              </w:rPr>
              <w:t>مشكلة السياق</w:t>
            </w:r>
            <w:r>
              <w:rPr>
                <w:rStyle w:val="IndexLink"/>
                <w:rtl w:val="true"/>
              </w:rPr>
              <w:tab/>
            </w:r>
            <w:r>
              <w:rPr>
                <w:rStyle w:val="IndexLink"/>
              </w:rPr>
              <w:t>21</w:t>
            </w:r>
          </w:hyperlink>
        </w:p>
        <w:p>
          <w:pPr>
            <w:pStyle w:val="Contents4"/>
            <w:tabs>
              <w:tab w:val="clear" w:pos="8176"/>
              <w:tab w:val="right" w:pos="9026" w:leader="dot"/>
            </w:tabs>
            <w:rPr/>
          </w:pPr>
          <w:hyperlink w:anchor="__RefHeading___Toc1663704_237004111">
            <w:r>
              <w:rPr>
                <w:webHidden/>
                <w:rStyle w:val="IndexLink"/>
                <w:rtl w:val="true"/>
              </w:rPr>
              <w:t>آية التطهير آية مستقلة</w:t>
            </w:r>
            <w:r>
              <w:rPr>
                <w:rStyle w:val="IndexLink"/>
                <w:rtl w:val="true"/>
              </w:rPr>
              <w:tab/>
            </w:r>
            <w:r>
              <w:rPr>
                <w:rStyle w:val="IndexLink"/>
              </w:rPr>
              <w:t>21</w:t>
            </w:r>
          </w:hyperlink>
        </w:p>
        <w:p>
          <w:pPr>
            <w:pStyle w:val="Contents3"/>
            <w:tabs>
              <w:tab w:val="clear" w:pos="8459"/>
              <w:tab w:val="right" w:pos="9026" w:leader="dot"/>
            </w:tabs>
            <w:rPr/>
          </w:pPr>
          <w:hyperlink w:anchor="__RefHeading___Toc1663706_237004111">
            <w:r>
              <w:rPr>
                <w:webHidden/>
                <w:rStyle w:val="IndexLink"/>
                <w:rtl w:val="true"/>
              </w:rPr>
              <w:t xml:space="preserve">المحور الثاني </w:t>
            </w:r>
            <w:r>
              <w:rPr>
                <w:rStyle w:val="IndexLink"/>
                <w:rtl w:val="true"/>
              </w:rPr>
              <w:t xml:space="preserve">: </w:t>
            </w:r>
            <w:r>
              <w:rPr>
                <w:rStyle w:val="IndexLink"/>
                <w:rtl w:val="true"/>
              </w:rPr>
              <w:t>حجّية فتاواهم</w:t>
            </w:r>
            <w:r>
              <w:rPr>
                <w:rStyle w:val="IndexLink"/>
                <w:rtl w:val="true"/>
              </w:rPr>
              <w:tab/>
            </w:r>
            <w:r>
              <w:rPr>
                <w:rStyle w:val="IndexLink"/>
              </w:rPr>
              <w:t>27</w:t>
            </w:r>
          </w:hyperlink>
        </w:p>
        <w:p>
          <w:pPr>
            <w:pStyle w:val="Contents3"/>
            <w:tabs>
              <w:tab w:val="clear" w:pos="8459"/>
              <w:tab w:val="right" w:pos="9026" w:leader="dot"/>
            </w:tabs>
            <w:rPr/>
          </w:pPr>
          <w:hyperlink w:anchor="__RefHeading___Toc1663708_237004111">
            <w:r>
              <w:rPr>
                <w:webHidden/>
                <w:rStyle w:val="IndexLink"/>
                <w:rtl w:val="true"/>
              </w:rPr>
              <w:t>المحور الثالث</w:t>
            </w:r>
            <w:r>
              <w:rPr>
                <w:rStyle w:val="IndexLink"/>
                <w:rtl w:val="true"/>
              </w:rPr>
              <w:t xml:space="preserve">: </w:t>
            </w:r>
            <w:r>
              <w:rPr>
                <w:rStyle w:val="IndexLink"/>
                <w:rtl w:val="true"/>
              </w:rPr>
              <w:t>مصادر فتاواهم</w:t>
            </w:r>
            <w:r>
              <w:rPr>
                <w:rStyle w:val="IndexLink"/>
                <w:rtl w:val="true"/>
              </w:rPr>
              <w:tab/>
            </w:r>
            <w:r>
              <w:rPr>
                <w:rStyle w:val="IndexLink"/>
              </w:rPr>
              <w:t>32</w:t>
            </w:r>
          </w:hyperlink>
        </w:p>
        <w:p>
          <w:pPr>
            <w:pStyle w:val="Contents4"/>
            <w:tabs>
              <w:tab w:val="clear" w:pos="8176"/>
              <w:tab w:val="right" w:pos="9026" w:leader="dot"/>
            </w:tabs>
            <w:rPr/>
          </w:pPr>
          <w:hyperlink w:anchor="__RefHeading___Toc1663710_237004111">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663712_237004111">
            <w:r>
              <w:rPr>
                <w:webHidden/>
                <w:rStyle w:val="IndexLink"/>
              </w:rPr>
              <w:t>1</w:t>
            </w:r>
            <w:r>
              <w:rPr>
                <w:rStyle w:val="IndexLink"/>
                <w:rtl w:val="true"/>
              </w:rPr>
              <w:t xml:space="preserve">. </w:t>
            </w:r>
            <w:r>
              <w:rPr>
                <w:rStyle w:val="IndexLink"/>
                <w:rtl w:val="true"/>
              </w:rPr>
              <w:t>استنطاق كتاب اللّه العزيز</w:t>
            </w:r>
            <w:r>
              <w:rPr>
                <w:rStyle w:val="IndexLink"/>
                <w:rtl w:val="true"/>
              </w:rPr>
              <w:tab/>
            </w:r>
            <w:r>
              <w:rPr>
                <w:rStyle w:val="IndexLink"/>
              </w:rPr>
              <w:t>32</w:t>
            </w:r>
          </w:hyperlink>
        </w:p>
        <w:p>
          <w:pPr>
            <w:pStyle w:val="Contents4"/>
            <w:tabs>
              <w:tab w:val="clear" w:pos="8176"/>
              <w:tab w:val="right" w:pos="9026" w:leader="dot"/>
            </w:tabs>
            <w:rPr/>
          </w:pPr>
          <w:hyperlink w:anchor="__RefHeading___Toc1663714_237004111">
            <w:r>
              <w:rPr>
                <w:webHidden/>
                <w:rStyle w:val="IndexLink"/>
              </w:rPr>
              <w:t>2</w:t>
            </w:r>
            <w:r>
              <w:rPr>
                <w:rStyle w:val="IndexLink"/>
                <w:rtl w:val="true"/>
              </w:rPr>
              <w:t xml:space="preserve">. </w:t>
            </w:r>
            <w:r>
              <w:rPr>
                <w:rStyle w:val="IndexLink"/>
                <w:rtl w:val="true"/>
              </w:rPr>
              <w:t>سنة رسول اللّه صلى الله عليه و آله و سلم</w:t>
            </w:r>
            <w:r>
              <w:rPr>
                <w:rStyle w:val="IndexLink"/>
                <w:rtl w:val="true"/>
              </w:rPr>
              <w:tab/>
            </w:r>
            <w:r>
              <w:rPr>
                <w:rStyle w:val="IndexLink"/>
              </w:rPr>
              <w:t>34</w:t>
            </w:r>
          </w:hyperlink>
        </w:p>
        <w:p>
          <w:pPr>
            <w:pStyle w:val="Contents5"/>
            <w:tabs>
              <w:tab w:val="clear" w:pos="7892"/>
              <w:tab w:val="right" w:pos="9026" w:leader="dot"/>
            </w:tabs>
            <w:rPr/>
          </w:pPr>
          <w:hyperlink w:anchor="__RefHeading___Toc1663716_237004111">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663718_237004111">
            <w:r>
              <w:rPr>
                <w:webHidden/>
                <w:rStyle w:val="IndexLink"/>
                <w:rtl w:val="true"/>
              </w:rPr>
              <w:t>أ</w:t>
            </w:r>
            <w:r>
              <w:rPr>
                <w:rStyle w:val="IndexLink"/>
                <w:rtl w:val="true"/>
              </w:rPr>
              <w:t xml:space="preserve">. </w:t>
            </w:r>
            <w:r>
              <w:rPr>
                <w:rStyle w:val="IndexLink"/>
                <w:rtl w:val="true"/>
              </w:rPr>
              <w:t>السماع عنه صلى الله عليه و آله و سلم</w:t>
            </w:r>
            <w:r>
              <w:rPr>
                <w:rStyle w:val="IndexLink"/>
                <w:rtl w:val="true"/>
              </w:rPr>
              <w:tab/>
            </w:r>
            <w:r>
              <w:rPr>
                <w:rStyle w:val="IndexLink"/>
              </w:rPr>
              <w:t>34</w:t>
            </w:r>
          </w:hyperlink>
        </w:p>
        <w:p>
          <w:pPr>
            <w:pStyle w:val="Contents5"/>
            <w:tabs>
              <w:tab w:val="clear" w:pos="7892"/>
              <w:tab w:val="right" w:pos="9026" w:leader="dot"/>
            </w:tabs>
            <w:rPr/>
          </w:pPr>
          <w:hyperlink w:anchor="__RefHeading___Toc1663720_237004111">
            <w:r>
              <w:rPr>
                <w:webHidden/>
                <w:rStyle w:val="IndexLink"/>
                <w:rtl w:val="true"/>
              </w:rPr>
              <w:t>ب</w:t>
            </w:r>
            <w:r>
              <w:rPr>
                <w:rStyle w:val="IndexLink"/>
                <w:rtl w:val="true"/>
              </w:rPr>
              <w:t xml:space="preserve">. </w:t>
            </w:r>
            <w:r>
              <w:rPr>
                <w:rStyle w:val="IndexLink"/>
                <w:rtl w:val="true"/>
              </w:rPr>
              <w:t>كتاب علي عليه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1663722_237004111">
            <w:r>
              <w:rPr>
                <w:webHidden/>
                <w:rStyle w:val="IndexLink"/>
              </w:rPr>
              <w:t>3</w:t>
            </w:r>
            <w:r>
              <w:rPr>
                <w:rStyle w:val="IndexLink"/>
                <w:rtl w:val="true"/>
              </w:rPr>
              <w:t xml:space="preserve">. </w:t>
            </w:r>
            <w:r>
              <w:rPr>
                <w:rStyle w:val="IndexLink"/>
                <w:rtl w:val="true"/>
              </w:rPr>
              <w:t>العلم الموهوب</w:t>
            </w:r>
            <w:r>
              <w:rPr>
                <w:rStyle w:val="IndexLink"/>
                <w:rtl w:val="true"/>
              </w:rPr>
              <w:tab/>
            </w:r>
            <w:r>
              <w:rPr>
                <w:rStyle w:val="IndexLink"/>
              </w:rPr>
              <w:t>36</w:t>
            </w:r>
          </w:hyperlink>
        </w:p>
        <w:p>
          <w:pPr>
            <w:pStyle w:val="Contents3"/>
            <w:tabs>
              <w:tab w:val="clear" w:pos="8459"/>
              <w:tab w:val="right" w:pos="9026" w:leader="dot"/>
            </w:tabs>
            <w:rPr/>
          </w:pPr>
          <w:hyperlink w:anchor="__RefHeading___Toc1663724_237004111">
            <w:r>
              <w:rPr>
                <w:webHidden/>
                <w:rStyle w:val="IndexLink"/>
                <w:rtl w:val="true"/>
              </w:rPr>
              <w:t>المحور الرابع</w:t>
            </w:r>
            <w:r>
              <w:rPr>
                <w:rStyle w:val="IndexLink"/>
                <w:rtl w:val="true"/>
              </w:rPr>
              <w:t xml:space="preserve">: </w:t>
            </w:r>
            <w:r>
              <w:rPr>
                <w:rStyle w:val="IndexLink"/>
                <w:rtl w:val="true"/>
              </w:rPr>
              <w:t>رجوع كبار الفقهاء إلى أئمة أهل البيت عليهم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1663726_237004111">
            <w:r>
              <w:rPr>
                <w:webHidden/>
                <w:rStyle w:val="IndexLink"/>
                <w:rtl w:val="true"/>
              </w:rPr>
              <w:t>الفصل الثاني المدرسة الفقهية للشيعة الإمامية المصادر والخصائص</w:t>
            </w:r>
            <w:r>
              <w:rPr>
                <w:rStyle w:val="IndexLink"/>
                <w:rtl w:val="true"/>
              </w:rPr>
              <w:tab/>
            </w:r>
            <w:r>
              <w:rPr>
                <w:rStyle w:val="IndexLink"/>
              </w:rPr>
              <w:t>44</w:t>
            </w:r>
          </w:hyperlink>
        </w:p>
        <w:p>
          <w:pPr>
            <w:pStyle w:val="Contents3"/>
            <w:tabs>
              <w:tab w:val="clear" w:pos="8459"/>
              <w:tab w:val="right" w:pos="9026" w:leader="dot"/>
            </w:tabs>
            <w:rPr/>
          </w:pPr>
          <w:hyperlink w:anchor="__RefHeading___Toc1663728_237004111">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663730_237004111">
            <w:r>
              <w:rPr>
                <w:webHidden/>
                <w:rStyle w:val="IndexLink"/>
                <w:rtl w:val="true"/>
              </w:rPr>
              <w:t>المحور الأوّل</w:t>
            </w:r>
            <w:r>
              <w:rPr>
                <w:rStyle w:val="IndexLink"/>
                <w:rtl w:val="true"/>
              </w:rPr>
              <w:t xml:space="preserve">: </w:t>
            </w:r>
            <w:r>
              <w:rPr>
                <w:rStyle w:val="IndexLink"/>
                <w:rtl w:val="true"/>
              </w:rPr>
              <w:t>مصادر الفقه عند الشيعة الإمامية</w:t>
            </w:r>
            <w:r>
              <w:rPr>
                <w:rStyle w:val="IndexLink"/>
                <w:rtl w:val="true"/>
              </w:rPr>
              <w:tab/>
            </w:r>
            <w:r>
              <w:rPr>
                <w:rStyle w:val="IndexLink"/>
              </w:rPr>
              <w:t>46</w:t>
            </w:r>
          </w:hyperlink>
        </w:p>
        <w:p>
          <w:pPr>
            <w:pStyle w:val="Contents4"/>
            <w:tabs>
              <w:tab w:val="clear" w:pos="8176"/>
              <w:tab w:val="right" w:pos="9026" w:leader="dot"/>
            </w:tabs>
            <w:rPr/>
          </w:pPr>
          <w:hyperlink w:anchor="__RefHeading___Toc1663732_237004111">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663734_237004111">
            <w:r>
              <w:rPr>
                <w:webHidden/>
                <w:rStyle w:val="IndexLink"/>
                <w:rtl w:val="true"/>
              </w:rPr>
              <w:t>المصدر الأوّل</w:t>
            </w:r>
            <w:r>
              <w:rPr>
                <w:rStyle w:val="IndexLink"/>
                <w:rtl w:val="true"/>
              </w:rPr>
              <w:t xml:space="preserve">: </w:t>
            </w:r>
            <w:r>
              <w:rPr>
                <w:rStyle w:val="IndexLink"/>
                <w:rtl w:val="true"/>
              </w:rPr>
              <w:t>القرآن الكريم</w:t>
            </w:r>
            <w:r>
              <w:rPr>
                <w:rStyle w:val="IndexLink"/>
                <w:rtl w:val="true"/>
              </w:rPr>
              <w:tab/>
            </w:r>
            <w:r>
              <w:rPr>
                <w:rStyle w:val="IndexLink"/>
              </w:rPr>
              <w:t>47</w:t>
            </w:r>
          </w:hyperlink>
        </w:p>
        <w:p>
          <w:pPr>
            <w:pStyle w:val="Contents4"/>
            <w:tabs>
              <w:tab w:val="clear" w:pos="8176"/>
              <w:tab w:val="right" w:pos="9026" w:leader="dot"/>
            </w:tabs>
            <w:rPr/>
          </w:pPr>
          <w:hyperlink w:anchor="__RefHeading___Toc1663736_237004111">
            <w:r>
              <w:rPr>
                <w:webHidden/>
                <w:rStyle w:val="IndexLink"/>
                <w:rtl w:val="true"/>
              </w:rPr>
              <w:t>المصدر الثاني</w:t>
            </w:r>
            <w:r>
              <w:rPr>
                <w:rStyle w:val="IndexLink"/>
                <w:rtl w:val="true"/>
              </w:rPr>
              <w:t xml:space="preserve">: </w:t>
            </w:r>
            <w:r>
              <w:rPr>
                <w:rStyle w:val="IndexLink"/>
                <w:rtl w:val="true"/>
              </w:rPr>
              <w:t>السنّة الشريفة</w:t>
            </w:r>
            <w:r>
              <w:rPr>
                <w:rStyle w:val="IndexLink"/>
                <w:rtl w:val="true"/>
              </w:rPr>
              <w:tab/>
            </w:r>
            <w:r>
              <w:rPr>
                <w:rStyle w:val="IndexLink"/>
              </w:rPr>
              <w:t>47</w:t>
            </w:r>
          </w:hyperlink>
        </w:p>
        <w:p>
          <w:pPr>
            <w:pStyle w:val="Contents4"/>
            <w:tabs>
              <w:tab w:val="clear" w:pos="8176"/>
              <w:tab w:val="right" w:pos="9026" w:leader="dot"/>
            </w:tabs>
            <w:rPr/>
          </w:pPr>
          <w:hyperlink w:anchor="__RefHeading___Toc1663738_237004111">
            <w:r>
              <w:rPr>
                <w:webHidden/>
                <w:rStyle w:val="IndexLink"/>
                <w:rtl w:val="true"/>
              </w:rPr>
              <w:t>المصدر الثالث</w:t>
            </w:r>
            <w:r>
              <w:rPr>
                <w:rStyle w:val="IndexLink"/>
                <w:rtl w:val="true"/>
              </w:rPr>
              <w:t xml:space="preserve">: </w:t>
            </w:r>
            <w:r>
              <w:rPr>
                <w:rStyle w:val="IndexLink"/>
                <w:rtl w:val="true"/>
              </w:rPr>
              <w:t>الإجماع</w:t>
            </w:r>
            <w:r>
              <w:rPr>
                <w:rStyle w:val="IndexLink"/>
                <w:rtl w:val="true"/>
              </w:rPr>
              <w:tab/>
            </w:r>
            <w:r>
              <w:rPr>
                <w:rStyle w:val="IndexLink"/>
              </w:rPr>
              <w:t>48</w:t>
            </w:r>
          </w:hyperlink>
        </w:p>
        <w:p>
          <w:pPr>
            <w:pStyle w:val="Contents4"/>
            <w:tabs>
              <w:tab w:val="clear" w:pos="8176"/>
              <w:tab w:val="right" w:pos="9026" w:leader="dot"/>
            </w:tabs>
            <w:rPr/>
          </w:pPr>
          <w:hyperlink w:anchor="__RefHeading___Toc1663740_237004111">
            <w:r>
              <w:rPr>
                <w:webHidden/>
                <w:rStyle w:val="IndexLink"/>
                <w:rtl w:val="true"/>
              </w:rPr>
              <w:t>المصدر الرابع</w:t>
            </w:r>
            <w:r>
              <w:rPr>
                <w:rStyle w:val="IndexLink"/>
                <w:rtl w:val="true"/>
              </w:rPr>
              <w:t xml:space="preserve">: </w:t>
            </w:r>
            <w:r>
              <w:rPr>
                <w:rStyle w:val="IndexLink"/>
                <w:rtl w:val="true"/>
              </w:rPr>
              <w:t>العقل</w:t>
            </w:r>
            <w:r>
              <w:rPr>
                <w:rStyle w:val="IndexLink"/>
                <w:rtl w:val="true"/>
              </w:rPr>
              <w:tab/>
            </w:r>
            <w:r>
              <w:rPr>
                <w:rStyle w:val="IndexLink"/>
              </w:rPr>
              <w:t>49</w:t>
            </w:r>
          </w:hyperlink>
        </w:p>
        <w:p>
          <w:pPr>
            <w:pStyle w:val="Contents4"/>
            <w:tabs>
              <w:tab w:val="clear" w:pos="8176"/>
              <w:tab w:val="right" w:pos="9026" w:leader="dot"/>
            </w:tabs>
            <w:rPr/>
          </w:pPr>
          <w:hyperlink w:anchor="__RefHeading___Toc1663742_237004111">
            <w:r>
              <w:rPr>
                <w:webHidden/>
                <w:rStyle w:val="IndexLink"/>
                <w:rtl w:val="true"/>
              </w:rPr>
              <w:t>إزاحة شبهة</w:t>
            </w:r>
            <w:r>
              <w:rPr>
                <w:rStyle w:val="IndexLink"/>
                <w:rtl w:val="true"/>
              </w:rPr>
              <w:tab/>
            </w:r>
            <w:r>
              <w:rPr>
                <w:rStyle w:val="IndexLink"/>
              </w:rPr>
              <w:t>52</w:t>
            </w:r>
          </w:hyperlink>
        </w:p>
        <w:p>
          <w:pPr>
            <w:pStyle w:val="Contents3"/>
            <w:tabs>
              <w:tab w:val="clear" w:pos="8459"/>
              <w:tab w:val="right" w:pos="9026" w:leader="dot"/>
            </w:tabs>
            <w:rPr/>
          </w:pPr>
          <w:hyperlink w:anchor="__RefHeading___Toc1663744_237004111">
            <w:r>
              <w:rPr>
                <w:webHidden/>
                <w:rStyle w:val="IndexLink"/>
                <w:rtl w:val="true"/>
              </w:rPr>
              <w:t>المحور الثاني</w:t>
            </w:r>
            <w:r>
              <w:rPr>
                <w:rStyle w:val="IndexLink"/>
                <w:rtl w:val="true"/>
              </w:rPr>
              <w:t xml:space="preserve">: </w:t>
            </w:r>
            <w:r>
              <w:rPr>
                <w:rStyle w:val="IndexLink"/>
                <w:rtl w:val="true"/>
              </w:rPr>
              <w:t>خصائص فقه الإمامية ومميزاته</w:t>
            </w:r>
            <w:r>
              <w:rPr>
                <w:rStyle w:val="IndexLink"/>
                <w:rtl w:val="true"/>
              </w:rPr>
              <w:tab/>
            </w:r>
            <w:r>
              <w:rPr>
                <w:rStyle w:val="IndexLink"/>
              </w:rPr>
              <w:t>56</w:t>
            </w:r>
          </w:hyperlink>
        </w:p>
        <w:p>
          <w:pPr>
            <w:pStyle w:val="Contents4"/>
            <w:tabs>
              <w:tab w:val="clear" w:pos="8176"/>
              <w:tab w:val="right" w:pos="9026" w:leader="dot"/>
            </w:tabs>
            <w:rPr/>
          </w:pPr>
          <w:hyperlink w:anchor="__RefHeading___Toc1663746_237004111">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663748_237004111">
            <w:r>
              <w:rPr>
                <w:webHidden/>
                <w:rStyle w:val="IndexLink"/>
                <w:rtl w:val="true"/>
              </w:rPr>
              <w:t>الأُولى</w:t>
            </w:r>
            <w:r>
              <w:rPr>
                <w:rStyle w:val="IndexLink"/>
                <w:rtl w:val="true"/>
              </w:rPr>
              <w:t xml:space="preserve">: </w:t>
            </w:r>
            <w:r>
              <w:rPr>
                <w:rStyle w:val="IndexLink"/>
                <w:rtl w:val="true"/>
              </w:rPr>
              <w:t>إحراز العدالة في عامة سند الرواية</w:t>
            </w:r>
            <w:r>
              <w:rPr>
                <w:rStyle w:val="IndexLink"/>
                <w:rtl w:val="true"/>
              </w:rPr>
              <w:tab/>
            </w:r>
            <w:r>
              <w:rPr>
                <w:rStyle w:val="IndexLink"/>
              </w:rPr>
              <w:t>57</w:t>
            </w:r>
          </w:hyperlink>
        </w:p>
        <w:p>
          <w:pPr>
            <w:pStyle w:val="Contents4"/>
            <w:tabs>
              <w:tab w:val="clear" w:pos="8176"/>
              <w:tab w:val="right" w:pos="9026" w:leader="dot"/>
            </w:tabs>
            <w:rPr/>
          </w:pPr>
          <w:hyperlink w:anchor="__RefHeading___Toc1663750_237004111">
            <w:r>
              <w:rPr>
                <w:webHidden/>
                <w:rStyle w:val="IndexLink"/>
                <w:rtl w:val="true"/>
              </w:rPr>
              <w:t>الثانية</w:t>
            </w:r>
            <w:r>
              <w:rPr>
                <w:rStyle w:val="IndexLink"/>
                <w:rtl w:val="true"/>
              </w:rPr>
              <w:t xml:space="preserve">: </w:t>
            </w:r>
            <w:r>
              <w:rPr>
                <w:rStyle w:val="IndexLink"/>
                <w:rtl w:val="true"/>
              </w:rPr>
              <w:t>تقييد العمل بالقياس</w:t>
            </w:r>
            <w:r>
              <w:rPr>
                <w:rStyle w:val="IndexLink"/>
                <w:rtl w:val="true"/>
              </w:rPr>
              <w:tab/>
            </w:r>
            <w:r>
              <w:rPr>
                <w:rStyle w:val="IndexLink"/>
              </w:rPr>
              <w:t>57</w:t>
            </w:r>
          </w:hyperlink>
        </w:p>
        <w:p>
          <w:pPr>
            <w:pStyle w:val="Contents5"/>
            <w:tabs>
              <w:tab w:val="clear" w:pos="7892"/>
              <w:tab w:val="right" w:pos="9026" w:leader="dot"/>
            </w:tabs>
            <w:rPr/>
          </w:pPr>
          <w:hyperlink w:anchor="__RefHeading___Toc1663752_237004111">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663754_237004111">
            <w:r>
              <w:rPr>
                <w:webHidden/>
                <w:rStyle w:val="IndexLink"/>
                <w:rtl w:val="true"/>
              </w:rPr>
              <w:t>تخريج المناط</w:t>
            </w:r>
            <w:r>
              <w:rPr>
                <w:rStyle w:val="IndexLink"/>
                <w:rtl w:val="true"/>
              </w:rPr>
              <w:tab/>
            </w:r>
            <w:r>
              <w:rPr>
                <w:rStyle w:val="IndexLink"/>
              </w:rPr>
              <w:t>59</w:t>
            </w:r>
          </w:hyperlink>
        </w:p>
        <w:p>
          <w:pPr>
            <w:pStyle w:val="Contents4"/>
            <w:tabs>
              <w:tab w:val="clear" w:pos="8176"/>
              <w:tab w:val="right" w:pos="9026" w:leader="dot"/>
            </w:tabs>
            <w:rPr/>
          </w:pPr>
          <w:hyperlink w:anchor="__RefHeading___Toc1663756_237004111">
            <w:r>
              <w:rPr>
                <w:webHidden/>
                <w:rStyle w:val="IndexLink"/>
                <w:rtl w:val="true"/>
              </w:rPr>
              <w:t>الثالثة</w:t>
            </w:r>
            <w:r>
              <w:rPr>
                <w:rStyle w:val="IndexLink"/>
                <w:rtl w:val="true"/>
              </w:rPr>
              <w:t xml:space="preserve">: </w:t>
            </w:r>
            <w:r>
              <w:rPr>
                <w:rStyle w:val="IndexLink"/>
                <w:rtl w:val="true"/>
              </w:rPr>
              <w:t>انفتاح باب الاجتهاد</w:t>
            </w:r>
            <w:r>
              <w:rPr>
                <w:rStyle w:val="IndexLink"/>
                <w:rtl w:val="true"/>
              </w:rPr>
              <w:tab/>
            </w:r>
            <w:r>
              <w:rPr>
                <w:rStyle w:val="IndexLink"/>
              </w:rPr>
              <w:t>59</w:t>
            </w:r>
          </w:hyperlink>
        </w:p>
        <w:p>
          <w:pPr>
            <w:pStyle w:val="Contents4"/>
            <w:tabs>
              <w:tab w:val="clear" w:pos="8176"/>
              <w:tab w:val="right" w:pos="9026" w:leader="dot"/>
            </w:tabs>
            <w:rPr/>
          </w:pPr>
          <w:hyperlink w:anchor="__RefHeading___Toc1663758_237004111">
            <w:r>
              <w:rPr>
                <w:webHidden/>
                <w:rStyle w:val="IndexLink"/>
                <w:rtl w:val="true"/>
              </w:rPr>
              <w:t>الرابعة</w:t>
            </w:r>
            <w:r>
              <w:rPr>
                <w:rStyle w:val="IndexLink"/>
                <w:rtl w:val="true"/>
              </w:rPr>
              <w:t xml:space="preserve">: </w:t>
            </w:r>
            <w:r>
              <w:rPr>
                <w:rStyle w:val="IndexLink"/>
                <w:rtl w:val="true"/>
              </w:rPr>
              <w:t>لكل واقعة حكم</w:t>
            </w:r>
            <w:r>
              <w:rPr>
                <w:rStyle w:val="IndexLink"/>
                <w:rtl w:val="true"/>
              </w:rPr>
              <w:tab/>
            </w:r>
            <w:r>
              <w:rPr>
                <w:rStyle w:val="IndexLink"/>
              </w:rPr>
              <w:t>60</w:t>
            </w:r>
          </w:hyperlink>
        </w:p>
        <w:p>
          <w:pPr>
            <w:pStyle w:val="Contents4"/>
            <w:tabs>
              <w:tab w:val="clear" w:pos="8176"/>
              <w:tab w:val="right" w:pos="9026" w:leader="dot"/>
            </w:tabs>
            <w:rPr/>
          </w:pPr>
          <w:hyperlink w:anchor="__RefHeading___Toc1663760_237004111">
            <w:r>
              <w:rPr>
                <w:webHidden/>
                <w:rStyle w:val="IndexLink"/>
                <w:rtl w:val="true"/>
              </w:rPr>
              <w:t>الخامسة</w:t>
            </w:r>
            <w:r>
              <w:rPr>
                <w:rStyle w:val="IndexLink"/>
                <w:rtl w:val="true"/>
              </w:rPr>
              <w:t xml:space="preserve">: </w:t>
            </w:r>
            <w:r>
              <w:rPr>
                <w:rStyle w:val="IndexLink"/>
                <w:rtl w:val="true"/>
              </w:rPr>
              <w:t>التصويب والتخطئة</w:t>
            </w:r>
            <w:r>
              <w:rPr>
                <w:rStyle w:val="IndexLink"/>
                <w:rtl w:val="true"/>
              </w:rPr>
              <w:tab/>
            </w:r>
            <w:r>
              <w:rPr>
                <w:rStyle w:val="IndexLink"/>
              </w:rPr>
              <w:t>60</w:t>
            </w:r>
          </w:hyperlink>
        </w:p>
        <w:p>
          <w:pPr>
            <w:pStyle w:val="Contents4"/>
            <w:tabs>
              <w:tab w:val="clear" w:pos="8176"/>
              <w:tab w:val="right" w:pos="9026" w:leader="dot"/>
            </w:tabs>
            <w:rPr/>
          </w:pPr>
          <w:hyperlink w:anchor="__RefHeading___Toc1663762_237004111">
            <w:r>
              <w:rPr>
                <w:webHidden/>
                <w:rStyle w:val="IndexLink"/>
                <w:rtl w:val="true"/>
              </w:rPr>
              <w:t>السادسة</w:t>
            </w:r>
            <w:r>
              <w:rPr>
                <w:rStyle w:val="IndexLink"/>
                <w:rtl w:val="true"/>
              </w:rPr>
              <w:t xml:space="preserve">: </w:t>
            </w:r>
            <w:r>
              <w:rPr>
                <w:rStyle w:val="IndexLink"/>
                <w:rtl w:val="true"/>
              </w:rPr>
              <w:t>تقسيم الأحكام الشرعية إلى واقعية وظاهرية</w:t>
            </w:r>
            <w:r>
              <w:rPr>
                <w:rStyle w:val="IndexLink"/>
                <w:rtl w:val="true"/>
              </w:rPr>
              <w:tab/>
            </w:r>
            <w:r>
              <w:rPr>
                <w:rStyle w:val="IndexLink"/>
              </w:rPr>
              <w:t>61</w:t>
            </w:r>
          </w:hyperlink>
        </w:p>
        <w:p>
          <w:pPr>
            <w:pStyle w:val="Contents4"/>
            <w:tabs>
              <w:tab w:val="clear" w:pos="8176"/>
              <w:tab w:val="right" w:pos="9026" w:leader="dot"/>
            </w:tabs>
            <w:rPr/>
          </w:pPr>
          <w:hyperlink w:anchor="__RefHeading___Toc1663764_237004111">
            <w:r>
              <w:rPr>
                <w:webHidden/>
                <w:rStyle w:val="IndexLink"/>
                <w:rtl w:val="true"/>
              </w:rPr>
              <w:t>السابعة</w:t>
            </w:r>
            <w:r>
              <w:rPr>
                <w:rStyle w:val="IndexLink"/>
                <w:rtl w:val="true"/>
              </w:rPr>
              <w:t xml:space="preserve">: </w:t>
            </w:r>
            <w:r>
              <w:rPr>
                <w:rStyle w:val="IndexLink"/>
                <w:rtl w:val="true"/>
              </w:rPr>
              <w:t>تقسيم الموضوعات إلى أولية وثانوية</w:t>
            </w:r>
            <w:r>
              <w:rPr>
                <w:rStyle w:val="IndexLink"/>
                <w:rtl w:val="true"/>
              </w:rPr>
              <w:tab/>
            </w:r>
            <w:r>
              <w:rPr>
                <w:rStyle w:val="IndexLink"/>
              </w:rPr>
              <w:t>62</w:t>
            </w:r>
          </w:hyperlink>
        </w:p>
        <w:p>
          <w:pPr>
            <w:pStyle w:val="Contents5"/>
            <w:tabs>
              <w:tab w:val="clear" w:pos="7892"/>
              <w:tab w:val="right" w:pos="9026" w:leader="dot"/>
            </w:tabs>
            <w:rPr/>
          </w:pPr>
          <w:hyperlink w:anchor="__RefHeading___Toc1663766_237004111">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663768_237004111">
            <w:r>
              <w:rPr>
                <w:webHidden/>
                <w:rStyle w:val="IndexLink"/>
              </w:rPr>
              <w:t>1</w:t>
            </w:r>
            <w:r>
              <w:rPr>
                <w:rStyle w:val="IndexLink"/>
                <w:rtl w:val="true"/>
              </w:rPr>
              <w:t xml:space="preserve">. </w:t>
            </w:r>
            <w:r>
              <w:rPr>
                <w:rStyle w:val="IndexLink"/>
                <w:rtl w:val="true"/>
              </w:rPr>
              <w:t>الضرورة والاضطرار</w:t>
            </w:r>
            <w:r>
              <w:rPr>
                <w:rStyle w:val="IndexLink"/>
                <w:rtl w:val="true"/>
              </w:rPr>
              <w:tab/>
            </w:r>
            <w:r>
              <w:rPr>
                <w:rStyle w:val="IndexLink"/>
              </w:rPr>
              <w:t>63</w:t>
            </w:r>
          </w:hyperlink>
        </w:p>
        <w:p>
          <w:pPr>
            <w:pStyle w:val="Contents5"/>
            <w:tabs>
              <w:tab w:val="clear" w:pos="7892"/>
              <w:tab w:val="right" w:pos="9026" w:leader="dot"/>
            </w:tabs>
            <w:rPr/>
          </w:pPr>
          <w:hyperlink w:anchor="__RefHeading___Toc1663770_237004111">
            <w:r>
              <w:rPr>
                <w:webHidden/>
                <w:rStyle w:val="IndexLink"/>
              </w:rPr>
              <w:t>2</w:t>
            </w:r>
            <w:r>
              <w:rPr>
                <w:rStyle w:val="IndexLink"/>
                <w:rtl w:val="true"/>
              </w:rPr>
              <w:t xml:space="preserve">. </w:t>
            </w:r>
            <w:r>
              <w:rPr>
                <w:rStyle w:val="IndexLink"/>
                <w:rtl w:val="true"/>
              </w:rPr>
              <w:t>الضَّرر والضِّرار</w:t>
            </w:r>
            <w:r>
              <w:rPr>
                <w:rStyle w:val="IndexLink"/>
                <w:rtl w:val="true"/>
              </w:rPr>
              <w:tab/>
            </w:r>
            <w:r>
              <w:rPr>
                <w:rStyle w:val="IndexLink"/>
              </w:rPr>
              <w:t>63</w:t>
            </w:r>
          </w:hyperlink>
        </w:p>
        <w:p>
          <w:pPr>
            <w:pStyle w:val="Contents5"/>
            <w:tabs>
              <w:tab w:val="clear" w:pos="7892"/>
              <w:tab w:val="right" w:pos="9026" w:leader="dot"/>
            </w:tabs>
            <w:rPr/>
          </w:pPr>
          <w:hyperlink w:anchor="__RefHeading___Toc1663772_237004111">
            <w:r>
              <w:rPr>
                <w:webHidden/>
                <w:rStyle w:val="IndexLink"/>
              </w:rPr>
              <w:t>3</w:t>
            </w:r>
            <w:r>
              <w:rPr>
                <w:rStyle w:val="IndexLink"/>
                <w:rtl w:val="true"/>
              </w:rPr>
              <w:t xml:space="preserve">. </w:t>
            </w:r>
            <w:r>
              <w:rPr>
                <w:rStyle w:val="IndexLink"/>
                <w:rtl w:val="true"/>
              </w:rPr>
              <w:t>العسر والحرج</w:t>
            </w:r>
            <w:r>
              <w:rPr>
                <w:rStyle w:val="IndexLink"/>
                <w:rtl w:val="true"/>
              </w:rPr>
              <w:tab/>
            </w:r>
            <w:r>
              <w:rPr>
                <w:rStyle w:val="IndexLink"/>
              </w:rPr>
              <w:t>64</w:t>
            </w:r>
          </w:hyperlink>
        </w:p>
        <w:p>
          <w:pPr>
            <w:pStyle w:val="Contents5"/>
            <w:tabs>
              <w:tab w:val="clear" w:pos="7892"/>
              <w:tab w:val="right" w:pos="9026" w:leader="dot"/>
            </w:tabs>
            <w:rPr/>
          </w:pPr>
          <w:hyperlink w:anchor="__RefHeading___Toc1663774_237004111">
            <w:r>
              <w:rPr>
                <w:webHidden/>
                <w:rStyle w:val="IndexLink"/>
              </w:rPr>
              <w:t>4</w:t>
            </w:r>
            <w:r>
              <w:rPr>
                <w:rStyle w:val="IndexLink"/>
                <w:rtl w:val="true"/>
              </w:rPr>
              <w:t xml:space="preserve">. </w:t>
            </w:r>
            <w:r>
              <w:rPr>
                <w:rStyle w:val="IndexLink"/>
                <w:rtl w:val="true"/>
              </w:rPr>
              <w:t>قاعدة الأهم والمهم عند التزاحم</w:t>
            </w:r>
            <w:r>
              <w:rPr>
                <w:rStyle w:val="IndexLink"/>
                <w:rtl w:val="true"/>
              </w:rPr>
              <w:tab/>
            </w:r>
            <w:r>
              <w:rPr>
                <w:rStyle w:val="IndexLink"/>
              </w:rPr>
              <w:t>64</w:t>
            </w:r>
          </w:hyperlink>
        </w:p>
        <w:p>
          <w:pPr>
            <w:pStyle w:val="Contents5"/>
            <w:tabs>
              <w:tab w:val="clear" w:pos="7892"/>
              <w:tab w:val="right" w:pos="9026" w:leader="dot"/>
            </w:tabs>
            <w:rPr/>
          </w:pPr>
          <w:hyperlink w:anchor="__RefHeading___Toc1663776_237004111">
            <w:r>
              <w:rPr>
                <w:webHidden/>
                <w:rStyle w:val="IndexLink"/>
              </w:rPr>
              <w:t>5</w:t>
            </w:r>
            <w:r>
              <w:rPr>
                <w:rStyle w:val="IndexLink"/>
                <w:rtl w:val="true"/>
              </w:rPr>
              <w:t xml:space="preserve">. </w:t>
            </w:r>
            <w:r>
              <w:rPr>
                <w:rStyle w:val="IndexLink"/>
                <w:rtl w:val="true"/>
              </w:rPr>
              <w:t>صلاحيات الفقيه الجامع للشرائط</w:t>
            </w:r>
            <w:r>
              <w:rPr>
                <w:rStyle w:val="IndexLink"/>
                <w:rtl w:val="true"/>
              </w:rPr>
              <w:tab/>
            </w:r>
            <w:r>
              <w:rPr>
                <w:rStyle w:val="IndexLink"/>
              </w:rPr>
              <w:t>65</w:t>
            </w:r>
          </w:hyperlink>
        </w:p>
        <w:p>
          <w:pPr>
            <w:pStyle w:val="Contents3"/>
            <w:tabs>
              <w:tab w:val="clear" w:pos="8459"/>
              <w:tab w:val="right" w:pos="9026" w:leader="dot"/>
            </w:tabs>
            <w:rPr/>
          </w:pPr>
          <w:hyperlink w:anchor="__RefHeading___Toc1663778_237004111">
            <w:r>
              <w:rPr>
                <w:webHidden/>
                <w:rStyle w:val="IndexLink"/>
                <w:rtl w:val="true"/>
              </w:rPr>
              <w:t>المحور الثالث</w:t>
            </w:r>
            <w:r>
              <w:rPr>
                <w:rStyle w:val="IndexLink"/>
                <w:rtl w:val="true"/>
              </w:rPr>
              <w:t xml:space="preserve">: </w:t>
            </w:r>
            <w:r>
              <w:rPr>
                <w:rStyle w:val="IndexLink"/>
                <w:rtl w:val="true"/>
              </w:rPr>
              <w:t>دور العرف والعادة والسيرة وبناء العقلاء</w:t>
            </w:r>
            <w:r>
              <w:rPr>
                <w:rStyle w:val="IndexLink"/>
                <w:rtl w:val="true"/>
              </w:rPr>
              <w:tab/>
            </w:r>
            <w:r>
              <w:rPr>
                <w:rStyle w:val="IndexLink"/>
              </w:rPr>
              <w:t>67</w:t>
            </w:r>
          </w:hyperlink>
        </w:p>
        <w:p>
          <w:pPr>
            <w:pStyle w:val="Contents4"/>
            <w:tabs>
              <w:tab w:val="clear" w:pos="8176"/>
              <w:tab w:val="right" w:pos="9026" w:leader="dot"/>
            </w:tabs>
            <w:rPr/>
          </w:pPr>
          <w:hyperlink w:anchor="__RefHeading___Toc1663780_237004111">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663782_237004111">
            <w:r>
              <w:rPr>
                <w:webHidden/>
                <w:rStyle w:val="IndexLink"/>
              </w:rPr>
              <w:t>1</w:t>
            </w:r>
            <w:r>
              <w:rPr>
                <w:rStyle w:val="IndexLink"/>
                <w:rtl w:val="true"/>
              </w:rPr>
              <w:t xml:space="preserve">. </w:t>
            </w:r>
            <w:r>
              <w:rPr>
                <w:rStyle w:val="IndexLink"/>
                <w:rtl w:val="true"/>
              </w:rPr>
              <w:t>الرجوع إلى العرف في معاني الألفاظ</w:t>
            </w:r>
            <w:r>
              <w:rPr>
                <w:rStyle w:val="IndexLink"/>
                <w:rtl w:val="true"/>
              </w:rPr>
              <w:tab/>
            </w:r>
            <w:r>
              <w:rPr>
                <w:rStyle w:val="IndexLink"/>
              </w:rPr>
              <w:t>69</w:t>
            </w:r>
          </w:hyperlink>
        </w:p>
        <w:p>
          <w:pPr>
            <w:pStyle w:val="Contents4"/>
            <w:tabs>
              <w:tab w:val="clear" w:pos="8176"/>
              <w:tab w:val="right" w:pos="9026" w:leader="dot"/>
            </w:tabs>
            <w:rPr/>
          </w:pPr>
          <w:hyperlink w:anchor="__RefHeading___Toc1663784_237004111">
            <w:r>
              <w:rPr>
                <w:webHidden/>
                <w:rStyle w:val="IndexLink"/>
              </w:rPr>
              <w:t>2</w:t>
            </w:r>
            <w:r>
              <w:rPr>
                <w:rStyle w:val="IndexLink"/>
                <w:rtl w:val="true"/>
              </w:rPr>
              <w:t xml:space="preserve">. </w:t>
            </w:r>
            <w:r>
              <w:rPr>
                <w:rStyle w:val="IndexLink"/>
                <w:rtl w:val="true"/>
              </w:rPr>
              <w:t>الرجوع إلى العرف في تحديد المعاني</w:t>
            </w:r>
            <w:r>
              <w:rPr>
                <w:rStyle w:val="IndexLink"/>
                <w:rtl w:val="true"/>
              </w:rPr>
              <w:tab/>
            </w:r>
            <w:r>
              <w:rPr>
                <w:rStyle w:val="IndexLink"/>
              </w:rPr>
              <w:t>69</w:t>
            </w:r>
          </w:hyperlink>
        </w:p>
        <w:p>
          <w:pPr>
            <w:pStyle w:val="Contents4"/>
            <w:tabs>
              <w:tab w:val="clear" w:pos="8176"/>
              <w:tab w:val="right" w:pos="9026" w:leader="dot"/>
            </w:tabs>
            <w:rPr/>
          </w:pPr>
          <w:hyperlink w:anchor="__RefHeading___Toc1663786_237004111">
            <w:r>
              <w:rPr>
                <w:webHidden/>
                <w:rStyle w:val="IndexLink"/>
              </w:rPr>
              <w:t>3</w:t>
            </w:r>
            <w:r>
              <w:rPr>
                <w:rStyle w:val="IndexLink"/>
                <w:rtl w:val="true"/>
              </w:rPr>
              <w:t xml:space="preserve">. </w:t>
            </w:r>
            <w:r>
              <w:rPr>
                <w:rStyle w:val="IndexLink"/>
                <w:rtl w:val="true"/>
              </w:rPr>
              <w:t>الرجوع إلى العرف في تشخيص المصاديق</w:t>
            </w:r>
            <w:r>
              <w:rPr>
                <w:rStyle w:val="IndexLink"/>
                <w:rtl w:val="true"/>
              </w:rPr>
              <w:tab/>
            </w:r>
            <w:r>
              <w:rPr>
                <w:rStyle w:val="IndexLink"/>
              </w:rPr>
              <w:t>71</w:t>
            </w:r>
          </w:hyperlink>
        </w:p>
        <w:p>
          <w:pPr>
            <w:pStyle w:val="Contents4"/>
            <w:tabs>
              <w:tab w:val="clear" w:pos="8176"/>
              <w:tab w:val="right" w:pos="9026" w:leader="dot"/>
            </w:tabs>
            <w:rPr/>
          </w:pPr>
          <w:hyperlink w:anchor="__RefHeading___Toc1663788_237004111">
            <w:r>
              <w:rPr>
                <w:webHidden/>
                <w:rStyle w:val="IndexLink"/>
              </w:rPr>
              <w:t>4</w:t>
            </w:r>
            <w:r>
              <w:rPr>
                <w:rStyle w:val="IndexLink"/>
                <w:rtl w:val="true"/>
              </w:rPr>
              <w:t xml:space="preserve">. </w:t>
            </w:r>
            <w:r>
              <w:rPr>
                <w:rStyle w:val="IndexLink"/>
                <w:rtl w:val="true"/>
              </w:rPr>
              <w:t>كشف الملازمة بين حكمين شرعيّين</w:t>
            </w:r>
            <w:r>
              <w:rPr>
                <w:rStyle w:val="IndexLink"/>
                <w:rtl w:val="true"/>
              </w:rPr>
              <w:tab/>
            </w:r>
            <w:r>
              <w:rPr>
                <w:rStyle w:val="IndexLink"/>
              </w:rPr>
              <w:t>72</w:t>
            </w:r>
          </w:hyperlink>
        </w:p>
        <w:p>
          <w:pPr>
            <w:pStyle w:val="Contents4"/>
            <w:tabs>
              <w:tab w:val="clear" w:pos="8176"/>
              <w:tab w:val="right" w:pos="9026" w:leader="dot"/>
            </w:tabs>
            <w:rPr/>
          </w:pPr>
          <w:hyperlink w:anchor="__RefHeading___Toc1663790_237004111">
            <w:r>
              <w:rPr>
                <w:webHidden/>
                <w:rStyle w:val="IndexLink"/>
              </w:rPr>
              <w:t>5</w:t>
            </w:r>
            <w:r>
              <w:rPr>
                <w:rStyle w:val="IndexLink"/>
                <w:rtl w:val="true"/>
              </w:rPr>
              <w:t xml:space="preserve">. </w:t>
            </w:r>
            <w:r>
              <w:rPr>
                <w:rStyle w:val="IndexLink"/>
                <w:rtl w:val="true"/>
              </w:rPr>
              <w:t>استخدام الأعراف في كشف مقاصد المتكلّم</w:t>
            </w:r>
            <w:r>
              <w:rPr>
                <w:rStyle w:val="IndexLink"/>
                <w:rtl w:val="true"/>
              </w:rPr>
              <w:tab/>
            </w:r>
            <w:r>
              <w:rPr>
                <w:rStyle w:val="IndexLink"/>
              </w:rPr>
              <w:t>72</w:t>
            </w:r>
          </w:hyperlink>
        </w:p>
        <w:p>
          <w:pPr>
            <w:pStyle w:val="Contents4"/>
            <w:tabs>
              <w:tab w:val="clear" w:pos="8176"/>
              <w:tab w:val="right" w:pos="9026" w:leader="dot"/>
            </w:tabs>
            <w:rPr/>
          </w:pPr>
          <w:hyperlink w:anchor="__RefHeading___Toc1663792_237004111">
            <w:r>
              <w:rPr>
                <w:webHidden/>
                <w:rStyle w:val="IndexLink"/>
              </w:rPr>
              <w:t>6</w:t>
            </w:r>
            <w:r>
              <w:rPr>
                <w:rStyle w:val="IndexLink"/>
                <w:rtl w:val="true"/>
              </w:rPr>
              <w:t xml:space="preserve">. </w:t>
            </w:r>
            <w:r>
              <w:rPr>
                <w:rStyle w:val="IndexLink"/>
                <w:rtl w:val="true"/>
              </w:rPr>
              <w:t>كون العرف منبعاً لاستنباط الحكم الشرعي</w:t>
            </w:r>
            <w:r>
              <w:rPr>
                <w:rStyle w:val="IndexLink"/>
                <w:rtl w:val="true"/>
              </w:rPr>
              <w:tab/>
            </w:r>
            <w:r>
              <w:rPr>
                <w:rStyle w:val="IndexLink"/>
              </w:rPr>
              <w:t>75</w:t>
            </w:r>
          </w:hyperlink>
        </w:p>
        <w:p>
          <w:pPr>
            <w:pStyle w:val="Contents3"/>
            <w:tabs>
              <w:tab w:val="clear" w:pos="8459"/>
              <w:tab w:val="right" w:pos="9026" w:leader="dot"/>
            </w:tabs>
            <w:rPr/>
          </w:pPr>
          <w:hyperlink w:anchor="__RefHeading___Toc1663794_237004111">
            <w:r>
              <w:rPr>
                <w:webHidden/>
                <w:rStyle w:val="IndexLink"/>
                <w:rtl w:val="true"/>
              </w:rPr>
              <w:t>المحور الرابع</w:t>
            </w:r>
            <w:r>
              <w:rPr>
                <w:rStyle w:val="IndexLink"/>
                <w:rtl w:val="true"/>
              </w:rPr>
              <w:t xml:space="preserve">: </w:t>
            </w:r>
            <w:r>
              <w:rPr>
                <w:rStyle w:val="IndexLink"/>
                <w:rtl w:val="true"/>
              </w:rPr>
              <w:t>دور مقاصد الشريعة وأهدافها في الفقه الإمامي</w:t>
            </w:r>
            <w:r>
              <w:rPr>
                <w:rStyle w:val="IndexLink"/>
                <w:rtl w:val="true"/>
              </w:rPr>
              <w:tab/>
            </w:r>
            <w:r>
              <w:rPr>
                <w:rStyle w:val="IndexLink"/>
              </w:rPr>
              <w:t>78</w:t>
            </w:r>
          </w:hyperlink>
        </w:p>
        <w:p>
          <w:pPr>
            <w:pStyle w:val="Contents4"/>
            <w:tabs>
              <w:tab w:val="clear" w:pos="8176"/>
              <w:tab w:val="right" w:pos="9026" w:leader="dot"/>
            </w:tabs>
            <w:rPr/>
          </w:pPr>
          <w:hyperlink w:anchor="__RefHeading___Toc1663796_237004111">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663798_237004111">
            <w:r>
              <w:rPr>
                <w:webHidden/>
                <w:rStyle w:val="IndexLink"/>
              </w:rPr>
              <w:t>1</w:t>
            </w:r>
            <w:r>
              <w:rPr>
                <w:rStyle w:val="IndexLink"/>
                <w:rtl w:val="true"/>
              </w:rPr>
              <w:t xml:space="preserve">. </w:t>
            </w:r>
            <w:r>
              <w:rPr>
                <w:rStyle w:val="IndexLink"/>
                <w:rtl w:val="true"/>
              </w:rPr>
              <w:t>أفعاله سبحانه تكويناً وتشريعاً معلّلة بالغايات</w:t>
            </w:r>
            <w:r>
              <w:rPr>
                <w:rStyle w:val="IndexLink"/>
                <w:rtl w:val="true"/>
              </w:rPr>
              <w:tab/>
            </w:r>
            <w:r>
              <w:rPr>
                <w:rStyle w:val="IndexLink"/>
              </w:rPr>
              <w:t>78</w:t>
            </w:r>
          </w:hyperlink>
        </w:p>
        <w:p>
          <w:pPr>
            <w:pStyle w:val="Contents4"/>
            <w:tabs>
              <w:tab w:val="clear" w:pos="8176"/>
              <w:tab w:val="right" w:pos="9026" w:leader="dot"/>
            </w:tabs>
            <w:rPr/>
          </w:pPr>
          <w:hyperlink w:anchor="__RefHeading___Toc1663800_237004111">
            <w:r>
              <w:rPr>
                <w:webHidden/>
                <w:rStyle w:val="IndexLink"/>
              </w:rPr>
              <w:t>2</w:t>
            </w:r>
            <w:r>
              <w:rPr>
                <w:rStyle w:val="IndexLink"/>
                <w:rtl w:val="true"/>
              </w:rPr>
              <w:t xml:space="preserve">. </w:t>
            </w:r>
            <w:r>
              <w:rPr>
                <w:rStyle w:val="IndexLink"/>
                <w:rtl w:val="true"/>
              </w:rPr>
              <w:t>الشيعة الإمامية ومقاصد الشريعة</w:t>
            </w:r>
            <w:r>
              <w:rPr>
                <w:rStyle w:val="IndexLink"/>
                <w:rtl w:val="true"/>
              </w:rPr>
              <w:tab/>
            </w:r>
            <w:r>
              <w:rPr>
                <w:rStyle w:val="IndexLink"/>
              </w:rPr>
              <w:t>80</w:t>
            </w:r>
          </w:hyperlink>
        </w:p>
        <w:p>
          <w:pPr>
            <w:pStyle w:val="Contents4"/>
            <w:tabs>
              <w:tab w:val="clear" w:pos="8176"/>
              <w:tab w:val="right" w:pos="9026" w:leader="dot"/>
            </w:tabs>
            <w:rPr/>
          </w:pPr>
          <w:hyperlink w:anchor="__RefHeading___Toc1663802_237004111">
            <w:r>
              <w:rPr>
                <w:webHidden/>
                <w:rStyle w:val="IndexLink"/>
              </w:rPr>
              <w:t>3</w:t>
            </w:r>
            <w:r>
              <w:rPr>
                <w:rStyle w:val="IndexLink"/>
                <w:rtl w:val="true"/>
              </w:rPr>
              <w:t xml:space="preserve">. </w:t>
            </w:r>
            <w:r>
              <w:rPr>
                <w:rStyle w:val="IndexLink"/>
                <w:rtl w:val="true"/>
              </w:rPr>
              <w:t>التصريح بالعلل</w:t>
            </w:r>
            <w:r>
              <w:rPr>
                <w:rStyle w:val="IndexLink"/>
                <w:rtl w:val="true"/>
              </w:rPr>
              <w:tab/>
            </w:r>
            <w:r>
              <w:rPr>
                <w:rStyle w:val="IndexLink"/>
              </w:rPr>
              <w:t>81</w:t>
            </w:r>
          </w:hyperlink>
        </w:p>
        <w:p>
          <w:pPr>
            <w:pStyle w:val="Contents4"/>
            <w:tabs>
              <w:tab w:val="clear" w:pos="8176"/>
              <w:tab w:val="right" w:pos="9026" w:leader="dot"/>
            </w:tabs>
            <w:rPr/>
          </w:pPr>
          <w:hyperlink w:anchor="__RefHeading___Toc1663804_237004111">
            <w:r>
              <w:rPr>
                <w:webHidden/>
                <w:rStyle w:val="IndexLink"/>
              </w:rPr>
              <w:t>4</w:t>
            </w:r>
            <w:r>
              <w:rPr>
                <w:rStyle w:val="IndexLink"/>
                <w:rtl w:val="true"/>
              </w:rPr>
              <w:t xml:space="preserve">. </w:t>
            </w:r>
            <w:r>
              <w:rPr>
                <w:rStyle w:val="IndexLink"/>
                <w:rtl w:val="true"/>
              </w:rPr>
              <w:t>الإلماع إلى علل التشريع دون التصريح</w:t>
            </w:r>
            <w:r>
              <w:rPr>
                <w:rStyle w:val="IndexLink"/>
                <w:rtl w:val="true"/>
              </w:rPr>
              <w:tab/>
            </w:r>
            <w:r>
              <w:rPr>
                <w:rStyle w:val="IndexLink"/>
              </w:rPr>
              <w:t>85</w:t>
            </w:r>
          </w:hyperlink>
        </w:p>
        <w:p>
          <w:pPr>
            <w:pStyle w:val="Contents4"/>
            <w:tabs>
              <w:tab w:val="clear" w:pos="8176"/>
              <w:tab w:val="right" w:pos="9026" w:leader="dot"/>
            </w:tabs>
            <w:rPr/>
          </w:pPr>
          <w:hyperlink w:anchor="__RefHeading___Toc1663806_237004111">
            <w:r>
              <w:rPr>
                <w:webHidden/>
                <w:rStyle w:val="IndexLink"/>
              </w:rPr>
              <w:t>5</w:t>
            </w:r>
            <w:r>
              <w:rPr>
                <w:rStyle w:val="IndexLink"/>
                <w:rtl w:val="true"/>
              </w:rPr>
              <w:t xml:space="preserve">. </w:t>
            </w:r>
            <w:r>
              <w:rPr>
                <w:rStyle w:val="IndexLink"/>
                <w:rtl w:val="true"/>
              </w:rPr>
              <w:t>الاستدلال بالروايات</w:t>
            </w:r>
            <w:r>
              <w:rPr>
                <w:rStyle w:val="IndexLink"/>
                <w:rtl w:val="true"/>
              </w:rPr>
              <w:tab/>
            </w:r>
            <w:r>
              <w:rPr>
                <w:rStyle w:val="IndexLink"/>
              </w:rPr>
              <w:t>88</w:t>
            </w:r>
          </w:hyperlink>
        </w:p>
        <w:p>
          <w:pPr>
            <w:pStyle w:val="Contents3"/>
            <w:tabs>
              <w:tab w:val="clear" w:pos="8459"/>
              <w:tab w:val="right" w:pos="9026" w:leader="dot"/>
            </w:tabs>
            <w:rPr/>
          </w:pPr>
          <w:hyperlink w:anchor="__RefHeading___Toc1663808_237004111">
            <w:r>
              <w:rPr>
                <w:webHidden/>
                <w:rStyle w:val="IndexLink"/>
                <w:rtl w:val="true"/>
              </w:rPr>
              <w:t>المحور الخامس</w:t>
            </w:r>
            <w:r>
              <w:rPr>
                <w:rStyle w:val="IndexLink"/>
                <w:rtl w:val="true"/>
              </w:rPr>
              <w:t xml:space="preserve">: </w:t>
            </w:r>
            <w:r>
              <w:rPr>
                <w:rStyle w:val="IndexLink"/>
                <w:rtl w:val="true"/>
              </w:rPr>
              <w:t>ثمرة التعرّف على المقاصد</w:t>
            </w:r>
            <w:r>
              <w:rPr>
                <w:rStyle w:val="IndexLink"/>
                <w:rtl w:val="true"/>
              </w:rPr>
              <w:tab/>
            </w:r>
            <w:r>
              <w:rPr>
                <w:rStyle w:val="IndexLink"/>
              </w:rPr>
              <w:t>94</w:t>
            </w:r>
          </w:hyperlink>
        </w:p>
        <w:p>
          <w:pPr>
            <w:pStyle w:val="Contents4"/>
            <w:tabs>
              <w:tab w:val="clear" w:pos="8176"/>
              <w:tab w:val="right" w:pos="9026" w:leader="dot"/>
            </w:tabs>
            <w:rPr/>
          </w:pPr>
          <w:hyperlink w:anchor="__RefHeading___Toc1663810_237004111">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663812_237004111">
            <w:r>
              <w:rPr>
                <w:webHidden/>
                <w:rStyle w:val="IndexLink"/>
                <w:rtl w:val="true"/>
              </w:rPr>
              <w:t>المقام الأوّل</w:t>
            </w:r>
            <w:r>
              <w:rPr>
                <w:rStyle w:val="IndexLink"/>
                <w:rtl w:val="true"/>
              </w:rPr>
              <w:t xml:space="preserve">: </w:t>
            </w:r>
            <w:r>
              <w:rPr>
                <w:rStyle w:val="IndexLink"/>
                <w:rtl w:val="true"/>
              </w:rPr>
              <w:t>تقديم أحد المتزاحمين على الآخر لأجل التعرّف على المقاصد</w:t>
            </w:r>
            <w:r>
              <w:rPr>
                <w:rStyle w:val="IndexLink"/>
                <w:rtl w:val="true"/>
              </w:rPr>
              <w:tab/>
            </w:r>
            <w:r>
              <w:rPr>
                <w:rStyle w:val="IndexLink"/>
              </w:rPr>
              <w:t>94</w:t>
            </w:r>
          </w:hyperlink>
        </w:p>
        <w:p>
          <w:pPr>
            <w:pStyle w:val="Contents5"/>
            <w:tabs>
              <w:tab w:val="clear" w:pos="7892"/>
              <w:tab w:val="right" w:pos="9026" w:leader="dot"/>
            </w:tabs>
            <w:rPr/>
          </w:pPr>
          <w:hyperlink w:anchor="__RefHeading___Toc1663814_237004111">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663816_237004111">
            <w:r>
              <w:rPr>
                <w:webHidden/>
                <w:rStyle w:val="IndexLink"/>
                <w:rtl w:val="true"/>
              </w:rPr>
              <w:t>التزاحم بين الضروريات</w:t>
            </w:r>
            <w:r>
              <w:rPr>
                <w:rStyle w:val="IndexLink"/>
                <w:rtl w:val="true"/>
              </w:rPr>
              <w:tab/>
            </w:r>
            <w:r>
              <w:rPr>
                <w:rStyle w:val="IndexLink"/>
              </w:rPr>
              <w:t>95</w:t>
            </w:r>
          </w:hyperlink>
        </w:p>
        <w:p>
          <w:pPr>
            <w:pStyle w:val="Contents6"/>
            <w:tabs>
              <w:tab w:val="clear" w:pos="7609"/>
              <w:tab w:val="right" w:pos="9026" w:leader="dot"/>
            </w:tabs>
            <w:rPr/>
          </w:pPr>
          <w:hyperlink w:anchor="__RefHeading___Toc1663818_237004111">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663820_237004111">
            <w:r>
              <w:rPr>
                <w:webHidden/>
                <w:rStyle w:val="IndexLink"/>
              </w:rPr>
              <w:t>1</w:t>
            </w:r>
            <w:r>
              <w:rPr>
                <w:rStyle w:val="IndexLink"/>
                <w:rtl w:val="true"/>
              </w:rPr>
              <w:t xml:space="preserve">. </w:t>
            </w:r>
            <w:r>
              <w:rPr>
                <w:rStyle w:val="IndexLink"/>
                <w:rtl w:val="true"/>
              </w:rPr>
              <w:t>تقديم ما لا بدل له على ما له بدل</w:t>
            </w:r>
            <w:r>
              <w:rPr>
                <w:rStyle w:val="IndexLink"/>
                <w:rtl w:val="true"/>
              </w:rPr>
              <w:tab/>
            </w:r>
            <w:r>
              <w:rPr>
                <w:rStyle w:val="IndexLink"/>
              </w:rPr>
              <w:t>97</w:t>
            </w:r>
          </w:hyperlink>
        </w:p>
        <w:p>
          <w:pPr>
            <w:pStyle w:val="Contents6"/>
            <w:tabs>
              <w:tab w:val="clear" w:pos="7609"/>
              <w:tab w:val="right" w:pos="9026" w:leader="dot"/>
            </w:tabs>
            <w:rPr/>
          </w:pPr>
          <w:hyperlink w:anchor="__RefHeading___Toc1663822_237004111">
            <w:r>
              <w:rPr>
                <w:webHidden/>
                <w:rStyle w:val="IndexLink"/>
              </w:rPr>
              <w:t>2</w:t>
            </w:r>
            <w:r>
              <w:rPr>
                <w:rStyle w:val="IndexLink"/>
                <w:rtl w:val="true"/>
              </w:rPr>
              <w:t xml:space="preserve">. </w:t>
            </w:r>
            <w:r>
              <w:rPr>
                <w:rStyle w:val="IndexLink"/>
                <w:rtl w:val="true"/>
              </w:rPr>
              <w:t>تقديم المضيّق على الموسّع</w:t>
            </w:r>
            <w:r>
              <w:rPr>
                <w:rStyle w:val="IndexLink"/>
                <w:rtl w:val="true"/>
              </w:rPr>
              <w:tab/>
            </w:r>
            <w:r>
              <w:rPr>
                <w:rStyle w:val="IndexLink"/>
              </w:rPr>
              <w:t>97</w:t>
            </w:r>
          </w:hyperlink>
        </w:p>
        <w:p>
          <w:pPr>
            <w:pStyle w:val="Contents6"/>
            <w:tabs>
              <w:tab w:val="clear" w:pos="7609"/>
              <w:tab w:val="right" w:pos="9026" w:leader="dot"/>
            </w:tabs>
            <w:rPr/>
          </w:pPr>
          <w:hyperlink w:anchor="__RefHeading___Toc1663824_237004111">
            <w:r>
              <w:rPr>
                <w:webHidden/>
                <w:rStyle w:val="IndexLink"/>
              </w:rPr>
              <w:t>3</w:t>
            </w:r>
            <w:r>
              <w:rPr>
                <w:rStyle w:val="IndexLink"/>
                <w:rtl w:val="true"/>
              </w:rPr>
              <w:t xml:space="preserve">. </w:t>
            </w:r>
            <w:r>
              <w:rPr>
                <w:rStyle w:val="IndexLink"/>
                <w:rtl w:val="true"/>
              </w:rPr>
              <w:t>سبق امتثال أحد الحكمين زماناً</w:t>
            </w:r>
            <w:r>
              <w:rPr>
                <w:rStyle w:val="IndexLink"/>
                <w:rtl w:val="true"/>
              </w:rPr>
              <w:tab/>
            </w:r>
            <w:r>
              <w:rPr>
                <w:rStyle w:val="IndexLink"/>
              </w:rPr>
              <w:t>97</w:t>
            </w:r>
          </w:hyperlink>
        </w:p>
        <w:p>
          <w:pPr>
            <w:pStyle w:val="Contents6"/>
            <w:tabs>
              <w:tab w:val="clear" w:pos="7609"/>
              <w:tab w:val="right" w:pos="9026" w:leader="dot"/>
            </w:tabs>
            <w:rPr/>
          </w:pPr>
          <w:hyperlink w:anchor="__RefHeading___Toc1663826_237004111">
            <w:r>
              <w:rPr>
                <w:webHidden/>
                <w:rStyle w:val="IndexLink"/>
              </w:rPr>
              <w:t>4</w:t>
            </w:r>
            <w:r>
              <w:rPr>
                <w:rStyle w:val="IndexLink"/>
                <w:rtl w:val="true"/>
              </w:rPr>
              <w:t xml:space="preserve">. </w:t>
            </w:r>
            <w:r>
              <w:rPr>
                <w:rStyle w:val="IndexLink"/>
                <w:rtl w:val="true"/>
              </w:rPr>
              <w:t>تقديم الواجب المطلق على المشروط</w:t>
            </w:r>
            <w:r>
              <w:rPr>
                <w:rStyle w:val="IndexLink"/>
                <w:rtl w:val="true"/>
              </w:rPr>
              <w:tab/>
            </w:r>
            <w:r>
              <w:rPr>
                <w:rStyle w:val="IndexLink"/>
              </w:rPr>
              <w:t>98</w:t>
            </w:r>
          </w:hyperlink>
        </w:p>
        <w:p>
          <w:pPr>
            <w:pStyle w:val="Contents5"/>
            <w:tabs>
              <w:tab w:val="clear" w:pos="7892"/>
              <w:tab w:val="right" w:pos="9026" w:leader="dot"/>
            </w:tabs>
            <w:rPr/>
          </w:pPr>
          <w:hyperlink w:anchor="__RefHeading___Toc1663828_237004111">
            <w:r>
              <w:rPr>
                <w:webHidden/>
                <w:rStyle w:val="IndexLink"/>
                <w:rtl w:val="true"/>
              </w:rPr>
              <w:t>التزاحم بين الضررين</w:t>
            </w:r>
            <w:r>
              <w:rPr>
                <w:rStyle w:val="IndexLink"/>
                <w:rtl w:val="true"/>
              </w:rPr>
              <w:tab/>
            </w:r>
            <w:r>
              <w:rPr>
                <w:rStyle w:val="IndexLink"/>
              </w:rPr>
              <w:t>99</w:t>
            </w:r>
          </w:hyperlink>
        </w:p>
        <w:p>
          <w:pPr>
            <w:pStyle w:val="Contents4"/>
            <w:tabs>
              <w:tab w:val="clear" w:pos="8176"/>
              <w:tab w:val="right" w:pos="9026" w:leader="dot"/>
            </w:tabs>
            <w:rPr/>
          </w:pPr>
          <w:hyperlink w:anchor="__RefHeading___Toc1663830_237004111">
            <w:r>
              <w:rPr>
                <w:webHidden/>
                <w:rStyle w:val="IndexLink"/>
                <w:rtl w:val="true"/>
              </w:rPr>
              <w:t>المقام الثاني</w:t>
            </w:r>
            <w:r>
              <w:rPr>
                <w:rStyle w:val="IndexLink"/>
                <w:rtl w:val="true"/>
              </w:rPr>
              <w:t xml:space="preserve">: </w:t>
            </w:r>
            <w:r>
              <w:rPr>
                <w:rStyle w:val="IndexLink"/>
                <w:rtl w:val="true"/>
              </w:rPr>
              <w:t>استكشاف الحكم من التعرّف على مقاصد الشريعة</w:t>
            </w:r>
            <w:r>
              <w:rPr>
                <w:rStyle w:val="IndexLink"/>
                <w:rtl w:val="true"/>
              </w:rPr>
              <w:tab/>
            </w:r>
            <w:r>
              <w:rPr>
                <w:rStyle w:val="IndexLink"/>
              </w:rPr>
              <w:t>101</w:t>
            </w:r>
          </w:hyperlink>
        </w:p>
        <w:p>
          <w:pPr>
            <w:pStyle w:val="Contents2"/>
            <w:tabs>
              <w:tab w:val="clear" w:pos="8743"/>
              <w:tab w:val="right" w:pos="9026" w:leader="dot"/>
            </w:tabs>
            <w:rPr/>
          </w:pPr>
          <w:hyperlink w:anchor="__RefHeading___Toc1663832_237004111">
            <w:r>
              <w:rPr>
                <w:webHidden/>
                <w:rStyle w:val="IndexLink"/>
                <w:rtl w:val="true"/>
              </w:rPr>
              <w:t>فهرس المصادر</w:t>
            </w:r>
            <w:r>
              <w:rPr>
                <w:rStyle w:val="IndexLink"/>
                <w:rtl w:val="true"/>
              </w:rPr>
              <w:tab/>
            </w:r>
            <w:r>
              <w:rPr>
                <w:rStyle w:val="IndexLink"/>
              </w:rPr>
              <w:t>105</w:t>
            </w:r>
          </w:hyperlink>
        </w:p>
        <w:p>
          <w:pPr>
            <w:pStyle w:val="Contents2"/>
            <w:tabs>
              <w:tab w:val="clear" w:pos="8743"/>
              <w:tab w:val="right" w:pos="9026" w:leader="dot"/>
            </w:tabs>
            <w:rPr/>
          </w:pPr>
          <w:hyperlink w:anchor="__RefHeading___Toc1663834_237004111">
            <w:r>
              <w:rPr>
                <w:webHidden/>
                <w:rStyle w:val="IndexLink"/>
                <w:rtl w:val="true"/>
              </w:rPr>
              <w:t>فهرس المحتويات</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50_59993"/>
      <w:bookmarkStart w:id="1" w:name="pg6250_59993"/>
      <w:bookmarkEnd w:id="1"/>
    </w:p>
    <w:p>
      <w:pPr>
        <w:pStyle w:val="Heading2"/>
        <w:numPr>
          <w:ilvl w:val="1"/>
          <w:numId w:val="1"/>
        </w:numPr>
        <w:rPr/>
      </w:pPr>
      <w:bookmarkStart w:id="2" w:name="pg6250_59993"/>
      <w:bookmarkStart w:id="3" w:name="__RefHeading___Toc1663678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Sobhani Tabrizi, Jafar</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أهل البیت علیهم السلام بین السنة 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موجزة للتعرف علی اهل البیت علیهم السلام و مصادر فتاواهم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موجزة للتعرف علی اهل البیت علیهم السلام و مصادر فتاواهم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Fourteen Innocents of Shiite -- Virtues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Apologetic works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Authoritativeness (Islamic law)</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6063605</w:t>
      </w:r>
    </w:p>
    <w:p>
      <w:pPr>
        <w:pStyle w:val="BookText"/>
        <w:rPr/>
      </w:pPr>
      <w:r>
        <w:rPr>
          <w:rFonts w:ascii="Amiri" w:hAnsi="Amiri" w:eastAsia="Amiri" w:cs="Amiri"/>
          <w:color w:val="111111"/>
          <w:sz w:val="28"/>
          <w:sz w:val="28"/>
          <w:szCs w:val="28"/>
          <w:rtl w:val="true"/>
          <w:lang w:bidi="ar-SA"/>
        </w:rPr>
        <w:t xml:space="preserve">وضعيت ركورد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3680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أهل البيت عليهم السلام بين السنّة والشيعة</w:t>
      </w:r>
    </w:p>
    <w:p>
      <w:pPr>
        <w:pStyle w:val="BookText"/>
        <w:rPr/>
      </w:pPr>
      <w:r>
        <w:rPr>
          <w:rFonts w:ascii="Amiri" w:hAnsi="Amiri" w:eastAsia="Amiri" w:cs="Amiri"/>
          <w:color w:val="111111"/>
          <w:sz w:val="28"/>
          <w:sz w:val="28"/>
          <w:szCs w:val="28"/>
          <w:rtl w:val="true"/>
          <w:lang w:bidi="ar-SA"/>
        </w:rPr>
        <w:t>فقه أهل البيت عليهم السلام</w:t>
      </w:r>
    </w:p>
    <w:p>
      <w:pPr>
        <w:pStyle w:val="BookText"/>
        <w:rPr/>
      </w:pPr>
      <w:r>
        <w:rPr>
          <w:rFonts w:ascii="Amiri" w:hAnsi="Amiri" w:eastAsia="Amiri" w:cs="Amiri"/>
          <w:color w:val="111111"/>
          <w:sz w:val="28"/>
          <w:sz w:val="28"/>
          <w:szCs w:val="28"/>
          <w:rtl w:val="true"/>
          <w:lang w:bidi="ar-SA"/>
        </w:rPr>
        <w:t>بين السنّة والشيعة</w:t>
      </w:r>
    </w:p>
    <w:p>
      <w:pPr>
        <w:pStyle w:val="BookText"/>
        <w:rPr/>
      </w:pPr>
      <w:r>
        <w:rPr>
          <w:rFonts w:ascii="Amiri" w:hAnsi="Amiri" w:eastAsia="Amiri" w:cs="Amiri"/>
          <w:color w:val="111111"/>
          <w:sz w:val="28"/>
          <w:sz w:val="28"/>
          <w:szCs w:val="28"/>
          <w:rtl w:val="true"/>
          <w:lang w:bidi="ar-SA"/>
        </w:rPr>
        <w:t>دراسة موجزة للتعرّف على أهل البيت عليهم السلام ومصادر فتاواهم</w:t>
      </w:r>
    </w:p>
    <w:p>
      <w:pPr>
        <w:pStyle w:val="BookText"/>
        <w:rPr/>
      </w:pPr>
      <w:r>
        <w:rPr>
          <w:rFonts w:ascii="Amiri" w:hAnsi="Amiri" w:eastAsia="Amiri" w:cs="Amiri"/>
          <w:color w:val="111111"/>
          <w:sz w:val="28"/>
          <w:sz w:val="28"/>
          <w:szCs w:val="28"/>
          <w:rtl w:val="true"/>
          <w:lang w:bidi="ar-SA"/>
        </w:rPr>
        <w:t>وحجّيتها على كافة المسلمين ورجوع كبار الفقهاء إليهم</w:t>
      </w:r>
    </w:p>
    <w:p>
      <w:pPr>
        <w:pStyle w:val="BookText"/>
        <w:rPr/>
      </w:pPr>
      <w:r>
        <w:rPr>
          <w:rFonts w:ascii="Amiri" w:hAnsi="Amiri" w:eastAsia="Amiri" w:cs="Amiri"/>
          <w:color w:val="111111"/>
          <w:sz w:val="28"/>
          <w:sz w:val="28"/>
          <w:szCs w:val="28"/>
          <w:rtl w:val="true"/>
          <w:lang w:bidi="ar-SA"/>
        </w:rPr>
        <w:t>ودراسة مصادر وخصائص المدرسة الفقهية للشيعة الإمامية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الفقيه المحقّق</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IRNazanin" w:hAnsi="IRNazanin" w:eastAsia="IRNazanin"/>
          <w:color w:val="111111"/>
          <w:sz w:val="28"/>
          <w:sz w:val="28"/>
          <w:szCs w:val="28"/>
          <w:rtl w:val="true"/>
          <w:lang w:bidi="fa-IR"/>
        </w:rPr>
        <w:t>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 xml:space="preserve">السبحاني التبريزي، جعفر،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فقه أهل البيت عليهم السلام بين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جعفر السبحاني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نويسى بر اساس اطلاعات فيپا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كتابنامه همچنين به صورت زيرنويس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أهل اليت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فقهى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 297/159</w:t>
      </w:r>
    </w:p>
    <w:p>
      <w:pPr>
        <w:pStyle w:val="BookText"/>
        <w:rPr/>
      </w:pPr>
      <w:r>
        <w:rPr>
          <w:rFonts w:eastAsia="Times New Roman" w:cs="Times New Roman" w:ascii="Times New Roman" w:hAnsi="Times New Roman"/>
          <w:color w:val="111111"/>
          <w:sz w:val="28"/>
          <w:szCs w:val="28"/>
          <w:lang w:val="en-US" w:bidi="en-US"/>
        </w:rPr>
        <w:t>1398</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أهل البيت عليهم السلام بين السنّة والشيعة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حول فقه الإمامية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رقعي</w:t>
      </w:r>
    </w:p>
    <w:p>
      <w:pPr>
        <w:pStyle w:val="BookText"/>
        <w:rPr/>
      </w:pPr>
      <w:r>
        <w:rPr>
          <w:rFonts w:ascii="Amiri" w:hAnsi="Amiri" w:eastAsia="Amiri" w:cs="Amiri"/>
          <w:color w:val="111111"/>
          <w:sz w:val="28"/>
          <w:sz w:val="28"/>
          <w:szCs w:val="28"/>
          <w:rtl w:val="true"/>
          <w:lang w:bidi="ar-SA"/>
        </w:rPr>
        <w:t>التنضيد والإخراج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مكتبة التوحيد</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ساحة الشهداء</w:t>
      </w:r>
    </w:p>
    <w:p>
      <w:pPr>
        <w:pStyle w:val="BookText"/>
        <w:rPr/>
      </w:pPr>
      <w:r>
        <w:rPr>
          <w:rFonts w:eastAsia="IRNazanin" w:cs="IRNazanin"/>
          <w:color w:val="111111"/>
          <w:sz w:val="28"/>
          <w:szCs w:val="28"/>
          <w:lang w:bidi="fa-IR"/>
        </w:rPr>
        <w:t>37745457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http://www.imamsadiq.org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http://www.Tohid.ir</w:t>
      </w:r>
      <w:bookmarkStart w:id="7" w:name="pg6250_5999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663682_237004111"/>
      <w:bookmarkStart w:id="9" w:name="_Toc3"/>
      <w:bookmarkEnd w:id="8"/>
      <w:r>
        <w:rPr>
          <w:rtl w:val="true"/>
        </w:rPr>
        <w:t>فقه أهل البيت عليهم السلام بين السنّة والشيعة</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أهل البيت عليهم السلام بين السنّة والشيعة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وخاتم رسله محمد المصطفى، وعلى آله الطيبين الطاهرين، وصحبه الميامين وعباد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نتقدم بالشكر الوافر إلى كافة المشاركين في هذا المحفل العلمي الكريم، ونخصّ بالذكر الأخوة المشرفين، ومسؤولي جامعة قطر العامرة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الّذي نحن بصدد دراسته، يحتل أهمية بارزة على</w:t>
      </w:r>
    </w:p>
    <w:p>
      <w:pPr>
        <w:pStyle w:val="BookText"/>
        <w:rPr/>
      </w:pPr>
      <w:r>
        <w:rPr>
          <w:rFonts w:ascii="Amiri" w:hAnsi="Amiri" w:eastAsia="Amiri" w:cs="Amiri"/>
          <w:color w:val="111111"/>
          <w:sz w:val="28"/>
          <w:sz w:val="28"/>
          <w:szCs w:val="28"/>
          <w:rtl w:val="true"/>
          <w:lang w:bidi="ar-SA"/>
        </w:rPr>
        <w:t>صعيد الوحدة الإسلامية المنشودة، وسنبحثه في فصلين بينهما ارتباط وثيق،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أهل البيت وفقههم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المدرسة الفقهية للشيعة الإمامية، المقتبسة من أهل البيت وفقههم، المصادر والخصائص، ودور العرف والعادة والسيرة وبناء العقلاء، ومقاصد الشريعة في مباحث الفقه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bookmarkStart w:id="10" w:name="pg6250_60001"/>
    </w:p>
    <w:p>
      <w:pPr>
        <w:pStyle w:val="Heading2"/>
        <w:numPr>
          <w:ilvl w:val="1"/>
          <w:numId w:val="1"/>
        </w:numPr>
        <w:rPr/>
      </w:pPr>
      <w:bookmarkStart w:id="11" w:name="__RefHeading___Toc1663684_237004111"/>
      <w:bookmarkStart w:id="12" w:name="_Toc4"/>
      <w:bookmarkEnd w:id="10"/>
      <w:bookmarkEnd w:id="11"/>
      <w:r>
        <w:rPr>
          <w:rtl w:val="true"/>
        </w:rPr>
        <w:t>الفصل الأوّل</w:t>
      </w:r>
      <w:r>
        <w:rPr>
          <w:rtl w:val="true"/>
        </w:rPr>
        <w:t xml:space="preserve">: </w:t>
      </w:r>
      <w:r>
        <w:rPr>
          <w:rtl w:val="true"/>
        </w:rPr>
        <w:t>التعرّف على أهل البيت وفقههم</w:t>
      </w:r>
      <w:bookmarkEnd w:id="12"/>
    </w:p>
    <w:p>
      <w:pPr>
        <w:pStyle w:val="Heading3"/>
        <w:numPr>
          <w:ilvl w:val="2"/>
          <w:numId w:val="1"/>
        </w:numPr>
        <w:rPr/>
      </w:pPr>
      <w:bookmarkStart w:id="13" w:name="__RefHeading___Toc1663686_237004111"/>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التعرّف على أهل البيت وفقههم</w:t>
      </w:r>
    </w:p>
    <w:p>
      <w:pPr>
        <w:pStyle w:val="BookText"/>
        <w:rPr/>
      </w:pPr>
      <w:r>
        <w:rPr>
          <w:rFonts w:ascii="Amiri" w:hAnsi="Amiri" w:eastAsia="Amiri" w:cs="Amiri"/>
          <w:color w:val="111111"/>
          <w:sz w:val="28"/>
          <w:sz w:val="28"/>
          <w:szCs w:val="28"/>
          <w:rtl w:val="true"/>
          <w:lang w:bidi="ar-SA"/>
        </w:rPr>
        <w:t>وفيه محاور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هم أهل البيت؟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الدليل على حجّية فتاواهم على المسلمين كافة؟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فتاواهم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كبار الفقهاء إلى أئمة أهل البيت في أعصارهم</w:t>
      </w:r>
      <w:bookmarkStart w:id="15" w:name="pg6250_60003"/>
    </w:p>
    <w:p>
      <w:pPr>
        <w:pStyle w:val="Heading3"/>
        <w:numPr>
          <w:ilvl w:val="2"/>
          <w:numId w:val="1"/>
        </w:numPr>
        <w:rPr/>
      </w:pPr>
      <w:bookmarkStart w:id="16" w:name="__RefHeading___Toc1663688_237004111"/>
      <w:bookmarkStart w:id="17" w:name="_Toc6"/>
      <w:bookmarkEnd w:id="15"/>
      <w:bookmarkEnd w:id="16"/>
      <w:r>
        <w:rPr>
          <w:rtl w:val="true"/>
        </w:rPr>
        <w:t>المحور الأوّل</w:t>
      </w:r>
      <w:r>
        <w:rPr>
          <w:rtl w:val="true"/>
        </w:rPr>
        <w:t xml:space="preserve">: </w:t>
      </w:r>
      <w:r>
        <w:rPr>
          <w:rtl w:val="true"/>
        </w:rPr>
        <w:t>مَن هم أهل البيت؟</w:t>
      </w:r>
      <w:bookmarkEnd w:id="17"/>
    </w:p>
    <w:p>
      <w:pPr>
        <w:pStyle w:val="Heading4"/>
        <w:numPr>
          <w:ilvl w:val="3"/>
          <w:numId w:val="1"/>
        </w:numPr>
        <w:rPr/>
      </w:pPr>
      <w:bookmarkStart w:id="18" w:name="__RefHeading___Toc1663690_237004111"/>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مَن هم أهل البيت؟</w:t>
      </w:r>
    </w:p>
    <w:p>
      <w:p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منهما واضح المعنى، إنّما الكلام فيما إذا أضيف الأهل إلى البيت أو إلى الرجل فماذا يراد منها؟</w:t>
      </w:r>
    </w:p>
    <w:p>
      <w:pPr>
        <w:pStyle w:val="BookText"/>
        <w:rPr/>
      </w:pPr>
      <w:r>
        <w:rPr>
          <w:rFonts w:ascii="Amiri" w:hAnsi="Amiri" w:eastAsia="Amiri" w:cs="Amiri"/>
          <w:color w:val="111111"/>
          <w:sz w:val="28"/>
          <w:sz w:val="28"/>
          <w:szCs w:val="28"/>
          <w:rtl w:val="true"/>
          <w:lang w:bidi="ar-SA"/>
        </w:rPr>
        <w:t>هنا آراء ثلاثة في تفسير المراد من المركب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تشمل كل من له صلة وطيدة مؤكدة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نسب أو سبب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والرجل، من غير فرق بين الأزواج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هذا من كتب اللغة وموارد استعمالها في الكتاب والسنّة، وفي ما ورثناه من الأدب والشعر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تختصّ بالزوجات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تختصّ بالأولاد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الرأيين الأخيرين شاذ، يخالف نصوص القرآن والسنة، فالقرآن الكريم استعمل الأهل في زوجة موسى، قال سبحانه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bookmarkStart w:id="20" w:name="pg6250_60004"/>
    </w:p>
    <w:p>
      <w:pPr>
        <w:pStyle w:val="BookText"/>
        <w:rPr/>
      </w:pPr>
      <w:bookmarkEnd w:id="20"/>
      <w:r>
        <w:rPr>
          <w:rFonts w:ascii="Amiri" w:hAnsi="Amiri" w:eastAsia="Amiri" w:cs="Amiri"/>
          <w:color w:val="111111"/>
          <w:sz w:val="28"/>
          <w:sz w:val="28"/>
          <w:szCs w:val="28"/>
          <w:rtl w:val="true"/>
          <w:lang w:bidi="ar-SA"/>
        </w:rPr>
        <w:t>قَضى مُوسَى الْأَجَلَ وَ سارَ بِأَهْلِهِ آنَسَ مِنْ جانِبِ الطُّورِ ناراً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واستعملها أيضاً في الأولاد، قال سبحانه حاكياً عن نوح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مِنْ أَهْلِي وَ إِنَّ وَعْدَكَ الْحَقُّ</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كما هو واضح لمن تدبر في خطاب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دلائل متوفرة في استعمال الأهل المضاف إلى البيت والرجل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يتعلّق بتحديد المفهوم، وهنا بحث آخر، وهو أنّه هل أُريد من آية التطهير كل من انتمى إلى البيت من أزواج وأولاد، أو أنّ هناك قرائن خاصة على أنّ المقصود قسمٌ من المنتمين إليه؟ وليس الثاني أمراً غريباً لأنّ المفهوم العام قد يطلق ويراد به جميع المنتمين، وقد يطلق ويراد به بعضهم، ونحن نعتقد بالثاني، وأنّ المراد غير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ذلك القرائن الأربع</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663692_237004111"/>
      <w:bookmarkStart w:id="22" w:name="_Toc8"/>
      <w:bookmarkEnd w:id="21"/>
      <w:r>
        <w:rPr>
          <w:rtl w:val="true"/>
        </w:rPr>
        <w:t>الأُولى</w:t>
      </w:r>
      <w:r>
        <w:rPr>
          <w:rtl w:val="true"/>
        </w:rPr>
        <w:t xml:space="preserve">: </w:t>
      </w:r>
      <w:r>
        <w:rPr>
          <w:rtl w:val="true"/>
        </w:rPr>
        <w:t>إفراد البيت في مقابل البيوت</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أنّه سبحانه في سورة الأحزاب عندما يخاطب نساء النبي</w:t>
      </w:r>
      <w:bookmarkStart w:id="23" w:name="pg6250_60005"/>
    </w:p>
    <w:p>
      <w:pPr>
        <w:pStyle w:val="BookText"/>
        <w:rPr/>
      </w:pPr>
      <w:bookmarkEnd w:id="23"/>
      <w:r>
        <w:rPr>
          <w:rFonts w:ascii="Amiri" w:hAnsi="Amiri" w:eastAsia="Amiri" w:cs="Amiri"/>
          <w:color w:val="111111"/>
          <w:sz w:val="28"/>
          <w:sz w:val="28"/>
          <w:szCs w:val="28"/>
          <w:rtl w:val="true"/>
          <w:lang w:bidi="ar-SA"/>
        </w:rPr>
        <w:t>يأتي بصيغة الجمع،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اذْكُرْنَ ما يُتْلى فِي بُيُوتِكُنَّ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يصل إلى آل النبي يأتي بصيغة المفرد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أهل البيوت بصيغة الجمع غير أهل البيت بصيغة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المراد من أهل البيت نساءه وأزواجه لما عدل عن صيغة الجمع الّتي أتى بها مرتين في آية بعد آية، إلى الإفراد</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663694_237004111"/>
      <w:bookmarkStart w:id="25" w:name="_Toc9"/>
      <w:bookmarkEnd w:id="24"/>
      <w:r>
        <w:rPr>
          <w:rtl w:val="true"/>
        </w:rPr>
        <w:t>الثانية</w:t>
      </w:r>
      <w:r>
        <w:rPr>
          <w:rtl w:val="true"/>
        </w:rPr>
        <w:t xml:space="preserve">: </w:t>
      </w:r>
      <w:r>
        <w:rPr>
          <w:rtl w:val="true"/>
        </w:rPr>
        <w:t>اللام في أهل البيت للعهد</w:t>
      </w:r>
      <w:bookmarkEnd w:id="25"/>
    </w:p>
    <w:p>
      <w:pPr>
        <w:pStyle w:val="BookText"/>
        <w:rPr/>
      </w:pPr>
      <w:r>
        <w:rPr>
          <w:rFonts w:ascii="Amiri" w:hAnsi="Amiri" w:eastAsia="Amiri" w:cs="Amiri"/>
          <w:color w:val="111111"/>
          <w:sz w:val="28"/>
          <w:sz w:val="28"/>
          <w:szCs w:val="28"/>
          <w:rtl w:val="true"/>
          <w:lang w:bidi="ar-SA"/>
        </w:rPr>
        <w:t>إنّ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للجنس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الاحتمال منتفٍ قطعاً على وجه لا يحتاج إلى بيان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 وهذا الاحتمال كسابقه، إذ ليست الآية بصدد بيان جميع البيوت في العالم</w:t>
      </w:r>
      <w:r>
        <w:rPr>
          <w:rFonts w:eastAsia="Amiri" w:cs="Amiri" w:ascii="Amiri" w:hAnsi="Amiri"/>
          <w:color w:val="111111"/>
          <w:sz w:val="28"/>
          <w:szCs w:val="28"/>
          <w:rtl w:val="true"/>
          <w:lang w:bidi="ar-SA"/>
        </w:rPr>
        <w:t>.</w:t>
      </w:r>
      <w:bookmarkStart w:id="26" w:name="pg6250_60006"/>
    </w:p>
    <w:p>
      <w:pPr>
        <w:pStyle w:val="BookText"/>
        <w:rPr/>
      </w:pPr>
      <w:bookmarkEnd w:id="26"/>
      <w:r>
        <w:rPr>
          <w:rFonts w:ascii="Amiri" w:hAnsi="Amiri" w:eastAsia="Amiri" w:cs="Amiri"/>
          <w:color w:val="111111"/>
          <w:sz w:val="28"/>
          <w:sz w:val="28"/>
          <w:szCs w:val="28"/>
          <w:rtl w:val="true"/>
          <w:lang w:bidi="ar-SA"/>
        </w:rPr>
        <w:t>فتعين الثالث وهو أن تكون مشيرة إلى بيت واحد معهود بين المتكلم والمخاطب، ولذا يجب التعرف على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بادئ النظر يحتمل أحد بيوت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للنبي بيت خاصّ مستقلّ عن بيوت أزواجه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الآية مشيرة إلى بيت واحد من بيوت أزواجه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تكون الآية مشيرة إلى بيت فاطمة الّتي هي من أهله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للأوّل إذ لم يكن للنبي بيت مستقل، وإنّما كان بيته هو بيوت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الثاني كالأوّل لعدم تحقق العهدية في واحدمن هذه البيوت، لأنّ بيوت الأزواج كانت عند النبي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لواحد منها خصوصية تميّزه عن غيره حتّى تشير الآية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الاحتمال الثالث وهو بيت أولاده، وهو بيت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لفاطمة بيت بجوار بيوت أزواجه تسكن فيه مع ولديها وزوجها</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663696_237004111"/>
      <w:bookmarkStart w:id="28" w:name="_Toc10"/>
      <w:bookmarkEnd w:id="27"/>
      <w:r>
        <w:rPr>
          <w:rtl w:val="true"/>
        </w:rPr>
        <w:t>الثالثة</w:t>
      </w:r>
      <w:r>
        <w:rPr>
          <w:rtl w:val="true"/>
        </w:rPr>
        <w:t xml:space="preserve">: </w:t>
      </w:r>
      <w:r>
        <w:rPr>
          <w:rtl w:val="true"/>
        </w:rPr>
        <w:t>الإرادة في الآية تكوينية</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قرينة ثالثة تثبت انّ المراد غير نساءه وهو دراسة الإرادة الواردة في الآية، فهل هي إرادة تشريعية أو تكوينية؟</w:t>
      </w:r>
    </w:p>
    <w:p>
      <w:pPr>
        <w:pStyle w:val="BookText"/>
        <w:rPr/>
      </w:pPr>
      <w:r>
        <w:rPr>
          <w:rFonts w:ascii="Amiri" w:hAnsi="Amiri" w:eastAsia="Amiri" w:cs="Amiri"/>
          <w:color w:val="111111"/>
          <w:sz w:val="28"/>
          <w:sz w:val="28"/>
          <w:szCs w:val="28"/>
          <w:rtl w:val="true"/>
          <w:lang w:bidi="ar-SA"/>
        </w:rPr>
        <w:t>أمّا الأُولى فيراد بها تعلّق إرادته سبحانه بتشريع حكم من الأحكام وبعث الناس إلى العمل به ومن المعلوم أنّه لا مجال لتعلّق الإرادة التشريعية المتعلقة بمجموعة خاصة، فإن إرادته سبحانه الدائرة على التطهير، إرادة عامة لا خاصة،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عَلَيْكُمْ مِنَ السَّماءِ ماءً لِيُطَهِّرَكُمْ بِهِ وَ يُذْهِبَ عَنْكُمْ رِجْزَ الشَّيْطانِ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الثانية فهي ما تكون الإرادة تكوينية التي لا تنفك عن المراد فإذا كانت الإرادة تكوينية وكان المراد من الرجس النقائص الدينية التي تجعل الإنسان موجوداً مكروهاً كالجسم الملوّث بالقذارة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ذاك لا يمكن أن يُراد بأهل البيت عليهم السلام أزواج النبيّ صلى الله عليه و آله و سلم لأن لحن القرآن فيهن غير لحن التحصين والتجليل، وعليك ملاحظة الآيات التالية، فإنّ الطابع الغالب عليها هو الإنذار والتحذير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كُنْتُنَّ تُرِدْنَ الْحَياةَ الدُّنْيا وَ زِينَتَها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الْجاهِلِيَّةِ الْأُولى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إلى ذلك ما ورد في سورة التحريم حول زوجتيه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التهديد المخيف،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w:t>
      </w:r>
      <w:bookmarkStart w:id="29" w:name="pg6250_60008"/>
    </w:p>
    <w:p>
      <w:pPr>
        <w:pStyle w:val="BookText"/>
        <w:rPr/>
      </w:pPr>
      <w:bookmarkEnd w:id="29"/>
      <w:r>
        <w:rPr>
          <w:rFonts w:ascii="Amiri" w:hAnsi="Amiri" w:eastAsia="Amiri" w:cs="Amiri"/>
          <w:color w:val="111111"/>
          <w:sz w:val="28"/>
          <w:sz w:val="28"/>
          <w:szCs w:val="28"/>
          <w:rtl w:val="true"/>
          <w:lang w:bidi="ar-SA"/>
        </w:rPr>
        <w:t>فَقَدْ صَغَتْ قُلُوبُكُما وَ إِنْ تَظاهَرا عَلَيْهِ فَإِنَّ اللّهَ هُوَ مَوْلاهُ وَ جِبْرِيلُ وَ صالِحُ الْمُؤْمِنِينَ</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كلّ ذلك يبين لنا مكانة أزواجه صلى الله عليه و آله و سلم أو أكثرها وأنهنّ لم يصلن إلى مرتبة جليلة تميّزهن عن سائر النساء؛ بل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رَبُّهُ إِنْ طَلَّقَكُنَّ أَنْ يُبْدِلَهُ أَزْواجاً خَيْراً مِنْكُنَّ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يدل على أنّه كانت في المجتمع آنذاك مَن هنّ أسمى منهن في درجات الإيمان، والطاعة للّه ولرسوله، وبما أنّهنّ كنّ ذوات صلة بالرسول الأكرم صلى الله عليه و آله و سلم فاللّه سبحانه يهدّدهن بضعف العذاب عند المعصية، وضعف الأجر عند الطاعة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663698_237004111"/>
      <w:bookmarkStart w:id="31" w:name="_Toc11"/>
      <w:bookmarkEnd w:id="30"/>
      <w:r>
        <w:rPr>
          <w:rtl w:val="true"/>
        </w:rPr>
        <w:t>الرابعة</w:t>
      </w:r>
      <w:r>
        <w:rPr>
          <w:rtl w:val="true"/>
        </w:rPr>
        <w:t xml:space="preserve">: </w:t>
      </w:r>
      <w:r>
        <w:rPr>
          <w:rtl w:val="true"/>
        </w:rPr>
        <w:t>المراد بيت النبوة</w:t>
      </w:r>
      <w:bookmarkEnd w:id="31"/>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البيت المبنيّ من الأحجار والأخشاب، تشبيهاً للمعقول بالمحسوس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وعندئذ لا يمكن أن يُعدّ من أهله، كل من انتمى إلى النبي صلى الله عليه و آله و سلم عن طريق السبب والنسب فقط، بل اللازم عدُّ مَن انتمى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أحد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بوشائج معنوية خاصة على وجه يصحّ عند ملاحظتها، عدُّهم أهلاً لذلك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الوشائج عبارة عن</w:t>
      </w:r>
      <w:bookmarkStart w:id="32" w:name="pg6250_60009"/>
    </w:p>
    <w:p>
      <w:pPr>
        <w:pStyle w:val="BookText"/>
        <w:rPr/>
      </w:pPr>
      <w:bookmarkEnd w:id="32"/>
      <w:r>
        <w:rPr>
          <w:rFonts w:ascii="Amiri" w:hAnsi="Amiri" w:eastAsia="Amiri" w:cs="Amiri"/>
          <w:color w:val="111111"/>
          <w:sz w:val="28"/>
          <w:sz w:val="28"/>
          <w:szCs w:val="28"/>
          <w:rtl w:val="true"/>
          <w:lang w:bidi="ar-SA"/>
        </w:rPr>
        <w:t>النزاهة في الروح والفكر، والصلاح والتُّقى في مقام العمل، وعلى ضوء هذا لا يصح تفسير الآية بكل المنتسبين إليه صلى الله عليه و آله و سلم عن طريق الأواصر المادية والروابط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أخذنا بهذا التفسير، فالقدر المتيقّن ممّن ينتمي إلى ذلك البيت الشامخ، هو علي وفاطمة وابناهما، الذين شهد التاريخ بسموّ منزلتهم وشموخ فكرهم ونزاهة آرائهم ونُشدانهم لرضا اللّه سبحانه في أقوالهم وأفعالهم، إلى غير ذلك من المناقب والفضائل الّتي اكتسبوها من النبي صلى الله عليه و آله و سلم فصاروا كمرايا له، يحكون صفاته وأخلاقه وسجاياه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نكتفي في إيضاح الآية واختصاصها ببيت فاطمة وولديها وزوجها بهذه القرائن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مشكلة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هذه الآية جاءت في ثنايا خطابه سبحانه لنساء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فسيوافيك الكلام فيه عن قريب</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663700_237004111"/>
      <w:bookmarkStart w:id="34" w:name="_Toc12"/>
      <w:bookmarkEnd w:id="33"/>
      <w:r>
        <w:rPr>
          <w:rtl w:val="true"/>
        </w:rPr>
        <w:t>أهل البيت عليهم السلام في لسان النبي الأكرم صلى الله عليه و آله و سلم</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توصّلنا إليه في كلامنا المتقدّم، هو من معطيات الآية الكريمة فقط، مع غضّ النظر عما ورد حولها من السنة الشريفة، ولكنّنا إذا فتحنا هذا الباب، فسنجد في هذا الصدد خمساً وثلاثين رواية تنتهي أسانيدها إلى أقطاب الحديث من الصحابة،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p>
    <w:p>
      <w:pPr>
        <w:pStyle w:val="BookText"/>
        <w:rPr/>
      </w:pPr>
      <w:r>
        <w:rPr>
          <w:rFonts w:ascii="Amiri" w:hAnsi="Amiri" w:eastAsia="Amiri" w:cs="Amiri"/>
          <w:color w:val="111111"/>
          <w:sz w:val="28"/>
          <w:sz w:val="28"/>
          <w:szCs w:val="28"/>
          <w:rtl w:val="true"/>
          <w:lang w:bidi="ar-SA"/>
        </w:rPr>
        <w:t>الخدري، وأنس بن مالك، وابن عباس، وأبو هريرة، وسعد بن أبي وقاص، وغيرهم، ترفع الخفاء عن وجه دلالة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للنبيّ صلى الله عليه و آله و سلم أساليب مختلفة في التعريف بأهل البيت، كما تكشف عن ذلك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يصرّح صلى الله عليه و آله و سلم بأسماء من نزلت الآية في حقهم حتّى يتعين المنزول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يلجأ إلى أسلوب عمليّ للتعريف بهم، فيجلّلهم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وحدهم بكساء ويمنع غيرهم من الدخول فيه، ثم يشير بيده إلى السماء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لكل نبي أهل بيت وهؤلاء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صلى الله عليه و آله و سلم يرمي من وراء ذلك، تأكيد اختصاص الآية بهؤلاء المجلّلين بالكساء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أسلوب آخر، عرضته لنا الروايات، وهو أنّه صلى الله عليه و آله و سلم كان يمر ببيت فاطمة عدة شهور كلما خرج إلى الصلاة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أهل البيت، ويتلو الآية المباركة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الأُستاذ عبدالفتاح عبد المقصود، وهو يعلّق على فعل الرسول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النبيّ كان في مستهلّ كل يوم، يردّد ويكرّر ما يردّد ويكرّر، لكي يحفر في القلوب والأذهان أنّ آل بيته هؤلاء هم أعلى مقاماً، وآثر على اللّه ورسوله، وأحقّ بالمودة والرعاية والاتّباع</w:t>
      </w:r>
    </w:p>
    <w:p>
      <w:pPr>
        <w:pStyle w:val="BookText"/>
        <w:rPr/>
      </w:pPr>
      <w:r>
        <w:rPr>
          <w:rFonts w:ascii="Amiri" w:hAnsi="Amiri" w:eastAsia="Amiri" w:cs="Amiri"/>
          <w:color w:val="111111"/>
          <w:sz w:val="28"/>
          <w:sz w:val="28"/>
          <w:szCs w:val="28"/>
          <w:rtl w:val="true"/>
          <w:lang w:bidi="ar-SA"/>
        </w:rPr>
        <w:t>من الخلق أجمعين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وإليك روايتين فقط ممّا ورد في هذا المجال من الروايات المتضافرة أو المتواترة التي يقف عليها المتبع في الصحاح والمسانيد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في صحيحه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النبي صلى الله عليه و آله و سلم 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الترمذي في سننه عن عمر بن أبي سلمة ربيب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في بيت أُم سلمة فدعا فاطمة وحسناً وحسيناً فجللهم بكساء، وعليٌّ خلف ظهره فجللهم بكساء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bookmarkStart w:id="35" w:name="pg6250_60012"/>
    </w:p>
    <w:p>
      <w:pPr>
        <w:pStyle w:val="BookText"/>
        <w:rPr/>
      </w:pPr>
      <w:bookmarkEnd w:id="35"/>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وأنت على خير</w:t>
      </w:r>
      <w:r>
        <w:rPr>
          <w:rFonts w:eastAsia="Amiri" w:cs="Amiri" w:ascii="Amiri" w:hAnsi="Amiri"/>
          <w:color w:val="111111"/>
          <w:sz w:val="28"/>
          <w:szCs w:val="28"/>
          <w:rtl w:val="true"/>
          <w:lang w:bidi="ar-SA"/>
        </w:rPr>
        <w:t>».</w:t>
      </w:r>
      <w:r>
        <w:rPr>
          <w:rStyle w:val="FootnoteAnchor"/>
          <w:rtl w:val="true"/>
        </w:rPr>
        <w:footnoteReference w:id="14"/>
      </w:r>
    </w:p>
    <w:p>
      <w:pPr>
        <w:pStyle w:val="Heading4"/>
        <w:numPr>
          <w:ilvl w:val="3"/>
          <w:numId w:val="1"/>
        </w:numPr>
        <w:rPr/>
      </w:pPr>
      <w:bookmarkStart w:id="36" w:name="__RefHeading___Toc1663702_237004111"/>
      <w:bookmarkStart w:id="37" w:name="_Toc13"/>
      <w:bookmarkEnd w:id="36"/>
      <w:r>
        <w:rPr>
          <w:rtl w:val="true"/>
        </w:rPr>
        <w:t>مشكلة السياق</w:t>
      </w:r>
      <w:bookmarkEnd w:id="37"/>
    </w:p>
    <w:p>
      <w:pPr>
        <w:pStyle w:val="BookText"/>
        <w:rPr/>
      </w:pPr>
      <w:r>
        <w:rPr>
          <w:rFonts w:ascii="Amiri" w:hAnsi="Amiri" w:eastAsia="Amiri" w:cs="Amiri"/>
          <w:color w:val="111111"/>
          <w:sz w:val="28"/>
          <w:sz w:val="28"/>
          <w:szCs w:val="28"/>
          <w:rtl w:val="true"/>
          <w:lang w:bidi="ar-SA"/>
        </w:rPr>
        <w:t>قد سبق أنّه ربما يستدل على اختصاص الآية بنساء النبيّ، بسياق الآيات فانّ آية التطهير وردت في ثنايا هذه الآيات</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663704_237004111"/>
      <w:bookmarkStart w:id="39" w:name="_Toc14"/>
      <w:bookmarkEnd w:id="38"/>
      <w:r>
        <w:rPr>
          <w:rtl w:val="true"/>
        </w:rPr>
        <w:t>آية التطهير آية مستقلة</w:t>
      </w:r>
      <w:bookmarkEnd w:id="3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هذا الإشكال في الندوة من غير واحد من الحضار، غير أنّ مفتاح المشكلة أمر غفل عنه أكثرهم، وهو أنّ الأحاديث الشريفة المروية في هذا المجال قد نصّت على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برأسها، وهذا يعني أنّها غير متصلة بتلك الآيات النازلة في نساء النبي صلى الله عليه و آله و سلم غير أنّ النبي أمر بوضعها في ذلك المحل</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والذي يشهد على ذلك لسان كثير من الروايات سواء أفسّر بالخمسة الطاهرين أم بزوجات النبي صلى الله عليه و آله و سلم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الطبري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بيت طهرهم اللّه من السوء وخصّهم برحمة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عن أبي سعيد الخدري قال،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 كما روى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و سلم ذات غداة وعليه مرط مرحّل من شعر أسود فجاء الحسن فأدخله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أنس أنّ النبي صلى الله عليه و آله و سلم كان يمر ببيت فاطمة ستة أشهر كلما خرج إلى الصلاة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إنّما يريد اللّه ليذهب عنكم الرجس أهل البيت، أضف إلى ذلك انّ عكرمة كان يمشي في الأسواق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مستعد للمباهلة في مورد نزول الآية، أي أنّ خصوص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 المباهلة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والقارئ الكريم إذا قرأ تفسير الطبري حول الآية يجد بوضوح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مستقلة من غير فرق بين نزولها في الخمسة الطاهرة أو في غيرهم فعلى هذا يسقط الاستدلال بالسياق، لأنّه لم تكن جزءاً من الآية الواردة فيها عند نزولها وإنّما نزلت مستقلة، ووضعت بأمر النبي في محلّها لعلاقة واضحة بين مضمون الآية وما تقدمها من الروايات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وجه آخر وهو أنّ من دأب البلغاء التكلّم في موضوع</w:t>
      </w:r>
    </w:p>
    <w:p>
      <w:pPr>
        <w:pStyle w:val="BookText"/>
        <w:rPr/>
      </w:pPr>
      <w:r>
        <w:rPr>
          <w:rFonts w:ascii="Amiri" w:hAnsi="Amiri" w:eastAsia="Amiri" w:cs="Amiri"/>
          <w:color w:val="111111"/>
          <w:sz w:val="28"/>
          <w:sz w:val="28"/>
          <w:szCs w:val="28"/>
          <w:rtl w:val="true"/>
          <w:lang w:bidi="ar-SA"/>
        </w:rPr>
        <w:t>وقبل إنهاء الكلام فيه، الانتقال إلى موضوع آخر، ثمّ العودة إلى الموضوع الأوّل، كلّ ذلك لعلاقة بين الموضوعين وله نظائر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ففي هذه الآية يتكلم عن حكم النساء المطلقات وقبل إنهاء الكلام ينتقل إلى حكم الصلوات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إلى الموضوع الأوّل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لِلْمُطَلَّقاتِ مَتاعٌ بِالْمَعْرُوفِ حَقًّا عَلَى الْمُتَّقِينَ</w:t>
      </w:r>
      <w:r>
        <w:rPr>
          <w:rFonts w:eastAsia="Amiri" w:cs="Amiri" w:ascii="Amiri" w:hAnsi="Amiri"/>
          <w:color w:val="111111"/>
          <w:sz w:val="28"/>
          <w:szCs w:val="28"/>
          <w:rtl w:val="true"/>
          <w:lang w:bidi="ar-SA"/>
        </w:rPr>
        <w:t>» .</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القرآن البليغ أمر بحفظ الصلوات في أثناء كلامه في النساء من المطلقات والمتوفى عنهن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رَأى قَمِيصَهُ قُدَّ مِنْ دُبُرٍ قالَ إِنَّهُ مِنْ كَيْدِكُنَّ 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 وَ اسْتَغْفِرِي لِذَنْبِكِ إِنَّكِ كُنْتِ مِنَ الْخاطِئِينَ</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ترى أنّ العزيز يخاطب زوجته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كَيْدِكُنَّ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ينتقل إلى يوسف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إلى زوجته ويقول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اسْتَغْفِرِي لِذَنْبِكِ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الْمُلُوكَ إِذا دَخَلُوا قَرْيَةً أَفْسَدُوها وَ جَعَلُوا أَعِزَّةَ أَهْلِها أَذِلَّةً وَ كَذلِكَ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مُرْسِلَةٌ إِلَيْهِمْ بِهَدِيَّةٍ فَناظِرَةٌ بِمَ يَرْجِعُ الْمُرْسَلُونَ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ترى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أثناء كلام الملكة، وهو ليس من كلامها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إِبْراهِيمَ إِذْ قالَ لِقَوْمِهِ اعْبُدُوا اللّهَ وَ اتَّقُوهُ ذلِكُمْ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واستمر الكلام حول إبراهيم إلى الآية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الكلام عنه وبدأ سبحانه يسلّي النبي مقروناً بذكر المعاد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تُكَذِّبُوا فَقَدْ كَذَّبَ أُمَمٌ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الآية الثالثة والعشرين، ثم عاد الكلام إلى بيان مصير إبراهيم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جَوابَ قَوْمِهِ إِلاّ أَنْ قالُوا اقْتُلُوهُ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فظهر من كلّ ذلك أنّ الانتقال من موضوع إلى موضوع آخر قبل انهاء الكلام في الموضوع الأوّل من شؤون البلغاء وعلى رأسهم كلام اللّه المجيد، ابلغ الكلام وأفصحه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 باقتضاب بل لمناسبة بين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مانع من الانتقال إلى بيان طهارة أهل البيت عليهم السلام من الرجس ثم العودة إلى الموضوع المتقدم أعني ما يتعلّق بأحكام نساء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العلاقة بين الموضوعين، حيث جاء ذكر أهل البيت وطهارتهم عن الرجس في أثناء الكلام في نساء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ذلك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نسائه بصفوةٍ بلغوا في الورع والتقوى، الذروة العليا، وفي الطهارة عن الرذائل والمساوئ، القمة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استحقوا أن يكونوا أُسوة في الحياة وقدوة في مجال العمل، فيلزم عليهنّ أن يقتدينّ بهم ويستضيئنّ بضوئهم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على أنّ حياتهنّ مقرونة بحياة صفوةٍ طاهرة من الرجس ومطهّرة من الدنس، ولهن معهم لحمة القرابة ووصلة الحسب، واللازم عليهن الحفاظ على شؤون هذه القرابة بالابتعاد</w:t>
      </w:r>
    </w:p>
    <w:p>
      <w:pPr>
        <w:pStyle w:val="BookText"/>
        <w:rPr/>
      </w:pPr>
      <w:r>
        <w:rPr>
          <w:rFonts w:ascii="Amiri" w:hAnsi="Amiri" w:eastAsia="Amiri" w:cs="Amiri"/>
          <w:color w:val="111111"/>
          <w:sz w:val="28"/>
          <w:sz w:val="28"/>
          <w:szCs w:val="28"/>
          <w:rtl w:val="true"/>
          <w:lang w:bidi="ar-SA"/>
        </w:rPr>
        <w:t>عن المعاصي والمساوئ، والتحلّي بما يرضيه سبحانه، ولأجل 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هذا إلّا لقرابتهنّ منه صلى الله عليه و آله و سلم وصلتهنّ بأهل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تنفكّ عن المسؤولية الخاصّة، فالانتساب للنبي الأكرم صلى الله عليه و آله و سلم ولبيته الرفيع، سبب المسؤولية ومنشؤها، وفي ضوء هذين الوجهين صحّ أن يطرح طهارة أهل البيت في أثناء المحاورة مع نساء النبيّ والكلام حول شؤونهنّ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يسقط الإحتجاج بوحدة السياق حيث إنّه دليل بلا دليل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يتمّ الكلام في الصغرى أي من هم أهل البيت، وحان الوقت للتعرف على حجية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المحور الثاني في هذا الفصل</w:t>
      </w:r>
      <w:r>
        <w:rPr>
          <w:rFonts w:eastAsia="Amiri" w:cs="Amiri" w:ascii="Amiri" w:hAnsi="Amiri"/>
          <w:color w:val="111111"/>
          <w:sz w:val="28"/>
          <w:szCs w:val="28"/>
          <w:rtl w:val="true"/>
          <w:lang w:bidi="ar-SA"/>
        </w:rPr>
        <w:t>.</w:t>
      </w:r>
      <w:bookmarkStart w:id="40" w:name="pg6250_60018"/>
    </w:p>
    <w:p>
      <w:pPr>
        <w:pStyle w:val="Heading3"/>
        <w:numPr>
          <w:ilvl w:val="2"/>
          <w:numId w:val="1"/>
        </w:numPr>
        <w:rPr/>
      </w:pPr>
      <w:bookmarkStart w:id="41" w:name="__RefHeading___Toc1663706_237004111"/>
      <w:bookmarkStart w:id="42" w:name="_Toc15"/>
      <w:bookmarkEnd w:id="40"/>
      <w:bookmarkEnd w:id="41"/>
      <w:r>
        <w:rPr>
          <w:rtl w:val="true"/>
        </w:rPr>
        <w:t xml:space="preserve">المحور الثاني </w:t>
      </w:r>
      <w:r>
        <w:rPr>
          <w:rtl w:val="true"/>
        </w:rPr>
        <w:t xml:space="preserve">: </w:t>
      </w:r>
      <w:r>
        <w:rPr>
          <w:rtl w:val="true"/>
        </w:rPr>
        <w:t>حجّية فتاواهم</w:t>
      </w:r>
      <w:bookmarkEnd w:id="42"/>
    </w:p>
    <w:p>
      <w:pPr>
        <w:pStyle w:val="BookText"/>
        <w:rPr/>
      </w:pPr>
      <w:r>
        <w:rPr>
          <w:rFonts w:ascii="Amiri" w:hAnsi="Amiri" w:eastAsia="Amiri" w:cs="Amiri"/>
          <w:color w:val="111111"/>
          <w:sz w:val="28"/>
          <w:sz w:val="28"/>
          <w:szCs w:val="28"/>
          <w:rtl w:val="true"/>
          <w:lang w:bidi="ar-SA"/>
        </w:rPr>
        <w:t>على المسلمين كافّة هذا هو المحور الثاني في مقالنا، وهو بيت القصيد،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الدليل على حجّية فقه أهل البيت عليهم السلام وفتاواهم على عامة المسلمين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المسلمين وان اختلفوا بعد رحيل الرسول صلى الله عليه و آله و سلم في صيغة الخلافة وانها هل هي منصب تنصيصي أو منصب انتخابي ولكل من الطائفتين رأي ونظر ودليل، ونحن لا نحوم حول هذا الموضوع، ولكن الّذي أحبُّ أن أُنوّه عليه، هو أنّه على الرغم من الخلاف المذكور، فإنّهم متفقون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الحديث المتضافر، بل المتواتر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أهل البيت هم المرجع الفكري والعلمي والشرعي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محيص للمسلم من الرجوع إليهم وأخذ دينه وشريعته عنهم، استجابة لوصيّة النبي الأكرم صلى الله عليه و آله و سلم الّذي جعلهم المفزع بعده، مبيّناً أنّ الكتاب والعترة توأمان لا يفترقان، وهنا نشير إلى بعض ألفاظ حديث الثقلين كما وردت في الصحاح والمسانيد، ولا يمكننا في هذه العجالة حتّى الإشارة إلى أسماء من روى هذا الحديث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يوماً فينا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أخرج الترمذي عن جابر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 الله عليه و آله و سلم في حجته يوم عرفة وهو على ناقته القصواء يخطب،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إنّي تركت فيكم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الترمذي أيضاً عن زيد بن أرقم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يفترقا حتّى يردا عليّ</w:t>
      </w:r>
    </w:p>
    <w:p>
      <w:pPr>
        <w:pStyle w:val="BookText"/>
        <w:rPr/>
      </w:pPr>
      <w:r>
        <w:rPr>
          <w:rFonts w:ascii="Amiri" w:hAnsi="Amiri" w:eastAsia="Amiri" w:cs="Amiri"/>
          <w:color w:val="111111"/>
          <w:sz w:val="28"/>
          <w:sz w:val="28"/>
          <w:szCs w:val="28"/>
          <w:rtl w:val="true"/>
          <w:lang w:bidi="ar-SA"/>
        </w:rPr>
        <w:t>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في مسنده أنّ النبي الأكرم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وعترتي أهل بيتي، وأنّهما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في مسنده من حديث أبي سعيد الخدري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وإنّي تارك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عزوجل، وعترتي؛ كتاب اللّه حبل ممدود من السماء إلى الأرض، وعترتي أهل بيتي، وأنّ اللطيف الخبير أخبرني أنّهما 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في مستدركه على الصحيحين عن زيد بن أرقم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 وأنّهما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الحاكم في المستدرك من حديث زيد بن أرقم أنّه صلى الله عليه و آله و سلم قال في منصرفه من حجة الوداع ونزوله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w:t>
      </w:r>
    </w:p>
    <w:p>
      <w:pPr>
        <w:pStyle w:val="BookText"/>
        <w:rPr/>
      </w:pPr>
      <w:r>
        <w:rPr>
          <w:rFonts w:ascii="Amiri" w:hAnsi="Amiri" w:eastAsia="Amiri" w:cs="Amiri"/>
          <w:color w:val="111111"/>
          <w:sz w:val="28"/>
          <w:sz w:val="28"/>
          <w:szCs w:val="28"/>
          <w:rtl w:val="true"/>
          <w:lang w:bidi="ar-SA"/>
        </w:rPr>
        <w:t>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فانظروا كيف تخلّفوني فيهما،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يستفاد من حديث الثقلين أُمور مهمة، لو عُنَيت بها الأُمّة لاجتمعت على مائدة أهل البيت، واستطابت ألوانها،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اقتران العترة الطاهرة بالقرآن الكريم فيه إشارة إلى أنّ عندهم علم القرآن، علماً لائقاً بشأنه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التمسّك بالكتاب والعترة يعصم من الضلالة ولا يغني أحدهما عن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يحرم التقدّم على العترة كما يحرم الابتعاد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العترة لا تفارق الكتاب، وانّهما مستمرّان إلى يوم القيامة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بعد نقل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يُتمسّك منهم إمامهم وعالمهم علي بن أبي طالب كرم اللّه وجهه، لما قدمناه من مزيد علمه ودقائق مستنبطه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إنّ الإمعان في حديث الثقلين يثبت بوضوح حجية فتاواهم وآرائهم وأقوالهم، وأن من أخذ بها فقد أخذ من معين صافٍ، كيف لا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يفيد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قرناء القرآن وأعداله، لا يختلفان ولا يفترقان، فكما يُعصَم من تمسك بالقرآن من الغيّ والضلال، فكذلك يعصم منهما من تمسك بأهل البيت، وكما أنّ القرآن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 الّذي لا يغُشّ، والهادي الّذي لا يُضلّ، والمحدِّث الّذي لا يكذب</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فإنّ أهل البيت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أزمّة الحقّ، وأعلام الدين، وألسنة الصدق</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نتكلم في دلالة حديث الثقلين، ولنكتفِ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كانت هذه مكانة أهل البيت ومنزلتهم في حديث الرسول صلى الله عليه و آله و سلم فما هو مصدر علومهم وفتاواهم في الأحكام الشرعية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سنبحثه الآن، وهو المحور الثالث للفصل الأوّل</w:t>
      </w:r>
      <w:r>
        <w:rPr>
          <w:rFonts w:eastAsia="IRNazanin" w:cs="IRNazanin"/>
          <w:color w:val="111111"/>
          <w:sz w:val="28"/>
          <w:szCs w:val="28"/>
          <w:rtl w:val="true"/>
          <w:lang w:bidi="fa-IR"/>
        </w:rPr>
        <w:t>.</w:t>
      </w:r>
      <w:bookmarkStart w:id="43" w:name="pg6250_60023"/>
    </w:p>
    <w:p>
      <w:pPr>
        <w:pStyle w:val="Heading3"/>
        <w:numPr>
          <w:ilvl w:val="2"/>
          <w:numId w:val="1"/>
        </w:numPr>
        <w:rPr/>
      </w:pPr>
      <w:bookmarkStart w:id="44" w:name="__RefHeading___Toc1663708_237004111"/>
      <w:bookmarkStart w:id="45" w:name="_Toc16"/>
      <w:bookmarkEnd w:id="43"/>
      <w:bookmarkEnd w:id="44"/>
      <w:r>
        <w:rPr>
          <w:rtl w:val="true"/>
        </w:rPr>
        <w:t>المحور الثالث</w:t>
      </w:r>
      <w:r>
        <w:rPr>
          <w:rtl w:val="true"/>
        </w:rPr>
        <w:t xml:space="preserve">: </w:t>
      </w:r>
      <w:r>
        <w:rPr>
          <w:rtl w:val="true"/>
        </w:rPr>
        <w:t>مصادر فتاواهم</w:t>
      </w:r>
      <w:bookmarkEnd w:id="45"/>
    </w:p>
    <w:p>
      <w:pPr>
        <w:pStyle w:val="Heading4"/>
        <w:numPr>
          <w:ilvl w:val="3"/>
          <w:numId w:val="1"/>
        </w:numPr>
        <w:rPr/>
      </w:pPr>
      <w:bookmarkStart w:id="46" w:name="__RefHeading___Toc1663710_237004111"/>
      <w:bookmarkStart w:id="47" w:name="_Toc17"/>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مصادر فتاواهم</w:t>
      </w:r>
    </w:p>
    <w:p>
      <w:pPr>
        <w:pStyle w:val="BookText"/>
        <w:rPr/>
      </w:pPr>
      <w:r>
        <w:rPr>
          <w:rFonts w:ascii="Amiri" w:hAnsi="Amiri" w:eastAsia="Amiri" w:cs="Amiri"/>
          <w:color w:val="111111"/>
          <w:sz w:val="28"/>
          <w:sz w:val="28"/>
          <w:szCs w:val="28"/>
          <w:rtl w:val="true"/>
          <w:lang w:bidi="ar-SA"/>
        </w:rPr>
        <w:t>إنّ لعلوم أهل البيت عليهم السلام مصادر نشير إلى أبرزها</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663712_237004111"/>
      <w:bookmarkStart w:id="49" w:name="_Toc18"/>
      <w:bookmarkEnd w:id="48"/>
      <w:r>
        <w:rPr/>
        <w:t>1</w:t>
      </w:r>
      <w:r>
        <w:rPr>
          <w:rtl w:val="true"/>
        </w:rPr>
        <w:t xml:space="preserve">. </w:t>
      </w:r>
      <w:r>
        <w:rPr>
          <w:rtl w:val="true"/>
        </w:rPr>
        <w:t>استنطاق كتاب اللّه العزيز</w:t>
      </w:r>
      <w:bookmarkEnd w:id="49"/>
    </w:p>
    <w:p>
      <w:pPr>
        <w:pStyle w:val="BookText"/>
        <w:rPr/>
      </w:pPr>
      <w:r>
        <w:rPr>
          <w:rFonts w:ascii="Amiri" w:hAnsi="Amiri" w:eastAsia="Amiri" w:cs="Amiri"/>
          <w:color w:val="111111"/>
          <w:sz w:val="28"/>
          <w:sz w:val="28"/>
          <w:szCs w:val="28"/>
          <w:rtl w:val="true"/>
          <w:lang w:bidi="ar-SA"/>
        </w:rPr>
        <w:t>لقد آتى اللّه سبحانه أئمة أهل البيت فهماً خاصاً لكتاب اللّه العزيز يستنبطون منه أحكاماً شرعية قلّما يتفق لغيرهم مثله، ونذكر في المقام نموذجين حتّى تُعرف بهما نظائرهما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عهد الخلافة، أُتي بامرأة قد ولدت لستة أشهر فأُمر بها أن تُرجم فقال علي بن أبي طالب رضى الله عنه ليس ذلك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فالرضاعة أربعة وعشرون شهراً</w:t>
      </w:r>
    </w:p>
    <w:p>
      <w:pPr>
        <w:pStyle w:val="BookText"/>
        <w:rPr/>
      </w:pPr>
      <w:r>
        <w:rPr>
          <w:rFonts w:ascii="Amiri" w:hAnsi="Amiri" w:eastAsia="Amiri" w:cs="Amiri"/>
          <w:color w:val="111111"/>
          <w:sz w:val="28"/>
          <w:sz w:val="28"/>
          <w:szCs w:val="28"/>
          <w:rtl w:val="true"/>
          <w:lang w:bidi="ar-SA"/>
        </w:rPr>
        <w:t>والحمل ستة أشهر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هنا أنّ الإمام علي عليه السلام قد استنطق كتاب اللّه في مدة أقل الحمل واستخرجها من ضم آية إلى آية أُخرى، وهذا هو المعروف في ألسن الأُصوليين بدلالة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المحدث الطائر الصيت ابن شهرآشوب المازندراني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يمحو ما قبله،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فكتب المتوكّل إلى الإمام علي الهادي عليه السلام</w:t>
      </w:r>
      <w:r>
        <w:rPr>
          <w:rStyle w:val="FootnoteAnchor"/>
          <w:rtl w:val="true"/>
        </w:rPr>
        <w:footnoteReference w:id="34"/>
      </w:r>
      <w:r>
        <w:rPr>
          <w:rFonts w:ascii="Amiri" w:hAnsi="Amiri" w:eastAsia="Amiri" w:cs="Amiri"/>
          <w:color w:val="111111"/>
          <w:sz w:val="28"/>
          <w:sz w:val="28"/>
          <w:szCs w:val="28"/>
          <w:rtl w:val="true"/>
          <w:lang w:bidi="ar-SA"/>
        </w:rPr>
        <w:t>يسأله، فلمّا قرأ الكتاب،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حتى يموت، فأنكر الفقهاء ذلك، فكتب إليه يسأله عن العلة، فكتب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الهادي عليه السلام ببيانه هذا قد شقّ طريقاً خاصّاً لاستنباط</w:t>
      </w:r>
      <w:bookmarkStart w:id="50" w:name="pg6250_60025"/>
    </w:p>
    <w:p>
      <w:pPr>
        <w:pStyle w:val="BookText"/>
        <w:rPr/>
      </w:pPr>
      <w:bookmarkEnd w:id="50"/>
      <w:r>
        <w:rPr>
          <w:rFonts w:ascii="Amiri" w:hAnsi="Amiri" w:eastAsia="Amiri" w:cs="Amiri"/>
          <w:color w:val="111111"/>
          <w:sz w:val="28"/>
          <w:sz w:val="28"/>
          <w:szCs w:val="28"/>
          <w:rtl w:val="true"/>
          <w:lang w:bidi="ar-SA"/>
        </w:rPr>
        <w:t>الأحكام من الذكر الحكيم، طريقاً لم يكن يحلم به فقهاء عصره، وكانوا يزعمون أنّ مصادر الأحكام الشرعية هي الآيات الواضحة في مجال الفقه الّتي تبلغ قرابة ثلاثمائة آية، وبذلك أبان للقرآن وجهاً خاصّاً لدلالته، لا يلتفت إليه إلّامن نزل القرآن في بيته</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663714_237004111"/>
      <w:bookmarkStart w:id="52" w:name="_Toc19"/>
      <w:bookmarkEnd w:id="51"/>
      <w:r>
        <w:rPr/>
        <w:t>2</w:t>
      </w:r>
      <w:r>
        <w:rPr>
          <w:rtl w:val="true"/>
        </w:rPr>
        <w:t xml:space="preserve">. </w:t>
      </w:r>
      <w:r>
        <w:rPr>
          <w:rtl w:val="true"/>
        </w:rPr>
        <w:t>سنة رسول اللّه صلى الله عليه و آله و سلم</w:t>
      </w:r>
      <w:bookmarkEnd w:id="52"/>
    </w:p>
    <w:p>
      <w:pPr>
        <w:pStyle w:val="Heading5"/>
        <w:numPr>
          <w:ilvl w:val="4"/>
          <w:numId w:val="1"/>
        </w:numPr>
        <w:rPr/>
      </w:pPr>
      <w:bookmarkStart w:id="53" w:name="__RefHeading___Toc1663716_237004111"/>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إنّ المصدر الثاني لفقه أهل البيت هو سنة رسول اللّه صلى الله عليه و آله و سلم الّتي وصلتهم عن طريقين رئيسين هما</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663718_237004111"/>
      <w:bookmarkStart w:id="56" w:name="_Toc21"/>
      <w:bookmarkEnd w:id="55"/>
      <w:r>
        <w:rPr>
          <w:rtl w:val="true"/>
        </w:rPr>
        <w:t>أ</w:t>
      </w:r>
      <w:r>
        <w:rPr>
          <w:rtl w:val="true"/>
        </w:rPr>
        <w:t xml:space="preserve">. </w:t>
      </w:r>
      <w:r>
        <w:rPr>
          <w:rtl w:val="true"/>
        </w:rPr>
        <w:t>السماع عنه صلى الله عليه و آله و سلم</w:t>
      </w:r>
      <w:bookmarkEnd w:id="56"/>
    </w:p>
    <w:p>
      <w:pPr>
        <w:pStyle w:val="BookText"/>
        <w:rPr/>
      </w:pPr>
      <w:r>
        <w:rPr>
          <w:rFonts w:ascii="Amiri" w:hAnsi="Amiri" w:eastAsia="Amiri" w:cs="Amiri"/>
          <w:color w:val="111111"/>
          <w:sz w:val="28"/>
          <w:sz w:val="28"/>
          <w:szCs w:val="28"/>
          <w:rtl w:val="true"/>
          <w:lang w:bidi="ar-SA"/>
        </w:rPr>
        <w:t>يروي أئمة أهل البيت كثيراً من سنة النبي الأكرم صلى الله عليه و آله و سلم عن طريق السماع كابراً عن كابر، فمثلاً يروي الإمام الصادق عن أبيه الباقر عن أبيه زين العابدين إلى أن ينتهي السند إلى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الرواية هو المعين الصافي الّذي لم يكدّره الشك والترديد في الصحة والضبط</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أبو نُعيم الأصبهاني بعد أن روى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الإمام عليّ الرضا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ثابت مشهور بهذا الإسناد من رواية الطاهرين عن آبائهم الطيبّين، وكان بعض سلفنا من المحدّثين إذا روى 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w:t>
      </w:r>
      <w:bookmarkStart w:id="57" w:name="pg6250_60026"/>
    </w:p>
    <w:p>
      <w:pPr>
        <w:pStyle w:val="BookText"/>
        <w:rPr/>
      </w:pPr>
      <w:bookmarkEnd w:id="57"/>
      <w:r>
        <w:rPr>
          <w:rFonts w:ascii="IRNazanin" w:hAnsi="IRNazanin" w:eastAsia="IRNazanin"/>
          <w:color w:val="111111"/>
          <w:sz w:val="28"/>
          <w:sz w:val="28"/>
          <w:szCs w:val="28"/>
          <w:rtl w:val="true"/>
          <w:lang w:bidi="fa-IR"/>
        </w:rPr>
        <w:t>الإسناد على مجنون لأفاق</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وقصة هذا الحديث، هو أنّ الرضا عليه السلام لمّا وافى نيسابور، وأراد أن يخرج منها إلى المأمون العباسي، ازدحم عليه أصحاب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طليعتهم إسحاق بن راهويه، ومحمد بن رافع القشيري، ويحيى بن يحيى النيسابوري، وأحمد بن حرب،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وطلبوا منه أن يُملي عليهم حديثاً،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حدثني أبي جعفر بن محمد، حدثني أبي محمد بن علي، حدثني أبي علي بن الحسين بن علي، حدثني أبي علي بن أبي طالب رضي اللّه تعالى عنهم، حدثنا رسول اللّه صلى الله عليه و آله و سلم عن جبريل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لا إله إلّاأنا فأعبدوني، من جاءني منكم بشهادة أن لا إله إلّااللّه بالإخلاص، دخل في حصني، ومن دخل في حصني أمن من عذابي</w:t>
      </w:r>
      <w:r>
        <w:rPr>
          <w:rFonts w:eastAsia="Amiri" w:cs="Amiri" w:ascii="Amiri" w:hAnsi="Amiri"/>
          <w:color w:val="111111"/>
          <w:sz w:val="28"/>
          <w:szCs w:val="28"/>
          <w:rtl w:val="true"/>
          <w:lang w:bidi="ar-SA"/>
        </w:rPr>
        <w:t>».</w:t>
      </w:r>
      <w:r>
        <w:rPr>
          <w:rStyle w:val="FootnoteAnchor"/>
          <w:rtl w:val="true"/>
        </w:rPr>
        <w:footnoteReference w:id="38"/>
      </w:r>
    </w:p>
    <w:p>
      <w:pPr>
        <w:pStyle w:val="Heading5"/>
        <w:numPr>
          <w:ilvl w:val="4"/>
          <w:numId w:val="1"/>
        </w:numPr>
        <w:rPr/>
      </w:pPr>
      <w:bookmarkStart w:id="58" w:name="__RefHeading___Toc1663720_237004111"/>
      <w:bookmarkStart w:id="59" w:name="_Toc22"/>
      <w:bookmarkEnd w:id="58"/>
      <w:r>
        <w:rPr>
          <w:rtl w:val="true"/>
        </w:rPr>
        <w:t>ب</w:t>
      </w:r>
      <w:r>
        <w:rPr>
          <w:rtl w:val="true"/>
        </w:rPr>
        <w:t xml:space="preserve">. </w:t>
      </w:r>
      <w:r>
        <w:rPr>
          <w:rtl w:val="true"/>
        </w:rPr>
        <w:t>كتاب علي عليه السلام</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لعلي عليه السلام كتاب خاص بإملاء رسول اللّه صلى الله عليه و آله و سلم وقد حفظته العترة الطاهرة، وصدرت عنه في مواضع كثيرة ونُقلت</w:t>
      </w:r>
      <w:bookmarkStart w:id="60" w:name="pg6250_60027"/>
    </w:p>
    <w:p>
      <w:pPr>
        <w:pStyle w:val="BookText"/>
        <w:rPr/>
      </w:pPr>
      <w:bookmarkEnd w:id="60"/>
      <w:r>
        <w:rPr>
          <w:rFonts w:ascii="Amiri" w:hAnsi="Amiri" w:eastAsia="Amiri" w:cs="Amiri"/>
          <w:color w:val="111111"/>
          <w:sz w:val="28"/>
          <w:sz w:val="28"/>
          <w:szCs w:val="28"/>
          <w:rtl w:val="true"/>
          <w:lang w:bidi="ar-SA"/>
        </w:rPr>
        <w:t xml:space="preserve">نصوصه في موضوعات شتى، وقد بث الحر العاملي في موسوعته الحديثية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ذلك الكتاب حسب الأبواب الفقهية المختلفة من الطهارة إلى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كلام الإمام الحسن المجتبى عليه السلام في حق هذا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فينا ونحن أهله وهو عندنا مجموع كُلّه بحذافيره، ومنه لا يحدث شيء إلى يوم القيامة حتّى أرش الخدش إلّاوهو عندنا مكتوب بإملاء رسول اللّه صلى الله عليه و آله و سلم وخط علي عليه السلام بيده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ولأئمة أهل البيت عليهم السلام كلمات ضافية حول هذا الكتاب لا يسع المجال لذكرها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663722_237004111"/>
      <w:bookmarkStart w:id="62" w:name="_Toc23"/>
      <w:bookmarkEnd w:id="61"/>
      <w:r>
        <w:rPr/>
        <w:t>3</w:t>
      </w:r>
      <w:r>
        <w:rPr>
          <w:rtl w:val="true"/>
        </w:rPr>
        <w:t xml:space="preserve">. </w:t>
      </w:r>
      <w:r>
        <w:rPr>
          <w:rtl w:val="true"/>
        </w:rPr>
        <w:t>العلم الموهوب</w:t>
      </w:r>
      <w:bookmarkEnd w:id="62"/>
    </w:p>
    <w:p>
      <w:pPr>
        <w:pStyle w:val="BookText"/>
        <w:rPr/>
      </w:pPr>
      <w:r>
        <w:rPr>
          <w:rFonts w:ascii="Amiri" w:hAnsi="Amiri" w:eastAsia="Amiri" w:cs="Amiri"/>
          <w:color w:val="111111"/>
          <w:sz w:val="28"/>
          <w:sz w:val="28"/>
          <w:szCs w:val="28"/>
          <w:rtl w:val="true"/>
          <w:lang w:bidi="ar-SA"/>
        </w:rPr>
        <w:t>ربّما تشمل عناية اللّه سبحانه بعض عباده الصالحين فيجعلهم علماء فهماء من عنده، من دون أن يدرسوا على يد أحد، وهذا ليس بأمر غريب وله نظائر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سبحانه يصف مصاحب موسى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w:t>
      </w:r>
    </w:p>
    <w:p>
      <w:pPr>
        <w:pStyle w:val="BookText"/>
        <w:rPr/>
      </w:pPr>
      <w:r>
        <w:rPr>
          <w:rFonts w:ascii="Amiri" w:hAnsi="Amiri" w:eastAsia="Amiri" w:cs="Amiri"/>
          <w:color w:val="111111"/>
          <w:sz w:val="28"/>
          <w:sz w:val="28"/>
          <w:szCs w:val="28"/>
          <w:rtl w:val="true"/>
          <w:lang w:bidi="ar-SA"/>
        </w:rPr>
        <w:t>سبحانه في حقه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رَحْمَةً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عَلَّمْناهُ مِنْ لَدُنّا عِلْماً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فنالته رحمة اللّه وعنايته فصار عالماً بتعليم منه سبحانه، من دون أن يكون نبياً بل كان إنساناً مثالياً وولياً من أولياء اللّه سبحانه بلغ من العلم والمعرفة مكانة دعت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يطلب العلم منه حيث 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سبحانه أعطى لجليس سليمان عليه السلام علماً من الكتاب أقدره ذلك العلم على خرق العادة، كما وصفه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وهذا الجليس لم يكن نبياً ولكن كان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يَنلْه بالطرق العادية الّتي يتدرج عليها الصبيان والشباب في المدارس والجامعات، بل كان علماً إلهياً أفيض لصفاء قلبه وروحه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ذكرناه نماذج لمن شملتهم العناية الإلهية فصاروا علماء فقهاء حكماء من عند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فلنعطف نظرنا إلى الأئمة الاثني عشر فبما أنهم قد انيطت بهم عزة الدين كما في حديث الرسول صلى الله عليه و آله و سلم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منيعاً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رواه مسلم في صحيحه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أُنيطت بهم الهداية كما في حديث الثقلين حيث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فأئمة أهل البيت ليس بأقل شأناً ومكانة من مصاحب موسى أو جليس سليمان، فأي وازع من أن يحيطوا بسنن النبي وعلوم الشريعة بعلم موهوب من دون أن يكونوا أنبياء بل أنهم عيبة علم الرسول ورواة سننه بواسطة هذا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يعبر عن أسباب العلم الموهوب بكون الرجل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استفاضت الروايات بوجود رجال محدَّثين في الأُمّة الإسلامية يُلهَمون ويُلقى في روعهم شيء من العلم على وجه الإلهام والمكاشفة من المبدأ الأعلى، أو أن تُنكت لهم في قلوبهم حقائق تخفى على غيرهم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حفلت المصادر الحديثية بالعديد من الروايات المؤيدة لهذه الحقيقة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والتاريخ أصدق شاهد على علومهم في مجالي العقيدة والشريعة فقد رجعت إليهم الأُمّة، وعلى رأسهم الفقهاء في القرون الثلاثة، وأشادوا بعلوّ كعبهم في العلم والفقه، من غير فرق بين الأئمة الأربعة وغيرهم</w:t>
      </w:r>
      <w:r>
        <w:rPr>
          <w:rFonts w:eastAsia="Amiri" w:cs="Amiri" w:ascii="Amiri" w:hAnsi="Amiri"/>
          <w:color w:val="111111"/>
          <w:sz w:val="28"/>
          <w:szCs w:val="28"/>
          <w:rtl w:val="true"/>
          <w:lang w:bidi="ar-SA"/>
        </w:rPr>
        <w:t>.</w:t>
      </w:r>
      <w:bookmarkStart w:id="63" w:name="pg6250_60031"/>
    </w:p>
    <w:p>
      <w:pPr>
        <w:pStyle w:val="Heading3"/>
        <w:numPr>
          <w:ilvl w:val="2"/>
          <w:numId w:val="1"/>
        </w:numPr>
        <w:rPr/>
      </w:pPr>
      <w:bookmarkStart w:id="64" w:name="__RefHeading___Toc1663724_237004111"/>
      <w:bookmarkStart w:id="65" w:name="_Toc24"/>
      <w:bookmarkEnd w:id="63"/>
      <w:bookmarkEnd w:id="64"/>
      <w:r>
        <w:rPr>
          <w:rtl w:val="true"/>
        </w:rPr>
        <w:t>المحور الرابع</w:t>
      </w:r>
      <w:r>
        <w:rPr>
          <w:rtl w:val="true"/>
        </w:rPr>
        <w:t xml:space="preserve">: </w:t>
      </w:r>
      <w:r>
        <w:rPr>
          <w:rtl w:val="true"/>
        </w:rPr>
        <w:t>رجوع كبار الفقهاء إلى أئمة أهل البيت عليهم السلام</w:t>
      </w:r>
      <w:bookmarkEnd w:id="65"/>
    </w:p>
    <w:p>
      <w:pPr>
        <w:pStyle w:val="BookText"/>
        <w:rPr/>
      </w:pPr>
      <w:r>
        <w:rPr>
          <w:rFonts w:ascii="Amiri" w:hAnsi="Amiri" w:eastAsia="Amiri" w:cs="Amiri"/>
          <w:color w:val="111111"/>
          <w:sz w:val="28"/>
          <w:sz w:val="28"/>
          <w:szCs w:val="28"/>
          <w:rtl w:val="true"/>
          <w:lang w:bidi="ar-SA"/>
        </w:rPr>
        <w:t>كان أئمة أهل البيت عليهم السلام في عصر الصحابة والتابعين ومن بعدهم منائر العلم يستضيء بأنوار علومهم، كل من أراد الفقه والفقاهة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ابن أبي الحديد أنّ علياً عليه السلام هو أساس الفقه الإسلامي، الّذي حمل لواءه أئمة المذاهب، ثم بيّن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 أبي حنيفة كمحمد بن الحسن، وأبي يوسف، فقد أخذوا عن أبي حنيفة، وقد قرأ الشافعي على محمد بن الحسن الشيباني تلميذ أبي حنيفة، فيرجع الشافعي بهذه الواسطة إلى أبي حنيفة، وقرأ أحمد بن حنبل على الشافعي، فيرجع في فقهه إلى أبي حنيفة، وأبو حنيفة تتلمذ على الإمام جعفر بن محمد، وجعفر بن محمد ينتهي في علمه وفقهه إلى جدّه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مالك، فقد قرأ على ربيعة الرأي، وربيعة أخذ عن عكرمة، وعكرمة أخذ عن عبداللّه بن</w:t>
      </w:r>
    </w:p>
    <w:p>
      <w:pPr>
        <w:pStyle w:val="BookText"/>
        <w:rPr/>
      </w:pPr>
      <w:r>
        <w:rPr>
          <w:rFonts w:ascii="Amiri" w:hAnsi="Amiri" w:eastAsia="Amiri" w:cs="Amiri"/>
          <w:color w:val="111111"/>
          <w:sz w:val="28"/>
          <w:sz w:val="28"/>
          <w:szCs w:val="28"/>
          <w:rtl w:val="true"/>
          <w:lang w:bidi="ar-SA"/>
        </w:rPr>
        <w:t>العباس، وعبداللّه مصدره الإمام علي بن أبي طالب</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وقال الشيخ محمد زاهد الكوثري، وهو يتحدث عن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وارث علوم أصحاب ابن مسعود، وعلي بن أبي طالب رضي اللّه عنهما، الذين كانت الكوفة امتلأت بهم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وقال الكوثري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ابن مسعود بتفقيه أهل الكوفة، حتّى امتلأت الكوفة بالفقهاء، ولما انتقل علي بن أبي طالب كرم اللّه وجهه إلى الكوفة سُرّ من كثرة فقهائها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ووالى باب مدينة العلم تفقيههم، إلى أن أصبحت الكوفة لا مثيل لها في أمصار المسلمين في كثرة فقهائها ومحدثيها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فكبار أصحاب عليّ، وابن مسعود رضي اللّه عنهما بها لو دوّنت تراجمهم في كتاب خاص لأتى كتاباً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شتات علوم هؤلاء إبراهيم بن يزيد النخعيّ</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إبراهيم النخعي، أخذ حمّاد بن أبي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وعن حمّاد أخذ أبو حنيفة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مالك بن أنس، فقد أخذ عن جعفر الصادق، وروى عنه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عشر موضعاً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ولأجل بيان مكانة أئمة أهل البيت في دنيا العلم والفقه، نورد هنا كلمات بعض الأعلام في حق عدد منهم عليهم السلام، فالبحث لا يتسع لأكثر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في ترجمة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عابداً ثقة، وروى عنه الأئمة أبو حنيفة وغيره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وقال أبو حنيفة عقب إجابة جعفر الصادق عليه السلام عن أربعين مسألة هيّأها له بطلب من المنصور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أفقه من جعفر بن محمد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وقال فخر الدين الرازي عند تفسير سورة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أهل البيت كان فيهم من الأكابر من العلماء كالباقر والصادق والكاظم والرضا عليهم السلام والنفس الزكية</w:t>
      </w:r>
      <w:r>
        <w:rPr>
          <w:rStyle w:val="FootnoteAnchor"/>
          <w:rtl w:val="true"/>
        </w:rPr>
        <w:footnoteReference w:id="49"/>
      </w:r>
      <w:r>
        <w:rPr>
          <w:rFonts w:ascii="IRNazanin" w:hAnsi="IRNazanin" w:eastAsia="IRNazanin"/>
          <w:color w:val="111111"/>
          <w:sz w:val="28"/>
          <w:sz w:val="28"/>
          <w:szCs w:val="28"/>
          <w:rtl w:val="true"/>
          <w:lang w:bidi="fa-IR"/>
        </w:rPr>
        <w:t>وأمثالهم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محمد أبو زهرة عند ذكر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في هذه العجالة أن نخوض في فقه الإمام جعفر، فإن أُستاذ مالك وأبي حنيفة وسفيان بن عُيَينة، لا يمكن أن يُدرس فقهه في مثل هذه</w:t>
      </w:r>
    </w:p>
    <w:p>
      <w:pPr>
        <w:pStyle w:val="BookText"/>
        <w:rPr/>
      </w:pPr>
      <w:r>
        <w:rPr>
          <w:rFonts w:ascii="Amiri" w:hAnsi="Amiri" w:eastAsia="Amiri" w:cs="Amiri"/>
          <w:color w:val="111111"/>
          <w:sz w:val="28"/>
          <w:sz w:val="28"/>
          <w:szCs w:val="28"/>
          <w:rtl w:val="true"/>
          <w:lang w:bidi="ar-SA"/>
        </w:rPr>
        <w:t>الإلمامة</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الدكتور مصطفى الشِّيبي، وهو يتحدث عن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من قوة الشخصية، وسموّ المكانة، أن التفّ حوله المرجئة، وأهل الحديث، والزيدية</w:t>
      </w:r>
      <w:r>
        <w:rPr>
          <w:rFonts w:eastAsia="Amiri" w:cs="Amiri" w:ascii="Amiri" w:hAnsi="Amiri"/>
          <w:color w:val="111111"/>
          <w:sz w:val="28"/>
          <w:szCs w:val="28"/>
          <w:rtl w:val="true"/>
          <w:lang w:bidi="ar-SA"/>
        </w:rPr>
        <w:t>.</w:t>
      </w:r>
      <w:r>
        <w:rPr>
          <w:rStyle w:val="FootnoteAnchor"/>
          <w:rtl w:val="true"/>
        </w:rPr>
        <w:footnoteReference w:id="52"/>
      </w:r>
      <w:bookmarkStart w:id="66" w:name="pg6250_60035"/>
    </w:p>
    <w:p>
      <w:pPr>
        <w:pStyle w:val="Heading2"/>
        <w:numPr>
          <w:ilvl w:val="1"/>
          <w:numId w:val="1"/>
        </w:numPr>
        <w:rPr/>
      </w:pPr>
      <w:bookmarkStart w:id="67" w:name="__RefHeading___Toc1663726_237004111"/>
      <w:bookmarkStart w:id="68" w:name="_Toc25"/>
      <w:bookmarkEnd w:id="66"/>
      <w:bookmarkEnd w:id="67"/>
      <w:r>
        <w:rPr>
          <w:rtl w:val="true"/>
        </w:rPr>
        <w:t>الفصل الثاني المدرسة الفقهية للشيعة الإمامية المصادر والخصائص</w:t>
      </w:r>
      <w:bookmarkEnd w:id="68"/>
    </w:p>
    <w:p>
      <w:pPr>
        <w:pStyle w:val="Heading3"/>
        <w:numPr>
          <w:ilvl w:val="2"/>
          <w:numId w:val="1"/>
        </w:numPr>
        <w:rPr/>
      </w:pPr>
      <w:bookmarkStart w:id="69" w:name="__RefHeading___Toc1663728_237004111"/>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وفيه محاور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الفقه عند الشيعة الإمامية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فقه الإمامية ومميزاته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 والعادة والسيرة وبناء العقلاء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مقاصد الشريعة وأهدافها في الفقه الإمامي</w:t>
      </w:r>
    </w:p>
    <w:p>
      <w:pPr>
        <w:pStyle w:val="BookText"/>
        <w:rPr/>
      </w:pPr>
      <w:r>
        <w:rPr>
          <w:rFonts w:ascii="Amiri" w:hAnsi="Amiri" w:eastAsia="Amiri" w:cs="Amiri"/>
          <w:color w:val="111111"/>
          <w:sz w:val="28"/>
          <w:sz w:val="28"/>
          <w:szCs w:val="28"/>
          <w:rtl w:val="true"/>
          <w:lang w:bidi="ar-SA"/>
        </w:rPr>
        <w:t>يُعدّ فقه الإمامية مرآة تعكس فقه أهل البيت وآراءهم، فهو حصيلة جهود ضخمة لفطاحل علمائهم، الذين مارسوا الاجتهاد في نطاق ما روي عن أهل البيت، وهنا لابدّ من دراسة الموضوع ضمن المحورين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يصدر عنها الإمامية في فقههم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فقههم ومميزاته</w:t>
      </w:r>
      <w:r>
        <w:rPr>
          <w:rFonts w:eastAsia="Amiri" w:cs="Amiri" w:ascii="Amiri" w:hAnsi="Amiri"/>
          <w:color w:val="111111"/>
          <w:sz w:val="28"/>
          <w:szCs w:val="28"/>
          <w:rtl w:val="true"/>
          <w:lang w:bidi="ar-SA"/>
        </w:rPr>
        <w:t>.</w:t>
      </w:r>
      <w:bookmarkStart w:id="71" w:name="pg6250_60037"/>
    </w:p>
    <w:p>
      <w:pPr>
        <w:pStyle w:val="Heading3"/>
        <w:numPr>
          <w:ilvl w:val="2"/>
          <w:numId w:val="1"/>
        </w:numPr>
        <w:rPr/>
      </w:pPr>
      <w:bookmarkStart w:id="72" w:name="__RefHeading___Toc1663730_237004111"/>
      <w:bookmarkStart w:id="73" w:name="_Toc27"/>
      <w:bookmarkEnd w:id="71"/>
      <w:bookmarkEnd w:id="72"/>
      <w:r>
        <w:rPr>
          <w:rtl w:val="true"/>
        </w:rPr>
        <w:t>المحور الأوّل</w:t>
      </w:r>
      <w:r>
        <w:rPr>
          <w:rtl w:val="true"/>
        </w:rPr>
        <w:t xml:space="preserve">: </w:t>
      </w:r>
      <w:r>
        <w:rPr>
          <w:rtl w:val="true"/>
        </w:rPr>
        <w:t>مصادر الفقه عند الشيعة الإمامية</w:t>
      </w:r>
      <w:bookmarkEnd w:id="73"/>
    </w:p>
    <w:p>
      <w:pPr>
        <w:pStyle w:val="Heading4"/>
        <w:numPr>
          <w:ilvl w:val="3"/>
          <w:numId w:val="1"/>
        </w:numPr>
        <w:rPr/>
      </w:pPr>
      <w:bookmarkStart w:id="74" w:name="__RefHeading___Toc1663732_237004111"/>
      <w:bookmarkStart w:id="75" w:name="_Toc28"/>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مصادر الفقه عند الشيعة الإمامية</w:t>
      </w:r>
    </w:p>
    <w:p>
      <w:pPr>
        <w:pStyle w:val="BookText"/>
        <w:rPr/>
      </w:pPr>
      <w:r>
        <w:rPr>
          <w:rFonts w:ascii="Amiri" w:hAnsi="Amiri" w:eastAsia="Amiri" w:cs="Amiri"/>
          <w:color w:val="111111"/>
          <w:sz w:val="28"/>
          <w:sz w:val="28"/>
          <w:szCs w:val="28"/>
          <w:rtl w:val="true"/>
          <w:lang w:bidi="ar-SA"/>
        </w:rPr>
        <w:t>اتفقت الشيعة الإمامية على أنّ منابع الفقه ومصادره لا تتجاوز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اللّه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المطهرة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الفقيه الكبير محمد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ديباجة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لا يعدو أربع طرق؛ إمّا كتاب اللّه سبحانه، أو سنة رسوله المتواترة المتفق عليها، أو الإجماع، أو دليل العقل، فإذا فقدت الثلاثة فالمعتمد في المسائل الشرعية عند المحققين الباحثين عن مآخذ الشريعة التمسك بدليل العقل</w:t>
      </w:r>
      <w:r>
        <w:rPr>
          <w:rFonts w:eastAsia="Amiri" w:cs="Amiri" w:ascii="Amiri" w:hAnsi="Amiri"/>
          <w:color w:val="111111"/>
          <w:sz w:val="28"/>
          <w:szCs w:val="28"/>
          <w:rtl w:val="true"/>
          <w:lang w:bidi="ar-SA"/>
        </w:rPr>
        <w:t>.</w:t>
      </w:r>
      <w:r>
        <w:rPr>
          <w:rStyle w:val="FootnoteAnchor"/>
          <w:rtl w:val="true"/>
        </w:rPr>
        <w:footnoteReference w:id="53"/>
      </w:r>
      <w:bookmarkStart w:id="76" w:name="pg6250_60038"/>
    </w:p>
    <w:p>
      <w:pPr>
        <w:pStyle w:val="BookText"/>
        <w:rPr/>
      </w:pPr>
      <w:bookmarkEnd w:id="76"/>
      <w:r>
        <w:rPr>
          <w:rFonts w:ascii="Amiri" w:hAnsi="Amiri" w:eastAsia="Amiri" w:cs="Amiri"/>
          <w:color w:val="111111"/>
          <w:sz w:val="28"/>
          <w:sz w:val="28"/>
          <w:szCs w:val="28"/>
          <w:rtl w:val="true"/>
          <w:lang w:bidi="ar-SA"/>
        </w:rPr>
        <w:t>وقد ذكرنا كلام هذا الفقيه، ليعلم أنّ حصر المنابع الفقهية بهذه الأُمور الأربعة ليس شيئاً جديداً بين فقهاء الإمامية وإنّما هو أمر كان عليه فقهاؤهم منذ قرون عديدة</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663734_237004111"/>
      <w:bookmarkStart w:id="78" w:name="_Toc29"/>
      <w:bookmarkEnd w:id="77"/>
      <w:r>
        <w:rPr>
          <w:rtl w:val="true"/>
        </w:rPr>
        <w:t>المصدر الأوّل</w:t>
      </w:r>
      <w:r>
        <w:rPr>
          <w:rtl w:val="true"/>
        </w:rPr>
        <w:t xml:space="preserve">: </w:t>
      </w:r>
      <w:r>
        <w:rPr>
          <w:rtl w:val="true"/>
        </w:rPr>
        <w:t>القرآن الكريم</w:t>
      </w:r>
      <w:bookmarkEnd w:id="78"/>
    </w:p>
    <w:p>
      <w:pPr>
        <w:pStyle w:val="BookText"/>
        <w:rPr/>
      </w:pPr>
      <w:r>
        <w:rPr>
          <w:rFonts w:ascii="Amiri" w:hAnsi="Amiri" w:eastAsia="Amiri" w:cs="Amiri"/>
          <w:color w:val="111111"/>
          <w:sz w:val="28"/>
          <w:sz w:val="28"/>
          <w:szCs w:val="28"/>
          <w:rtl w:val="true"/>
          <w:lang w:bidi="ar-SA"/>
        </w:rPr>
        <w:t>أمّا كتاب اللّه العزيز فلا يُعدل عنه إلى غيره مطلقاً، وله مكانة عظيمة عندهم حتّى أنّ قسماً من المحقّقين لا يجوِّزون تخصيص الكتاب بالخبر الواحد، وإنّما يجوِّزون تخصيص الكتاب العزيز بالمتواتر أو المتضافر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اتفقت كلمة محقّقي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تاريخهم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كتاب اللّه الموجود عند عامة المسلمين هو نفسه الّذي نزل به الروح الأمين على قلب سيد المرسلين لم تتطرق إليه زيادة ولا نقص، وأنّ ما ما ورد من الروايات حول ذلك فهي إمّا مؤولة أو 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بالتحريف فهو قول شاذ لا يعتد به ولا يؤخذ الجمع بقول واحد منهم</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663736_237004111"/>
      <w:bookmarkStart w:id="80" w:name="_Toc30"/>
      <w:bookmarkEnd w:id="79"/>
      <w:r>
        <w:rPr>
          <w:rtl w:val="true"/>
        </w:rPr>
        <w:t>المصدر الثاني</w:t>
      </w:r>
      <w:r>
        <w:rPr>
          <w:rtl w:val="true"/>
        </w:rPr>
        <w:t xml:space="preserve">: </w:t>
      </w:r>
      <w:r>
        <w:rPr>
          <w:rtl w:val="true"/>
        </w:rPr>
        <w:t>السنّة الشريفة</w:t>
      </w:r>
      <w:bookmarkEnd w:id="8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السنة الشريفة فقد خصّ اللّه تعالى بها المسلمين دون سائر الأُمم، وقد اهتم المسلمون بنقل ما أُثر عن النبي صلى الله عليه و آله و سلم من قول وفعل وتقرير</w:t>
      </w:r>
      <w:r>
        <w:rPr>
          <w:rFonts w:eastAsia="Amiri" w:cs="Amiri" w:ascii="Amiri" w:hAnsi="Amiri"/>
          <w:color w:val="111111"/>
          <w:sz w:val="28"/>
          <w:szCs w:val="28"/>
          <w:rtl w:val="true"/>
          <w:lang w:bidi="ar-SA"/>
        </w:rPr>
        <w:t>.</w:t>
      </w:r>
      <w:bookmarkStart w:id="81" w:name="pg6250_60039"/>
    </w:p>
    <w:p>
      <w:pPr>
        <w:pStyle w:val="BookText"/>
        <w:rPr/>
      </w:pPr>
      <w:bookmarkEnd w:id="81"/>
      <w:r>
        <w:rPr>
          <w:rFonts w:ascii="Amiri" w:hAnsi="Amiri" w:eastAsia="Amiri" w:cs="Amiri"/>
          <w:color w:val="111111"/>
          <w:sz w:val="28"/>
          <w:sz w:val="28"/>
          <w:szCs w:val="28"/>
          <w:rtl w:val="true"/>
          <w:lang w:bidi="ar-SA"/>
        </w:rPr>
        <w:t>وقد أكد أئمة أهل البيت عليهم السلام على أنّ السنة الشريفة هي المصدر الرئيسي بعد الكتاب، وأنّ جميع ما يحتاج الناس إليه قد بيّنه سبحانه في الذكر الحكيم وورد في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يدع شيئاً تحتاج إليه الأُمّة إلّاأنزله في كتابه وبيّنه لرسوله، وجعل لكل شيء حدّاً، وجعل عليه دليلاً يدلّ عليه، وجعل على من تعدّى ذلك الحد حدّاً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إلّاوفيه كتاب أو سنّة</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حمزة الثُّماليّ عن الإمام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خطبته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اتقوا اللّه ما من شيء يقربكم من الجنة ويباعدكم من النار إلّاوقد نهيتكم عنه وأمرتكم به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إلى غير ذلك من النصوص المتضافرة عن أئمة أهل البيت عليهم السلام، الّتي تؤكد على الاهتمام بالسنة والركون إليها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663738_237004111"/>
      <w:bookmarkStart w:id="83" w:name="_Toc31"/>
      <w:bookmarkEnd w:id="82"/>
      <w:r>
        <w:rPr>
          <w:rtl w:val="true"/>
        </w:rPr>
        <w:t>المصدر الثالث</w:t>
      </w:r>
      <w:r>
        <w:rPr>
          <w:rtl w:val="true"/>
        </w:rPr>
        <w:t xml:space="preserve">: </w:t>
      </w:r>
      <w:r>
        <w:rPr>
          <w:rtl w:val="true"/>
        </w:rPr>
        <w:t>الإجماع</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الأُصوليون من فقهاء السنّة الإجماع من مصادر الفقه، بمعنى</w:t>
      </w:r>
      <w:bookmarkStart w:id="84" w:name="pg6250_60040"/>
    </w:p>
    <w:p>
      <w:pPr>
        <w:pStyle w:val="BookText"/>
        <w:rPr/>
      </w:pPr>
      <w:bookmarkEnd w:id="84"/>
      <w:r>
        <w:rPr>
          <w:rFonts w:ascii="Amiri" w:hAnsi="Amiri" w:eastAsia="Amiri" w:cs="Amiri"/>
          <w:color w:val="111111"/>
          <w:sz w:val="28"/>
          <w:sz w:val="28"/>
          <w:szCs w:val="28"/>
          <w:rtl w:val="true"/>
          <w:lang w:bidi="ar-SA"/>
        </w:rPr>
        <w:t xml:space="preserve">أن اتفاق الأئمة في عصر على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مستنداً إلى دليل ما حتّى ولو كان دليلاً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حكماً شرعياً قطعياً إلهياً، وإنْ لم ينزل به الوحي، فلذلك وصف الإجماع بأنّه من مصادر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في مدرسة أهل البيت، فهو بما هو هو ليس من مصادر التشريع، وإنّما يكشف عن وجود الدليل عن المجمعين، فالاتفاق مهما كان واسعاً لا يؤثر في جعل حكم ظنيٍ حكماً شرعياً قطعياً إلهياً، وإنّما المؤثر في ذلك المجال نزول الوحي به، فلو نزل به الوحي يكون المجمع عليه حكماً شرعياً، ولو لم ينزل به الوحي فالإجماع لايضفي عليه الصفة الشرعية، فغاية ما يمكن أن يقوم به الإجماع، هو الكشف عن وجود الدليل في المسألة وإن لم يصل إلينا، إذ من البعيد اتفاق أُمّةٍ كبيرة على الحكم إذا لم يكن في متناولهم دليل شرعي</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663740_237004111"/>
      <w:bookmarkStart w:id="86" w:name="_Toc32"/>
      <w:bookmarkEnd w:id="85"/>
      <w:r>
        <w:rPr>
          <w:rtl w:val="true"/>
        </w:rPr>
        <w:t>المصدر الرابع</w:t>
      </w:r>
      <w:r>
        <w:rPr>
          <w:rtl w:val="true"/>
        </w:rPr>
        <w:t xml:space="preserve">: </w:t>
      </w:r>
      <w:r>
        <w:rPr>
          <w:rtl w:val="true"/>
        </w:rPr>
        <w:t>العقل</w:t>
      </w:r>
      <w:bookmarkEnd w:id="86"/>
    </w:p>
    <w:p>
      <w:pPr>
        <w:pStyle w:val="BookText"/>
        <w:rPr/>
      </w:pPr>
      <w:r>
        <w:rPr>
          <w:rFonts w:ascii="Amiri" w:hAnsi="Amiri" w:eastAsia="Amiri" w:cs="Amiri"/>
          <w:color w:val="111111"/>
          <w:sz w:val="28"/>
          <w:sz w:val="28"/>
          <w:szCs w:val="28"/>
          <w:rtl w:val="true"/>
          <w:lang w:bidi="ar-SA"/>
        </w:rPr>
        <w:t>لقد تضافرت الروايات عن أئمة أهل البيت عليهم السلام على حجية العقل،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 على العباد النبي، والحجة فيما بين العباد وبين اللّه العقل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للّه على الناس حجتين، حجة ظاهرية وحجة باطنية، فأما الظاهرة فالرسل والأنبياء والأئمة، وأمّا الباطنة فالعقول</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نعم إنّ العقل كالإجماع ليس من مصادر التشريع بل هو من كواشفه، بمعنى أنّه يكشف عن حكم اللّه سبحانه بالطريق الّذي سنذكره، كما يكشف الإجماع عن وجود دليل لفظي صادر عن صاحب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استكشاف العقل عن حكم اللّه سبحانه يعتمد على أصلين قطعيين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التحسين والتقبيح العقليّان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للعقل قابلية على معرفة حسن الأفعال وقبحها، إذ هو بنفسه يدرك حسن الإحسان وحسن مجازاة الإحسان بمثله، وحسن العمل بالميثاق،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يدرك من صميم ذاته قبح الظلم وقبح مجازاة الإحسان بالإساءة، وقبح نقض الميثاق، إلى غير ذلك من الأفعال الّتي يدرك العقل الحصيف المنقطع عن كل شيء حسنها أو قبحها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والذكر الحكيم يشهد على وجود تلك القابلية الإنسان حيث</w:t>
      </w:r>
    </w:p>
    <w:p>
      <w:pPr>
        <w:pStyle w:val="BookText"/>
        <w:rPr/>
      </w:pPr>
      <w:r>
        <w:rPr>
          <w:rFonts w:ascii="Amiri" w:hAnsi="Amiri" w:eastAsia="Amiri" w:cs="Amiri"/>
          <w:color w:val="111111"/>
          <w:sz w:val="28"/>
          <w:sz w:val="28"/>
          <w:szCs w:val="28"/>
          <w:rtl w:val="true"/>
          <w:lang w:bidi="ar-SA"/>
        </w:rPr>
        <w:t>يخاطبه بما تقتضي به فطرته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الآيات تتخذ من وجدان الإنسان شاهداً على عدم التسوية، وتدل بالتالي على أنّ الإنسان قادر بفطرته الإلهية على درك حسن الأفعال وقبحها، ولماكانت التسوية بين الطائفتين قبيحة عند العقل، ذَكر سبحانه أنّ ساحته أيضاً منزّهةً عنها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بالتحسين والتقبيح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أساس في باب المعارف والعقائد أيضاً وهو خارج عن موضوع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لاستنباط فروع فقهية في حقول خاصّة، أوضحها أصل البراءة من التكليف، وعدم وجوب الاحتياط عند الشك في التكليف لاستقلال العقل بقبح العقاب بلا بيان، فإذا لم يجد المستنبط دليلاً شرعياً على الحكم الشرعي، فالعقل يستقل بالبراءة من التكليف من غير فرق</w:t>
      </w:r>
      <w:bookmarkStart w:id="87" w:name="pg6250_60043"/>
    </w:p>
    <w:p>
      <w:pPr>
        <w:pStyle w:val="BookText"/>
        <w:rPr/>
      </w:pPr>
      <w:bookmarkEnd w:id="87"/>
      <w:r>
        <w:rPr>
          <w:rFonts w:ascii="Amiri" w:hAnsi="Amiri" w:eastAsia="Amiri" w:cs="Amiri"/>
          <w:color w:val="111111"/>
          <w:sz w:val="28"/>
          <w:sz w:val="28"/>
          <w:szCs w:val="28"/>
          <w:rtl w:val="true"/>
          <w:lang w:bidi="ar-SA"/>
        </w:rPr>
        <w:t>بين كون المحتمل وجوباً أو تحريماً، ومن حسن الحظ أنّ الشرع أيضاً عزّزه،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وبَعث الرسول كناية عن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العقل يستقل بحسن الاحتياط ووجوبه فيما إذا عُلم التكليف وجُهل المكلف به وتردد بين أمرين، فالعقل يحكم بالاحتياط لأنّ الاشتغال اليقيني بالحكم يقتضي البراءة اليقينية، إما بإتيان الأمرين كما إذا علم الوجوب وتردد المكلف به بين أمرين أو أكثر، أو ترك الأمرين كما إذا علمت الحرمة ولم يعلم المكلف به معيّناً، إلى غير ذلك من الآثار الشرعية للقول بالحسن والقبح العقليين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663742_237004111"/>
      <w:bookmarkStart w:id="89" w:name="_Toc33"/>
      <w:bookmarkEnd w:id="88"/>
      <w:r>
        <w:rPr>
          <w:rtl w:val="true"/>
        </w:rPr>
        <w:t>إزاحة شبهة</w:t>
      </w:r>
      <w:bookmarkEnd w:id="89"/>
    </w:p>
    <w:p>
      <w:pPr>
        <w:pStyle w:val="BookText"/>
        <w:rPr/>
      </w:pPr>
      <w:r>
        <w:rPr>
          <w:rFonts w:ascii="Amiri" w:hAnsi="Amiri" w:eastAsia="Amiri" w:cs="Amiri"/>
          <w:color w:val="111111"/>
          <w:sz w:val="28"/>
          <w:sz w:val="28"/>
          <w:szCs w:val="28"/>
          <w:rtl w:val="true"/>
          <w:lang w:bidi="ar-SA"/>
        </w:rPr>
        <w:t>ربّما يتُصوَّر أنّ القول بالتحسين والتقبيح العقليين يلازم التحكم على اللّه سبحانه، وأنّه يجب عليه أن يفعل كذا لحسنه أو أن لا يفعل كذا لقبحه، ومن المعلوم أنّ التحكم من العبد الذليل بالنسبة إلى المولى العزيز أمر قبيح جدّاً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المستشكل لم يفرق بين الإيجاب المولوي والإيجاب الاستكشافي، والباطل هوالأوّل فإنّه سبحانه مولى الجميع والناس</w:t>
      </w:r>
    </w:p>
    <w:p>
      <w:pPr>
        <w:pStyle w:val="BookText"/>
        <w:rPr/>
      </w:pPr>
      <w:r>
        <w:rPr>
          <w:rFonts w:ascii="Amiri" w:hAnsi="Amiri" w:eastAsia="Amiri" w:cs="Amiri"/>
          <w:color w:val="111111"/>
          <w:sz w:val="28"/>
          <w:sz w:val="28"/>
          <w:szCs w:val="28"/>
          <w:rtl w:val="true"/>
          <w:lang w:bidi="ar-SA"/>
        </w:rPr>
        <w:t xml:space="preserve">عباد له، وليس لأحد أن يحكم عليه سبحانه بشيء إذ هو مختار على الإطلاق، وأمّا الإيجاب الاستكشافي فهو بمعنى أنّ العقل يستكشف من خلال صفاته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حكيماً عادلاً 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يعذّب البريء، فالقول بأنّه يجب على اللّه سبحانه بمعنى الملازمة بين حكمته وعدله وعدم تعذيب البريء، وليس استكشاف العقل في المقام بأقلّ من استكشاف الأحكام الكونية، حيث يحكم بأنّ زوايا المثلث تساوي زاويتين قائمتين، فزوايا المثلث في الخارج موصوفة بهذا المقدار، ولكن العقل يستكشف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بالتحسين والتقبيح العقليين آثار كثيرة في الفقه الإمامي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الإتيان بالمأمور به مجز عن الإعادة والقضاء، لقبح بقاء الأمر بعد الامتثال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مرجّحات باب التزاحم الّتي تُبنى على تقديم الأهم على المهم، والحاكم بالتقديم هو العقل لقبح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باب الملازمات فنقول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باب الملازمات هو المجال الثاني لحكم العقل، فإذا أدرك العقل الملازمة بين الوجوبين أو الحرمتين وورد أحد الوجوبين في الشرع دون الآخر، يحكم العقل بالوجوب الثاني بناء على وجود</w:t>
      </w:r>
    </w:p>
    <w:p>
      <w:pPr>
        <w:pStyle w:val="BookText"/>
        <w:rPr/>
      </w:pPr>
      <w:r>
        <w:rPr>
          <w:rFonts w:ascii="Amiri" w:hAnsi="Amiri" w:eastAsia="Amiri" w:cs="Amiri"/>
          <w:color w:val="111111"/>
          <w:sz w:val="28"/>
          <w:sz w:val="28"/>
          <w:szCs w:val="28"/>
          <w:rtl w:val="true"/>
          <w:lang w:bidi="ar-SA"/>
        </w:rPr>
        <w:t>الملازمة بين الحكمين، فاستكشاف الحكم الشرعي رهن ثبوت الملازمة بين الحكمين، وإليك نماذج من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الوجوبين، كوجوب الشيء ووجوب مقدّمته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الحرمتين، كحرمة الشيء وحرمة مقدّمته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وجوب الشيء وحرمة ضدّه، كوجوب المضيّق وحرمة الموسّع عند التزاحم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النهي عن العبادة وفسادها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النهي عن المعاملة وفسادها في موارد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وجود الحكم لدى وجود الشرط والوصف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والانتفاء لدى الانتفاء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ممّا يدخل في أبواب الملازمة الموصوفة عندهم بالملازمات غير المستقلة، فإنّ الحكم المستكشف في هذه الموارد عن طريق الملازمة، حكم شرعي،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مقدّمة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مقدّمة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الضدّ الموسّع المزاحم للمضيّق، كالصلاة عند الابتلاء بإزالة النجاسة عن المسجد، أو أداء الدين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العبادة المنهي عنها، كالصوم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فساد المعاملات المنهي عنها كبيع الخمر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الموارد الّتي توصف بغير المستقلات العقلية، وفي الفقه الشيعي وعلم الأُصول دور كبير لباب الملازمات، فمن مثبت ونافٍ ومفصِّل، ونحن من القسم الثالث</w:t>
      </w:r>
      <w:r>
        <w:rPr>
          <w:rFonts w:eastAsia="Amiri" w:cs="Amiri" w:ascii="Amiri" w:hAnsi="Amiri"/>
          <w:color w:val="111111"/>
          <w:sz w:val="28"/>
          <w:szCs w:val="28"/>
          <w:rtl w:val="true"/>
          <w:lang w:bidi="ar-SA"/>
        </w:rPr>
        <w:t>.</w:t>
      </w:r>
      <w:bookmarkStart w:id="90" w:name="pg6250_60047"/>
    </w:p>
    <w:p>
      <w:pPr>
        <w:pStyle w:val="Heading3"/>
        <w:numPr>
          <w:ilvl w:val="2"/>
          <w:numId w:val="1"/>
        </w:numPr>
        <w:rPr/>
      </w:pPr>
      <w:bookmarkStart w:id="91" w:name="__RefHeading___Toc1663744_237004111"/>
      <w:bookmarkStart w:id="92" w:name="_Toc34"/>
      <w:bookmarkEnd w:id="90"/>
      <w:bookmarkEnd w:id="91"/>
      <w:r>
        <w:rPr>
          <w:rtl w:val="true"/>
        </w:rPr>
        <w:t>المحور الثاني</w:t>
      </w:r>
      <w:r>
        <w:rPr>
          <w:rtl w:val="true"/>
        </w:rPr>
        <w:t xml:space="preserve">: </w:t>
      </w:r>
      <w:r>
        <w:rPr>
          <w:rtl w:val="true"/>
        </w:rPr>
        <w:t>خصائص فقه الإمامية ومميزاته</w:t>
      </w:r>
      <w:bookmarkEnd w:id="92"/>
    </w:p>
    <w:p>
      <w:pPr>
        <w:pStyle w:val="Heading4"/>
        <w:numPr>
          <w:ilvl w:val="3"/>
          <w:numId w:val="1"/>
        </w:numPr>
        <w:rPr/>
      </w:pPr>
      <w:bookmarkStart w:id="93" w:name="__RefHeading___Toc1663746_237004111"/>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خصائص فقه الإمامية ومميزاته</w:t>
      </w:r>
    </w:p>
    <w:p>
      <w:pPr>
        <w:pStyle w:val="BookText"/>
        <w:rPr/>
      </w:pPr>
      <w:r>
        <w:rPr>
          <w:rFonts w:ascii="Amiri" w:hAnsi="Amiri" w:eastAsia="Amiri" w:cs="Amiri"/>
          <w:color w:val="111111"/>
          <w:sz w:val="28"/>
          <w:sz w:val="28"/>
          <w:szCs w:val="28"/>
          <w:rtl w:val="true"/>
          <w:lang w:bidi="ar-SA"/>
        </w:rPr>
        <w:t>إنّ لكل مدرسة فقهية خصائص ومميزات تفترق بها عن سائر المدارس، ومدرسة أهل البيت الفقهية مع أنّها تشارك بقية المدارس في كثير من الأُمور بحيث لايجد الفقيه مسألة من المسائل الخلافية عندهم إلّاووافقهم فيها أحد المذاهب الفقهية السائدة أو البائدة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راجعنا كتاب الخلاف للشيخ الطوسي، نجد أنّ ما من مسألة تضاربت فيها الآراء والأفكار إلّاوللشيعة فيها قول ورأي يوافقهم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المذاهب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نشير إلى خصائص المدرسة الفقهية للشيعة الإمامية</w:t>
      </w:r>
      <w:r>
        <w:rPr>
          <w:rFonts w:eastAsia="Amiri" w:cs="Amiri" w:ascii="Amiri" w:hAnsi="Amiri"/>
          <w:color w:val="111111"/>
          <w:sz w:val="28"/>
          <w:szCs w:val="28"/>
          <w:rtl w:val="true"/>
          <w:lang w:bidi="ar-SA"/>
        </w:rPr>
        <w:t>:</w:t>
      </w:r>
      <w:bookmarkStart w:id="95" w:name="pg6250_60048"/>
    </w:p>
    <w:p>
      <w:pPr>
        <w:pStyle w:val="Heading4"/>
        <w:numPr>
          <w:ilvl w:val="3"/>
          <w:numId w:val="1"/>
        </w:numPr>
        <w:rPr/>
      </w:pPr>
      <w:bookmarkStart w:id="96" w:name="__RefHeading___Toc1663748_237004111"/>
      <w:bookmarkStart w:id="97" w:name="_Toc36"/>
      <w:bookmarkEnd w:id="95"/>
      <w:bookmarkEnd w:id="96"/>
      <w:r>
        <w:rPr>
          <w:rtl w:val="true"/>
        </w:rPr>
        <w:t>الأُولى</w:t>
      </w:r>
      <w:r>
        <w:rPr>
          <w:rtl w:val="true"/>
        </w:rPr>
        <w:t xml:space="preserve">: </w:t>
      </w:r>
      <w:r>
        <w:rPr>
          <w:rtl w:val="true"/>
        </w:rPr>
        <w:t>إحراز العدالة في عامة سند الرواية</w:t>
      </w:r>
      <w:bookmarkEnd w:id="97"/>
    </w:p>
    <w:p>
      <w:pPr>
        <w:pStyle w:val="BookText"/>
        <w:rPr/>
      </w:pPr>
      <w:r>
        <w:rPr>
          <w:rFonts w:ascii="Amiri" w:hAnsi="Amiri" w:eastAsia="Amiri" w:cs="Amiri"/>
          <w:color w:val="111111"/>
          <w:sz w:val="28"/>
          <w:sz w:val="28"/>
          <w:szCs w:val="28"/>
          <w:rtl w:val="true"/>
          <w:lang w:bidi="ar-SA"/>
        </w:rPr>
        <w:t>قد عرفت أنّ السنة الشريفة هي المصدر الثاني للتشريع، والشيعة يعملون بكل ما روي عن النبي الأكرم صلى الله عليه و آله و سلم سواء أوصل إليهم عن طريق أئمة أهل البيت أو عن طريق آخر، بشرط إحراز العدالة أو الوثاقة في عامة رجال السند، ولايعتقدون بالعدالة الجماعية في طائفة من الطوائف</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663750_237004111"/>
      <w:bookmarkStart w:id="99" w:name="_Toc37"/>
      <w:bookmarkEnd w:id="98"/>
      <w:r>
        <w:rPr>
          <w:rtl w:val="true"/>
        </w:rPr>
        <w:t>الثانية</w:t>
      </w:r>
      <w:r>
        <w:rPr>
          <w:rtl w:val="true"/>
        </w:rPr>
        <w:t xml:space="preserve">: </w:t>
      </w:r>
      <w:r>
        <w:rPr>
          <w:rtl w:val="true"/>
        </w:rPr>
        <w:t>تقييد العمل بالقياس</w:t>
      </w:r>
      <w:bookmarkEnd w:id="99"/>
    </w:p>
    <w:p>
      <w:pPr>
        <w:pStyle w:val="Heading5"/>
        <w:numPr>
          <w:ilvl w:val="4"/>
          <w:numId w:val="1"/>
        </w:numPr>
        <w:rPr/>
      </w:pPr>
      <w:bookmarkStart w:id="100" w:name="__RefHeading___Toc1663752_237004111"/>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إنّ كثرة الروايات الفقهية المروية عن أهل البيت عليهم السلام أغنت فقهاء الشيعة عن اللجوء إلى القياس فضلاً عن الاستحسان، فالمرجع عندهم هو المصادر الأربعة، وأمّا القياس فيعملون به في إطار خاص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منصوص العلّة في نفس الدليل، فيُعمل به في كل مورد عمّهُ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ليس هذا عملاً بالقياس بل عملاً بنفس الدليل،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تعمّم الحكم وتخصّصه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الأولوية، وربّما يسمى بتنبيه الخطاب ومفهوم الموافقة، وهو إثبات حكم المنطوق به للمسكوت عنه بطريق أولى،</w:t>
      </w:r>
    </w:p>
    <w:p>
      <w:pPr>
        <w:pStyle w:val="BookText"/>
        <w:rPr/>
      </w:pP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فإذا حرم التأفيف، حرم الشتم والضرب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وهو فيما لو اقترن الموضوع في لسان الدليل بأوصاف وخصوصيات لا يراها العرف دخيلة في الموضوع، كما إذا قال 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في المسجد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يتلقى تلك القيود مثالاً لا قيداً في الحكم، فيعمّ الرجل والأُنثى، ومن شكّ في المسجد والبيت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قصة الأعرابي،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يا رسول اللّه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واقعت امرأتي في نهار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فالعرف يساعد على إلغاء القيدين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أعرابياً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مواقعة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فيعم البدوي والقروي، ومواقعة الأهل وغيرها، فيكون هو حكم من أفطر بالوقاع في صوم رمضان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القبيل قوله سبحانه في مورد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 وَ ذَرُوا الْبَيْعَ</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ومن المعلوم أن ذكر البيع من باب</w:t>
      </w:r>
      <w:bookmarkStart w:id="102" w:name="pg6250_60050"/>
    </w:p>
    <w:p>
      <w:pPr>
        <w:pStyle w:val="BookText"/>
        <w:rPr/>
      </w:pPr>
      <w:bookmarkEnd w:id="102"/>
      <w:r>
        <w:rPr>
          <w:rFonts w:ascii="Amiri" w:hAnsi="Amiri" w:eastAsia="Amiri" w:cs="Amiri"/>
          <w:color w:val="111111"/>
          <w:sz w:val="28"/>
          <w:sz w:val="28"/>
          <w:szCs w:val="28"/>
          <w:rtl w:val="true"/>
          <w:lang w:bidi="ar-SA"/>
        </w:rPr>
        <w:t>المثال، فلا فرق بين البيع والإجارة والرهن، بل كل فعل يشغل الإنسان عن أداء الصلاة، ولهذا النوع أمثلة كثيرة في الفقه</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663754_237004111"/>
      <w:bookmarkStart w:id="104" w:name="_Toc39"/>
      <w:bookmarkEnd w:id="103"/>
      <w:r>
        <w:rPr>
          <w:rtl w:val="true"/>
        </w:rPr>
        <w:t>تخريج المناط</w:t>
      </w:r>
      <w:bookmarkEnd w:id="104"/>
    </w:p>
    <w:p>
      <w:pPr>
        <w:pStyle w:val="BookText"/>
        <w:rPr/>
      </w:pPr>
      <w:r>
        <w:rPr>
          <w:rFonts w:ascii="Amiri" w:hAnsi="Amiri" w:eastAsia="Amiri" w:cs="Amiri"/>
          <w:color w:val="111111"/>
          <w:sz w:val="28"/>
          <w:sz w:val="28"/>
          <w:szCs w:val="28"/>
          <w:rtl w:val="true"/>
          <w:lang w:bidi="ar-SA"/>
        </w:rPr>
        <w:t>إذا قضى الشارع بحكم في محل من دون أن ينصّ على مناطه، ولم يكن العرف مساعداً لكون القيد الوارد فيه من باب المثال، كما إذا حرمت المعاوضة في الحنطة إلّامثلاً بمثل، فهل يصح تعميم الحكم إلى سائر الحبوب بتخريج المناط؟</w:t>
      </w:r>
    </w:p>
    <w:p>
      <w:pPr>
        <w:pStyle w:val="BookText"/>
        <w:rPr/>
      </w:pPr>
      <w:r>
        <w:rPr>
          <w:rFonts w:ascii="Amiri" w:hAnsi="Amiri" w:eastAsia="Amiri" w:cs="Amiri"/>
          <w:color w:val="111111"/>
          <w:sz w:val="28"/>
          <w:sz w:val="28"/>
          <w:szCs w:val="28"/>
          <w:rtl w:val="true"/>
          <w:lang w:bidi="ar-SA"/>
        </w:rPr>
        <w:t>وهذا هو ما يميّز الفقه الإمامي عن غيره، فهم يقولون بأنّ التشابه في الموضوع لا يكون سبباً لإسراء الحكم، فإن تخريج المناط في الموارد الّتي يعمل بها بالقياس تخريجات ظنية، ولعل المناط الّذي استخرجه الفقيه غير المناط عند الشرع، فما لم يكن المناط المستخرج، مناطاً قطعيّاً، لا يسوغ العمل به، وللتفصيل في هذا الموضوع مكان آخر</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663756_237004111"/>
      <w:bookmarkStart w:id="106" w:name="_Toc40"/>
      <w:bookmarkEnd w:id="105"/>
      <w:r>
        <w:rPr>
          <w:rtl w:val="true"/>
        </w:rPr>
        <w:t>الثالثة</w:t>
      </w:r>
      <w:r>
        <w:rPr>
          <w:rtl w:val="true"/>
        </w:rPr>
        <w:t xml:space="preserve">: </w:t>
      </w:r>
      <w:r>
        <w:rPr>
          <w:rtl w:val="true"/>
        </w:rPr>
        <w:t>انفتاح باب الاجتهاد</w:t>
      </w:r>
      <w:bookmarkEnd w:id="10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الفقه الإمامي يتبنى فتح باب الاجتهاد بعد رحيل الرسول صلى الله عليه و آله و سلم إلى يومنا هذا، فإن الاجتهاد رمز بقاء الشريعة وسرّ خاتمية الدين الإسلامي، فالأُمّة الإسلامية كانت تواجه بعد رحيل قائدها حوادث مستجدة لابدّ من الإجابة عنها ولم يكن لهم بد من</w:t>
      </w:r>
      <w:bookmarkStart w:id="107" w:name="pg6250_60051"/>
    </w:p>
    <w:p>
      <w:pPr>
        <w:pStyle w:val="BookText"/>
        <w:rPr/>
      </w:pPr>
      <w:bookmarkEnd w:id="107"/>
      <w:r>
        <w:rPr>
          <w:rFonts w:ascii="Amiri" w:hAnsi="Amiri" w:eastAsia="Amiri" w:cs="Amiri"/>
          <w:color w:val="111111"/>
          <w:sz w:val="28"/>
          <w:sz w:val="28"/>
          <w:szCs w:val="28"/>
          <w:rtl w:val="true"/>
          <w:lang w:bidi="ar-SA"/>
        </w:rPr>
        <w:t>استنطاق الكتاب والسنة مع سائر الأدلّة في الحصول على الجواب عنها، وهذا الداعي كان سائداً ومستمراً إلى يومنا هذا، وقد حثّ الصادقان عليهما السلام أصحابهما على الاجتهاد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وفي ظل هذه الميزة كان الفقه الإمامي متطوراً نامياً في كل عصر وزمان، وقد نتج عن ذلك تأليف موسوعات فقهية ضخمة على مر العصور</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663758_237004111"/>
      <w:bookmarkStart w:id="109" w:name="_Toc41"/>
      <w:bookmarkEnd w:id="108"/>
      <w:r>
        <w:rPr>
          <w:rtl w:val="true"/>
        </w:rPr>
        <w:t>الرابعة</w:t>
      </w:r>
      <w:r>
        <w:rPr>
          <w:rtl w:val="true"/>
        </w:rPr>
        <w:t xml:space="preserve">: </w:t>
      </w:r>
      <w:r>
        <w:rPr>
          <w:rtl w:val="true"/>
        </w:rPr>
        <w:t>لكل واقعة حكم</w:t>
      </w:r>
      <w:bookmarkEnd w:id="109"/>
    </w:p>
    <w:p>
      <w:pPr>
        <w:pStyle w:val="BookText"/>
        <w:rPr/>
      </w:pPr>
      <w:r>
        <w:rPr>
          <w:rFonts w:ascii="Amiri" w:hAnsi="Amiri" w:eastAsia="Amiri" w:cs="Amiri"/>
          <w:color w:val="111111"/>
          <w:sz w:val="28"/>
          <w:sz w:val="28"/>
          <w:szCs w:val="28"/>
          <w:rtl w:val="true"/>
          <w:lang w:bidi="ar-SA"/>
        </w:rPr>
        <w:t>إنّ للّه سبحانه في كل واقعة حكماً شرعياً واحداً، وقد ورد عن النبي الأكرم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ما من شيء يقربكم من الجنة ويباعدكم عن النار إلّاوقد نهيتكم عنه أو أمرتكم به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وعلى ضوء هذا فليس هناك واقعة لم يكتب حكمها حتّى يترك حكمها إلى أصحاب الاجتهاد والآراء، غير أن الحكم الواقعي تارة يكون واضحاً، وأُخرى يحتاج إلى بذل جهود ليصل إليه المستنبط</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663760_237004111"/>
      <w:bookmarkStart w:id="111" w:name="_Toc42"/>
      <w:bookmarkEnd w:id="110"/>
      <w:r>
        <w:rPr>
          <w:rtl w:val="true"/>
        </w:rPr>
        <w:t>الخامسة</w:t>
      </w:r>
      <w:r>
        <w:rPr>
          <w:rtl w:val="true"/>
        </w:rPr>
        <w:t xml:space="preserve">: </w:t>
      </w:r>
      <w:r>
        <w:rPr>
          <w:rtl w:val="true"/>
        </w:rPr>
        <w:t>التصويب والتخطئة</w:t>
      </w:r>
      <w:bookmarkEnd w:id="1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مميزات الفقه الإمامي هو أنّ الحق في الشريعة أمر واحد</w:t>
      </w:r>
      <w:bookmarkStart w:id="112" w:name="pg6250_60052"/>
    </w:p>
    <w:p>
      <w:pPr>
        <w:pStyle w:val="BookText"/>
        <w:rPr/>
      </w:pPr>
      <w:bookmarkEnd w:id="112"/>
      <w:r>
        <w:rPr>
          <w:rFonts w:ascii="Amiri" w:hAnsi="Amiri" w:eastAsia="Amiri" w:cs="Amiri"/>
          <w:color w:val="111111"/>
          <w:sz w:val="28"/>
          <w:sz w:val="28"/>
          <w:szCs w:val="28"/>
          <w:rtl w:val="true"/>
          <w:lang w:bidi="ar-SA"/>
        </w:rPr>
        <w:t>وما سواه خطأ محض، من غير فرق بين الأحكام والموضوعات، وذلك لما مرّ من أنّ للّه سبحانه في كل واقعة من الوقائع حكماً شرعياً واحداً، فإن وافقه المجتهد في استنباطه، فقد أصاب وإن خالفه، فقد أخطأ، وليس هناك واقعة واحدة لم يكن لها حكم في الشريعة، ويُترك حكمها إلى الفقهاء حتّى يكون الجميع مصيبين</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663762_237004111"/>
      <w:bookmarkStart w:id="114" w:name="_Toc43"/>
      <w:bookmarkEnd w:id="113"/>
      <w:r>
        <w:rPr>
          <w:rtl w:val="true"/>
        </w:rPr>
        <w:t>السادسة</w:t>
      </w:r>
      <w:r>
        <w:rPr>
          <w:rtl w:val="true"/>
        </w:rPr>
        <w:t xml:space="preserve">: </w:t>
      </w:r>
      <w:r>
        <w:rPr>
          <w:rtl w:val="true"/>
        </w:rPr>
        <w:t>تقسيم الأحكام الشرعية إلى واقعية وظاهرية</w:t>
      </w:r>
      <w:bookmarkEnd w:id="114"/>
    </w:p>
    <w:p>
      <w:pPr>
        <w:pStyle w:val="BookText"/>
        <w:rPr/>
      </w:pPr>
      <w:r>
        <w:rPr>
          <w:rFonts w:ascii="Amiri" w:hAnsi="Amiri" w:eastAsia="Amiri" w:cs="Amiri"/>
          <w:color w:val="111111"/>
          <w:sz w:val="28"/>
          <w:sz w:val="28"/>
          <w:szCs w:val="28"/>
          <w:rtl w:val="true"/>
          <w:lang w:bidi="ar-SA"/>
        </w:rPr>
        <w:t>من خصائص هذه المدرسة تقسيم الأحكام الشرعية إلى حكم واقعي، وحكم ظاهري، وهذا بحسب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ملاك حجية شيء كونه طريقاً إلى الواقع ومرشداً إليه، كما هو الحال في الوارد في الكتاب والسنة،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المستفاد منها حكم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المأخوذ في لسانه الشك، كما إذا ورد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فاعمل بهذا الدليل، فيكون الحكم المستفاد منه حكماً ظاهرياً كما هو الحال في الأُصول العملية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 والاحتياط، والتخيير، والاستصحاب، فالشك مأخوذ في لسان الدليل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الاحتفاظ بالشك يأمر بالعمل على وفق الحالة السابقة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تأخّر مرتبة الأحكام الظاهرية عن الأحكام الواقعية،</w:t>
      </w:r>
      <w:bookmarkStart w:id="115" w:name="pg6250_60053"/>
    </w:p>
    <w:p>
      <w:pPr>
        <w:pStyle w:val="BookText"/>
        <w:rPr/>
      </w:pPr>
      <w:bookmarkEnd w:id="115"/>
      <w:r>
        <w:rPr>
          <w:rFonts w:ascii="Amiri" w:hAnsi="Amiri" w:eastAsia="Amiri" w:cs="Amiri"/>
          <w:color w:val="111111"/>
          <w:sz w:val="28"/>
          <w:sz w:val="28"/>
          <w:szCs w:val="28"/>
          <w:rtl w:val="true"/>
          <w:lang w:bidi="ar-SA"/>
        </w:rPr>
        <w:t>فالعبرة بالثانية بعد عدم الدليل على الأُولى، ويعبّر عمّا يدلّ على الحكم الواقعي بالدليل الاجتهادي، ويعبّر عمّا يدلّ على الحكم الظاهري بالدليل الفقاهي، ويترتّب على ذلك عدم حجية الأُصول العملية مع وجود الأدلّة الاجتهادية</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663764_237004111"/>
      <w:bookmarkStart w:id="117" w:name="_Toc44"/>
      <w:bookmarkEnd w:id="116"/>
      <w:r>
        <w:rPr>
          <w:rtl w:val="true"/>
        </w:rPr>
        <w:t>السابعة</w:t>
      </w:r>
      <w:r>
        <w:rPr>
          <w:rtl w:val="true"/>
        </w:rPr>
        <w:t xml:space="preserve">: </w:t>
      </w:r>
      <w:r>
        <w:rPr>
          <w:rtl w:val="true"/>
        </w:rPr>
        <w:t>تقسيم الموضوعات إلى أولية وثانوية</w:t>
      </w:r>
      <w:bookmarkEnd w:id="117"/>
    </w:p>
    <w:p>
      <w:pPr>
        <w:pStyle w:val="Heading5"/>
        <w:numPr>
          <w:ilvl w:val="4"/>
          <w:numId w:val="1"/>
        </w:numPr>
        <w:rPr/>
      </w:pPr>
      <w:bookmarkStart w:id="118" w:name="__RefHeading___Toc1663766_237004111"/>
      <w:bookmarkStart w:id="119" w:name="_Toc45"/>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إنّ العناوين المتعلّقة بالأحكام تنقسم إلى عنوان أوّلي، وعنوان ثانوي، فالعنوان المأخوذ في الموضوع مع قطع النظر عن العوارض والطوارئ يسمّى عنواناً أوّلياً، كلحم الميتة بالنسبة إلى حكمه أي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الموضوع إذا طرأ عليه عنوان آخر في مرحلة ثانية كالإضطرار لأجل المجاعة، يقال له عنوان ثانوي، ربّما يصير مغيّراً لحكم العنوان الأوّلي مؤقّتاً، فلحم الميتة بما هو هو حرام، وبالنظر إلى العنوان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حلال إلى 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الحياة المعاصرة مشاكل بيئية واجتماعية تحيط بالإنسان وتجعل الحياة مرة في مذاقه، ولكن اللّه سبحانه أعطى لحكام الشرع صلاحية حلّ هذه المشاكل عن طريق أحد العناوين الثانوية، وبذلك ضمن للشريعة الإسلامية الخاتمية والاستمرار حتّى قيام الساعة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نشير إلى العناوين الثانوية الّتي لها دور في تعديل الأحكام الشرعية المتعلّقة بالعناوين الأولية</w:t>
      </w:r>
      <w:r>
        <w:rPr>
          <w:rFonts w:eastAsia="Amiri" w:cs="Amiri" w:ascii="Amiri" w:hAnsi="Amiri"/>
          <w:color w:val="111111"/>
          <w:sz w:val="28"/>
          <w:szCs w:val="28"/>
          <w:rtl w:val="true"/>
          <w:lang w:bidi="ar-SA"/>
        </w:rPr>
        <w:t>:</w:t>
      </w:r>
      <w:bookmarkStart w:id="120" w:name="pg6250_60054"/>
    </w:p>
    <w:p>
      <w:pPr>
        <w:pStyle w:val="Heading5"/>
        <w:numPr>
          <w:ilvl w:val="4"/>
          <w:numId w:val="1"/>
        </w:numPr>
        <w:rPr/>
      </w:pPr>
      <w:bookmarkStart w:id="121" w:name="__RefHeading___Toc1663768_237004111"/>
      <w:bookmarkStart w:id="122" w:name="_Toc46"/>
      <w:bookmarkEnd w:id="120"/>
      <w:bookmarkEnd w:id="121"/>
      <w:r>
        <w:rPr/>
        <w:t>1</w:t>
      </w:r>
      <w:r>
        <w:rPr>
          <w:rtl w:val="true"/>
        </w:rPr>
        <w:t xml:space="preserve">. </w:t>
      </w:r>
      <w:r>
        <w:rPr>
          <w:rtl w:val="true"/>
        </w:rPr>
        <w:t>الضرورة والاضطرار</w:t>
      </w:r>
      <w:bookmarkEnd w:id="122"/>
    </w:p>
    <w:p>
      <w:pPr>
        <w:pStyle w:val="BookText"/>
        <w:rPr/>
      </w:pPr>
      <w:r>
        <w:rPr>
          <w:rFonts w:ascii="Amiri" w:hAnsi="Amiri" w:eastAsia="Amiri" w:cs="Amiri"/>
          <w:color w:val="111111"/>
          <w:sz w:val="28"/>
          <w:sz w:val="28"/>
          <w:szCs w:val="28"/>
          <w:rtl w:val="true"/>
          <w:lang w:bidi="ar-SA"/>
        </w:rPr>
        <w:t>إذا اقتضت الضرورة واضطر الإنسان إلى استعمال محرم، يكون للعنوان الثانوي حكومة على العنوان الأوّلي، وقد أُشير إلى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أَلاّ تَأْكُلُوا مِمّا ذُكِرَ اسْمُ اللّهِ عَلَيْهِ وَ قَدْ فَصَّلَ لَكُمْ ما حَرَّمَ عَلَيْكُمْ إِلاّ مَا اضْطُرِرْتُمْ إِلَيْهِ</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ومورد الآية وإن كان هو اللحوم ولكن العرف يساعد على إلغاء الخصوصية، فيشمل المأكولات والمشروبات جميعاً، وبالتالي يكون للعنوان الثاني حكومة على الحكم الوارد بالعنوان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سماعة عن الإمام الصادق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شيء ممّا حرّم اللّه إلّاوقد أحلّه لمن اضطرّ إليه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وأمّا ما هو الاضطرار وما حدّه، فالبحث فيه موكول إلى محله</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663770_237004111"/>
      <w:bookmarkStart w:id="124" w:name="_Toc47"/>
      <w:bookmarkEnd w:id="123"/>
      <w:r>
        <w:rPr/>
        <w:t>2</w:t>
      </w:r>
      <w:r>
        <w:rPr>
          <w:rtl w:val="true"/>
        </w:rPr>
        <w:t xml:space="preserve">. </w:t>
      </w:r>
      <w:r>
        <w:rPr>
          <w:rtl w:val="true"/>
        </w:rPr>
        <w:t>الضَّرر والضِّرار</w:t>
      </w:r>
      <w:bookmarkEnd w:id="12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الضرر والضرار من العناوين الثانوية الّتي تتغير بها أحكام العناوين الأوّلية، مثلاً أنّه لا شك في وجوب الوضوء بالماء، كتاباً وسنة، لكن إذا طرأ هناك طارئ وصار استعمال الماء مضراً بالمتوضئ يجب عليه العدول إلى البدل، وهذه قاعدة تامّة باسم عنوان الضرر والضرار، وللقاعدة جذور في الكتاب</w:t>
      </w:r>
      <w:bookmarkStart w:id="125" w:name="pg6250_60055"/>
    </w:p>
    <w:p>
      <w:pPr>
        <w:pStyle w:val="BookText"/>
        <w:rPr/>
      </w:pPr>
      <w:bookmarkEnd w:id="125"/>
      <w:r>
        <w:rPr>
          <w:rFonts w:ascii="Amiri" w:hAnsi="Amiri" w:eastAsia="Amiri" w:cs="Amiri"/>
          <w:color w:val="111111"/>
          <w:sz w:val="28"/>
          <w:sz w:val="28"/>
          <w:szCs w:val="28"/>
          <w:rtl w:val="true"/>
          <w:lang w:bidi="ar-SA"/>
        </w:rPr>
        <w:t>العزيز والسنة النبوية،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 فقد تضافر عن رسول اللّه صلى الله عليه و آله و 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663772_237004111"/>
      <w:bookmarkStart w:id="127" w:name="_Toc48"/>
      <w:bookmarkEnd w:id="126"/>
      <w:r>
        <w:rPr/>
        <w:t>3</w:t>
      </w:r>
      <w:r>
        <w:rPr>
          <w:rtl w:val="true"/>
        </w:rPr>
        <w:t xml:space="preserve">. </w:t>
      </w:r>
      <w:r>
        <w:rPr>
          <w:rtl w:val="true"/>
        </w:rPr>
        <w:t>العسر والحرج</w:t>
      </w:r>
      <w:bookmarkEnd w:id="127"/>
    </w:p>
    <w:p>
      <w:pPr>
        <w:pStyle w:val="BookText"/>
        <w:rPr/>
      </w:pPr>
      <w:r>
        <w:rPr>
          <w:rFonts w:ascii="Amiri" w:hAnsi="Amiri" w:eastAsia="Amiri" w:cs="Amiri"/>
          <w:color w:val="111111"/>
          <w:sz w:val="28"/>
          <w:sz w:val="28"/>
          <w:szCs w:val="28"/>
          <w:rtl w:val="true"/>
          <w:lang w:bidi="ar-SA"/>
        </w:rPr>
        <w:t xml:space="preserve">إنّ عنوان العسر والحرج من العناوين الثانوية الطارئة على العناوين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فرضنا أن الاغتسال بالماء البارد أو الخروج من المنزل للاغتسال صار أمراً حرجياً وإن لم يكن ضررياً، فيقدم حكم العنوان الثانوي على العنوان الأوّلي، أخذاً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663774_237004111"/>
      <w:bookmarkStart w:id="129" w:name="_Toc49"/>
      <w:bookmarkEnd w:id="128"/>
      <w:r>
        <w:rPr/>
        <w:t>4</w:t>
      </w:r>
      <w:r>
        <w:rPr>
          <w:rtl w:val="true"/>
        </w:rPr>
        <w:t xml:space="preserve">. </w:t>
      </w:r>
      <w:r>
        <w:rPr>
          <w:rtl w:val="true"/>
        </w:rPr>
        <w:t>قاعدة الأهم والمهم عند التزاحم</w:t>
      </w:r>
      <w:bookmarkEnd w:id="129"/>
    </w:p>
    <w:p>
      <w:pPr>
        <w:pStyle w:val="BookText"/>
        <w:rPr/>
      </w:pPr>
      <w:r>
        <w:rPr>
          <w:rFonts w:ascii="Amiri" w:hAnsi="Amiri" w:eastAsia="Amiri" w:cs="Amiri"/>
          <w:color w:val="111111"/>
          <w:sz w:val="28"/>
          <w:sz w:val="28"/>
          <w:szCs w:val="28"/>
          <w:rtl w:val="true"/>
          <w:lang w:bidi="ar-SA"/>
        </w:rPr>
        <w:t>إذا توقّف إنقاذ الغريق على اجتياز الأرض المغصوبة، يُقدَّم وجوب إنقاذ الغريق على حرمة التصرف بالمغصوب، أخذاً بالأهم عند التزاحم بالمهم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حفظ النفس في المجاعة بالتصرف في طعام الغير، فلا</w:t>
      </w:r>
      <w:bookmarkStart w:id="130" w:name="pg6250_60056"/>
    </w:p>
    <w:p>
      <w:pPr>
        <w:pStyle w:val="BookText"/>
        <w:rPr/>
      </w:pPr>
      <w:bookmarkEnd w:id="130"/>
      <w:r>
        <w:rPr>
          <w:rFonts w:ascii="Amiri" w:hAnsi="Amiri" w:eastAsia="Amiri" w:cs="Amiri"/>
          <w:color w:val="111111"/>
          <w:sz w:val="28"/>
          <w:sz w:val="28"/>
          <w:szCs w:val="28"/>
          <w:rtl w:val="true"/>
          <w:lang w:bidi="ar-SA"/>
        </w:rPr>
        <w:t>مانع من أكل مال الغير لحفظ النفس مع الضمان، وكم من فروع في الفقه تترتب على هذه القاعدة</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663776_237004111"/>
      <w:bookmarkStart w:id="132" w:name="_Toc50"/>
      <w:bookmarkEnd w:id="131"/>
      <w:r>
        <w:rPr/>
        <w:t>5</w:t>
      </w:r>
      <w:r>
        <w:rPr>
          <w:rtl w:val="true"/>
        </w:rPr>
        <w:t xml:space="preserve">. </w:t>
      </w:r>
      <w:r>
        <w:rPr>
          <w:rtl w:val="true"/>
        </w:rPr>
        <w:t>صلاحيات الفقيه الجامع للشرائط</w:t>
      </w:r>
      <w:bookmarkEnd w:id="132"/>
    </w:p>
    <w:p>
      <w:pPr>
        <w:pStyle w:val="BookText"/>
        <w:rPr/>
      </w:pPr>
      <w:r>
        <w:rPr>
          <w:rFonts w:ascii="Amiri" w:hAnsi="Amiri" w:eastAsia="Amiri" w:cs="Amiri"/>
          <w:color w:val="111111"/>
          <w:sz w:val="28"/>
          <w:sz w:val="28"/>
          <w:szCs w:val="28"/>
          <w:rtl w:val="true"/>
          <w:lang w:bidi="ar-SA"/>
        </w:rPr>
        <w:t>إنّ للفقيه المجتهد الجامع للشرائط صلاحيات في تدبير المجتمع وإدارته في فقه أهل البيت، عن طريق تنفيذ أحكام الشرع وتطبيقها وحل المعضلات والمشاكل، وحفظ المصالح العامة تحت ضوء الضوابط الشرعية المقررة، فليس ولاية الفقيه بمعنى الاستبداد بالحكم كيفما أراد، بل المراد بها إجراء الأحكام الشرعية حسب ما أمر به الشارع المقدس مع تقديم الأصلح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فالفقيه في مقام إجراء الأحكام الشرعية ينفذ أحكامه في ظل العناوين الثانوية، وبذلك يصبح المجتمع مجتمعاً إلهياً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ولنمثل لذلك ببعض الأمثلة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سبحانه فرض الجهاد على كافة المسلمين، ولكن إذا اقتضت المصلحة فرض الجندية على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للتدريب والدفاع عن حدود بلاد المسلمين وصارت المصلحة العامة في ذلك، فينفذ هذا الأمر بحكم الفقيه تقديماً للأصلح على الصالح، ويكون الوجوب حكماً ولائياً، لا حكماً شرعياً أوّلياً، ويكون الحكم هذا باقياً ما بقي ملاكه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اقتضت المصلحة العامة فتح شوارع، ولكن بعد هدم بيوت الناس ولا يوجد بديل عن ذلك فيسوغ تخريب البيوت مع التعويض تحقيقاً لمصالح المجتمع في ظل تشخيص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اقتضت المصلحة قطع العلاقات مع أحد الدول أو وصلها وتقويتها، فيجب على الحكومة القطع أو الوصل تنفيذاً لحكم الفقيه النابع من أحد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تضافرت الروايات عن أئمة أهل البيت عليهم السلام حول ولاية الفقيه بالمعنى الّذي عرفت، ولايسع المقام للتعرض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عناوين ثانوية أُخرى كالنذر والعهد والقسم وأمر الوالد ونهيه، وهي ممّا له دور في تغيير أحكام العناوين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الفقيه الشيعي استغنى عن بعض القواعد المعروفة كفتح الذرائع وسدها والمصالح المرسلة، لأنّ في تحكيم العناوين الثانوية على العناوين الأوّلية غنى عن إعمال هذه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محورين آخرين لهما دور واسع في مباحث الفقه الإمامي إلّاوهما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 والعادة والسيرة وبناء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مقاصد الشريعة وأهدافها في الفقه الإمامي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الكلام فيهما موجزاً</w:t>
      </w:r>
      <w:r>
        <w:rPr>
          <w:rFonts w:eastAsia="Amiri" w:cs="Amiri" w:ascii="Amiri" w:hAnsi="Amiri"/>
          <w:color w:val="111111"/>
          <w:sz w:val="28"/>
          <w:szCs w:val="28"/>
          <w:rtl w:val="true"/>
          <w:lang w:bidi="ar-SA"/>
        </w:rPr>
        <w:t>.</w:t>
      </w:r>
      <w:bookmarkStart w:id="133" w:name="pg6250_60058"/>
    </w:p>
    <w:p>
      <w:pPr>
        <w:pStyle w:val="Heading3"/>
        <w:numPr>
          <w:ilvl w:val="2"/>
          <w:numId w:val="1"/>
        </w:numPr>
        <w:rPr/>
      </w:pPr>
      <w:bookmarkStart w:id="134" w:name="__RefHeading___Toc1663778_237004111"/>
      <w:bookmarkStart w:id="135" w:name="_Toc51"/>
      <w:bookmarkEnd w:id="133"/>
      <w:bookmarkEnd w:id="134"/>
      <w:r>
        <w:rPr>
          <w:rtl w:val="true"/>
        </w:rPr>
        <w:t>المحور الثالث</w:t>
      </w:r>
      <w:r>
        <w:rPr>
          <w:rtl w:val="true"/>
        </w:rPr>
        <w:t xml:space="preserve">: </w:t>
      </w:r>
      <w:r>
        <w:rPr>
          <w:rtl w:val="true"/>
        </w:rPr>
        <w:t>دور العرف والعادة والسيرة وبناء العقلاء</w:t>
      </w:r>
      <w:bookmarkEnd w:id="135"/>
    </w:p>
    <w:p>
      <w:pPr>
        <w:pStyle w:val="Heading4"/>
        <w:numPr>
          <w:ilvl w:val="3"/>
          <w:numId w:val="1"/>
        </w:numPr>
        <w:rPr/>
      </w:pPr>
      <w:bookmarkStart w:id="136" w:name="__RefHeading___Toc1663780_237004111"/>
      <w:bookmarkStart w:id="137" w:name="_Toc52"/>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دور العرف والعادة والسيرة وبناء العقلاء</w:t>
      </w:r>
    </w:p>
    <w:p>
      <w:pPr>
        <w:pStyle w:val="BookText"/>
        <w:rPr/>
      </w:pPr>
      <w:r>
        <w:rPr>
          <w:rFonts w:ascii="Amiri" w:hAnsi="Amiri" w:eastAsia="Amiri" w:cs="Amiri"/>
          <w:color w:val="111111"/>
          <w:sz w:val="28"/>
          <w:sz w:val="28"/>
          <w:szCs w:val="28"/>
          <w:rtl w:val="true"/>
          <w:lang w:bidi="ar-SA"/>
        </w:rPr>
        <w:t>أربعة أسماء تدور على ألسن الفقهاء،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و السيرة، و العادة، و بناء العقلاء، والجميع يهدف إلى معنى واحد، يستخدمها القضاة في فصل الخصومات، كما يعتمد عليها الفقهاء في بعض الموارد الّتي ستمر عليك، والهدف من عقد هذا البحث تبيين مكانة العرف وأنّه هل هو من منابع الاستنباط حتّى يستنبط الفقيه منه حكماً شرعياً أو لا؟ وقبل الدخول في صلب الموضوع نقدّم تمهيداً، له دخل في إيضاح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عبارة عن كلّ ما اعتاده الناس وساروا عليه من فعل أو قول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بينه وبين الإجماع هو أنّ متعلّق الثاني عبارة عن المسائل الولائية كالخلافة أو الفقهية، بخلاف العرف فالمتعلّق فيه عبارة عمّا تعارف بين الناس، وإن لم تكن له صلة بإحدى المسألتين؛</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الإجماع الاتّفاق، بخلاف العرف فأنّه يكفي فيه الأكثرية الساحقة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انقسام العرف إلى عامّ وخاصّ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العرف إلى عرف عام يشترك فيه أغلب الناس أو جميعهم على اختلاف بيئاتهم وظروفهم، كرجوع الجاهل إلى العالم؛ و عرف خاصّ يختصّ ببيئة خاصّة ويسمّى بالرسوم المحلية، وينقسم أيضاً إلى عرف عملي كبيع المعاطاة في أغلب البيوع، وقولي كلفظ الولد حيث إنّه في عرف العرب هو الولد الذكر ولا يشمل الأُنثى، فلو وقف رجل ضيعة للولد تختص بالذكر، خلافاً لمصطلح القرآن حيث يُطلقه على الصنفين،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العرف إلى صحيح وفاسد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العرف منافياً للكتاب والسنّة فهو صحيح، كتعجيل بعض المهر وتأجيل البعض الآخر، وإذا كان مخالفاً لهما كالعقود الربويّة واختلاط النساء بالرجال في مجالس اللهو فهو عرف فاسد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فسواء أكان العرف حجّة أو لا، فالمطلوب من العرف حجّيته في مورد لم يكن هناك حكم شرعي، وإلّا فلا يحتجّ به على حكم</w:t>
      </w:r>
      <w:r>
        <w:rPr>
          <w:rFonts w:eastAsia="Amiri" w:cs="Amiri" w:ascii="Amiri" w:hAnsi="Amiri"/>
          <w:color w:val="111111"/>
          <w:sz w:val="28"/>
          <w:szCs w:val="28"/>
          <w:rtl w:val="true"/>
          <w:lang w:bidi="ar-SA"/>
        </w:rPr>
        <w:t>.</w:t>
      </w:r>
      <w:bookmarkStart w:id="138" w:name="pg6250_60060"/>
    </w:p>
    <w:p>
      <w:pPr>
        <w:pStyle w:val="BookText"/>
        <w:rPr/>
      </w:pPr>
      <w:bookmarkEnd w:id="138"/>
      <w:r>
        <w:rPr>
          <w:rFonts w:ascii="Amiri" w:hAnsi="Amiri" w:eastAsia="Amiri" w:cs="Amiri"/>
          <w:color w:val="111111"/>
          <w:sz w:val="28"/>
          <w:sz w:val="28"/>
          <w:szCs w:val="28"/>
          <w:rtl w:val="true"/>
          <w:lang w:bidi="ar-SA"/>
        </w:rPr>
        <w:t>والغاية من الدراسة في المقام تحليل كونه ظناً خاصّاً يستنبط منه الحكم الشرعي في منطقة الفراغ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فإليك بيان الموارد الّتي يمكن أن يكون العرف مرجعاً فيها ولا تتجاوز عن ستة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663782_237004111"/>
      <w:bookmarkStart w:id="140" w:name="_Toc53"/>
      <w:bookmarkEnd w:id="139"/>
      <w:r>
        <w:rPr/>
        <w:t>1</w:t>
      </w:r>
      <w:r>
        <w:rPr>
          <w:rtl w:val="true"/>
        </w:rPr>
        <w:t xml:space="preserve">. </w:t>
      </w:r>
      <w:r>
        <w:rPr>
          <w:rtl w:val="true"/>
        </w:rPr>
        <w:t>الرجوع إلى العرف في معاني الألفاظ</w:t>
      </w:r>
      <w:bookmarkEnd w:id="140"/>
    </w:p>
    <w:p>
      <w:pPr>
        <w:pStyle w:val="BookText"/>
        <w:rPr/>
      </w:pPr>
      <w:r>
        <w:rPr>
          <w:rFonts w:ascii="Amiri" w:hAnsi="Amiri" w:eastAsia="Amiri" w:cs="Amiri"/>
          <w:color w:val="111111"/>
          <w:sz w:val="28"/>
          <w:sz w:val="28"/>
          <w:szCs w:val="28"/>
          <w:rtl w:val="true"/>
          <w:lang w:bidi="ar-SA"/>
        </w:rPr>
        <w:t>لا شك أنّ أهل اللغة هم المرجع في بيان مفاهيم الألفاظ ومعانيها، ولا يختصّ ذلك بلغة دون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تحمّل أصحاب المعاجم عبء العيش بين أهل اللغة في البوادي والحواضر، فدوّنوا ما سمعوه منهم في معاجمهم، كالخليل بن أحمد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والجوهري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أصحاب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التبادر عند أهل اللسان حجّة على كونه هو الموضوع له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663784_237004111"/>
      <w:bookmarkStart w:id="142" w:name="_Toc54"/>
      <w:bookmarkEnd w:id="141"/>
      <w:r>
        <w:rPr/>
        <w:t>2</w:t>
      </w:r>
      <w:r>
        <w:rPr>
          <w:rtl w:val="true"/>
        </w:rPr>
        <w:t xml:space="preserve">. </w:t>
      </w:r>
      <w:r>
        <w:rPr>
          <w:rtl w:val="true"/>
        </w:rPr>
        <w:t>الرجوع إلى العرف في تحديد المعاني</w:t>
      </w:r>
      <w:bookmarkEnd w:id="1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يكون المعنى واضحاً، ولكن الحدود غير معلومة فيرجع إلى العرف في تحديدها، وهذا كمفاهيم البيع والعقد والإجارة وغيرها حيث يشك في جزئية شيء أو شرطيته لها، كما إذا شك في شرطية العربية في الإيجاب والقبول أو تقديم الإيجاب، أو التنجيز</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صدق هذه المفاهيم، فإذا رجعنا إلى العرف وثبت أنّ صدق هذه المفاهيم غير مشروط بهذه القيود والشروط يُحكم بصحّة البيع بغير العربية والعقد المتأخّر إيجابه، أو كون إيجابه معلّقاً، وهذه هي سيرة الفقهاء حيث يتمسّكون 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وعموم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عند الشك في الجزئية والشرطية، فإذا كان صدق هذه المفاهيم غير مقيّد بهذه الشروط عند العرف فيؤخذ بإطلاقها ويحكم بصحّة البيع فيها، وما هذا إلّالأنّ الموضوع في الآيات الكريمة هو البيع والعقد العرفيان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الشرعيان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المعنى العرفي مرآة وطريق إلى المعنى الشرعي، إلّا إذا قام الدليل على الخلاف، كما في بيع الخمر والخنزير أو بيع الغرر، ولولا كون الموضوع ما يصدق عليه البيع أو العقد عرفاً لكان التمسّك بالآيات عند الشك في الشرطية والجزئية، تمسّكاً بالعام في الشبهات المصداقية، وما ذكرناه هو توضيح ما أفاده الشيخ في آخر تعريف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افترضنا الإجمال في مفهوم الغبن أو العيب في المبيع فالمرجع هو العرف؛ ونظيره الغناء فكلّ ما سُمّي غناءً فهو حرام، سواء اشتمل على الترجيع أو الطرب أو لا</w:t>
      </w:r>
      <w:r>
        <w:rPr>
          <w:rFonts w:eastAsia="Amiri" w:cs="Amiri" w:ascii="Amiri" w:hAnsi="Amiri"/>
          <w:color w:val="111111"/>
          <w:sz w:val="28"/>
          <w:szCs w:val="28"/>
          <w:rtl w:val="true"/>
          <w:lang w:bidi="ar-SA"/>
        </w:rPr>
        <w:t>.</w:t>
      </w:r>
      <w:bookmarkStart w:id="143" w:name="pg6250_60062"/>
    </w:p>
    <w:p>
      <w:pPr>
        <w:pStyle w:val="Heading4"/>
        <w:numPr>
          <w:ilvl w:val="3"/>
          <w:numId w:val="1"/>
        </w:numPr>
        <w:rPr/>
      </w:pPr>
      <w:bookmarkStart w:id="144" w:name="__RefHeading___Toc1663786_237004111"/>
      <w:bookmarkStart w:id="145" w:name="_Toc55"/>
      <w:bookmarkEnd w:id="143"/>
      <w:bookmarkEnd w:id="144"/>
      <w:r>
        <w:rPr/>
        <w:t>3</w:t>
      </w:r>
      <w:r>
        <w:rPr>
          <w:rtl w:val="true"/>
        </w:rPr>
        <w:t xml:space="preserve">. </w:t>
      </w:r>
      <w:r>
        <w:rPr>
          <w:rtl w:val="true"/>
        </w:rPr>
        <w:t>الرجوع إلى العرف في تشخيص المصاديق</w:t>
      </w:r>
      <w:bookmarkEnd w:id="145"/>
    </w:p>
    <w:p>
      <w:pPr>
        <w:pStyle w:val="BookText"/>
        <w:rPr/>
      </w:pPr>
      <w:r>
        <w:rPr>
          <w:rFonts w:ascii="Amiri" w:hAnsi="Amiri" w:eastAsia="Amiri" w:cs="Amiri"/>
          <w:color w:val="111111"/>
          <w:sz w:val="28"/>
          <w:sz w:val="28"/>
          <w:szCs w:val="28"/>
          <w:rtl w:val="true"/>
          <w:lang w:bidi="ar-SA"/>
        </w:rPr>
        <w:t>ربّما يكون المفهوم وحدوده معلوماً لكن يشك الإنسان في كون شيء مصداقاً للمفهوم المعلوم أو لا، كالمعدن فإنّ له أقساماً بعضها قطعي وبعضها مشكوك الدخول فيه كالطين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وكالحرز حيث اتّفق الفقهاء على أنّ الإنسان البالغ العاقل والمختار إذا سرق من حرز ربع دينار فصاعداً أو ما قيمته كذلك، تقطع يده، إنّما الكلام في بعض مصاديق الحرز، فلا شكّ أنّ الصندوق حرز الدراهم والثياب، والاصطبل حرز الدابة، لكن ربّما يشك في صدقه في غير هذين الموردين، كما إذا جعل الدراهم والثياب في غرفة مقفلة فهل يصدق عليه الحرز أو لا؟ فالمرجع في ذلك هو العرف، وهو لا يرى فرقاً بينهما في الصدق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المرجع هو العرف الدقيق لا العرف المتسامح، فلو باع مائة كيلو حنطة فسلم </w:t>
      </w:r>
      <w:r>
        <w:rPr>
          <w:rFonts w:eastAsia="Amiri" w:cs="Amiri" w:ascii="Amiri" w:hAnsi="Amiri"/>
          <w:color w:val="111111"/>
          <w:sz w:val="28"/>
          <w:szCs w:val="28"/>
          <w:lang w:bidi="ar-SA"/>
        </w:rPr>
        <w:t>99,500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كيلوغراماً فالعرف المتسامح يراه مائة كيلو بخلاف العرف الدقيق، ومنه يعلم حكم الكر والفرسخ وعامّة المقادير والأوزان فلا يتسامح فيها حتّى بمقدار طفيف، لأنّ المفروض أنّ الشارع حدّدها والعرف الدقيق حدّدها أيضاً بحدّ خاص، فإذا فقد الحدّ لا يصدق المحدود</w:t>
      </w:r>
      <w:r>
        <w:rPr>
          <w:rFonts w:eastAsia="Amiri" w:cs="Amiri" w:ascii="Amiri" w:hAnsi="Amiri"/>
          <w:color w:val="111111"/>
          <w:sz w:val="28"/>
          <w:szCs w:val="28"/>
          <w:rtl w:val="true"/>
          <w:lang w:bidi="ar-SA"/>
        </w:rPr>
        <w:t>.</w:t>
      </w:r>
      <w:bookmarkStart w:id="146" w:name="pg6250_60063"/>
    </w:p>
    <w:p>
      <w:pPr>
        <w:pStyle w:val="Heading4"/>
        <w:numPr>
          <w:ilvl w:val="3"/>
          <w:numId w:val="1"/>
        </w:numPr>
        <w:rPr/>
      </w:pPr>
      <w:bookmarkStart w:id="147" w:name="__RefHeading___Toc1663788_237004111"/>
      <w:bookmarkStart w:id="148" w:name="_Toc56"/>
      <w:bookmarkEnd w:id="146"/>
      <w:bookmarkEnd w:id="147"/>
      <w:r>
        <w:rPr/>
        <w:t>4</w:t>
      </w:r>
      <w:r>
        <w:rPr>
          <w:rtl w:val="true"/>
        </w:rPr>
        <w:t xml:space="preserve">. </w:t>
      </w:r>
      <w:r>
        <w:rPr>
          <w:rtl w:val="true"/>
        </w:rPr>
        <w:t>كشف الملازمة بين حكمين شرعيّين</w:t>
      </w:r>
      <w:bookmarkEnd w:id="148"/>
    </w:p>
    <w:p>
      <w:pPr>
        <w:pStyle w:val="BookText"/>
        <w:rPr/>
      </w:pPr>
      <w:r>
        <w:rPr>
          <w:rFonts w:ascii="Amiri" w:hAnsi="Amiri" w:eastAsia="Amiri" w:cs="Amiri"/>
          <w:color w:val="111111"/>
          <w:sz w:val="28"/>
          <w:sz w:val="28"/>
          <w:szCs w:val="28"/>
          <w:rtl w:val="true"/>
          <w:lang w:bidi="ar-SA"/>
        </w:rPr>
        <w:t>إذا كان بين الحكم الشرعي المنطوق، والحكم الشرعي الآخر غير المنطوق، ملازمة عادية بحيث ينتقل العرف من الحكم الأوّل إلى الحكم الثاني وإن لم يكن الثاني ملفوظاً، فهذه الملازمة حجّة لدى الفقيه وتعدّ من المداليل، وهذا كما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قال الشارع يطهر بدن الميت بعد إجراء الأغسال الثلاثة، ولكن سكت عن طهارة يد الغاسل والخشب الّذي أُجري عليه الغسل وسائر الأدوات، لكن العرف يرى ملازمةً بين طهارة الميت وطهارة الأُمور الماضية، إذ كيف يمكن أن يكون بدن الميت طاهراً ويد الغاسل نجسة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دلّ الدليل على طهارة الخمر إذا انقلب إلى الخل وسكت عن طهارة الإناء، فالعرف يرى بين الطهارتين ملازمة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دلّ الدليل الشرعي على طهارة العصير العنبي بعد التثليث وسكت عن طهارة الإناء والأدوات الّتي استخدمها الطباخ، فالعرف يرى الملازمة بين الطهارتين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يُعبّر عنه في الفقه بالتبعيّة</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663790_237004111"/>
      <w:bookmarkStart w:id="150" w:name="_Toc57"/>
      <w:bookmarkEnd w:id="149"/>
      <w:r>
        <w:rPr/>
        <w:t>5</w:t>
      </w:r>
      <w:r>
        <w:rPr>
          <w:rtl w:val="true"/>
        </w:rPr>
        <w:t xml:space="preserve">. </w:t>
      </w:r>
      <w:r>
        <w:rPr>
          <w:rtl w:val="true"/>
        </w:rPr>
        <w:t>استخدام الأعراف في كشف مقاصد المتكلّم</w:t>
      </w:r>
      <w:bookmarkEnd w:id="15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قوم وبلد أعرافاً خاصّة يتعاملون في إطارها ويتّفقون على ضوئها في كافّة العقود والإيقاعات، فهذه الأعراف تشكّل قرينة</w:t>
      </w:r>
    </w:p>
    <w:p>
      <w:pPr>
        <w:pStyle w:val="BookText"/>
        <w:rPr/>
      </w:pPr>
      <w:r>
        <w:rPr>
          <w:rFonts w:ascii="Amiri" w:hAnsi="Amiri" w:eastAsia="Amiri" w:cs="Amiri"/>
          <w:color w:val="111111"/>
          <w:sz w:val="28"/>
          <w:sz w:val="28"/>
          <w:szCs w:val="28"/>
          <w:rtl w:val="true"/>
          <w:lang w:bidi="ar-SA"/>
        </w:rPr>
        <w:t>حالية لحلّكثير من الإجماعات المتوهّمة في أقوالهم وأفعالهم، ولنقدّم نماذج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باع دابة ثمّ اختلفا في مفهومه، فالمرجع ليس هو اللغة، بل ما هو المتبادر في عرف المتعاقدين وهو الفرس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باع اللحم ثمّ اختلفا في مفهومه، فالمرجع هو المتبادر في عرف المتبايعين، وهو اللحم الأحمر دون اللحم الأبيض كلحم السمك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وصّى بشيء لولده، فالمرجع في تفسير الولد هو العرف، ولا يطلق فيه إلّاعلى الذكر لا الأُنثى خلافاً للفقه والكتاب العزيز،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اختلفت البلدان في بيع شيء بالكيل أو الوزن أو بالعد، فالمتبع هو العرف الرائج في بلد البيع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لم يثبت فيه الكيل ولا الوزن ولا عدمهما في عهده صلى الله عليه و آله و سلم فحكمه حكم البلدان، فإن اتّفق البلدان فالحكم واضح، وإن اختلفت ففي بلد الكيل أو الوزن يكون ربوياً تحرم الزيادة وفي غيره لا يكون ربوياً فيجوز التفاضل، والظاهر أنّ الحكم للبلد لا لأهله وإن كان في بلد غيره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اختلف الزوجان في أداء المهر، فالمرجع هو العرف الخاص، فلو جرت العادة على تقديم المهر أو جزء منه قبل الزفاف ولكن ادّعت الزوجة أنّها لم تأخذه، وادّعى الزوج أنّه دفعه إليها، فللحاكم أن يحكم على وفق العرف الدارج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الإمام الصادق عليه السلام فيما إذا ماتت الزوجة واختلف الزوج مع ورثة الزوجة كالأب والأُم في متاع البيت، فادّعى الزوج أنّه له وقالت الورثة إنّه للزوجة، فجعل الإمام المتاع لها وقال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أقامت بيّنة إلى كم كانت 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سألت من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الجبلين ونحن يومئذٍ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لأخبروك انّ الجهاز والمتاع يهدى علانية، من بيت المرأة إلى بيت زوجها، فهي التي جاءت به وهذا المدّعي، فإن زعم أنّه أحدث فيه شيئاً فليأت عليه البيّنة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اختلف البائع والمشتري في دخول توابع المبيع في البيع فيما إذا لم يصرّحا به، كما إذا اختلفا في دخول اللجام والسرج في المبيع، فإذا جرى العرف على دخولهما في المبيع وإن لم يذكر يكون قرينة على أنّ المبيع هو المتبوع والتابع، 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يتعارفه الناس في قول أو فعل عليه يسير نظام حياتهم وحاجاتهم، فإذا قالوا أو كتبوا فإنّما يعنون المعنى المتعارف لهم، وإذا عملوا فإنّما</w:t>
      </w:r>
      <w:bookmarkStart w:id="151" w:name="pg6250_60066"/>
    </w:p>
    <w:p>
      <w:pPr>
        <w:pStyle w:val="BookText"/>
        <w:rPr/>
      </w:pPr>
      <w:bookmarkEnd w:id="151"/>
      <w:r>
        <w:rPr>
          <w:rFonts w:ascii="Amiri" w:hAnsi="Amiri" w:eastAsia="Amiri" w:cs="Amiri"/>
          <w:color w:val="111111"/>
          <w:sz w:val="28"/>
          <w:sz w:val="28"/>
          <w:szCs w:val="28"/>
          <w:rtl w:val="true"/>
          <w:lang w:bidi="ar-SA"/>
        </w:rPr>
        <w:t>يعملون على وفق ما يتعارفونه واعتادوه، وإذا سكتوا عن التصريح بشيء فهو اكتفاء بما يقتضي به عرفهم، ولهذا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عرفاً كالمشروط شرطاً</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663792_237004111"/>
      <w:bookmarkStart w:id="153" w:name="_Toc58"/>
      <w:bookmarkEnd w:id="152"/>
      <w:r>
        <w:rPr/>
        <w:t>6</w:t>
      </w:r>
      <w:r>
        <w:rPr>
          <w:rtl w:val="true"/>
        </w:rPr>
        <w:t xml:space="preserve">. </w:t>
      </w:r>
      <w:r>
        <w:rPr>
          <w:rtl w:val="true"/>
        </w:rPr>
        <w:t>كون العرف منبعاً لاستنباط الحكم الشرعي</w:t>
      </w:r>
      <w:bookmarkEnd w:id="153"/>
    </w:p>
    <w:p>
      <w:pPr>
        <w:pStyle w:val="BookText"/>
        <w:rPr/>
      </w:pPr>
      <w:r>
        <w:rPr>
          <w:rFonts w:ascii="Amiri" w:hAnsi="Amiri" w:eastAsia="Amiri" w:cs="Amiri"/>
          <w:color w:val="111111"/>
          <w:sz w:val="28"/>
          <w:sz w:val="28"/>
          <w:szCs w:val="28"/>
          <w:rtl w:val="true"/>
          <w:lang w:bidi="ar-SA"/>
        </w:rPr>
        <w:t>ما سبق من الموارد الخمسة يحتجّ بالعرف في تشخيص الصغرى ويتبعه الحكم الشرعي إلى الكبرى ولم يختلف فيها اثنان، إنّما المهم كونه من منابع الاستنباط أي يُكتشف به الحكم الشرعي كالإجماع وغيره؛ وهذا هو الّذي يصرّ عليه أهل السنّة فيعدّونه من منابع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الحق كون العرف كاشفاً عن الحكم الشرعي دون أن يكون من منابع الاستنباط، وقد تقدّم مثل ذلك في الإجماع وأنّه ليس من منابع الاستنباط بل كاشفاً عن السنّة، فهكذا العرف أو سيرة العقلاء يكشف عن الحكم الشرعي بشرطين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اتّصال السيرة إلى أعصارهم وكونها بمرأى ومسمع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ردعهم عنها بقول وفعل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نوافق أهل السنّة في أصل الاحتجاج بالعرف والسيرة لكن نخالفهم في أنّ مرجع العرف عندنا إلى السنّة حيث يكشف عنها دون أن يكون دليلاًمستقلاً، ولذلك أفتى الفقهاء بالجواز في الموارد التالية لوجود السيرة المتصلة بعصر المعصومين من دون</w:t>
      </w:r>
    </w:p>
    <w:p>
      <w:pPr>
        <w:pStyle w:val="BookText"/>
        <w:rPr/>
      </w:pP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العقود المعاطاتية في البيع والإجارة والرهن وغيرها، فهي حجّة على مَن يشترط العقد اللفظي في صحّة المعاملات المزبورة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الأشجار والأبنية منفكّة عن وقف العقار، فالسيرة حجّة عند الشكّ في صحّة هذا النوع من الوقوف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الحمّام من دون تقدير مدّة المكث فيه ومقدار المياه الّتي يصرفها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استقلال الحافلة بأُجرة معيّنة من دون أن يعيّن حدّ المسافة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الصبي وشراؤه في المحقّرات، دون الجلائل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الثالث والرابع غرريّان، والخامس، ينافيه ظاهراً،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أو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يعلم أنّ السير الحادثة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الاحتجاج بها وإن راجت بينهم كالأمثلة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التأمين وهو عقد رائج بين العقلاء عليه يدور رحى الحياة في العصر الحاضر فموافقة العرف لا يكون دليلاً على كونه مشروعاً بل هو بحاجة إلى دليل آخر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حقّ الامتياز قد شاع بين الناس شراء الامتياز الكهرباء والهاتف والماء وغير ذلك ممّا يعدّ من متطلّبات الحياة العصرية فدفع خصوص المال بغية شرائها وراء ما يدفع في مقابل الانتفاع بها، وحيث إنّ هذه السيرة حدثت ولم تكن في عصر المعصومين فلا يعد موافقة العرف له دليلاً على جوازه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السرقفلية قد شاع بين الناس أنّ المستأجر إذا استأجر مكاناً وسكن فيه فيصبح له حق الأولوية وربما يأخذ شيئاً باسم السرقفلية حين التخلية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عقود الشركات التجارية الرائجة في عصرنا ولكلّ منها تعريف يخصّها ولم يكن له أثر في عصر الوحي، فتصويب كلّ هذه العقود بحاجة ماسّة إلى دليل آخر وراء العرف، فإن دلّ عليه دليل شرعي يؤخذ به وإلّا فلا تصحّ بالعرف</w:t>
      </w:r>
      <w:r>
        <w:rPr>
          <w:rFonts w:eastAsia="Amiri" w:cs="Amiri" w:ascii="Amiri" w:hAnsi="Amiri"/>
          <w:color w:val="111111"/>
          <w:sz w:val="28"/>
          <w:szCs w:val="28"/>
          <w:rtl w:val="true"/>
          <w:lang w:bidi="ar-SA"/>
        </w:rPr>
        <w:t>.</w:t>
      </w:r>
      <w:bookmarkStart w:id="154" w:name="pg6250_60069"/>
    </w:p>
    <w:p>
      <w:pPr>
        <w:pStyle w:val="Heading3"/>
        <w:numPr>
          <w:ilvl w:val="2"/>
          <w:numId w:val="1"/>
        </w:numPr>
        <w:rPr/>
      </w:pPr>
      <w:bookmarkStart w:id="155" w:name="__RefHeading___Toc1663794_237004111"/>
      <w:bookmarkStart w:id="156" w:name="_Toc59"/>
      <w:bookmarkEnd w:id="154"/>
      <w:bookmarkEnd w:id="155"/>
      <w:r>
        <w:rPr>
          <w:rtl w:val="true"/>
        </w:rPr>
        <w:t>المحور الرابع</w:t>
      </w:r>
      <w:r>
        <w:rPr>
          <w:rtl w:val="true"/>
        </w:rPr>
        <w:t xml:space="preserve">: </w:t>
      </w:r>
      <w:r>
        <w:rPr>
          <w:rtl w:val="true"/>
        </w:rPr>
        <w:t>دور مقاصد الشريعة وأهدافها في الفقه الإمامي</w:t>
      </w:r>
      <w:bookmarkEnd w:id="156"/>
    </w:p>
    <w:p>
      <w:pPr>
        <w:pStyle w:val="Heading4"/>
        <w:numPr>
          <w:ilvl w:val="3"/>
          <w:numId w:val="1"/>
        </w:numPr>
        <w:rPr/>
      </w:pPr>
      <w:bookmarkStart w:id="157" w:name="__RefHeading___Toc1663796_237004111"/>
      <w:bookmarkStart w:id="158" w:name="_Toc60"/>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دور مقاصد الشريعة وأهدافها في الفقه الإمامي</w:t>
      </w:r>
    </w:p>
    <w:p>
      <w:pPr>
        <w:pStyle w:val="BookText"/>
        <w:rPr/>
      </w:pPr>
      <w:r>
        <w:rPr>
          <w:rFonts w:ascii="Amiri" w:hAnsi="Amiri" w:eastAsia="Amiri" w:cs="Amiri"/>
          <w:color w:val="111111"/>
          <w:sz w:val="28"/>
          <w:sz w:val="28"/>
          <w:szCs w:val="28"/>
          <w:rtl w:val="true"/>
          <w:lang w:bidi="ar-SA"/>
        </w:rPr>
        <w:t>قبل الخوض في البحث نقدّم أُموراً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663798_237004111"/>
      <w:bookmarkStart w:id="160" w:name="_Toc61"/>
      <w:bookmarkEnd w:id="159"/>
      <w:r>
        <w:rPr/>
        <w:t>1</w:t>
      </w:r>
      <w:r>
        <w:rPr>
          <w:rtl w:val="true"/>
        </w:rPr>
        <w:t xml:space="preserve">. </w:t>
      </w:r>
      <w:r>
        <w:rPr>
          <w:rtl w:val="true"/>
        </w:rPr>
        <w:t>أفعاله سبحانه تكويناً وتشريعاً معلّلة بالغايات</w:t>
      </w:r>
      <w:bookmarkEnd w:id="160"/>
    </w:p>
    <w:p>
      <w:pPr>
        <w:pStyle w:val="BookText"/>
        <w:rPr/>
      </w:pPr>
      <w:r>
        <w:rPr>
          <w:rFonts w:ascii="Amiri" w:hAnsi="Amiri" w:eastAsia="Amiri" w:cs="Amiri"/>
          <w:color w:val="111111"/>
          <w:sz w:val="28"/>
          <w:sz w:val="28"/>
          <w:szCs w:val="28"/>
          <w:rtl w:val="true"/>
          <w:lang w:bidi="ar-SA"/>
        </w:rPr>
        <w:t>إنّ الرأي السائد لدى الأشاعرة، هو أنّ أفعال اللّه سبحانه لا تكون معلّلة بالأغراض والمقاصد، مستدلّين بأنّه لو كان فعله خاضعاً للغرض لكان ناقصاً في ذاته، مستكملاً بتحصيل ذلك الغرض، لأنّه لا يصلح غرضاً للفاعل إلّاما هو أصلح له من عدمه وهو معنى الكمال</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خلطوا بين الغرض العائد إلى الفاعل، والغرض المترتّب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المستفيد غيره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فالاستكمال</w:t>
      </w:r>
    </w:p>
    <w:p>
      <w:pPr>
        <w:pStyle w:val="BookText"/>
        <w:rPr/>
      </w:pPr>
      <w:r>
        <w:rPr>
          <w:rFonts w:ascii="Amiri" w:hAnsi="Amiri" w:eastAsia="Amiri" w:cs="Amiri"/>
          <w:color w:val="111111"/>
          <w:sz w:val="28"/>
          <w:sz w:val="28"/>
          <w:szCs w:val="28"/>
          <w:rtl w:val="true"/>
          <w:lang w:bidi="ar-SA"/>
        </w:rPr>
        <w:t>لازم الصورة الأُولى دون الثانية، والقائل بكون أفعاله معلّلة بالأغراض والدواعي، يعني بها الصورة الثانية دون الأُولى، وتبعية الفعل للغرض بالمعنى الأوّل ينافي كونه غنياً في ذاته وصفاته وأفعاله، ولكنّها بالمعنى الثاني توجب خروج فعله عن كونه عبثاً ولغواً، وكونه سبحانه عابثاً ولاغياً، فالجمع بين كونه غنياً غير محتاج إلى شيء، وكونه حكيماً منزّهاً عن العبث واللغو، يتحقّق باشتمال أفعاله على حِكَم ومصالح ترجع إلى العباد لا إلى وجوده وذاته،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يُجلّ اللّه سبحانه عن أن تكون أفعاله الكونية عبثاً بلا غرض، وسُدىً بلا غاية، لأنّ العبث يضادّ كونه حكيماً يضع الأشياء مواضعها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بَيْنَهُما لاعِبِينَ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بَيْنَهُما باطِلاً 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161" w:name="pg6250_60071"/>
    </w:p>
    <w:p>
      <w:pPr>
        <w:pStyle w:val="BookText"/>
        <w:rPr/>
      </w:pPr>
      <w:bookmarkEnd w:id="16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تَنفي العبث عن فعله سبحانه، وتصرّح باقترانه بالحكمة والغرض، ومع هذه التصريحات القاطعة للعذر، كيف يتفلسف الأشعري بما ذكره من الدليل العقلي وينفي كلّ غرض وغاية عن فعله، ويعرّف فعله سبحانه على خلاف الحكمة، مع أنّ من صفاته كونه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أفعاله الكونية مقرونة بالغرض، فكذا تشريعاته في عامّة المجالات تابعة لأغراض تحقّق مصالح للناس عاجلاً وآجلاً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نصوص الذكر الحكيم وما رُوي عن أئمّة أهل البيت عليهم السلام في هذا الصدد</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663800_237004111"/>
      <w:bookmarkStart w:id="163" w:name="_Toc62"/>
      <w:bookmarkEnd w:id="162"/>
      <w:r>
        <w:rPr/>
        <w:t>2</w:t>
      </w:r>
      <w:r>
        <w:rPr>
          <w:rtl w:val="true"/>
        </w:rPr>
        <w:t xml:space="preserve">. </w:t>
      </w:r>
      <w:r>
        <w:rPr>
          <w:rtl w:val="true"/>
        </w:rPr>
        <w:t>الشيعة الإمامية ومقاصد الشريعة</w:t>
      </w:r>
      <w:bookmarkEnd w:id="16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الإمامية عن بكرة أبيهم أكّدوا على أنّ الأحكام الشرعية تابعة للمقاصد والأغراض، فلا واجب إلّالمصلحة في فعله، ولا حرام إلّالمفسدة في اقترافه، وقد تحقّق عندهم إنّ للتشريع الإسلامي نظاماً لا تعتريه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الأصل وإن خالف فيه بعض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نظرهم محجوج بكتاب اللّه وسنّة نبيّه ونصوص 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البيان</w:t>
      </w:r>
      <w:r>
        <w:rPr>
          <w:rFonts w:eastAsia="Amiri" w:cs="Amiri" w:ascii="Amiri" w:hAnsi="Amiri"/>
          <w:color w:val="111111"/>
          <w:sz w:val="28"/>
          <w:szCs w:val="28"/>
          <w:rtl w:val="true"/>
          <w:lang w:bidi="ar-SA"/>
        </w:rPr>
        <w:t>:</w:t>
      </w:r>
      <w:bookmarkStart w:id="164" w:name="pg6250_60072"/>
    </w:p>
    <w:p>
      <w:pPr>
        <w:pStyle w:val="BookText"/>
        <w:rPr/>
      </w:pPr>
      <w:bookmarkEnd w:id="164"/>
      <w:r>
        <w:rPr>
          <w:rFonts w:ascii="Amiri" w:hAnsi="Amiri" w:eastAsia="Amiri" w:cs="Amiri"/>
          <w:color w:val="111111"/>
          <w:sz w:val="28"/>
          <w:sz w:val="28"/>
          <w:szCs w:val="28"/>
          <w:rtl w:val="true"/>
          <w:lang w:bidi="ar-SA"/>
        </w:rPr>
        <w:t xml:space="preserve">المراد من الأغراض والدواعي، ما يترتّب على تشريع الحكم من مصالح اجتماعية أو فردية، أو دفع مفاسد كذلك،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إباحته من 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تحريمه من درء مفاسد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 القرآن بإمعان ودقّة، وتدبّر في آيات التشريع والأحكام، يقف بوضوح على أنّه سبحانه تارة يصرّح بعلل التشريع ودوافعه، وأُخرى يشير إليها بأروع الإشارات، ونحن نذكر من كلّ قسم شيئاً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663802_237004111"/>
      <w:bookmarkStart w:id="166" w:name="_Toc63"/>
      <w:bookmarkEnd w:id="165"/>
      <w:r>
        <w:rPr/>
        <w:t>3</w:t>
      </w:r>
      <w:r>
        <w:rPr>
          <w:rtl w:val="true"/>
        </w:rPr>
        <w:t xml:space="preserve">. </w:t>
      </w:r>
      <w:r>
        <w:rPr>
          <w:rtl w:val="true"/>
        </w:rPr>
        <w:t>التصريح بالعلل</w:t>
      </w:r>
      <w:bookmarkEnd w:id="166"/>
    </w:p>
    <w:p>
      <w:pPr>
        <w:pStyle w:val="BookText"/>
        <w:rPr/>
      </w:pPr>
      <w:r>
        <w:rPr>
          <w:rFonts w:ascii="Amiri" w:hAnsi="Amiri" w:eastAsia="Amiri" w:cs="Amiri"/>
          <w:color w:val="111111"/>
          <w:sz w:val="28"/>
          <w:sz w:val="28"/>
          <w:szCs w:val="28"/>
          <w:rtl w:val="true"/>
          <w:lang w:bidi="ar-SA"/>
        </w:rPr>
        <w:t>قد وردت في الذكر الحكيم آيات تتضمّن تشريع الأحكام مقرونة بذكر عللها والمصالح التي تترتّب عليها، أو المفاسد التي تُدرأ بها،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فالآيتان تشتملان على علل تشريع حرمة الخمر والميسر وما</w:t>
      </w:r>
    </w:p>
    <w:p>
      <w:pPr>
        <w:pStyle w:val="BookText"/>
        <w:rPr/>
      </w:pPr>
      <w:r>
        <w:rPr>
          <w:rFonts w:ascii="Amiri" w:hAnsi="Amiri" w:eastAsia="Amiri" w:cs="Amiri"/>
          <w:color w:val="111111"/>
          <w:sz w:val="28"/>
          <w:sz w:val="28"/>
          <w:szCs w:val="28"/>
          <w:rtl w:val="true"/>
          <w:lang w:bidi="ar-SA"/>
        </w:rPr>
        <w:t>عطف عليهما من الأنصاب والأزلام، إمّا بالإشارة إليها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بالتصريح بها كما في الآية الثانية بأنّ مزاولتهما تورث العداء والبغضاء وتصد عن 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جعل الفيء للّه وللرسول ولمن عطف عليهما، لئلّا يتم تداول الثروة دائماً بين الأغنياء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نهى سبحانه عن سبّ آلهة المشركين، لأنّه ينتهي إلى سبّ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w:t>
      </w:r>
    </w:p>
    <w:p>
      <w:pPr>
        <w:pStyle w:val="BookText"/>
        <w:rPr/>
      </w:pPr>
      <w:r>
        <w:rPr>
          <w:rFonts w:ascii="Amiri" w:hAnsi="Amiri" w:eastAsia="Amiri" w:cs="Amiri"/>
          <w:color w:val="111111"/>
          <w:sz w:val="28"/>
          <w:sz w:val="28"/>
          <w:szCs w:val="28"/>
          <w:rtl w:val="true"/>
          <w:lang w:bidi="ar-SA"/>
        </w:rPr>
        <w:t>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أمر تبارك وتعالى بغسل الوجوه والأيدي ومسح الرؤوس والأرجل لمن كان واجداً للماء، كما أمر لفاقده بالتيمّم بمسح الوجوه والأيدي بما يعلق بها من الغبار، ثمّ علّل سبحانه الأمر بالطهارة الأعم من المائية والترابية بأنّه لغاية تطهيركم لا لإيجاد الحرج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الْقِصاصِ حَياةٌ يا أُولِي الْأَلْبابِ لَعَلَّكُمْ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أمر سبحانه بالقصاص وقتل النفس بالنفس لما فيه حياة للمجتمع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سبحانه بعد ما قصّ نبأ ابني آدم وأنّ أحد الأخوين قتل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وقوع تلك الحادثة الفجيعة سبباً لكتابته سبحانه على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قتل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قتل الناس جميعاً، فالحكم المكتوب على بني إسرائيل نابع عن قصّة نبأ ابني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 إِذا قَضَوْا مِنْهُنَّ وَطَراً وَ كانَ أَمْرُ اللّهِ مَفْعُولاً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 الحكم السائد في الجاهلية تحريم تزوّج الرجال بأزواج أدعيائهم، وحينما طلّق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تبنّاه رسول اللّه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زينب بنت عمة النبي صلى الله عليه و آله، أمر سبحانه نبيّه الكريم أن يتزوجها بهدف إماتة تلك السنّة الجاهلية، وبذلك جسّد صلى الله عليه و آله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يَكُونَ عَلَى الْمُؤْمِنِينَ حَرَجٌ فِي أَزْواجِ أَدْعِيائِهِمْ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فقد علّل سبحانه الإذن بقتال الظالمين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صريحة في أنّ المظلوم مأذون في قتال الظالم مادام كونه مظلوماً والآخر ظالماً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تَنْهى عَنِ الْفَحْشاءِ وَ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فلكونها ناهية عنهما صارت سبباً للأمر بإقامتها</w:t>
      </w:r>
      <w:r>
        <w:rPr>
          <w:rFonts w:eastAsia="Amiri" w:cs="Amiri" w:ascii="Amiri" w:hAnsi="Amiri"/>
          <w:color w:val="111111"/>
          <w:sz w:val="28"/>
          <w:szCs w:val="28"/>
          <w:rtl w:val="true"/>
          <w:lang w:bidi="ar-SA"/>
        </w:rPr>
        <w:t>.</w:t>
      </w:r>
      <w:bookmarkStart w:id="167" w:name="pg6250_60076"/>
    </w:p>
    <w:p>
      <w:pPr>
        <w:pStyle w:val="BookText"/>
        <w:rPr/>
      </w:pPr>
      <w:bookmarkEnd w:id="167"/>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أمر سبحانه بلزوم التأهّب واتّخاذ العدّة للقتال، وذلك لغاية إرهاب عدو اللّه وعدو المسلمين من غير فرق بين معلوم العداء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آيات التشريع التي صرّح الذكر الحكيم بعللها، وإليك نماذج من القسم الآخر</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663804_237004111"/>
      <w:bookmarkStart w:id="169" w:name="_Toc64"/>
      <w:bookmarkEnd w:id="168"/>
      <w:r>
        <w:rPr/>
        <w:t>4</w:t>
      </w:r>
      <w:r>
        <w:rPr>
          <w:rtl w:val="true"/>
        </w:rPr>
        <w:t xml:space="preserve">. </w:t>
      </w:r>
      <w:r>
        <w:rPr>
          <w:rtl w:val="true"/>
        </w:rPr>
        <w:t>الإلماع إلى علل التشريع دون التصريح</w:t>
      </w:r>
      <w:bookmarkEnd w:id="169"/>
    </w:p>
    <w:p>
      <w:pPr>
        <w:pStyle w:val="BookText"/>
        <w:rPr/>
      </w:pPr>
      <w:r>
        <w:rPr>
          <w:rFonts w:ascii="Amiri" w:hAnsi="Amiri" w:eastAsia="Amiri" w:cs="Amiri"/>
          <w:color w:val="111111"/>
          <w:sz w:val="28"/>
          <w:sz w:val="28"/>
          <w:szCs w:val="28"/>
          <w:rtl w:val="true"/>
          <w:lang w:bidi="ar-SA"/>
        </w:rPr>
        <w:t>هناك آيات في الذكر الحكيم تشير إلى علل الأحكام لا بصورة واضحة، بل بالكناية والإشارة يقف عليها مَن تدبّر الذكر الحكيم، وإليك نماذج من هذا القسم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عَزِيزٌ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فالآية مشتملة على التعليل الصريح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الإشارة إليه حيث علّق لزوم القطع على عنواني السارق والسارقة مشيراً إلى أنّ</w:t>
      </w:r>
    </w:p>
    <w:p>
      <w:pPr>
        <w:pStyle w:val="BookText"/>
        <w:rPr/>
      </w:pPr>
      <w:r>
        <w:rPr>
          <w:rFonts w:ascii="Amiri" w:hAnsi="Amiri" w:eastAsia="Amiri" w:cs="Amiri"/>
          <w:color w:val="111111"/>
          <w:sz w:val="28"/>
          <w:sz w:val="28"/>
          <w:szCs w:val="28"/>
          <w:rtl w:val="true"/>
          <w:lang w:bidi="ar-SA"/>
        </w:rPr>
        <w:t>علّة القطع هو السرقة، وقد اشتهر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 الحكم بالوصف مشعر بالعلّية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 إِنْ كُنْتُمْ تُؤْمِنُونَ بِاللّهِ وَ الْيَوْمِ الْآخِرِ وَ لْيَشْهَدْ عَذابَهُما طائِفَةٌ مِنَ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فالآية مشتملة على الإشارة بالتعليل وهو تعليق الحكم على عنوان الزانية والزاني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الصَّلاةَ فَاذْكُرُوا اللّهَ قِياماً وَ قُعُوداً وَ عَلى جُنُوبِكُمْ فَإِذَا اطْمَأْنَنْتُمْ فَأَقِيمُوا الصَّلاةَ إِنَّ الصَّلاةَ كانَتْ عَلَى الْمُؤْمِنِينَ كِتاباً مَوْقُوتاً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ذكر سبحانه في هذه الآية صلاة الخوف وبيّن كيفيتها، ولمّا كان هناك سؤال وهو أنّه سبحانه إذا كان بصدد التخفيف عن العباد، فلماذا لم يأمر بتأخير الصلاة حتى يستقر المسافر في بلده؟ فأجاب سبحانه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الصلاة قد شرّعت مؤقتةً بأوقات لابدّ من أدائها فيها بقدر الإمكان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الَّذِينَ هادُوا حَرَّمْنا عَلَيْهِمْ طَيِّباتٍ أُحِلَّتْ لَهُمْ</w:t>
      </w:r>
    </w:p>
    <w:p>
      <w:pPr>
        <w:pStyle w:val="BookText"/>
        <w:rPr/>
      </w:pPr>
      <w:r>
        <w:rPr>
          <w:rFonts w:ascii="Amiri" w:hAnsi="Amiri" w:eastAsia="Amiri" w:cs="Amiri"/>
          <w:color w:val="111111"/>
          <w:sz w:val="28"/>
          <w:sz w:val="28"/>
          <w:szCs w:val="28"/>
          <w:rtl w:val="true"/>
          <w:lang w:bidi="ar-SA"/>
        </w:rPr>
        <w:t>وَ بِصَدِّهِمْ عَنْ سَبِيلِ اللّهِ كَثِيراً</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ففي الآية إلماع إلى علّة تحريم الطيبات على اليهود وهو ظلمهم وصدّهم عن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أشار سبحانه إلى علّة تشريع الحكم وإيجاب غضّ البصر وحفظ الفروج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أَزْكى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فَسْئَلُوهُنَّ مِنْ وَراءِ حِجابٍ ذلِكُمْ أَطْهَرُ لِقُلُوبِكُمْ وَ قُلُوبِهِنَّ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علّل سبحانه لزوم السؤال من وراء الحجاب بأنّه مورث لطهارة قلوب السائل والمسؤول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 تُسَلِّمُوا عَلى أَهْلِها ذلِكُمْ خَيْرٌ لَكُمْ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فِيها أَحَداً فَلا تَدْخُلُوها حَتّى يُؤْذَنَ لَكُمْ وَ إِنْ قِيلَ لَكُمُ ارْجِعُوا فَارْجِعُوا هُوَ أَزْكى لَكُمْ وَ اللّهُ بِما تَعْمَلُونَ عَلِيمٌ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70" w:name="pg6250_60079"/>
    </w:p>
    <w:p>
      <w:pPr>
        <w:pStyle w:val="BookText"/>
        <w:rPr/>
      </w:pPr>
      <w:bookmarkEnd w:id="170"/>
      <w:r>
        <w:rPr>
          <w:rFonts w:ascii="Amiri" w:hAnsi="Amiri" w:eastAsia="Amiri" w:cs="Amiri"/>
          <w:color w:val="111111"/>
          <w:sz w:val="28"/>
          <w:sz w:val="28"/>
          <w:szCs w:val="28"/>
          <w:rtl w:val="true"/>
          <w:lang w:bidi="ar-SA"/>
        </w:rPr>
        <w:t>ترى أنّه سبحانه يشير إلى علّة التشريع في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أَزْكى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فالغاية من كتابة الصيام على عامّة الأُمم والمسلمين، هو رجاء الاتّقاء عن المعاصي ولك أن تجعل بعض ما ذكر من قبيل التصريح لا الإلماع والإشارة</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663806_237004111"/>
      <w:bookmarkStart w:id="172" w:name="_Toc65"/>
      <w:bookmarkEnd w:id="171"/>
      <w:r>
        <w:rPr/>
        <w:t>5</w:t>
      </w:r>
      <w:r>
        <w:rPr>
          <w:rtl w:val="true"/>
        </w:rPr>
        <w:t xml:space="preserve">. </w:t>
      </w:r>
      <w:r>
        <w:rPr>
          <w:rtl w:val="true"/>
        </w:rPr>
        <w:t>الاستدلال بالروايات</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الْإِيمَانَ تَطْهِيراً مِنَ الشِّرْكِ، وَالصَّلَاةَ تَنْزِيهاً عَنِ الْكِبْرِ، وَالزَّكَاةَ تَسْبِيباً لِلرِّزْقِ، وَالصِّيَامَ ابْتِلَاءً لِإِخْلَاصِ الْخَلْقِ، وَالْحَجَّ تَقْرِبَةً لِلدِّينِ، وَالْجِهَادَ عِزّاً لِلْإِسْلَامِ، وَالْأَمْرَ بِالْمَعْرُوفِ مَصْلَحَةً لِلْعَوَامِّ، وَالنَّهْيَ عَنِ الْمُنْكَرِ رَدْعاً لِلسُّفَهَاءِ، وَصِلَةَ الرَّحِمِ مَنَْماةً لِلْعَدَدِ، وَالْقِصَاصَ حَقْناً لِلدِّمَاءِ، وَإِقَامَةَ الْحُدُودِ إِعْظَاماً لِلْمَحَارِمِ، وَتَرْكَ شُرْبِ الْخَمْرِ تَحْصِيناً لِلْعَقْلِ، وَمُجَانَبَةَ السَّرِقَةِ إِيجَاباً لِلْعِفَّةِ، وَتَرْكَ الزِّنَى تَحْصِيناً لِلنَّسَبِ، وَتَرْكَ اللِّوَاطِ تَكْثِيراً لِلنَّسْلِ، وَالشَّهَادَاتِ اسْتِظْهَاراً عَلَى الُْمجَاحَدَاتِ، وَتَرْكَ الْكَذِبِ تَشْرِيفاً لِلصِّدْقِ،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أَمَاناً مِنَ الَْمخَاوِفِ، وَالأَْمَانَةَ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لِلْأُمَّةِ،</w:t>
      </w:r>
    </w:p>
    <w:p>
      <w:pPr>
        <w:pStyle w:val="BookText"/>
        <w:rPr/>
      </w:pPr>
      <w:r>
        <w:rPr>
          <w:rFonts w:ascii="Amiri" w:hAnsi="Amiri" w:eastAsia="Amiri" w:cs="Amiri"/>
          <w:color w:val="111111"/>
          <w:sz w:val="28"/>
          <w:sz w:val="28"/>
          <w:szCs w:val="28"/>
          <w:rtl w:val="true"/>
          <w:lang w:bidi="ar-SA"/>
        </w:rPr>
        <w:t>وَالطَّاعَةَ تَعْظِيماً لِلْإِمَامَةِ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 من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أطيعوني فيما أمرتكم، ولا تُعلّموني بما يصلحكم، فإنّي أعلم به ولا أبخل عليكم بصالحكم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حول فريضة الصلاة والزكاة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ذلِكَ مَا حَرَسَ اللّهُ عِبَادَهُ الْمُؤْمِنِينَ بِالصَّلَوَاتِ وَالزَّكَوَاتِ، وَمُجَاهَدَةِ الصِّيَامِ فِي الْأَيَّامِ الْمَفْرُوضَاتِ، تَسْكِيناً لِأَطْرَافِهِمْ، وَتَخْشِيعاً لِأَبْصَارِهِمْ، وَتَذْلِيلاً لِنُفُوسِهِمْ، وَتَخْفِيضاً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لِقُلُوبِهِمْ، وَإِذْهَاباً لِلْخُيَلَاءِ عَنْهُمْ، وَلِمَا فِي ذلِكَ مِنْ تَعْفِيرِ عِتَاقِ الْوُجُوهِ بِالتُّرَابِ تَوَاضُعاً، وَالْتِصَاقِ كَرَائِمِ الْجَوَارِحِ بِالْأَرْضِ تَصَاغُراً، وَلُحُوقِ الْبُطُونِ بِالْمُتُونِ مِنَ الصِّيَامِ تَذَلُّلاً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الزهراء عليها السلام سيدة النساء في خطبتها المعروفة بعد رحيل أبيها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فيكم عهد قدّمه إليكم، وبقيّة استخلفها عليكم، كتاب اللّه الناطق، والقرآن الصادق، والنور الساطع، والضياء اللّامع، بيّنة بصائره، منكشفة سرائره، منجلية ظواهره، مغتبط به أشياعه، قائد إلى الرضوان أتباعه، مؤدّ إلى النجاة استماعه، به تنال حجج اللّه</w:t>
      </w:r>
    </w:p>
    <w:p>
      <w:pPr>
        <w:pStyle w:val="BookText"/>
        <w:rPr/>
      </w:pPr>
      <w:r>
        <w:rPr>
          <w:rFonts w:ascii="Amiri" w:hAnsi="Amiri" w:eastAsia="Amiri" w:cs="Amiri"/>
          <w:color w:val="111111"/>
          <w:sz w:val="28"/>
          <w:sz w:val="28"/>
          <w:szCs w:val="28"/>
          <w:rtl w:val="true"/>
          <w:lang w:bidi="ar-SA"/>
        </w:rPr>
        <w:t>المنوّرة، وعزائمه المفسّرة، ومحارمه المحذرة، وبيّناته الجالية، وبراهينه الكافية، وفضائله المندوبة، ورخصه الموهوبة، وشرائعه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اللّه الإيمان تطهيراً لكم من الشرك، والصلاة تنزيهاً لكم عن الكبر، والزكاة تزكية للنفس ونماءً في الرزق، والصيام تثبيتاً للإخلاص، والحجّ تشييداً للدين، والعدل تنسيقاً للقلوب، وطاعتنا نظاماً للملّة، وإمامتنا أماناً من الفرقة، والجهاد عزّاً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وذلّاً لأهل الكفر والنفاق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والصبر معونة على استيجاب الأجر، والأمر بالمعروف مصلحة للعامة، وبرّ الوالدين وقاية من السخط، وصلة الأرحام منسأة في العمر ومنماة للعدد، والقصاص حقناً للدماء، والوفاء بالنذر تعريضاً للمغفرة، وتوفية المكاييل والموازين تغييراً للبخس، والنهي عن شرب الخمر تنزيهاً عن الرجس، واجتناب القذف حجاباً عن اللّعنة، وترك السرقة إيجاباً للعفّة، وحرّم اللّه الشرك إخلاصاً له بالربوبية فاتّقوا اللّه حقّ تقاته، ولا تموتنّ إلّاوأنتم مسلمون، وأطيعوا اللّه فيما أمركم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نهاكم عنه، فإنّه 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باقر الأُمّة وإمامها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مدمن الخمر كعابد وثن، ويورثه الارتعاش، ويهدم مروته ويحمله على التجسّر على المحارم</w:t>
      </w:r>
    </w:p>
    <w:p>
      <w:pPr>
        <w:pStyle w:val="BookText"/>
        <w:rPr/>
      </w:pPr>
      <w:r>
        <w:rPr>
          <w:rFonts w:ascii="Amiri" w:hAnsi="Amiri" w:eastAsia="Amiri" w:cs="Amiri"/>
          <w:color w:val="111111"/>
          <w:sz w:val="28"/>
          <w:sz w:val="28"/>
          <w:szCs w:val="28"/>
          <w:rtl w:val="true"/>
          <w:lang w:bidi="ar-SA"/>
        </w:rPr>
        <w:t>من سفك الدماء وركوب الزنا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جميل بن دراج، عن أبي عبد اللّه عليه السلام أنّه سأله عن شيء من الحلال والحرام؟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يجعل شيء إلّالشيء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معلّقاً 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يشرّع اللّه تعالى حكماً من الأحكام إلّالحكمة من الحكم، ولم يحلّل الحلال إلّا لحسنه، ولم يحرّم الحرام إلّالقبحه، لا كما تقوله الأشاعرة من نفي الغرض وإنكار الحسن والقبح العقليّين؛ ويمكن أن يعمّ بحيث يشمل الخلق والتقدير أيضاً، فإنّه تعالى لم يخلق شيئاً أيضاً إلّا لحكمة كاملة وعلّة باعثة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علّة الصيام؟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في الصيام ليستوي به الغني والفقير، وذلك أنّ الغني لم يكن ليجد مسّ الجوع فيرحم الفقير، لأنّ الغني كلّما أراد شيئاً قدر عليه، فأراد اللّه عزّ وجلّ أن يسوّي بين خلقه وأن يذيق الغنيّ مسّ الجوع والألم ليحسن على الضعيف ويطعم الجائع</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بن</w:t>
      </w:r>
    </w:p>
    <w:p>
      <w:pPr>
        <w:pStyle w:val="BookText"/>
        <w:rPr/>
      </w:pPr>
      <w:r>
        <w:rPr>
          <w:rFonts w:ascii="Amiri" w:hAnsi="Amiri" w:eastAsia="Amiri" w:cs="Amiri"/>
          <w:color w:val="111111"/>
          <w:sz w:val="28"/>
          <w:sz w:val="28"/>
          <w:szCs w:val="28"/>
          <w:rtl w:val="true"/>
          <w:lang w:bidi="ar-SA"/>
        </w:rPr>
        <w:t>جعفر عليهم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الخمر لما فيها من الفساد ومن تغييرها عقول شاربيها، وحملها إيّاهم على إنكار اللّه عزّ وجلّ، والفرية عليه وعلى رسله، وسائر ما يكون منهم من الفساد والقتل، والقذف، والزنا، وقلّة الاحتجاز من شيء من الحرام، فبذلك قضينا على كلّ مسكر من الأشربة أنّه حرام محرّم، لأنّه يأتي من عاقبتها ما يأتي من عاقبة الخمر؛ فليجتنب من يؤمن باللّه واليوم الآخر ويتولّانا وينتحل مودّتنا كلّ شراب مسكر فإنّه لا عصمة بيننا وبين شاربيها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الإمام الطاهر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يبح أكلاً ولا شرباً إلّالما فيه المنفعة والصلاح، ولم يحرّم إلّا ما فيه الضرر والتلف والفساد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في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يسيء الخلق، ويورث القسوة للقلب، وقلّة الرأفة والرحمة، ولا يؤمن أن يقتل ولده ووالده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كلّ ما أحلّ اللّه تبارك وتعالى ففيه صلاح العباد وبقاؤهم، ولهم إليه الحاجة التي لا يستغنون عنها؛ ووجدنا المحرم من الأشياء، لا حاجة للعباد إليه، ووجدناه مفسداً</w:t>
      </w:r>
    </w:p>
    <w:p>
      <w:pPr>
        <w:pStyle w:val="BookText"/>
        <w:rPr/>
      </w:pPr>
      <w:r>
        <w:rPr>
          <w:rFonts w:ascii="Amiri" w:hAnsi="Amiri" w:eastAsia="Amiri" w:cs="Amiri"/>
          <w:color w:val="111111"/>
          <w:sz w:val="28"/>
          <w:sz w:val="28"/>
          <w:szCs w:val="28"/>
          <w:rtl w:val="true"/>
          <w:lang w:bidi="ar-SA"/>
        </w:rPr>
        <w:t>داعياً إلى الفناء والهلاك</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أُمروا بالصلاة، لأنّ في الصلاة الإقرار بالربوبية، وهو صلاح عام، لأنّ فيه خلع الأنداد والقيام بين يدي الجبار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المتضافرة عن أئمّة الدين</w:t>
      </w:r>
      <w:r>
        <w:rPr>
          <w:rFonts w:eastAsia="Amiri" w:cs="Amiri" w:ascii="Amiri" w:hAnsi="Amiri"/>
          <w:color w:val="111111"/>
          <w:sz w:val="28"/>
          <w:szCs w:val="28"/>
          <w:rtl w:val="true"/>
          <w:lang w:bidi="ar-SA"/>
        </w:rPr>
        <w:t>.</w:t>
      </w:r>
      <w:bookmarkStart w:id="173" w:name="pg6250_60085"/>
    </w:p>
    <w:p>
      <w:pPr>
        <w:pStyle w:val="Heading3"/>
        <w:numPr>
          <w:ilvl w:val="2"/>
          <w:numId w:val="1"/>
        </w:numPr>
        <w:rPr/>
      </w:pPr>
      <w:bookmarkStart w:id="174" w:name="__RefHeading___Toc1663808_237004111"/>
      <w:bookmarkStart w:id="175" w:name="_Toc66"/>
      <w:bookmarkEnd w:id="173"/>
      <w:bookmarkEnd w:id="174"/>
      <w:r>
        <w:rPr>
          <w:rtl w:val="true"/>
        </w:rPr>
        <w:t>المحور الخامس</w:t>
      </w:r>
      <w:r>
        <w:rPr>
          <w:rtl w:val="true"/>
        </w:rPr>
        <w:t xml:space="preserve">: </w:t>
      </w:r>
      <w:r>
        <w:rPr>
          <w:rtl w:val="true"/>
        </w:rPr>
        <w:t>ثمرة التعرّف على المقاصد</w:t>
      </w:r>
      <w:bookmarkEnd w:id="175"/>
    </w:p>
    <w:p>
      <w:pPr>
        <w:pStyle w:val="Heading4"/>
        <w:numPr>
          <w:ilvl w:val="3"/>
          <w:numId w:val="1"/>
        </w:numPr>
        <w:rPr/>
      </w:pPr>
      <w:bookmarkStart w:id="176" w:name="__RefHeading___Toc1663810_237004111"/>
      <w:bookmarkStart w:id="177" w:name="_Toc67"/>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ثمرة التعرّف على المقاصد</w:t>
      </w:r>
    </w:p>
    <w:p>
      <w:pPr>
        <w:pStyle w:val="BookText"/>
        <w:rPr/>
      </w:pPr>
      <w:r>
        <w:rPr>
          <w:rFonts w:ascii="Amiri" w:hAnsi="Amiri" w:eastAsia="Amiri" w:cs="Amiri"/>
          <w:color w:val="111111"/>
          <w:sz w:val="28"/>
          <w:sz w:val="28"/>
          <w:szCs w:val="28"/>
          <w:rtl w:val="true"/>
          <w:lang w:bidi="ar-SA"/>
        </w:rPr>
        <w:t>تظهر ثمرة التعرّف على مقاصد الشرع وأغراضه في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أحد المتزاحمين على الآخر، كتقديم حفظ الدين على حفظ النفس، وهكذا، كما سيوافيك بيانه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التعرّف على المقاصد، من مصادر التشريع بحيث يستكشف الحكم الشرعي من العلم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مقامين</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663812_237004111"/>
      <w:bookmarkStart w:id="179" w:name="_Toc68"/>
      <w:bookmarkEnd w:id="178"/>
      <w:r>
        <w:rPr>
          <w:rtl w:val="true"/>
        </w:rPr>
        <w:t>المقام الأوّل</w:t>
      </w:r>
      <w:r>
        <w:rPr>
          <w:rtl w:val="true"/>
        </w:rPr>
        <w:t xml:space="preserve">: </w:t>
      </w:r>
      <w:r>
        <w:rPr>
          <w:rtl w:val="true"/>
        </w:rPr>
        <w:t>تقديم أحد المتزاحمين على الآخر لأجل التعرّف على المقاصد</w:t>
      </w:r>
      <w:bookmarkEnd w:id="179"/>
    </w:p>
    <w:p>
      <w:pPr>
        <w:pStyle w:val="Heading5"/>
        <w:numPr>
          <w:ilvl w:val="4"/>
          <w:numId w:val="1"/>
        </w:numPr>
        <w:rPr/>
      </w:pPr>
      <w:bookmarkStart w:id="180" w:name="__RefHeading___Toc1663814_237004111"/>
      <w:bookmarkStart w:id="181" w:name="_Toc69"/>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إذا كان هناك تعارض بين حفظ الحكم الضروري والحكم الحاجي فلا شكّ في تقديم الأوّل على الثاني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كان هناك تزاحم بين الحكم الحاجي والحكم التحسيني يقدّم الأوّل على الثاني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إذا وقع التزاحم بين الأُمور</w:t>
      </w:r>
      <w:bookmarkStart w:id="182" w:name="pg6250_60086"/>
    </w:p>
    <w:p>
      <w:pPr>
        <w:pStyle w:val="BookText"/>
        <w:rPr/>
      </w:pPr>
      <w:bookmarkEnd w:id="182"/>
      <w:r>
        <w:rPr>
          <w:rFonts w:ascii="Amiri" w:hAnsi="Amiri" w:eastAsia="Amiri" w:cs="Amiri"/>
          <w:color w:val="111111"/>
          <w:sz w:val="28"/>
          <w:sz w:val="28"/>
          <w:szCs w:val="28"/>
          <w:rtl w:val="true"/>
          <w:lang w:bidi="ar-SA"/>
        </w:rPr>
        <w:t>الضرورية الخمسة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النسل أو العرض،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حفظ الأوّل على الثاني وهكذا في سائر الموارد، وإليك الأمثلة</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663816_237004111"/>
      <w:bookmarkStart w:id="184" w:name="_Toc70"/>
      <w:bookmarkEnd w:id="183"/>
      <w:r>
        <w:rPr>
          <w:rtl w:val="true"/>
        </w:rPr>
        <w:t>التزاحم بين الضروريات</w:t>
      </w:r>
      <w:bookmarkEnd w:id="184"/>
    </w:p>
    <w:p>
      <w:pPr>
        <w:pStyle w:val="Heading6"/>
        <w:numPr>
          <w:ilvl w:val="5"/>
          <w:numId w:val="1"/>
        </w:numPr>
        <w:rPr/>
      </w:pPr>
      <w:bookmarkStart w:id="185" w:name="__RefHeading___Toc1663818_237004111"/>
      <w:bookmarkStart w:id="186" w:name="_Toc71"/>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قد عرفت أنّ الدين هو الضروري الأوّل الّذي تليه النفس، فإذا دار الأمر بين الأمرين فحفظ الدين هو الأهمّ، ولذلك وجب الجهاد بالنفس حفظاً للدين وإن كان فيه تضحية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دار الأمر بين حفظ النفس والعقل، فحظ النفس أهمّ من حفظ العقل، فلو أُصيب بمرض لا يعالج إلّابشرب الخمر، يجب عليه شربه حفظاً للنفس وإن كان فيه إزالة للعقل بشكل 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دار الأمر بين الاعتداء على العرض وقتل النفس فيجوز له الاعتداء لحفظ النفس، كما أنّه لو دار الأمر بين حفظ العرض والاعتداء على مال الغير يجب الثاني حفظاً للعرض</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ذكرناه هو الضابطة الغالبة، ولكن ربما ينعكس الحكم، فلو أكره عالم مُطاع على شرب الخمر على رؤوس الأشهاد وهُدّد بالقتل على تركه فلا يجوز له شربه، لأنّ في ذلك زعزعة لإيمان الناس وهدماً لعقيدتهم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أنّه إذا كان هناك تزاحم بين الضروري والحاجيات يقدّم الأوّل على الثاني، فلو كان في إتيان الواجبات كلفة ومشقّة فيقدّم الأوّل وتتحمّل المشقّة، وإلّا لزم ترك الفرائض والنوافل بحجّة أنّ فيها مشقّة ومن المعلوم أنّ عدم الحرج من الحاجيات ولا يتحمّل إلّا إذا دار الأمر بينه وبين الامتثال لأحكام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دار الأمر بين الحاجي والأمر التحسيني فيقدّم الأوّل، ولذلك اغتفرت الجهالة في المزارعة والمساقاة لحاجة الناس إليهما وإن كان فيها ترك التحسينات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النتائج المترتّبة على التعرّف لمقاصد الشريعة وقد عرفت أنّها ثمرات غالبية، وربما يطرأ على المورد عنوان آخر يوجب قلب الحكم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ذكرناه هو خلاصة ما عليه فقهاء السنّة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عليه علماء الأُصول من أصحابنا فإنّهم تطرقوا إلى هذا الموضوع من جانب آخر، وذلك بفتح باب باسم التعارض والتزاحم وبيان الفرق بينهما، قائلين بأنّ التعارض إن كان في مقام الإنشاء فهو يرجع إلى باب التعادل والترجيح، وإن كان هناك توافق في مقام الإنشاء وتناف في مقام الامتثال، فهذا ما يبحث عنه في موضع آخر باسم باب التزاحم، وعندئذٍ تُكتشف أهمية أحد الحكمين وتقدمه على الحكم الآخر عن طريق</w:t>
      </w:r>
      <w:bookmarkStart w:id="187" w:name="pg6250_60088"/>
    </w:p>
    <w:p>
      <w:pPr>
        <w:pStyle w:val="BookText"/>
        <w:rPr/>
      </w:pPr>
      <w:bookmarkEnd w:id="187"/>
      <w:r>
        <w:rPr>
          <w:rFonts w:ascii="Amiri" w:hAnsi="Amiri" w:eastAsia="Amiri" w:cs="Amiri"/>
          <w:color w:val="111111"/>
          <w:sz w:val="28"/>
          <w:sz w:val="28"/>
          <w:szCs w:val="28"/>
          <w:rtl w:val="true"/>
          <w:lang w:bidi="ar-SA"/>
        </w:rPr>
        <w:t>أوصاف الحكمين، وسنذكر هنا نماذج من ذلك</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1663820_237004111"/>
      <w:bookmarkStart w:id="189" w:name="_Toc72"/>
      <w:bookmarkEnd w:id="188"/>
      <w:r>
        <w:rPr/>
        <w:t>1</w:t>
      </w:r>
      <w:r>
        <w:rPr>
          <w:rtl w:val="true"/>
        </w:rPr>
        <w:t xml:space="preserve">. </w:t>
      </w:r>
      <w:r>
        <w:rPr>
          <w:rtl w:val="true"/>
        </w:rPr>
        <w:t>تقديم ما لا بدل له على ما له بدل</w:t>
      </w:r>
      <w:bookmarkEnd w:id="189"/>
    </w:p>
    <w:p>
      <w:pPr>
        <w:pStyle w:val="BookText"/>
        <w:rPr/>
      </w:pPr>
      <w:r>
        <w:rPr>
          <w:rFonts w:ascii="Amiri" w:hAnsi="Amiri" w:eastAsia="Amiri" w:cs="Amiri"/>
          <w:color w:val="111111"/>
          <w:sz w:val="28"/>
          <w:sz w:val="28"/>
          <w:szCs w:val="28"/>
          <w:rtl w:val="true"/>
          <w:lang w:bidi="ar-SA"/>
        </w:rPr>
        <w:t>إذا كان هناك واجبان لأحدهما بدل شرعاً، دون الآخر، فالعقل يحكم بتقديم الثاني على الأوّل، جمعاً بين الامتثالين، كالتزاحم الموجود بين رعاية الوقت وتحصيل الطهارة الحدثية بالماء، فبما أنّ الوقت فاقد للبدل، بخلاف الطهارة الحدثية، فتُقدّم مصلحة الوقت على مصلحة الطهارة الحدثية بالماء، فيتيمّم بدلاً عن الطهارة المائية ويصلّي في الوقت</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663822_237004111"/>
      <w:bookmarkStart w:id="191" w:name="_Toc73"/>
      <w:bookmarkEnd w:id="190"/>
      <w:r>
        <w:rPr/>
        <w:t>2</w:t>
      </w:r>
      <w:r>
        <w:rPr>
          <w:rtl w:val="true"/>
        </w:rPr>
        <w:t xml:space="preserve">. </w:t>
      </w:r>
      <w:r>
        <w:rPr>
          <w:rtl w:val="true"/>
        </w:rPr>
        <w:t>تقديم المضيّق على الموسّع</w:t>
      </w:r>
      <w:bookmarkEnd w:id="191"/>
    </w:p>
    <w:p>
      <w:pPr>
        <w:pStyle w:val="BookText"/>
        <w:rPr/>
      </w:pPr>
      <w:r>
        <w:rPr>
          <w:rFonts w:ascii="Amiri" w:hAnsi="Amiri" w:eastAsia="Amiri" w:cs="Amiri"/>
          <w:color w:val="111111"/>
          <w:sz w:val="28"/>
          <w:sz w:val="28"/>
          <w:szCs w:val="28"/>
          <w:rtl w:val="true"/>
          <w:lang w:bidi="ar-SA"/>
        </w:rPr>
        <w:t>إذا كان هناك تزاحم بين المضيّق الذي لا يرضى المولى بتأخيره، والموسّع الذي لا يفوت بالاشتغال بالواجب المضيّق، إلّا فضيلة الوقت، فالعقل يحكم بتقديم الأوّل على الثاني، ولذلك يجب امتثال إزالة النجاسة أوّلاً ثمّ القيام بالصلاة</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1663824_237004111"/>
      <w:bookmarkStart w:id="193" w:name="_Toc74"/>
      <w:bookmarkEnd w:id="192"/>
      <w:r>
        <w:rPr/>
        <w:t>3</w:t>
      </w:r>
      <w:r>
        <w:rPr>
          <w:rtl w:val="true"/>
        </w:rPr>
        <w:t xml:space="preserve">. </w:t>
      </w:r>
      <w:r>
        <w:rPr>
          <w:rtl w:val="true"/>
        </w:rPr>
        <w:t>سبق امتثال أحد الحكمين زماناً</w:t>
      </w:r>
      <w:bookmarkEnd w:id="1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أحد الواجبين متقدّماً في مقام الامتثال على الآخر زماناً، كما إذا وجب صوم يوم الخميس والجمعة، ولا يقدر إلّا على صيام يوم واحد، أو إذا وجبت عليه صلاتان ولا يتمكّن إلّا</w:t>
      </w:r>
      <w:bookmarkStart w:id="194" w:name="pg6250_60089"/>
    </w:p>
    <w:p>
      <w:pPr>
        <w:pStyle w:val="BookText"/>
        <w:rPr/>
      </w:pPr>
      <w:bookmarkEnd w:id="194"/>
      <w:r>
        <w:rPr>
          <w:rFonts w:ascii="Amiri" w:hAnsi="Amiri" w:eastAsia="Amiri" w:cs="Amiri"/>
          <w:color w:val="111111"/>
          <w:sz w:val="28"/>
          <w:sz w:val="28"/>
          <w:szCs w:val="28"/>
          <w:rtl w:val="true"/>
          <w:lang w:bidi="ar-SA"/>
        </w:rPr>
        <w:t>من الإتيان بواحدة منهما قائماً، أو وجبت صلاة واحدة ولا يتمكّن إلّا من القيام بركعة واحدة، ففي جميع هذه الصور يستقلُّ العقل بتقديم ما يجب امتثاله سابقاً على الآخر، حتى يكون في ترك الواجب في الزمان الثاني معذوراً، إلّاإذا كان الواجب المتأخّر أهمّ في نظر المولى فيجب صرف القدرة في الثاني، وهو خارج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يوم الخميس، أو صلّى الظهر قائماً، فقد ترك صوم يوم الجمعة والقيام في صلاة العصر عن عذر وحجّة بخلاف ما لو أفطر يوم الخميس وصلّى الظهر جالساً فقد ترك الواجب بلا عذر</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1663826_237004111"/>
      <w:bookmarkStart w:id="196" w:name="_Toc75"/>
      <w:bookmarkEnd w:id="195"/>
      <w:r>
        <w:rPr/>
        <w:t>4</w:t>
      </w:r>
      <w:r>
        <w:rPr>
          <w:rtl w:val="true"/>
        </w:rPr>
        <w:t xml:space="preserve">. </w:t>
      </w:r>
      <w:r>
        <w:rPr>
          <w:rtl w:val="true"/>
        </w:rPr>
        <w:t>تقديم الواجب المطلق على المشروط</w:t>
      </w:r>
      <w:bookmarkEnd w:id="196"/>
    </w:p>
    <w:p>
      <w:pPr>
        <w:pStyle w:val="BookText"/>
        <w:rPr/>
      </w:pPr>
      <w:r>
        <w:rPr>
          <w:rFonts w:ascii="Amiri" w:hAnsi="Amiri" w:eastAsia="Amiri" w:cs="Amiri"/>
          <w:color w:val="111111"/>
          <w:sz w:val="28"/>
          <w:sz w:val="28"/>
          <w:szCs w:val="28"/>
          <w:rtl w:val="true"/>
          <w:lang w:bidi="ar-SA"/>
        </w:rPr>
        <w:t>إذا نذر قبل حصول الاستطاعة أن يزور مرقد الإمام الحسين عليه السلام في كلّ يوم عرفة، ثمّ حصلت له الاستطاعة فيقدّم الحج على زيارة الحسين عليه السلام، لأنّه 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أزور الإمام الحسين عليه السلام في كلّ يوم عرفة، إمّا أن لا يكون له إطلاق بالنسبة إلى عام حصول الاستطاعة للحج، أو يكون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الإطلاق لدليل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الحجّ مقدّماً، إذ لا يكون عندئذٍ إلّاواجب واحد</w:t>
      </w:r>
      <w:r>
        <w:rPr>
          <w:rFonts w:eastAsia="Amiri" w:cs="Amiri" w:ascii="Amiri" w:hAnsi="Amiri"/>
          <w:color w:val="111111"/>
          <w:sz w:val="28"/>
          <w:szCs w:val="28"/>
          <w:rtl w:val="true"/>
          <w:lang w:bidi="ar-SA"/>
        </w:rPr>
        <w:t>.</w:t>
      </w:r>
      <w:bookmarkStart w:id="197" w:name="pg6250_60090"/>
    </w:p>
    <w:p>
      <w:pPr>
        <w:pStyle w:val="BookText"/>
        <w:rPr/>
      </w:pPr>
      <w:bookmarkEnd w:id="197"/>
      <w:r>
        <w:rPr>
          <w:rFonts w:ascii="Amiri" w:hAnsi="Amiri" w:eastAsia="Amiri" w:cs="Amiri"/>
          <w:color w:val="111111"/>
          <w:sz w:val="28"/>
          <w:sz w:val="28"/>
          <w:szCs w:val="28"/>
          <w:rtl w:val="true"/>
          <w:lang w:bidi="ar-SA"/>
        </w:rPr>
        <w:t xml:space="preserve">وعلى الثاني، بما أنّ الإطلاق مستلزم لترك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إطلاق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 نظير ما إذا نذر شخص أن يقرأ القرآن من طلوع الفجر إلى طلوع الشمس، فإنّه في حدّ نفسه راجح، لكنّه بما أنّه مستلزم لتفويت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ينعقد، وهذا هو المراد من قولنا تقديم الوجب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الواجب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مشروطة بعدم كونها مفوّتة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علاج المتزاحمين مبني على التعرّف على الأهم والمهمّ، كما في هذه الوجوه الستة، وهذا مسلك سلكه أصحابنا الأُصوليّون وراء التعرّف على مقاصد الشريعة</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663828_237004111"/>
      <w:bookmarkStart w:id="199" w:name="_Toc76"/>
      <w:bookmarkEnd w:id="198"/>
      <w:r>
        <w:rPr>
          <w:rtl w:val="true"/>
        </w:rPr>
        <w:t>التزاحم بين الضررين</w:t>
      </w:r>
      <w:bookmarkEnd w:id="199"/>
    </w:p>
    <w:p>
      <w:pPr>
        <w:pStyle w:val="BookText"/>
        <w:rPr/>
      </w:pPr>
      <w:r>
        <w:rPr>
          <w:rFonts w:ascii="Amiri" w:hAnsi="Amiri" w:eastAsia="Amiri" w:cs="Amiri"/>
          <w:color w:val="111111"/>
          <w:sz w:val="28"/>
          <w:sz w:val="28"/>
          <w:szCs w:val="28"/>
          <w:rtl w:val="true"/>
          <w:lang w:bidi="ar-SA"/>
        </w:rPr>
        <w:t>التزاحم بين الضررين من أوضح مصاديق باب التزاحم فللعقل في تقديم أحد الضررين على الآخر دور واضح، وبما أنّ المقام لا يتّسع لذكر صورها مع أدلّتها، فلنذكر رؤوس المسائل ونترك التفصيل إلى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إضرار الغير لدفع الضرر عن النفس، كما إذا كان الضرر متوجّهاً إليه، فهل يجوز دفع الضرر عن نفسه، بتوجيهه إلى الغير؟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الضرر متوجّهاً إلى الغير، فهل يجب دفع الضرر عن الغير بتحمّله عنه؟</w:t>
      </w:r>
    </w:p>
    <w:p>
      <w:pPr>
        <w:pStyle w:val="BookText"/>
        <w:rPr/>
      </w:pPr>
      <w:r>
        <w:rPr>
          <w:rFonts w:ascii="Amiri" w:hAnsi="Amiri" w:eastAsia="Amiri" w:cs="Amiri"/>
          <w:color w:val="111111"/>
          <w:sz w:val="28"/>
          <w:sz w:val="28"/>
          <w:szCs w:val="28"/>
          <w:rtl w:val="true"/>
          <w:lang w:bidi="ar-SA"/>
        </w:rPr>
        <w:t>هذا كلّه إذا كان هناك ضرر واحد ودار الأمر بين توجيهه إلى النفس أو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كان هنا ضرران، كما إذا أدخلت الدابة التي ترعى في الصحراء رأسها في قدر الشخص الآخر، ودار الأمر بين ذبحه وكسر القدر، ولهذا النوع صور مذكورة في محلّها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استلزم تصرّف المالك تضرّر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الصور التي لا تحلّ عقدتها إلّابتمييز الأهمّ من المهمّ، وله طرق 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وعلى كلّ تقدير فكلا الفريقين في خدمة مقاصد الشارع وأغراضه وتقديم الأهم على المهم، غير أنّ علماء أهل السنّة وردوا من خلال تقسيم الأحكام إلى ضروريات وحاجيات وتحسينات، فقدموا الضروريات على الحاجيات، والحاجيات على التحسينات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الأُصوليون من أصحابنا فقد استكشفوا من أحوال الحكمين وأوصافهما ما هو الأهمّ منهما، ونشير إلى الأوصاف بذكر العنوان في الأمثلة</w:t>
      </w:r>
      <w:r>
        <w:rPr>
          <w:rFonts w:eastAsia="Amiri" w:cs="Amiri" w:ascii="Amiri" w:hAnsi="Amiri"/>
          <w:color w:val="111111"/>
          <w:sz w:val="28"/>
          <w:szCs w:val="28"/>
          <w:rtl w:val="true"/>
          <w:lang w:bidi="ar-SA"/>
        </w:rPr>
        <w:t>.</w:t>
      </w:r>
      <w:bookmarkStart w:id="200" w:name="pg6250_60092"/>
    </w:p>
    <w:p>
      <w:pPr>
        <w:pStyle w:val="Heading4"/>
        <w:numPr>
          <w:ilvl w:val="3"/>
          <w:numId w:val="1"/>
        </w:numPr>
        <w:rPr/>
      </w:pPr>
      <w:bookmarkStart w:id="201" w:name="__RefHeading___Toc1663830_237004111"/>
      <w:bookmarkStart w:id="202" w:name="_Toc77"/>
      <w:bookmarkEnd w:id="200"/>
      <w:bookmarkEnd w:id="201"/>
      <w:r>
        <w:rPr>
          <w:rtl w:val="true"/>
        </w:rPr>
        <w:t>المقام الثاني</w:t>
      </w:r>
      <w:r>
        <w:rPr>
          <w:rtl w:val="true"/>
        </w:rPr>
        <w:t xml:space="preserve">: </w:t>
      </w:r>
      <w:r>
        <w:rPr>
          <w:rtl w:val="true"/>
        </w:rPr>
        <w:t>استكشاف الحكم من التعرّف على مقاصد الشريعة</w:t>
      </w:r>
      <w:bookmarkEnd w:id="202"/>
    </w:p>
    <w:p>
      <w:pPr>
        <w:pStyle w:val="BookText"/>
        <w:rPr/>
      </w:pPr>
      <w:r>
        <w:rPr>
          <w:rFonts w:ascii="Amiri" w:hAnsi="Amiri" w:eastAsia="Amiri" w:cs="Amiri"/>
          <w:color w:val="111111"/>
          <w:sz w:val="28"/>
          <w:sz w:val="28"/>
          <w:szCs w:val="28"/>
          <w:rtl w:val="true"/>
          <w:lang w:bidi="ar-SA"/>
        </w:rPr>
        <w:t>هذه هي الثمرة الثانية للبحث عن مقاصد الشريعة، وهي المزلقة الكبرى للفقيه، لأنّ ما دلّ من الآيات والروايات ومعاقد الإجماعات، على كون الشيء هو مقصد الشارع وغرضه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الغاية المصطادة من المصادر علّة للحكم وسبباً تامّاً، فلا شكّ أنّه يمكن استكشاف الحكم المعلوم من العلم بالمقاصد، وذلك كثبوت الخيار في موارد ليس لها دليل شرعي خاصّ، لأنّا نعلم أنّ دفع الضرر في المعاملات هو المقصد الأسنى للشارع، فلو اشتمل العقد على الغبن، أو كان المبيع معيباً ولم يكن هناك دليل على الخيار، يمكننا استكشاف الخيار عن طريق التعرّف على مقاصد الشريعة، ولذلك قال الفقهاء بالخيار وإن لم يكن هناك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حكمة للحكم بمعنى اشتماله عليها في أغلب الموارد، دون جميعها، وذلك كالإنجاب وتكثير النسل في النكاح فإنّه حكمة وليس بعلّة، ولذلك يصحّ النكاح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زواج العقيم بالمرأة الولود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زواج المرأة العقيم بالرجل المنجب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نكاح اليائسة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نكاح الصغيرة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نكاح الشاب من الشابة مع العزم على عدم الإنجاب إلى آخر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ضعف ما ذكره الدكتور الدريني حول بطلان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النكاح في الإسلام لمقاصد أساسية قد نصّ عليها القرآن الكريم صراحة ترجع كلّها إلى تكوين الأُسرة الفاضلة التي تشكّل النواة الأُولى للمجتمع الإسلامي بخصائصه الذاتية من العفّة والطهر والولاية والنصرة والتكافل الاجتماعي،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 يربط الزواج بغريزة الجنس لم يكن ليقصد مجرّد قضاء الشهوة، بل قصد أن يكون على النحو الذي يحقّق ذلك المقصد بخصائصه من تكوين الأُسرة التي شرع أحكامها التفصيلية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الاستمتاع مجرّداً عن الإنجاب وبناء الأُسرة يحبط مقصد الشارع من أصل تشريع النكاح</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الأُستاذ خلط بين العلّة في التشريع ومناطه وبين حكمته، فإنّ العلّة عبارة عمّا يدور الحكم مدارها، بحيث</w:t>
      </w:r>
    </w:p>
    <w:p>
      <w:pPr>
        <w:pStyle w:val="BookText"/>
        <w:rPr/>
      </w:pPr>
      <w:r>
        <w:rPr>
          <w:rFonts w:ascii="Amiri" w:hAnsi="Amiri" w:eastAsia="Amiri" w:cs="Amiri"/>
          <w:color w:val="111111"/>
          <w:sz w:val="28"/>
          <w:sz w:val="28"/>
          <w:szCs w:val="28"/>
          <w:rtl w:val="true"/>
          <w:lang w:bidi="ar-SA"/>
        </w:rPr>
        <w:t>يحدث الحكم بوجودها ويرتفع بارتفاعها، وهذا بخلاف الحكمة، فربما يكون الحكم أوسع منها، وإليك توضيح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المسكر، فالسكر علّة وجوب الاجتناب بحجّة تعليق الحكم على ذلك العنوان، فمادام المائع مسكراً له حكمه فإذا انقلب إلى الخلّ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فالتربّص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تبيّن وضع الرحم، وهل هي تحمل ولداً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الحكم لا علّته، ولأجل ذلك نرى أنّ الحكم أوسع منه بشهادة أنّه يجب التربّص على مَن نعلم بعدم وجود حمل في رحمها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دراسة مقاصد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غابت في حقب من الزمان، ثمّ عادت إلى الساحة في القرن الرابع عشر وقام المحقّقون حولها بالتأليف والدراسة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مفيد في التعرّف على الأهمّ والمهمّ، حيث إنّ التعرّف على الأغراض والغايات يوجب المعرفة بما هو الأهمّ عند الشارع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التعرّف عليها لتكون ذريعة لاستكشاف الحكم الشرعي فهو رهن الحكم بأنّ ما استكشفناه من التدبّر في الآيات والروايات ومعاقد الإجماعات أنّها علّة تامّة للتشريع بحيث لا ينفك عن المعلول، وأنّى لنا تحصيل ذلك اليقين، مع كثرة وجود الحكم عند ذكر الغايات والأغراض؟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bookmarkStart w:id="203" w:name="pg6250_60097"/>
    </w:p>
    <w:p>
      <w:pPr>
        <w:pStyle w:val="Heading2"/>
        <w:numPr>
          <w:ilvl w:val="1"/>
          <w:numId w:val="1"/>
        </w:numPr>
        <w:rPr/>
      </w:pPr>
      <w:bookmarkStart w:id="204" w:name="__RefHeading___Toc1663832_237004111"/>
      <w:bookmarkStart w:id="205" w:name="_Toc78"/>
      <w:bookmarkEnd w:id="203"/>
      <w:bookmarkEnd w:id="204"/>
      <w:r>
        <w:rPr>
          <w:rtl w:val="true"/>
        </w:rPr>
        <w:t>فهرس المصادر</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نتبرك بذكر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النعمان،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المعروف بأبي نعيم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جماعة المدرسين، قم المقدسة،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صحيح مسلم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أبوزكريا يحيى بن 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الكتاب العربي،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الكتب العربية، القاهرة،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عبد الحميد، مصر،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عز الدين،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ودار ابن حزم،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الصلة بين التصوّف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مصطفى الشيبي، طبعة دار المعارف، مصر، الطبعة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القاهرة، 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المرتضى،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الآداب، النجف الأشرف،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نور محمد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عبد المقصود، طبعة دار الزهراء عليها السلام،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قم المقدّسة،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معادن الحكمة في مكاتيب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محمد بن المحسن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جماعة المدرسين، قم المقدسة،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زاهد بن الحسن بن علي الكوثري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المكتبة الأزهرية للتراث، القاهرة،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العلمية،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عبدالرحمن بن علي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الرحمن بن أحمد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الجيل،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صبحي الصالح،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الوطر من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السبحاني، طبعة مؤسسة الإمام الصادق عليه السلام، قم المقدّسة،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06" w:name="pg6250_60101"/>
    </w:p>
    <w:p>
      <w:pPr>
        <w:pStyle w:val="Heading2"/>
        <w:numPr>
          <w:ilvl w:val="1"/>
          <w:numId w:val="1"/>
        </w:numPr>
        <w:rPr/>
      </w:pPr>
      <w:bookmarkStart w:id="207" w:name="__RefHeading___Toc1663834_237004111"/>
      <w:bookmarkStart w:id="208" w:name="_Toc79"/>
      <w:bookmarkEnd w:id="206"/>
      <w:bookmarkEnd w:id="207"/>
      <w:r>
        <w:rPr>
          <w:rtl w:val="true"/>
        </w:rPr>
        <w:t>فهرس المحتويات</w:t>
      </w:r>
      <w:bookmarkEnd w:id="208"/>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التعرّف على أهل البيت وفقههم</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البيت في مقابل البيوت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أهل البيت للعهد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في الآية 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بيت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أهل البيت عليهم السلام في لسان النبي الأكرم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مشكلة السياق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آية التطهير آية مستقلة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فتاواهم على المسلمين كافة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فتاواهم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استنطاق كتاب اللّه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عنه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الموهوب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كبار الفقهاء إلى أئمة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المدرسة الفقهيّة للشيعة الإمامية، المصادر والخصائص</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الفقه عند الشيعة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المصدر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المصدر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إزاحة 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فقه الإمامية ومميزاته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العدالة في عامة سند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العمل بالقياس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تخريج المناط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 باب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واقعة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التصويب والتخطئة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الأحكام الشرعية إلى واقعية وظاهرية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الموضوعات إلى أولية وثانوية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الضرورة والاضطرار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الضَّرر والضِّرار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العسر والحرج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الأهم والمهم عند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صلاحيات الفقيه الجامع للشرائط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العرف والعادة والسيرة وبناء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إلى العرف في معاني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إلى العرف في تحديد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إلى العرف في تشخيص المصاديق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الملازمة بين حكمين شرعيّين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الأعراف في كشف مقاصد المتكلّم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العرف منبعاً لاستنباط الحكم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مقاصد الشريعة وأهدافها في الفقه الإمامي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أفعاله سبحانه تكويناً وتشريعاً معلّلة بالغايات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الإمامية ومقاصد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التصريح بالعلل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الإلماع إلى علل التشريع دون التصريح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ثمرة التعرّف على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أحد المتزاحمين على الآخر لأجل التعرّف على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التزاحم بين الضروريات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ما لا بدل له على ما لهُ 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المضيّق على الموسّع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 امتثال أحد الحكمين زماناً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الواجب المطلق على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التزاحم بين الضررين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الحكم من التعرّف على مقاصد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 محمد، فاطمة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باب فضائل أهل بيت النبي صلى الله عليه و آله و سلم، دار ابن حزم،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تفسير سورة الأحزاب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المفسرون أنّ النبي صلى الله عليه و آله و سلم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ضعوا آية كذا في موضع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رقم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برقم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برقم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كلمات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7/443</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العاشر وهو علي بن محمد بن علي بن موسى بن جعفر الصادق عليهم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حليلة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10/120</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الأمارة، برقم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w:t>
      </w:r>
      <w:r>
        <w:rPr>
          <w:rFonts w:ascii="IRNazanin" w:hAnsi="IRNazanin" w:eastAsia="IRNazanin"/>
          <w:b w:val="false"/>
          <w:b w:val="false"/>
          <w:bCs w:val="false"/>
          <w:i w:val="false"/>
          <w:i w:val="false"/>
          <w:iCs w:val="false"/>
          <w:color w:val="333333"/>
          <w:sz w:val="20"/>
          <w:sz w:val="20"/>
          <w:szCs w:val="20"/>
          <w:rtl w:val="true"/>
        </w:rPr>
        <w:t>، باب مناقب المهاجرين وفضلهم؛ وإرشاد الساري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وشرح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فكرة التقريب بين المذاهب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اللامذهبية قنطرة اللادينية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الزكية، ليس من أئمة أهل البيت عند الإمامية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بين التصوّف والتشيع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والسنة،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برقم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ملخّصاً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طبعة آل البيت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كتاب المتاجر، مبحث الربا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بناء على عدم اختصاص الحديثين، بباب الديات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تصحيح صبحي الصالح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لاحظ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164/64</w:t>
      </w:r>
      <w:r>
        <w:rPr>
          <w:rFonts w:ascii="IRNazanin" w:hAnsi="IRNazanin" w:eastAsia="IRNazanin"/>
          <w:b w:val="false"/>
          <w:b w:val="false"/>
          <w:bCs w:val="false"/>
          <w:i w:val="false"/>
          <w:i w:val="false"/>
          <w:iCs w:val="false"/>
          <w:color w:val="333333"/>
          <w:sz w:val="20"/>
          <w:sz w:val="20"/>
          <w:szCs w:val="20"/>
          <w:rtl w:val="true"/>
        </w:rPr>
        <w:t>، قسم الهامش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نيل الوطر من قاعدة لا ضرر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في الأشياء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المتعة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قسم المقدّمة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15890</Words>
  <Characters>71383</Characters>
  <CharactersWithSpaces>86217</CharactersWithSpaces>
  <Paragraphs>1234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2026-08-19T19:57:49Z</dcterms:created>
  <dc:creator>ghaemiyeh.com</dc:creator>
  <dc:description/>
  <dc:language>en-US</dc:language>
  <cp:lastModifiedBy/>
  <dcterms:modified xsi:type="dcterms:W3CDTF">2026-08-19T23:27:53Z</dcterms:modified>
  <cp:revision>1</cp:revision>
  <dc:subject/>
  <dc:title>فقه أهل البیت علیهم السلام بین السنة و الشیعة</dc:title>
</cp:coreProperties>
</file>

<file path=docProps/custom.xml><?xml version="1.0" encoding="utf-8"?>
<Properties xmlns="http://schemas.openxmlformats.org/officeDocument/2006/custom-properties" xmlns:vt="http://schemas.openxmlformats.org/officeDocument/2006/docPropsVTypes"/>
</file>