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41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418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فطرت تا قانون انسان در آیینه مسئولیت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0498_353189537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40500_353189537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40502_3531895371">
            <w:r>
              <w:rPr>
                <w:webHidden/>
                <w:rStyle w:val="IndexLink"/>
                <w:rtl w:val="true"/>
              </w:rPr>
              <w:t>قدردانی</w:t>
            </w:r>
            <w:r>
              <w:rPr>
                <w:rStyle w:val="IndexLink"/>
                <w:rtl w:val="true"/>
              </w:rPr>
              <w:tab/>
            </w:r>
            <w:r>
              <w:rPr>
                <w:rStyle w:val="IndexLink"/>
              </w:rPr>
              <w:t>12</w:t>
            </w:r>
          </w:hyperlink>
        </w:p>
        <w:p>
          <w:pPr>
            <w:pStyle w:val="Contents2"/>
            <w:tabs>
              <w:tab w:val="clear" w:pos="8743"/>
              <w:tab w:val="right" w:pos="9026" w:leader="dot"/>
            </w:tabs>
            <w:rPr/>
          </w:pPr>
          <w:hyperlink w:anchor="__RefHeading___Toc3140504_3531895371">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3140506_3531895371">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140508_3531895371">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140510_3531895371">
            <w:r>
              <w:rPr>
                <w:webHidden/>
                <w:rStyle w:val="IndexLink"/>
                <w:rtl w:val="true"/>
              </w:rPr>
              <w:t>اول</w:t>
            </w:r>
            <w:r>
              <w:rPr>
                <w:rStyle w:val="IndexLink"/>
                <w:rtl w:val="true"/>
              </w:rPr>
              <w:t xml:space="preserve">: </w:t>
            </w:r>
            <w:r>
              <w:rPr>
                <w:rStyle w:val="IndexLink"/>
                <w:rtl w:val="true"/>
              </w:rPr>
              <w:t>کلیات و مفاهیم</w:t>
            </w:r>
            <w:r>
              <w:rPr>
                <w:rStyle w:val="IndexLink"/>
                <w:rtl w:val="true"/>
              </w:rPr>
              <w:tab/>
            </w:r>
            <w:r>
              <w:rPr>
                <w:rStyle w:val="IndexLink"/>
              </w:rPr>
              <w:t>18</w:t>
            </w:r>
          </w:hyperlink>
        </w:p>
        <w:p>
          <w:pPr>
            <w:pStyle w:val="Contents3"/>
            <w:tabs>
              <w:tab w:val="clear" w:pos="8459"/>
              <w:tab w:val="right" w:pos="9026" w:leader="dot"/>
            </w:tabs>
            <w:rPr/>
          </w:pPr>
          <w:hyperlink w:anchor="__RefHeading___Toc3140512_353189537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40514_3531895371">
            <w:r>
              <w:rPr>
                <w:webHidden/>
                <w:rStyle w:val="IndexLink"/>
              </w:rPr>
              <w:t>1</w:t>
            </w:r>
            <w:r>
              <w:rPr>
                <w:rStyle w:val="IndexLink"/>
              </w:rPr>
              <w:t>٫</w:t>
            </w:r>
            <w:r>
              <w:rPr>
                <w:rStyle w:val="IndexLink"/>
              </w:rPr>
              <w:t>1</w:t>
            </w:r>
            <w:r>
              <w:rPr>
                <w:rStyle w:val="IndexLink"/>
                <w:rtl w:val="true"/>
              </w:rPr>
              <w:t xml:space="preserve">. </w:t>
            </w:r>
            <w:r>
              <w:rPr>
                <w:rStyle w:val="IndexLink"/>
                <w:rtl w:val="true"/>
              </w:rPr>
              <w:t>بلوغ</w:t>
            </w:r>
            <w:r>
              <w:rPr>
                <w:rStyle w:val="IndexLink"/>
                <w:rtl w:val="true"/>
              </w:rPr>
              <w:tab/>
            </w:r>
            <w:r>
              <w:rPr>
                <w:rStyle w:val="IndexLink"/>
              </w:rPr>
              <w:t>19</w:t>
            </w:r>
          </w:hyperlink>
        </w:p>
        <w:p>
          <w:pPr>
            <w:pStyle w:val="Contents4"/>
            <w:tabs>
              <w:tab w:val="clear" w:pos="8176"/>
              <w:tab w:val="right" w:pos="9026" w:leader="dot"/>
            </w:tabs>
            <w:rPr/>
          </w:pPr>
          <w:hyperlink w:anchor="__RefHeading___Toc3140516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140518_3531895371">
            <w:r>
              <w:rPr>
                <w:webHidden/>
                <w:rStyle w:val="IndexLink"/>
              </w:rPr>
              <w:t>1/1/1</w:t>
            </w:r>
            <w:r>
              <w:rPr>
                <w:rStyle w:val="IndexLink"/>
                <w:rtl w:val="true"/>
              </w:rPr>
              <w:t xml:space="preserve">. </w:t>
            </w:r>
            <w:r>
              <w:rPr>
                <w:rStyle w:val="IndexLink"/>
                <w:rtl w:val="true"/>
              </w:rPr>
              <w:t>معنای لغوی و فقهی</w:t>
            </w:r>
            <w:r>
              <w:rPr>
                <w:rStyle w:val="IndexLink"/>
                <w:rtl w:val="true"/>
              </w:rPr>
              <w:tab/>
            </w:r>
            <w:r>
              <w:rPr>
                <w:rStyle w:val="IndexLink"/>
              </w:rPr>
              <w:t>19</w:t>
            </w:r>
          </w:hyperlink>
        </w:p>
        <w:p>
          <w:pPr>
            <w:pStyle w:val="Contents4"/>
            <w:tabs>
              <w:tab w:val="clear" w:pos="8176"/>
              <w:tab w:val="right" w:pos="9026" w:leader="dot"/>
            </w:tabs>
            <w:rPr/>
          </w:pPr>
          <w:hyperlink w:anchor="__RefHeading___Toc3140520_3531895371">
            <w:r>
              <w:rPr>
                <w:webHidden/>
                <w:rStyle w:val="IndexLink"/>
              </w:rPr>
              <w:t>1/1/2</w:t>
            </w:r>
            <w:r>
              <w:rPr>
                <w:rStyle w:val="IndexLink"/>
                <w:rtl w:val="true"/>
              </w:rPr>
              <w:t xml:space="preserve">. </w:t>
            </w:r>
            <w:r>
              <w:rPr>
                <w:rStyle w:val="IndexLink"/>
                <w:rtl w:val="true"/>
              </w:rPr>
              <w:t>بلوغ در قرآن</w:t>
            </w:r>
            <w:r>
              <w:rPr>
                <w:rStyle w:val="IndexLink"/>
                <w:rtl w:val="true"/>
              </w:rPr>
              <w:tab/>
            </w:r>
            <w:r>
              <w:rPr>
                <w:rStyle w:val="IndexLink"/>
              </w:rPr>
              <w:t>20</w:t>
            </w:r>
          </w:hyperlink>
        </w:p>
        <w:p>
          <w:pPr>
            <w:pStyle w:val="Contents5"/>
            <w:tabs>
              <w:tab w:val="clear" w:pos="7892"/>
              <w:tab w:val="right" w:pos="9026" w:leader="dot"/>
            </w:tabs>
            <w:rPr/>
          </w:pPr>
          <w:hyperlink w:anchor="__RefHeading___Toc3140522_3531895371">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140524_3531895371">
            <w:r>
              <w:rPr>
                <w:webHidden/>
                <w:rStyle w:val="IndexLink"/>
              </w:rPr>
              <w:t>1/1/2/1</w:t>
            </w:r>
            <w:r>
              <w:rPr>
                <w:rStyle w:val="IndexLink"/>
                <w:rtl w:val="true"/>
              </w:rPr>
              <w:t xml:space="preserve">. </w:t>
            </w:r>
            <w:r>
              <w:rPr>
                <w:rStyle w:val="IndexLink"/>
                <w:rtl w:val="true"/>
              </w:rPr>
              <w:t>بلوغ حلم</w:t>
            </w:r>
            <w:r>
              <w:rPr>
                <w:rStyle w:val="IndexLink"/>
                <w:rtl w:val="true"/>
              </w:rPr>
              <w:tab/>
            </w:r>
            <w:r>
              <w:rPr>
                <w:rStyle w:val="IndexLink"/>
              </w:rPr>
              <w:t>20</w:t>
            </w:r>
          </w:hyperlink>
        </w:p>
        <w:p>
          <w:pPr>
            <w:pStyle w:val="Contents5"/>
            <w:tabs>
              <w:tab w:val="clear" w:pos="7892"/>
              <w:tab w:val="right" w:pos="9026" w:leader="dot"/>
            </w:tabs>
            <w:rPr/>
          </w:pPr>
          <w:hyperlink w:anchor="__RefHeading___Toc3140526_3531895371">
            <w:r>
              <w:rPr>
                <w:webHidden/>
                <w:rStyle w:val="IndexLink"/>
              </w:rPr>
              <w:t>1/1/2/2</w:t>
            </w:r>
            <w:r>
              <w:rPr>
                <w:rStyle w:val="IndexLink"/>
                <w:rtl w:val="true"/>
              </w:rPr>
              <w:t xml:space="preserve">. </w:t>
            </w:r>
            <w:r>
              <w:rPr>
                <w:rStyle w:val="IndexLink"/>
                <w:rtl w:val="true"/>
              </w:rPr>
              <w:t>بلوغ نکاح</w:t>
            </w:r>
            <w:r>
              <w:rPr>
                <w:rStyle w:val="IndexLink"/>
                <w:rtl w:val="true"/>
              </w:rPr>
              <w:tab/>
            </w:r>
            <w:r>
              <w:rPr>
                <w:rStyle w:val="IndexLink"/>
              </w:rPr>
              <w:t>25</w:t>
            </w:r>
          </w:hyperlink>
        </w:p>
        <w:p>
          <w:pPr>
            <w:pStyle w:val="Contents5"/>
            <w:tabs>
              <w:tab w:val="clear" w:pos="7892"/>
              <w:tab w:val="right" w:pos="9026" w:leader="dot"/>
            </w:tabs>
            <w:rPr/>
          </w:pPr>
          <w:hyperlink w:anchor="__RefHeading___Toc3140528_3531895371">
            <w:r>
              <w:rPr>
                <w:webHidden/>
                <w:rStyle w:val="IndexLink"/>
              </w:rPr>
              <w:t>1/1/2/3</w:t>
            </w:r>
            <w:r>
              <w:rPr>
                <w:rStyle w:val="IndexLink"/>
                <w:rtl w:val="true"/>
              </w:rPr>
              <w:t xml:space="preserve">. </w:t>
            </w:r>
            <w:r>
              <w:rPr>
                <w:rStyle w:val="IndexLink"/>
                <w:rtl w:val="true"/>
              </w:rPr>
              <w:t>بلوغ اشد</w:t>
            </w:r>
            <w:r>
              <w:rPr>
                <w:rStyle w:val="IndexLink"/>
                <w:rtl w:val="true"/>
              </w:rPr>
              <w:tab/>
            </w:r>
            <w:r>
              <w:rPr>
                <w:rStyle w:val="IndexLink"/>
              </w:rPr>
              <w:t>26</w:t>
            </w:r>
          </w:hyperlink>
        </w:p>
        <w:p>
          <w:pPr>
            <w:pStyle w:val="Contents3"/>
            <w:tabs>
              <w:tab w:val="clear" w:pos="8459"/>
              <w:tab w:val="right" w:pos="9026" w:leader="dot"/>
            </w:tabs>
            <w:rPr/>
          </w:pPr>
          <w:hyperlink w:anchor="__RefHeading___Toc3140530_3531895371">
            <w:r>
              <w:rPr>
                <w:webHidden/>
                <w:rStyle w:val="IndexLink"/>
              </w:rPr>
              <w:t>1</w:t>
            </w:r>
            <w:r>
              <w:rPr>
                <w:rStyle w:val="IndexLink"/>
              </w:rPr>
              <w:t>٫</w:t>
            </w:r>
            <w:r>
              <w:rPr>
                <w:rStyle w:val="IndexLink"/>
              </w:rPr>
              <w:t>2</w:t>
            </w:r>
            <w:r>
              <w:rPr>
                <w:rStyle w:val="IndexLink"/>
                <w:rtl w:val="true"/>
              </w:rPr>
              <w:t xml:space="preserve">. </w:t>
            </w:r>
            <w:r>
              <w:rPr>
                <w:rStyle w:val="IndexLink"/>
                <w:rtl w:val="true"/>
              </w:rPr>
              <w:t>سن</w:t>
            </w:r>
            <w:r>
              <w:rPr>
                <w:rStyle w:val="IndexLink"/>
                <w:rtl w:val="true"/>
              </w:rPr>
              <w:tab/>
            </w:r>
            <w:r>
              <w:rPr>
                <w:rStyle w:val="IndexLink"/>
              </w:rPr>
              <w:t>27</w:t>
            </w:r>
          </w:hyperlink>
        </w:p>
        <w:p>
          <w:pPr>
            <w:pStyle w:val="Contents3"/>
            <w:tabs>
              <w:tab w:val="clear" w:pos="8459"/>
              <w:tab w:val="right" w:pos="9026" w:leader="dot"/>
            </w:tabs>
            <w:rPr/>
          </w:pPr>
          <w:hyperlink w:anchor="__RefHeading___Toc3140532_3531895371">
            <w:r>
              <w:rPr>
                <w:webHidden/>
                <w:rStyle w:val="IndexLink"/>
              </w:rPr>
              <w:t>1/3</w:t>
            </w:r>
            <w:r>
              <w:rPr>
                <w:rStyle w:val="IndexLink"/>
                <w:rtl w:val="true"/>
              </w:rPr>
              <w:t xml:space="preserve">. </w:t>
            </w:r>
            <w:r>
              <w:rPr>
                <w:rStyle w:val="IndexLink"/>
                <w:rtl w:val="true"/>
              </w:rPr>
              <w:t>مسئولیت</w:t>
            </w:r>
            <w:r>
              <w:rPr>
                <w:rStyle w:val="IndexLink"/>
                <w:rtl w:val="true"/>
              </w:rPr>
              <w:tab/>
            </w:r>
            <w:r>
              <w:rPr>
                <w:rStyle w:val="IndexLink"/>
              </w:rPr>
              <w:t>27</w:t>
            </w:r>
          </w:hyperlink>
        </w:p>
        <w:p>
          <w:pPr>
            <w:pStyle w:val="Contents4"/>
            <w:tabs>
              <w:tab w:val="clear" w:pos="8176"/>
              <w:tab w:val="right" w:pos="9026" w:leader="dot"/>
            </w:tabs>
            <w:rPr/>
          </w:pPr>
          <w:hyperlink w:anchor="__RefHeading___Toc3140534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140536_3531895371">
            <w:r>
              <w:rPr>
                <w:webHidden/>
                <w:rStyle w:val="IndexLink"/>
              </w:rPr>
              <w:t>1/3/1</w:t>
            </w:r>
            <w:r>
              <w:rPr>
                <w:rStyle w:val="IndexLink"/>
                <w:rtl w:val="true"/>
              </w:rPr>
              <w:t xml:space="preserve">. </w:t>
            </w:r>
            <w:r>
              <w:rPr>
                <w:rStyle w:val="IndexLink"/>
                <w:rtl w:val="true"/>
              </w:rPr>
              <w:t>مسئولیت در قرآن</w:t>
            </w:r>
            <w:r>
              <w:rPr>
                <w:rStyle w:val="IndexLink"/>
                <w:rtl w:val="true"/>
              </w:rPr>
              <w:tab/>
            </w:r>
            <w:r>
              <w:rPr>
                <w:rStyle w:val="IndexLink"/>
              </w:rPr>
              <w:t>28</w:t>
            </w:r>
          </w:hyperlink>
        </w:p>
        <w:p>
          <w:pPr>
            <w:pStyle w:val="Contents5"/>
            <w:tabs>
              <w:tab w:val="clear" w:pos="7892"/>
              <w:tab w:val="right" w:pos="9026" w:leader="dot"/>
            </w:tabs>
            <w:rPr/>
          </w:pPr>
          <w:hyperlink w:anchor="__RefHeading___Toc3140538_3531895371">
            <w:r>
              <w:rPr>
                <w:webHidden/>
                <w:rStyle w:val="IndexLink"/>
              </w:rPr>
              <w:t>1/3/1/1</w:t>
            </w:r>
            <w:r>
              <w:rPr>
                <w:rStyle w:val="IndexLink"/>
                <w:rtl w:val="true"/>
              </w:rPr>
              <w:t xml:space="preserve">. </w:t>
            </w:r>
            <w:r>
              <w:rPr>
                <w:rStyle w:val="IndexLink"/>
                <w:rtl w:val="true"/>
              </w:rPr>
              <w:t>معناشناسی</w:t>
            </w:r>
            <w:r>
              <w:rPr>
                <w:rStyle w:val="IndexLink"/>
                <w:rtl w:val="true"/>
              </w:rPr>
              <w:tab/>
            </w:r>
            <w:r>
              <w:rPr>
                <w:rStyle w:val="IndexLink"/>
              </w:rPr>
              <w:t>28</w:t>
            </w:r>
          </w:hyperlink>
        </w:p>
        <w:p>
          <w:pPr>
            <w:pStyle w:val="Contents5"/>
            <w:tabs>
              <w:tab w:val="clear" w:pos="7892"/>
              <w:tab w:val="right" w:pos="9026" w:leader="dot"/>
            </w:tabs>
            <w:rPr/>
          </w:pPr>
          <w:hyperlink w:anchor="__RefHeading___Toc3140540_3531895371">
            <w:r>
              <w:rPr>
                <w:webHidden/>
                <w:rStyle w:val="IndexLink"/>
              </w:rPr>
              <w:t>1.1/3/1/2</w:t>
            </w:r>
            <w:r>
              <w:rPr>
                <w:rStyle w:val="IndexLink"/>
                <w:rtl w:val="true"/>
              </w:rPr>
              <w:t xml:space="preserve">. </w:t>
            </w:r>
            <w:r>
              <w:rPr>
                <w:rStyle w:val="IndexLink"/>
                <w:rtl w:val="true"/>
              </w:rPr>
              <w:t>گونه شناسی مسئولیت و وجوه افتراق آن</w:t>
            </w:r>
            <w:r>
              <w:rPr>
                <w:rStyle w:val="IndexLink"/>
                <w:rtl w:val="true"/>
              </w:rPr>
              <w:tab/>
            </w:r>
            <w:r>
              <w:rPr>
                <w:rStyle w:val="IndexLink"/>
              </w:rPr>
              <w:t>28</w:t>
            </w:r>
          </w:hyperlink>
        </w:p>
        <w:p>
          <w:pPr>
            <w:pStyle w:val="Contents6"/>
            <w:tabs>
              <w:tab w:val="clear" w:pos="7609"/>
              <w:tab w:val="right" w:pos="9026" w:leader="dot"/>
            </w:tabs>
            <w:rPr/>
          </w:pPr>
          <w:hyperlink w:anchor="__RefHeading___Toc3140542_3531895371">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3140544_3531895371">
            <w:r>
              <w:rPr>
                <w:webHidden/>
                <w:rStyle w:val="IndexLink"/>
              </w:rPr>
              <w:t>1</w:t>
            </w:r>
            <w:r>
              <w:rPr>
                <w:rStyle w:val="IndexLink"/>
                <w:rtl w:val="true"/>
              </w:rPr>
              <w:t xml:space="preserve">. </w:t>
            </w:r>
            <w:r>
              <w:rPr>
                <w:rStyle w:val="IndexLink"/>
                <w:rtl w:val="true"/>
              </w:rPr>
              <w:t>منشأ ایجاد</w:t>
            </w:r>
            <w:r>
              <w:rPr>
                <w:rStyle w:val="IndexLink"/>
                <w:rtl w:val="true"/>
              </w:rPr>
              <w:tab/>
            </w:r>
            <w:r>
              <w:rPr>
                <w:rStyle w:val="IndexLink"/>
              </w:rPr>
              <w:t>29</w:t>
            </w:r>
          </w:hyperlink>
        </w:p>
        <w:p>
          <w:pPr>
            <w:pStyle w:val="Contents6"/>
            <w:tabs>
              <w:tab w:val="clear" w:pos="7609"/>
              <w:tab w:val="right" w:pos="9026" w:leader="dot"/>
            </w:tabs>
            <w:rPr/>
          </w:pPr>
          <w:hyperlink w:anchor="__RefHeading___Toc3140546_3531895371">
            <w:r>
              <w:rPr>
                <w:webHidden/>
                <w:rStyle w:val="IndexLink"/>
              </w:rPr>
              <w:t>2</w:t>
            </w:r>
            <w:r>
              <w:rPr>
                <w:rStyle w:val="IndexLink"/>
                <w:rtl w:val="true"/>
              </w:rPr>
              <w:t xml:space="preserve">. </w:t>
            </w:r>
            <w:r>
              <w:rPr>
                <w:rStyle w:val="IndexLink"/>
                <w:rtl w:val="true"/>
              </w:rPr>
              <w:t>منبع</w:t>
            </w:r>
            <w:r>
              <w:rPr>
                <w:rStyle w:val="IndexLink"/>
                <w:rtl w:val="true"/>
              </w:rPr>
              <w:t>:</w:t>
              <w:tab/>
            </w:r>
            <w:r>
              <w:rPr>
                <w:rStyle w:val="IndexLink"/>
              </w:rPr>
              <w:t>29</w:t>
            </w:r>
          </w:hyperlink>
        </w:p>
        <w:p>
          <w:pPr>
            <w:pStyle w:val="Contents6"/>
            <w:tabs>
              <w:tab w:val="clear" w:pos="7609"/>
              <w:tab w:val="right" w:pos="9026" w:leader="dot"/>
            </w:tabs>
            <w:rPr/>
          </w:pPr>
          <w:hyperlink w:anchor="__RefHeading___Toc3140548_3531895371">
            <w:r>
              <w:rPr>
                <w:webHidden/>
                <w:rStyle w:val="IndexLink"/>
              </w:rPr>
              <w:t>3</w:t>
            </w:r>
            <w:r>
              <w:rPr>
                <w:rStyle w:val="IndexLink"/>
                <w:rtl w:val="true"/>
              </w:rPr>
              <w:t xml:space="preserve">. </w:t>
            </w:r>
            <w:r>
              <w:rPr>
                <w:rStyle w:val="IndexLink"/>
                <w:rtl w:val="true"/>
              </w:rPr>
              <w:t>ذينفع</w:t>
            </w:r>
            <w:r>
              <w:rPr>
                <w:rStyle w:val="IndexLink"/>
                <w:rtl w:val="true"/>
              </w:rPr>
              <w:t>:</w:t>
              <w:tab/>
            </w:r>
            <w:r>
              <w:rPr>
                <w:rStyle w:val="IndexLink"/>
              </w:rPr>
              <w:t>30</w:t>
            </w:r>
          </w:hyperlink>
        </w:p>
        <w:p>
          <w:pPr>
            <w:pStyle w:val="Contents6"/>
            <w:tabs>
              <w:tab w:val="clear" w:pos="7609"/>
              <w:tab w:val="right" w:pos="9026" w:leader="dot"/>
            </w:tabs>
            <w:rPr/>
          </w:pPr>
          <w:hyperlink w:anchor="__RefHeading___Toc3140550_3531895371">
            <w:r>
              <w:rPr>
                <w:webHidden/>
                <w:rStyle w:val="IndexLink"/>
              </w:rPr>
              <w:t>4</w:t>
            </w:r>
            <w:r>
              <w:rPr>
                <w:rStyle w:val="IndexLink"/>
                <w:rtl w:val="true"/>
              </w:rPr>
              <w:t xml:space="preserve">. </w:t>
            </w:r>
            <w:r>
              <w:rPr>
                <w:rStyle w:val="IndexLink"/>
                <w:rtl w:val="true"/>
              </w:rPr>
              <w:t>هدف</w:t>
            </w:r>
            <w:r>
              <w:rPr>
                <w:rStyle w:val="IndexLink"/>
                <w:rtl w:val="true"/>
              </w:rPr>
              <w:t>:</w:t>
              <w:tab/>
            </w:r>
            <w:r>
              <w:rPr>
                <w:rStyle w:val="IndexLink"/>
              </w:rPr>
              <w:t>30</w:t>
            </w:r>
          </w:hyperlink>
        </w:p>
        <w:p>
          <w:pPr>
            <w:pStyle w:val="Contents6"/>
            <w:tabs>
              <w:tab w:val="clear" w:pos="7609"/>
              <w:tab w:val="right" w:pos="9026" w:leader="dot"/>
            </w:tabs>
            <w:rPr/>
          </w:pPr>
          <w:hyperlink w:anchor="__RefHeading___Toc3140552_3531895371">
            <w:r>
              <w:rPr>
                <w:webHidden/>
                <w:rStyle w:val="IndexLink"/>
              </w:rPr>
              <w:t>5</w:t>
            </w:r>
            <w:r>
              <w:rPr>
                <w:rStyle w:val="IndexLink"/>
                <w:rtl w:val="true"/>
              </w:rPr>
              <w:t xml:space="preserve">. </w:t>
            </w:r>
            <w:r>
              <w:rPr>
                <w:rStyle w:val="IndexLink"/>
                <w:rtl w:val="true"/>
              </w:rPr>
              <w:t>شخصی بودن</w:t>
            </w:r>
            <w:r>
              <w:rPr>
                <w:rStyle w:val="IndexLink"/>
                <w:rtl w:val="true"/>
              </w:rPr>
              <w:t>:</w:t>
              <w:tab/>
            </w:r>
            <w:r>
              <w:rPr>
                <w:rStyle w:val="IndexLink"/>
              </w:rPr>
              <w:t>30</w:t>
            </w:r>
          </w:hyperlink>
        </w:p>
        <w:p>
          <w:pPr>
            <w:pStyle w:val="Contents3"/>
            <w:tabs>
              <w:tab w:val="clear" w:pos="8459"/>
              <w:tab w:val="right" w:pos="9026" w:leader="dot"/>
            </w:tabs>
            <w:rPr/>
          </w:pPr>
          <w:hyperlink w:anchor="__RefHeading___Toc3140554_3531895371">
            <w:r>
              <w:rPr>
                <w:webHidden/>
                <w:rStyle w:val="IndexLink"/>
              </w:rPr>
              <w:t>1/4</w:t>
            </w:r>
            <w:r>
              <w:rPr>
                <w:rStyle w:val="IndexLink"/>
                <w:rtl w:val="true"/>
              </w:rPr>
              <w:t xml:space="preserve">. </w:t>
            </w:r>
            <w:r>
              <w:rPr>
                <w:rStyle w:val="IndexLink"/>
                <w:rtl w:val="true"/>
              </w:rPr>
              <w:t>کیفر</w:t>
            </w:r>
            <w:r>
              <w:rPr>
                <w:rStyle w:val="IndexLink"/>
                <w:rtl w:val="true"/>
              </w:rPr>
              <w:tab/>
            </w:r>
            <w:r>
              <w:rPr>
                <w:rStyle w:val="IndexLink"/>
              </w:rPr>
              <w:t>31</w:t>
            </w:r>
          </w:hyperlink>
        </w:p>
        <w:p>
          <w:pPr>
            <w:pStyle w:val="Contents4"/>
            <w:tabs>
              <w:tab w:val="clear" w:pos="8176"/>
              <w:tab w:val="right" w:pos="9026" w:leader="dot"/>
            </w:tabs>
            <w:rPr/>
          </w:pPr>
          <w:hyperlink w:anchor="__RefHeading___Toc3140556_3531895371">
            <w:r>
              <w:rPr>
                <w:webHidden/>
                <w:rStyle w:val="IndexLink"/>
                <w:rtl w:val="true"/>
              </w:rPr>
              <w:t>الف</w:t>
            </w:r>
            <w:r>
              <w:rPr>
                <w:rStyle w:val="IndexLink"/>
                <w:rtl w:val="true"/>
              </w:rPr>
              <w:t xml:space="preserve">) </w:t>
            </w:r>
            <w:r>
              <w:rPr>
                <w:rStyle w:val="IndexLink"/>
                <w:rtl w:val="true"/>
              </w:rPr>
              <w:t>معناشناسی کیفر</w:t>
            </w:r>
            <w:r>
              <w:rPr>
                <w:rStyle w:val="IndexLink"/>
                <w:rtl w:val="true"/>
              </w:rPr>
              <w:tab/>
            </w:r>
            <w:r>
              <w:rPr>
                <w:rStyle w:val="IndexLink"/>
              </w:rPr>
              <w:t>31</w:t>
            </w:r>
          </w:hyperlink>
        </w:p>
        <w:p>
          <w:pPr>
            <w:pStyle w:val="Contents4"/>
            <w:tabs>
              <w:tab w:val="clear" w:pos="8176"/>
              <w:tab w:val="right" w:pos="9026" w:leader="dot"/>
            </w:tabs>
            <w:rPr/>
          </w:pPr>
          <w:hyperlink w:anchor="__RefHeading___Toc3140558_3531895371">
            <w:r>
              <w:rPr>
                <w:webHidden/>
                <w:rStyle w:val="IndexLink"/>
                <w:rtl w:val="true"/>
              </w:rPr>
              <w:t>ب</w:t>
            </w:r>
            <w:r>
              <w:rPr>
                <w:rStyle w:val="IndexLink"/>
                <w:rtl w:val="true"/>
              </w:rPr>
              <w:t xml:space="preserve">) </w:t>
            </w:r>
            <w:r>
              <w:rPr>
                <w:rStyle w:val="IndexLink"/>
                <w:rtl w:val="true"/>
              </w:rPr>
              <w:t>معناشناسی مسئولیت کیفری</w:t>
            </w:r>
            <w:r>
              <w:rPr>
                <w:rStyle w:val="IndexLink"/>
                <w:rtl w:val="true"/>
              </w:rPr>
              <w:tab/>
            </w:r>
            <w:r>
              <w:rPr>
                <w:rStyle w:val="IndexLink"/>
              </w:rPr>
              <w:t>31</w:t>
            </w:r>
          </w:hyperlink>
        </w:p>
        <w:p>
          <w:pPr>
            <w:pStyle w:val="Contents4"/>
            <w:tabs>
              <w:tab w:val="clear" w:pos="8176"/>
              <w:tab w:val="right" w:pos="9026" w:leader="dot"/>
            </w:tabs>
            <w:rPr/>
          </w:pPr>
          <w:hyperlink w:anchor="__RefHeading___Toc3140560_3531895371">
            <w:r>
              <w:rPr>
                <w:webHidden/>
                <w:rStyle w:val="IndexLink"/>
                <w:rtl w:val="true"/>
              </w:rPr>
              <w:t>ج</w:t>
            </w:r>
            <w:r>
              <w:rPr>
                <w:rStyle w:val="IndexLink"/>
                <w:rtl w:val="true"/>
              </w:rPr>
              <w:t xml:space="preserve">: </w:t>
            </w:r>
            <w:r>
              <w:rPr>
                <w:rStyle w:val="IndexLink"/>
                <w:rtl w:val="true"/>
              </w:rPr>
              <w:t>سن مسئولیت کیفری</w:t>
            </w:r>
            <w:r>
              <w:rPr>
                <w:rStyle w:val="IndexLink"/>
                <w:rtl w:val="true"/>
              </w:rPr>
              <w:tab/>
            </w:r>
            <w:r>
              <w:rPr>
                <w:rStyle w:val="IndexLink"/>
              </w:rPr>
              <w:t>32</w:t>
            </w:r>
          </w:hyperlink>
        </w:p>
        <w:p>
          <w:pPr>
            <w:pStyle w:val="Contents2"/>
            <w:tabs>
              <w:tab w:val="clear" w:pos="8743"/>
              <w:tab w:val="right" w:pos="9026" w:leader="dot"/>
            </w:tabs>
            <w:rPr/>
          </w:pPr>
          <w:hyperlink w:anchor="__RefHeading___Toc3140562_3531895371">
            <w:r>
              <w:rPr>
                <w:webHidden/>
                <w:rStyle w:val="IndexLink"/>
                <w:rtl w:val="true"/>
              </w:rPr>
              <w:t>فصل دوم</w:t>
            </w:r>
            <w:r>
              <w:rPr>
                <w:rStyle w:val="IndexLink"/>
                <w:rtl w:val="true"/>
              </w:rPr>
              <w:t xml:space="preserve">: </w:t>
            </w:r>
            <w:r>
              <w:rPr>
                <w:rStyle w:val="IndexLink"/>
                <w:rtl w:val="true"/>
              </w:rPr>
              <w:t>جایگاه بلوغ در فقه و قوانین</w:t>
            </w:r>
            <w:r>
              <w:rPr>
                <w:rStyle w:val="IndexLink"/>
                <w:rtl w:val="true"/>
              </w:rPr>
              <w:tab/>
            </w:r>
            <w:r>
              <w:rPr>
                <w:rStyle w:val="IndexLink"/>
              </w:rPr>
              <w:t>36</w:t>
            </w:r>
          </w:hyperlink>
        </w:p>
        <w:p>
          <w:pPr>
            <w:pStyle w:val="Contents3"/>
            <w:tabs>
              <w:tab w:val="clear" w:pos="8459"/>
              <w:tab w:val="right" w:pos="9026" w:leader="dot"/>
            </w:tabs>
            <w:rPr/>
          </w:pPr>
          <w:hyperlink w:anchor="__RefHeading___Toc3140564_353189537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140566_3531895371">
            <w:r>
              <w:rPr>
                <w:webHidden/>
                <w:rStyle w:val="IndexLink"/>
              </w:rPr>
              <w:t>2/1</w:t>
            </w:r>
            <w:r>
              <w:rPr>
                <w:rStyle w:val="IndexLink"/>
                <w:rtl w:val="true"/>
              </w:rPr>
              <w:t xml:space="preserve">. </w:t>
            </w:r>
            <w:r>
              <w:rPr>
                <w:rStyle w:val="IndexLink"/>
                <w:rtl w:val="true"/>
              </w:rPr>
              <w:t>قلمر و بلوغ</w:t>
            </w:r>
            <w:r>
              <w:rPr>
                <w:rStyle w:val="IndexLink"/>
                <w:rtl w:val="true"/>
              </w:rPr>
              <w:tab/>
            </w:r>
            <w:r>
              <w:rPr>
                <w:rStyle w:val="IndexLink"/>
              </w:rPr>
              <w:t>37</w:t>
            </w:r>
          </w:hyperlink>
        </w:p>
        <w:p>
          <w:pPr>
            <w:pStyle w:val="Contents4"/>
            <w:tabs>
              <w:tab w:val="clear" w:pos="8176"/>
              <w:tab w:val="right" w:pos="9026" w:leader="dot"/>
            </w:tabs>
            <w:rPr/>
          </w:pPr>
          <w:hyperlink w:anchor="__RefHeading___Toc3140568_3531895371">
            <w:r>
              <w:rPr>
                <w:webHidden/>
                <w:rStyle w:val="IndexLink"/>
              </w:rPr>
              <w:t>1.2/1/1</w:t>
            </w:r>
            <w:r>
              <w:rPr>
                <w:rStyle w:val="IndexLink"/>
                <w:rtl w:val="true"/>
              </w:rPr>
              <w:t xml:space="preserve">. </w:t>
            </w:r>
            <w:r>
              <w:rPr>
                <w:rStyle w:val="IndexLink"/>
                <w:rtl w:val="true"/>
              </w:rPr>
              <w:t>نقش بلوغ به مثابه شرط صحت و وجوب تکلیف</w:t>
            </w:r>
            <w:r>
              <w:rPr>
                <w:rStyle w:val="IndexLink"/>
                <w:rtl w:val="true"/>
              </w:rPr>
              <w:tab/>
            </w:r>
            <w:r>
              <w:rPr>
                <w:rStyle w:val="IndexLink"/>
              </w:rPr>
              <w:t>37</w:t>
            </w:r>
          </w:hyperlink>
        </w:p>
        <w:p>
          <w:pPr>
            <w:pStyle w:val="Contents4"/>
            <w:tabs>
              <w:tab w:val="clear" w:pos="8176"/>
              <w:tab w:val="right" w:pos="9026" w:leader="dot"/>
            </w:tabs>
            <w:rPr/>
          </w:pPr>
          <w:hyperlink w:anchor="__RefHeading___Toc3140570_3531895371">
            <w:r>
              <w:rPr>
                <w:webHidden/>
                <w:rStyle w:val="IndexLink"/>
              </w:rPr>
              <w:t>2/1/2</w:t>
            </w:r>
            <w:r>
              <w:rPr>
                <w:rStyle w:val="IndexLink"/>
                <w:rtl w:val="true"/>
              </w:rPr>
              <w:t xml:space="preserve">. </w:t>
            </w:r>
            <w:r>
              <w:rPr>
                <w:rStyle w:val="IndexLink"/>
                <w:rtl w:val="true"/>
              </w:rPr>
              <w:t>جایگاه بلوغ در احکام وضعی</w:t>
            </w:r>
            <w:r>
              <w:rPr>
                <w:rStyle w:val="IndexLink"/>
                <w:rtl w:val="true"/>
              </w:rPr>
              <w:t xml:space="preserve">: </w:t>
            </w:r>
            <w:r>
              <w:rPr>
                <w:rStyle w:val="IndexLink"/>
                <w:rtl w:val="true"/>
              </w:rPr>
              <w:t>تحلیل قاعده عدم اعتبار</w:t>
            </w:r>
            <w:r>
              <w:rPr>
                <w:rStyle w:val="IndexLink"/>
                <w:rtl w:val="true"/>
              </w:rPr>
              <w:tab/>
            </w:r>
            <w:r>
              <w:rPr>
                <w:rStyle w:val="IndexLink"/>
              </w:rPr>
              <w:t>38</w:t>
            </w:r>
          </w:hyperlink>
        </w:p>
        <w:p>
          <w:pPr>
            <w:pStyle w:val="Contents5"/>
            <w:tabs>
              <w:tab w:val="clear" w:pos="7892"/>
              <w:tab w:val="right" w:pos="9026" w:leader="dot"/>
            </w:tabs>
            <w:rPr/>
          </w:pPr>
          <w:hyperlink w:anchor="__RefHeading___Toc3140572_353189537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140574_3531895371">
            <w:r>
              <w:rPr>
                <w:webHidden/>
                <w:rStyle w:val="IndexLink"/>
                <w:rtl w:val="true"/>
              </w:rPr>
              <w:t>الف</w:t>
            </w:r>
            <w:r>
              <w:rPr>
                <w:rStyle w:val="IndexLink"/>
                <w:rtl w:val="true"/>
              </w:rPr>
              <w:t xml:space="preserve">) </w:t>
            </w:r>
            <w:r>
              <w:rPr>
                <w:rStyle w:val="IndexLink"/>
                <w:rtl w:val="true"/>
              </w:rPr>
              <w:t>اجماع</w:t>
            </w:r>
            <w:r>
              <w:rPr>
                <w:rStyle w:val="IndexLink"/>
                <w:rtl w:val="true"/>
              </w:rPr>
              <w:tab/>
            </w:r>
            <w:r>
              <w:rPr>
                <w:rStyle w:val="IndexLink"/>
              </w:rPr>
              <w:t>38</w:t>
            </w:r>
          </w:hyperlink>
        </w:p>
        <w:p>
          <w:pPr>
            <w:pStyle w:val="Contents5"/>
            <w:tabs>
              <w:tab w:val="clear" w:pos="7892"/>
              <w:tab w:val="right" w:pos="9026" w:leader="dot"/>
            </w:tabs>
            <w:rPr/>
          </w:pPr>
          <w:hyperlink w:anchor="__RefHeading___Toc3140576_3531895371">
            <w:r>
              <w:rPr>
                <w:webHidden/>
                <w:rStyle w:val="IndexLink"/>
                <w:rtl w:val="true"/>
              </w:rPr>
              <w:t>ب</w:t>
            </w:r>
            <w:r>
              <w:rPr>
                <w:rStyle w:val="IndexLink"/>
                <w:rtl w:val="true"/>
              </w:rPr>
              <w:t xml:space="preserve">) </w:t>
            </w:r>
            <w:r>
              <w:rPr>
                <w:rStyle w:val="IndexLink"/>
                <w:rtl w:val="true"/>
              </w:rPr>
              <w:t>سنت عقلاء</w:t>
            </w:r>
            <w:r>
              <w:rPr>
                <w:rStyle w:val="IndexLink"/>
                <w:rtl w:val="true"/>
              </w:rPr>
              <w:tab/>
            </w:r>
            <w:r>
              <w:rPr>
                <w:rStyle w:val="IndexLink"/>
              </w:rPr>
              <w:t>38</w:t>
            </w:r>
          </w:hyperlink>
        </w:p>
        <w:p>
          <w:pPr>
            <w:pStyle w:val="Contents5"/>
            <w:tabs>
              <w:tab w:val="clear" w:pos="7892"/>
              <w:tab w:val="right" w:pos="9026" w:leader="dot"/>
            </w:tabs>
            <w:rPr/>
          </w:pPr>
          <w:hyperlink w:anchor="__RefHeading___Toc3140578_3531895371">
            <w:r>
              <w:rPr>
                <w:webHidden/>
                <w:rStyle w:val="IndexLink"/>
                <w:rtl w:val="true"/>
              </w:rPr>
              <w:t>ج</w:t>
            </w:r>
            <w:r>
              <w:rPr>
                <w:rStyle w:val="IndexLink"/>
                <w:rtl w:val="true"/>
              </w:rPr>
              <w:t xml:space="preserve">) </w:t>
            </w:r>
            <w:r>
              <w:rPr>
                <w:rStyle w:val="IndexLink"/>
                <w:rtl w:val="true"/>
              </w:rPr>
              <w:t>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3140580_3531895371">
            <w:r>
              <w:rPr>
                <w:webHidden/>
                <w:rStyle w:val="IndexLink"/>
              </w:rPr>
              <w:t>2/1/3</w:t>
            </w:r>
            <w:r>
              <w:rPr>
                <w:rStyle w:val="IndexLink"/>
                <w:rtl w:val="true"/>
              </w:rPr>
              <w:t xml:space="preserve">. </w:t>
            </w:r>
            <w:r>
              <w:rPr>
                <w:rStyle w:val="IndexLink"/>
                <w:rtl w:val="true"/>
              </w:rPr>
              <w:t>بلوغ و قلمرو مستحبات و مکروهات</w:t>
            </w:r>
            <w:r>
              <w:rPr>
                <w:rStyle w:val="IndexLink"/>
                <w:rtl w:val="true"/>
              </w:rPr>
              <w:t xml:space="preserve">: </w:t>
            </w:r>
            <w:r>
              <w:rPr>
                <w:rStyle w:val="IndexLink"/>
                <w:rtl w:val="true"/>
              </w:rPr>
              <w:t>بررسی حدود تکلیف پیش از بلوغ</w:t>
            </w:r>
            <w:r>
              <w:rPr>
                <w:rStyle w:val="IndexLink"/>
                <w:rtl w:val="true"/>
              </w:rPr>
              <w:tab/>
            </w:r>
            <w:r>
              <w:rPr>
                <w:rStyle w:val="IndexLink"/>
              </w:rPr>
              <w:t>40</w:t>
            </w:r>
          </w:hyperlink>
        </w:p>
        <w:p>
          <w:pPr>
            <w:pStyle w:val="Contents3"/>
            <w:tabs>
              <w:tab w:val="clear" w:pos="8459"/>
              <w:tab w:val="right" w:pos="9026" w:leader="dot"/>
            </w:tabs>
            <w:rPr/>
          </w:pPr>
          <w:hyperlink w:anchor="__RefHeading___Toc3140582_3531895371">
            <w:r>
              <w:rPr>
                <w:webHidden/>
                <w:rStyle w:val="IndexLink"/>
              </w:rPr>
              <w:t>2/2</w:t>
            </w:r>
            <w:r>
              <w:rPr>
                <w:rStyle w:val="IndexLink"/>
                <w:rtl w:val="true"/>
              </w:rPr>
              <w:t xml:space="preserve">. </w:t>
            </w:r>
            <w:r>
              <w:rPr>
                <w:rStyle w:val="IndexLink"/>
                <w:rtl w:val="true"/>
              </w:rPr>
              <w:t>نشانه های بلوغ</w:t>
            </w:r>
            <w:r>
              <w:rPr>
                <w:rStyle w:val="IndexLink"/>
                <w:rtl w:val="true"/>
              </w:rPr>
              <w:tab/>
            </w:r>
            <w:r>
              <w:rPr>
                <w:rStyle w:val="IndexLink"/>
              </w:rPr>
              <w:t>41</w:t>
            </w:r>
          </w:hyperlink>
        </w:p>
        <w:p>
          <w:pPr>
            <w:pStyle w:val="Contents4"/>
            <w:tabs>
              <w:tab w:val="clear" w:pos="8176"/>
              <w:tab w:val="right" w:pos="9026" w:leader="dot"/>
            </w:tabs>
            <w:rPr/>
          </w:pPr>
          <w:hyperlink w:anchor="__RefHeading___Toc3140584_3531895371">
            <w:r>
              <w:rPr>
                <w:webHidden/>
                <w:rStyle w:val="IndexLink"/>
              </w:rPr>
              <w:t>2/2/1</w:t>
            </w:r>
            <w:r>
              <w:rPr>
                <w:rStyle w:val="IndexLink"/>
                <w:rtl w:val="true"/>
              </w:rPr>
              <w:t xml:space="preserve">. </w:t>
            </w:r>
            <w:r>
              <w:rPr>
                <w:rStyle w:val="IndexLink"/>
                <w:rtl w:val="true"/>
              </w:rPr>
              <w:t>احتلام</w:t>
            </w:r>
            <w:r>
              <w:rPr>
                <w:rStyle w:val="IndexLink"/>
                <w:rtl w:val="true"/>
              </w:rPr>
              <w:tab/>
            </w:r>
            <w:r>
              <w:rPr>
                <w:rStyle w:val="IndexLink"/>
              </w:rPr>
              <w:t>41</w:t>
            </w:r>
          </w:hyperlink>
        </w:p>
        <w:p>
          <w:pPr>
            <w:pStyle w:val="Contents5"/>
            <w:tabs>
              <w:tab w:val="clear" w:pos="7892"/>
              <w:tab w:val="right" w:pos="9026" w:leader="dot"/>
            </w:tabs>
            <w:rPr/>
          </w:pPr>
          <w:hyperlink w:anchor="__RefHeading___Toc3140586_3531895371">
            <w:r>
              <w:rPr>
                <w:webHidden/>
                <w:rStyle w:val="IndexLink"/>
              </w:rPr>
              <w:t>2/2/1/1</w:t>
            </w:r>
            <w:r>
              <w:rPr>
                <w:rStyle w:val="IndexLink"/>
                <w:rtl w:val="true"/>
              </w:rPr>
              <w:t xml:space="preserve">. </w:t>
            </w:r>
            <w:r>
              <w:rPr>
                <w:rStyle w:val="IndexLink"/>
                <w:rtl w:val="true"/>
              </w:rPr>
              <w:t>مفهوم شناسی</w:t>
            </w:r>
            <w:r>
              <w:rPr>
                <w:rStyle w:val="IndexLink"/>
                <w:rtl w:val="true"/>
              </w:rPr>
              <w:tab/>
            </w:r>
            <w:r>
              <w:rPr>
                <w:rStyle w:val="IndexLink"/>
              </w:rPr>
              <w:t>41</w:t>
            </w:r>
          </w:hyperlink>
        </w:p>
        <w:p>
          <w:pPr>
            <w:pStyle w:val="Contents5"/>
            <w:tabs>
              <w:tab w:val="clear" w:pos="7892"/>
              <w:tab w:val="right" w:pos="9026" w:leader="dot"/>
            </w:tabs>
            <w:rPr/>
          </w:pPr>
          <w:hyperlink w:anchor="__RefHeading___Toc3140588_3531895371">
            <w:r>
              <w:rPr>
                <w:webHidden/>
                <w:rStyle w:val="IndexLink"/>
              </w:rPr>
              <w:t>2/2/1/2</w:t>
            </w:r>
            <w:r>
              <w:rPr>
                <w:rStyle w:val="IndexLink"/>
                <w:rtl w:val="true"/>
              </w:rPr>
              <w:t xml:space="preserve">. </w:t>
            </w:r>
            <w:r>
              <w:rPr>
                <w:rStyle w:val="IndexLink"/>
                <w:rtl w:val="true"/>
              </w:rPr>
              <w:t>احتلام در قرآن</w:t>
            </w:r>
            <w:r>
              <w:rPr>
                <w:rStyle w:val="IndexLink"/>
                <w:rtl w:val="true"/>
              </w:rPr>
              <w:tab/>
            </w:r>
            <w:r>
              <w:rPr>
                <w:rStyle w:val="IndexLink"/>
              </w:rPr>
              <w:t>41</w:t>
            </w:r>
          </w:hyperlink>
        </w:p>
        <w:p>
          <w:pPr>
            <w:pStyle w:val="Contents5"/>
            <w:tabs>
              <w:tab w:val="clear" w:pos="7892"/>
              <w:tab w:val="right" w:pos="9026" w:leader="dot"/>
            </w:tabs>
            <w:rPr/>
          </w:pPr>
          <w:hyperlink w:anchor="__RefHeading___Toc3140590_3531895371">
            <w:r>
              <w:rPr>
                <w:webHidden/>
                <w:rStyle w:val="IndexLink"/>
              </w:rPr>
              <w:t>2/2/1/3</w:t>
            </w:r>
            <w:r>
              <w:rPr>
                <w:rStyle w:val="IndexLink"/>
                <w:rtl w:val="true"/>
              </w:rPr>
              <w:t xml:space="preserve">. </w:t>
            </w:r>
            <w:r>
              <w:rPr>
                <w:rStyle w:val="IndexLink"/>
                <w:rtl w:val="true"/>
              </w:rPr>
              <w:t>احتلام در 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3140592_3531895371">
            <w:r>
              <w:rPr>
                <w:webHidden/>
                <w:rStyle w:val="IndexLink"/>
              </w:rPr>
              <w:t>2/2/1/4</w:t>
            </w:r>
            <w:r>
              <w:rPr>
                <w:rStyle w:val="IndexLink"/>
                <w:rtl w:val="true"/>
              </w:rPr>
              <w:t xml:space="preserve">. </w:t>
            </w:r>
            <w:r>
              <w:rPr>
                <w:rStyle w:val="IndexLink"/>
                <w:rtl w:val="true"/>
              </w:rPr>
              <w:t>دیدگاه فقهای امامیه</w:t>
            </w:r>
            <w:r>
              <w:rPr>
                <w:rStyle w:val="IndexLink"/>
                <w:rtl w:val="true"/>
              </w:rPr>
              <w:tab/>
            </w:r>
            <w:r>
              <w:rPr>
                <w:rStyle w:val="IndexLink"/>
              </w:rPr>
              <w:t>42</w:t>
            </w:r>
          </w:hyperlink>
        </w:p>
        <w:p>
          <w:pPr>
            <w:pStyle w:val="Contents4"/>
            <w:tabs>
              <w:tab w:val="clear" w:pos="8176"/>
              <w:tab w:val="right" w:pos="9026" w:leader="dot"/>
            </w:tabs>
            <w:rPr/>
          </w:pPr>
          <w:hyperlink w:anchor="__RefHeading___Toc3140594_3531895371">
            <w:r>
              <w:rPr>
                <w:webHidden/>
                <w:rStyle w:val="IndexLink"/>
              </w:rPr>
              <w:t>2/2/2</w:t>
            </w:r>
            <w:r>
              <w:rPr>
                <w:rStyle w:val="IndexLink"/>
                <w:rtl w:val="true"/>
              </w:rPr>
              <w:t xml:space="preserve">. </w:t>
            </w:r>
            <w:r>
              <w:rPr>
                <w:rStyle w:val="IndexLink"/>
                <w:rtl w:val="true"/>
              </w:rPr>
              <w:t>حيض</w:t>
            </w:r>
            <w:r>
              <w:rPr>
                <w:rStyle w:val="IndexLink"/>
                <w:rtl w:val="true"/>
              </w:rPr>
              <w:tab/>
            </w:r>
            <w:r>
              <w:rPr>
                <w:rStyle w:val="IndexLink"/>
              </w:rPr>
              <w:t>44</w:t>
            </w:r>
          </w:hyperlink>
        </w:p>
        <w:p>
          <w:pPr>
            <w:pStyle w:val="Contents5"/>
            <w:tabs>
              <w:tab w:val="clear" w:pos="7892"/>
              <w:tab w:val="right" w:pos="9026" w:leader="dot"/>
            </w:tabs>
            <w:rPr/>
          </w:pPr>
          <w:hyperlink w:anchor="__RefHeading___Toc3140596_3531895371">
            <w:r>
              <w:rPr>
                <w:webHidden/>
                <w:rStyle w:val="IndexLink"/>
              </w:rPr>
              <w:t>2/2/2/1</w:t>
            </w:r>
            <w:r>
              <w:rPr>
                <w:rStyle w:val="IndexLink"/>
                <w:rtl w:val="true"/>
              </w:rPr>
              <w:t xml:space="preserve">. </w:t>
            </w:r>
            <w:r>
              <w:rPr>
                <w:rStyle w:val="IndexLink"/>
                <w:rtl w:val="true"/>
              </w:rPr>
              <w:t>چیستی حیض</w:t>
            </w:r>
            <w:r>
              <w:rPr>
                <w:rStyle w:val="IndexLink"/>
                <w:rtl w:val="true"/>
              </w:rPr>
              <w:tab/>
            </w:r>
            <w:r>
              <w:rPr>
                <w:rStyle w:val="IndexLink"/>
              </w:rPr>
              <w:t>44</w:t>
            </w:r>
          </w:hyperlink>
        </w:p>
        <w:p>
          <w:pPr>
            <w:pStyle w:val="Contents6"/>
            <w:tabs>
              <w:tab w:val="clear" w:pos="7609"/>
              <w:tab w:val="right" w:pos="9026" w:leader="dot"/>
            </w:tabs>
            <w:rPr/>
          </w:pPr>
          <w:hyperlink w:anchor="__RefHeading___Toc3140598_3531895371">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140600_3531895371">
            <w:r>
              <w:rPr>
                <w:webHidden/>
                <w:rStyle w:val="IndexLink"/>
                <w:rtl w:val="true"/>
              </w:rPr>
              <w:t>الف</w:t>
            </w:r>
            <w:r>
              <w:rPr>
                <w:rStyle w:val="IndexLink"/>
                <w:rtl w:val="true"/>
              </w:rPr>
              <w:t xml:space="preserve">) </w:t>
            </w:r>
            <w:r>
              <w:rPr>
                <w:rStyle w:val="IndexLink"/>
                <w:rtl w:val="true"/>
              </w:rPr>
              <w:t>تشخیص خون حیض</w:t>
            </w:r>
            <w:r>
              <w:rPr>
                <w:rStyle w:val="IndexLink"/>
                <w:rtl w:val="true"/>
              </w:rPr>
              <w:t>:</w:t>
              <w:tab/>
            </w:r>
            <w:r>
              <w:rPr>
                <w:rStyle w:val="IndexLink"/>
              </w:rPr>
              <w:t>44</w:t>
            </w:r>
          </w:hyperlink>
        </w:p>
        <w:p>
          <w:pPr>
            <w:pStyle w:val="Contents6"/>
            <w:tabs>
              <w:tab w:val="clear" w:pos="7609"/>
              <w:tab w:val="right" w:pos="9026" w:leader="dot"/>
            </w:tabs>
            <w:rPr/>
          </w:pPr>
          <w:hyperlink w:anchor="__RefHeading___Toc3140602_3531895371">
            <w:r>
              <w:rPr>
                <w:webHidden/>
                <w:rStyle w:val="IndexLink"/>
                <w:rtl w:val="true"/>
              </w:rPr>
              <w:t>ب</w:t>
            </w:r>
            <w:r>
              <w:rPr>
                <w:rStyle w:val="IndexLink"/>
                <w:rtl w:val="true"/>
              </w:rPr>
              <w:t xml:space="preserve">) </w:t>
            </w:r>
            <w:r>
              <w:rPr>
                <w:rStyle w:val="IndexLink"/>
                <w:rtl w:val="true"/>
              </w:rPr>
              <w:t>عوامل مؤثر در شروع عادت ماهانه</w:t>
            </w:r>
            <w:r>
              <w:rPr>
                <w:rStyle w:val="IndexLink"/>
                <w:rtl w:val="true"/>
              </w:rPr>
              <w:tab/>
            </w:r>
            <w:r>
              <w:rPr>
                <w:rStyle w:val="IndexLink"/>
              </w:rPr>
              <w:t>44</w:t>
            </w:r>
          </w:hyperlink>
        </w:p>
        <w:p>
          <w:pPr>
            <w:pStyle w:val="Contents5"/>
            <w:tabs>
              <w:tab w:val="clear" w:pos="7892"/>
              <w:tab w:val="right" w:pos="9026" w:leader="dot"/>
            </w:tabs>
            <w:rPr/>
          </w:pPr>
          <w:hyperlink w:anchor="__RefHeading___Toc3140604_3531895371">
            <w:r>
              <w:rPr>
                <w:webHidden/>
                <w:rStyle w:val="IndexLink"/>
              </w:rPr>
              <w:t>2/2/2/2</w:t>
            </w:r>
            <w:r>
              <w:rPr>
                <w:rStyle w:val="IndexLink"/>
                <w:rtl w:val="true"/>
              </w:rPr>
              <w:t xml:space="preserve">. </w:t>
            </w:r>
            <w:r>
              <w:rPr>
                <w:rStyle w:val="IndexLink"/>
                <w:rtl w:val="true"/>
              </w:rPr>
              <w:t>حیض از دیدگاه فقهای امامیه</w:t>
            </w:r>
            <w:r>
              <w:rPr>
                <w:rStyle w:val="IndexLink"/>
                <w:rtl w:val="true"/>
              </w:rPr>
              <w:tab/>
            </w:r>
            <w:r>
              <w:rPr>
                <w:rStyle w:val="IndexLink"/>
              </w:rPr>
              <w:t>46</w:t>
            </w:r>
          </w:hyperlink>
        </w:p>
        <w:p>
          <w:pPr>
            <w:pStyle w:val="Contents5"/>
            <w:tabs>
              <w:tab w:val="clear" w:pos="7892"/>
              <w:tab w:val="right" w:pos="9026" w:leader="dot"/>
            </w:tabs>
            <w:rPr/>
          </w:pPr>
          <w:hyperlink w:anchor="__RefHeading___Toc3140606_3531895371">
            <w:r>
              <w:rPr>
                <w:webHidden/>
                <w:rStyle w:val="IndexLink"/>
                <w:rtl w:val="true"/>
              </w:rPr>
              <w:t>جمع بندی</w:t>
            </w:r>
            <w:r>
              <w:rPr>
                <w:rStyle w:val="IndexLink"/>
                <w:rtl w:val="true"/>
              </w:rPr>
              <w:tab/>
            </w:r>
            <w:r>
              <w:rPr>
                <w:rStyle w:val="IndexLink"/>
              </w:rPr>
              <w:t>48</w:t>
            </w:r>
          </w:hyperlink>
        </w:p>
        <w:p>
          <w:pPr>
            <w:pStyle w:val="Contents5"/>
            <w:tabs>
              <w:tab w:val="clear" w:pos="7892"/>
              <w:tab w:val="right" w:pos="9026" w:leader="dot"/>
            </w:tabs>
            <w:rPr/>
          </w:pPr>
          <w:hyperlink w:anchor="__RefHeading___Toc3140608_3531895371">
            <w:r>
              <w:rPr>
                <w:webHidden/>
                <w:rStyle w:val="IndexLink"/>
              </w:rPr>
              <w:t>2/2/2/3</w:t>
            </w:r>
            <w:r>
              <w:rPr>
                <w:rStyle w:val="IndexLink"/>
                <w:rtl w:val="true"/>
              </w:rPr>
              <w:t xml:space="preserve">. </w:t>
            </w:r>
            <w:r>
              <w:rPr>
                <w:rStyle w:val="IndexLink"/>
                <w:rtl w:val="true"/>
              </w:rPr>
              <w:t>حیض از دیدگاه فقهای عامه</w:t>
            </w:r>
            <w:r>
              <w:rPr>
                <w:rStyle w:val="IndexLink"/>
                <w:rtl w:val="true"/>
              </w:rPr>
              <w:tab/>
            </w:r>
            <w:r>
              <w:rPr>
                <w:rStyle w:val="IndexLink"/>
              </w:rPr>
              <w:t>48</w:t>
            </w:r>
          </w:hyperlink>
        </w:p>
        <w:p>
          <w:pPr>
            <w:pStyle w:val="Contents4"/>
            <w:tabs>
              <w:tab w:val="clear" w:pos="8176"/>
              <w:tab w:val="right" w:pos="9026" w:leader="dot"/>
            </w:tabs>
            <w:rPr/>
          </w:pPr>
          <w:hyperlink w:anchor="__RefHeading___Toc3140610_3531895371">
            <w:r>
              <w:rPr>
                <w:webHidden/>
                <w:rStyle w:val="IndexLink"/>
              </w:rPr>
              <w:t>2/2/3</w:t>
            </w:r>
            <w:r>
              <w:rPr>
                <w:rStyle w:val="IndexLink"/>
                <w:rtl w:val="true"/>
              </w:rPr>
              <w:t xml:space="preserve">. </w:t>
            </w:r>
            <w:r>
              <w:rPr>
                <w:rStyle w:val="IndexLink"/>
                <w:rtl w:val="true"/>
              </w:rPr>
              <w:t>حمل</w:t>
            </w:r>
            <w:r>
              <w:rPr>
                <w:rStyle w:val="IndexLink"/>
                <w:rtl w:val="true"/>
              </w:rPr>
              <w:tab/>
            </w:r>
            <w:r>
              <w:rPr>
                <w:rStyle w:val="IndexLink"/>
              </w:rPr>
              <w:t>49</w:t>
            </w:r>
          </w:hyperlink>
        </w:p>
        <w:p>
          <w:pPr>
            <w:pStyle w:val="Contents5"/>
            <w:tabs>
              <w:tab w:val="clear" w:pos="7892"/>
              <w:tab w:val="right" w:pos="9026" w:leader="dot"/>
            </w:tabs>
            <w:rPr/>
          </w:pPr>
          <w:hyperlink w:anchor="__RefHeading___Toc3140612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140614_3531895371">
            <w:r>
              <w:rPr>
                <w:webHidden/>
                <w:rStyle w:val="IndexLink"/>
                <w:rtl w:val="true"/>
              </w:rPr>
              <w:t>الف</w:t>
            </w:r>
            <w:r>
              <w:rPr>
                <w:rStyle w:val="IndexLink"/>
                <w:rtl w:val="true"/>
              </w:rPr>
              <w:t xml:space="preserve">) </w:t>
            </w:r>
            <w:r>
              <w:rPr>
                <w:rStyle w:val="IndexLink"/>
                <w:rtl w:val="true"/>
              </w:rPr>
              <w:t>دیدگاه فقه امامیه</w:t>
            </w:r>
            <w:r>
              <w:rPr>
                <w:rStyle w:val="IndexLink"/>
                <w:rtl w:val="true"/>
              </w:rPr>
              <w:t>:</w:t>
              <w:tab/>
            </w:r>
            <w:r>
              <w:rPr>
                <w:rStyle w:val="IndexLink"/>
              </w:rPr>
              <w:t>49</w:t>
            </w:r>
          </w:hyperlink>
        </w:p>
        <w:p>
          <w:pPr>
            <w:pStyle w:val="Contents5"/>
            <w:tabs>
              <w:tab w:val="clear" w:pos="7892"/>
              <w:tab w:val="right" w:pos="9026" w:leader="dot"/>
            </w:tabs>
            <w:rPr/>
          </w:pPr>
          <w:hyperlink w:anchor="__RefHeading___Toc3140616_3531895371">
            <w:r>
              <w:rPr>
                <w:webHidden/>
                <w:rStyle w:val="IndexLink"/>
                <w:rtl w:val="true"/>
              </w:rPr>
              <w:t>ب</w:t>
            </w:r>
            <w:r>
              <w:rPr>
                <w:rStyle w:val="IndexLink"/>
                <w:rtl w:val="true"/>
              </w:rPr>
              <w:t xml:space="preserve">) </w:t>
            </w:r>
            <w:r>
              <w:rPr>
                <w:rStyle w:val="IndexLink"/>
                <w:rtl w:val="true"/>
              </w:rPr>
              <w:t>دیدگاه سایر مذاهب اسلامی</w:t>
            </w:r>
            <w:r>
              <w:rPr>
                <w:rStyle w:val="IndexLink"/>
                <w:rtl w:val="true"/>
              </w:rPr>
              <w:t>:</w:t>
              <w:tab/>
            </w:r>
            <w:r>
              <w:rPr>
                <w:rStyle w:val="IndexLink"/>
              </w:rPr>
              <w:t>50</w:t>
            </w:r>
          </w:hyperlink>
        </w:p>
        <w:p>
          <w:pPr>
            <w:pStyle w:val="Contents5"/>
            <w:tabs>
              <w:tab w:val="clear" w:pos="7892"/>
              <w:tab w:val="right" w:pos="9026" w:leader="dot"/>
            </w:tabs>
            <w:rPr/>
          </w:pPr>
          <w:hyperlink w:anchor="__RefHeading___Toc3140618_3531895371">
            <w:r>
              <w:rPr>
                <w:webHidden/>
                <w:rStyle w:val="IndexLink"/>
                <w:rtl w:val="true"/>
              </w:rPr>
              <w:t>جمع بندی</w:t>
            </w:r>
            <w:r>
              <w:rPr>
                <w:rStyle w:val="IndexLink"/>
                <w:rtl w:val="true"/>
              </w:rPr>
              <w:t>:</w:t>
              <w:tab/>
            </w:r>
            <w:r>
              <w:rPr>
                <w:rStyle w:val="IndexLink"/>
              </w:rPr>
              <w:t>50</w:t>
            </w:r>
          </w:hyperlink>
        </w:p>
        <w:p>
          <w:pPr>
            <w:pStyle w:val="Contents3"/>
            <w:tabs>
              <w:tab w:val="clear" w:pos="8459"/>
              <w:tab w:val="right" w:pos="9026" w:leader="dot"/>
            </w:tabs>
            <w:rPr/>
          </w:pPr>
          <w:hyperlink w:anchor="__RefHeading___Toc3140620_3531895371">
            <w:r>
              <w:rPr>
                <w:webHidden/>
                <w:rStyle w:val="IndexLink"/>
              </w:rPr>
              <w:t>2/3</w:t>
            </w:r>
            <w:r>
              <w:rPr>
                <w:rStyle w:val="IndexLink"/>
                <w:rtl w:val="true"/>
              </w:rPr>
              <w:t xml:space="preserve">. </w:t>
            </w:r>
            <w:r>
              <w:rPr>
                <w:rStyle w:val="IndexLink"/>
                <w:rtl w:val="true"/>
              </w:rPr>
              <w:t>شرایط تحقق مسئولیت کیفری</w:t>
            </w:r>
            <w:r>
              <w:rPr>
                <w:rStyle w:val="IndexLink"/>
                <w:rtl w:val="true"/>
              </w:rPr>
              <w:tab/>
            </w:r>
            <w:r>
              <w:rPr>
                <w:rStyle w:val="IndexLink"/>
              </w:rPr>
              <w:t>52</w:t>
            </w:r>
          </w:hyperlink>
        </w:p>
        <w:p>
          <w:pPr>
            <w:pStyle w:val="Contents4"/>
            <w:tabs>
              <w:tab w:val="clear" w:pos="8176"/>
              <w:tab w:val="right" w:pos="9026" w:leader="dot"/>
            </w:tabs>
            <w:rPr/>
          </w:pPr>
          <w:hyperlink w:anchor="__RefHeading___Toc3140622_3531895371">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140624_3531895371">
            <w:r>
              <w:rPr>
                <w:webHidden/>
                <w:rStyle w:val="IndexLink"/>
              </w:rPr>
              <w:t>2/3/1</w:t>
            </w:r>
            <w:r>
              <w:rPr>
                <w:rStyle w:val="IndexLink"/>
                <w:rtl w:val="true"/>
              </w:rPr>
              <w:t xml:space="preserve">. </w:t>
            </w:r>
            <w:r>
              <w:rPr>
                <w:rStyle w:val="IndexLink"/>
                <w:rtl w:val="true"/>
              </w:rPr>
              <w:t>عناصر تشکیل دهنده جرم</w:t>
            </w:r>
            <w:r>
              <w:rPr>
                <w:rStyle w:val="IndexLink"/>
                <w:rtl w:val="true"/>
              </w:rPr>
              <w:tab/>
            </w:r>
            <w:r>
              <w:rPr>
                <w:rStyle w:val="IndexLink"/>
              </w:rPr>
              <w:t>53</w:t>
            </w:r>
          </w:hyperlink>
        </w:p>
        <w:p>
          <w:pPr>
            <w:pStyle w:val="Contents5"/>
            <w:tabs>
              <w:tab w:val="clear" w:pos="7892"/>
              <w:tab w:val="right" w:pos="9026" w:leader="dot"/>
            </w:tabs>
            <w:rPr/>
          </w:pPr>
          <w:hyperlink w:anchor="__RefHeading___Toc3140626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140628_3531895371">
            <w:r>
              <w:rPr>
                <w:webHidden/>
                <w:rStyle w:val="IndexLink"/>
              </w:rPr>
              <w:t>2/3/1/1</w:t>
            </w:r>
            <w:r>
              <w:rPr>
                <w:rStyle w:val="IndexLink"/>
                <w:rtl w:val="true"/>
              </w:rPr>
              <w:t xml:space="preserve">. </w:t>
            </w:r>
            <w:r>
              <w:rPr>
                <w:rStyle w:val="IndexLink"/>
                <w:rtl w:val="true"/>
              </w:rPr>
              <w:t>عنصر قانونی</w:t>
            </w:r>
            <w:r>
              <w:rPr>
                <w:rStyle w:val="IndexLink"/>
                <w:rtl w:val="true"/>
              </w:rPr>
              <w:tab/>
            </w:r>
            <w:r>
              <w:rPr>
                <w:rStyle w:val="IndexLink"/>
              </w:rPr>
              <w:t>53</w:t>
            </w:r>
          </w:hyperlink>
        </w:p>
        <w:p>
          <w:pPr>
            <w:pStyle w:val="Contents6"/>
            <w:tabs>
              <w:tab w:val="clear" w:pos="7609"/>
              <w:tab w:val="right" w:pos="9026" w:leader="dot"/>
            </w:tabs>
            <w:rPr/>
          </w:pPr>
          <w:hyperlink w:anchor="__RefHeading___Toc3140630_3531895371">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140632_3531895371">
            <w:r>
              <w:rPr>
                <w:webHidden/>
                <w:rStyle w:val="IndexLink"/>
                <w:rtl w:val="true"/>
              </w:rPr>
              <w:t>الف</w:t>
            </w:r>
            <w:r>
              <w:rPr>
                <w:rStyle w:val="IndexLink"/>
                <w:rtl w:val="true"/>
              </w:rPr>
              <w:t xml:space="preserve">) </w:t>
            </w:r>
            <w:r>
              <w:rPr>
                <w:rStyle w:val="IndexLink"/>
                <w:rtl w:val="true"/>
              </w:rPr>
              <w:t>تاریخچه و جایگاه اصل</w:t>
            </w:r>
            <w:r>
              <w:rPr>
                <w:rStyle w:val="IndexLink"/>
                <w:rtl w:val="true"/>
              </w:rPr>
              <w:t>:</w:t>
              <w:tab/>
            </w:r>
            <w:r>
              <w:rPr>
                <w:rStyle w:val="IndexLink"/>
              </w:rPr>
              <w:t>53</w:t>
            </w:r>
          </w:hyperlink>
        </w:p>
        <w:p>
          <w:pPr>
            <w:pStyle w:val="Contents6"/>
            <w:tabs>
              <w:tab w:val="clear" w:pos="7609"/>
              <w:tab w:val="right" w:pos="9026" w:leader="dot"/>
            </w:tabs>
            <w:rPr/>
          </w:pPr>
          <w:hyperlink w:anchor="__RefHeading___Toc3140634_3531895371">
            <w:r>
              <w:rPr>
                <w:webHidden/>
                <w:rStyle w:val="IndexLink"/>
                <w:rtl w:val="true"/>
              </w:rPr>
              <w:t>ب</w:t>
            </w:r>
            <w:r>
              <w:rPr>
                <w:rStyle w:val="IndexLink"/>
                <w:rtl w:val="true"/>
              </w:rPr>
              <w:t xml:space="preserve">) </w:t>
            </w:r>
            <w:r>
              <w:rPr>
                <w:rStyle w:val="IndexLink"/>
                <w:rtl w:val="true"/>
              </w:rPr>
              <w:t>فواید اصل قانونی بودن جرائم و مجازات</w:t>
            </w:r>
            <w:r>
              <w:rPr>
                <w:rStyle w:val="IndexLink"/>
                <w:rtl w:val="true"/>
              </w:rPr>
              <w:t>:</w:t>
              <w:tab/>
            </w:r>
            <w:r>
              <w:rPr>
                <w:rStyle w:val="IndexLink"/>
              </w:rPr>
              <w:t>54</w:t>
            </w:r>
          </w:hyperlink>
        </w:p>
        <w:p>
          <w:pPr>
            <w:pStyle w:val="Contents6"/>
            <w:tabs>
              <w:tab w:val="clear" w:pos="7609"/>
              <w:tab w:val="right" w:pos="9026" w:leader="dot"/>
            </w:tabs>
            <w:rPr/>
          </w:pPr>
          <w:hyperlink w:anchor="__RefHeading___Toc3140636_3531895371">
            <w:r>
              <w:rPr>
                <w:webHidden/>
                <w:rStyle w:val="IndexLink"/>
                <w:rtl w:val="true"/>
              </w:rPr>
              <w:t>ج الزامات ناشی از این اصل</w:t>
            </w:r>
            <w:r>
              <w:rPr>
                <w:rStyle w:val="IndexLink"/>
                <w:rtl w:val="true"/>
              </w:rPr>
              <w:t>:</w:t>
              <w:tab/>
            </w:r>
            <w:r>
              <w:rPr>
                <w:rStyle w:val="IndexLink"/>
              </w:rPr>
              <w:t>54</w:t>
            </w:r>
          </w:hyperlink>
        </w:p>
        <w:p>
          <w:pPr>
            <w:pStyle w:val="Contents6"/>
            <w:tabs>
              <w:tab w:val="clear" w:pos="7609"/>
              <w:tab w:val="right" w:pos="9026" w:leader="dot"/>
            </w:tabs>
            <w:rPr/>
          </w:pPr>
          <w:hyperlink w:anchor="__RefHeading___Toc3140638_3531895371">
            <w:r>
              <w:rPr>
                <w:webHidden/>
                <w:rStyle w:val="IndexLink"/>
                <w:rtl w:val="true"/>
              </w:rPr>
              <w:t>د</w:t>
            </w:r>
            <w:r>
              <w:rPr>
                <w:rStyle w:val="IndexLink"/>
                <w:rtl w:val="true"/>
              </w:rPr>
              <w:t xml:space="preserve">) </w:t>
            </w:r>
            <w:r>
              <w:rPr>
                <w:rStyle w:val="IndexLink"/>
                <w:rtl w:val="true"/>
              </w:rPr>
              <w:t>انعکاس اصل در نظام حقوقی ایران</w:t>
            </w:r>
            <w:r>
              <w:rPr>
                <w:rStyle w:val="IndexLink"/>
                <w:rtl w:val="true"/>
              </w:rPr>
              <w:t>:</w:t>
              <w:tab/>
            </w:r>
            <w:r>
              <w:rPr>
                <w:rStyle w:val="IndexLink"/>
              </w:rPr>
              <w:t>54</w:t>
            </w:r>
          </w:hyperlink>
        </w:p>
        <w:p>
          <w:pPr>
            <w:pStyle w:val="Contents5"/>
            <w:tabs>
              <w:tab w:val="clear" w:pos="7892"/>
              <w:tab w:val="right" w:pos="9026" w:leader="dot"/>
            </w:tabs>
            <w:rPr/>
          </w:pPr>
          <w:hyperlink w:anchor="__RefHeading___Toc3140640_3531895371">
            <w:r>
              <w:rPr>
                <w:webHidden/>
                <w:rStyle w:val="IndexLink"/>
              </w:rPr>
              <w:t>2/3/1/2</w:t>
            </w:r>
            <w:r>
              <w:rPr>
                <w:rStyle w:val="IndexLink"/>
                <w:rtl w:val="true"/>
              </w:rPr>
              <w:t xml:space="preserve">. </w:t>
            </w:r>
            <w:r>
              <w:rPr>
                <w:rStyle w:val="IndexLink"/>
                <w:rtl w:val="true"/>
              </w:rPr>
              <w:t>عنصر مادی</w:t>
            </w:r>
            <w:r>
              <w:rPr>
                <w:rStyle w:val="IndexLink"/>
                <w:rtl w:val="true"/>
              </w:rPr>
              <w:tab/>
            </w:r>
            <w:r>
              <w:rPr>
                <w:rStyle w:val="IndexLink"/>
              </w:rPr>
              <w:t>56</w:t>
            </w:r>
          </w:hyperlink>
        </w:p>
        <w:p>
          <w:pPr>
            <w:pStyle w:val="Contents6"/>
            <w:tabs>
              <w:tab w:val="clear" w:pos="7609"/>
              <w:tab w:val="right" w:pos="9026" w:leader="dot"/>
            </w:tabs>
            <w:rPr/>
          </w:pPr>
          <w:hyperlink w:anchor="__RefHeading___Toc3140642_3531895371">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140644_3531895371">
            <w:r>
              <w:rPr>
                <w:webHidden/>
                <w:rStyle w:val="IndexLink"/>
                <w:rtl w:val="true"/>
              </w:rPr>
              <w:t>الف</w:t>
            </w:r>
            <w:r>
              <w:rPr>
                <w:rStyle w:val="IndexLink"/>
                <w:rtl w:val="true"/>
              </w:rPr>
              <w:t xml:space="preserve">) </w:t>
            </w:r>
            <w:r>
              <w:rPr>
                <w:rStyle w:val="IndexLink"/>
                <w:rtl w:val="true"/>
              </w:rPr>
              <w:t xml:space="preserve">فعل مثبت </w:t>
            </w:r>
            <w:r>
              <w:rPr>
                <w:rStyle w:val="IndexLink"/>
                <w:rtl w:val="true"/>
              </w:rPr>
              <w:t>(</w:t>
            </w:r>
            <w:r>
              <w:rPr>
                <w:rStyle w:val="IndexLink"/>
                <w:rtl w:val="true"/>
              </w:rPr>
              <w:t>فعل ایجابی</w:t>
            </w:r>
            <w:r>
              <w:rPr>
                <w:rStyle w:val="IndexLink"/>
                <w:rtl w:val="true"/>
              </w:rPr>
              <w:t>)</w:t>
              <w:tab/>
            </w:r>
            <w:r>
              <w:rPr>
                <w:rStyle w:val="IndexLink"/>
              </w:rPr>
              <w:t>56</w:t>
            </w:r>
          </w:hyperlink>
        </w:p>
        <w:p>
          <w:pPr>
            <w:pStyle w:val="Contents6"/>
            <w:tabs>
              <w:tab w:val="clear" w:pos="7609"/>
              <w:tab w:val="right" w:pos="9026" w:leader="dot"/>
            </w:tabs>
            <w:rPr/>
          </w:pPr>
          <w:hyperlink w:anchor="__RefHeading___Toc3140646_3531895371">
            <w:r>
              <w:rPr>
                <w:webHidden/>
                <w:rStyle w:val="IndexLink"/>
                <w:rtl w:val="true"/>
              </w:rPr>
              <w:t>ب</w:t>
            </w:r>
            <w:r>
              <w:rPr>
                <w:rStyle w:val="IndexLink"/>
                <w:rtl w:val="true"/>
              </w:rPr>
              <w:t xml:space="preserve">) </w:t>
            </w:r>
            <w:r>
              <w:rPr>
                <w:rStyle w:val="IndexLink"/>
                <w:rtl w:val="true"/>
              </w:rPr>
              <w:t xml:space="preserve">ترک فعل </w:t>
            </w:r>
            <w:r>
              <w:rPr>
                <w:rStyle w:val="IndexLink"/>
                <w:rtl w:val="true"/>
              </w:rPr>
              <w:t>(</w:t>
            </w:r>
            <w:r>
              <w:rPr>
                <w:rStyle w:val="IndexLink"/>
                <w:rtl w:val="true"/>
              </w:rPr>
              <w:t>فعل سلبی</w:t>
            </w:r>
            <w:r>
              <w:rPr>
                <w:rStyle w:val="IndexLink"/>
                <w:rtl w:val="true"/>
              </w:rPr>
              <w:t>)</w:t>
              <w:tab/>
            </w:r>
            <w:r>
              <w:rPr>
                <w:rStyle w:val="IndexLink"/>
              </w:rPr>
              <w:t>56</w:t>
            </w:r>
          </w:hyperlink>
        </w:p>
        <w:p>
          <w:pPr>
            <w:pStyle w:val="Contents6"/>
            <w:tabs>
              <w:tab w:val="clear" w:pos="7609"/>
              <w:tab w:val="right" w:pos="9026" w:leader="dot"/>
            </w:tabs>
            <w:rPr/>
          </w:pPr>
          <w:hyperlink w:anchor="__RefHeading___Toc3140648_3531895371">
            <w:r>
              <w:rPr>
                <w:webHidden/>
                <w:rStyle w:val="IndexLink"/>
                <w:rtl w:val="true"/>
              </w:rPr>
              <w:t>ج</w:t>
            </w:r>
            <w:r>
              <w:rPr>
                <w:rStyle w:val="IndexLink"/>
                <w:rtl w:val="true"/>
              </w:rPr>
              <w:t xml:space="preserve">) </w:t>
            </w:r>
            <w:r>
              <w:rPr>
                <w:rStyle w:val="IndexLink"/>
                <w:rtl w:val="true"/>
              </w:rPr>
              <w:t>فعل ناشی از ترک فعل</w:t>
            </w:r>
            <w:r>
              <w:rPr>
                <w:rStyle w:val="IndexLink"/>
                <w:rtl w:val="true"/>
              </w:rPr>
              <w:tab/>
            </w:r>
            <w:r>
              <w:rPr>
                <w:rStyle w:val="IndexLink"/>
              </w:rPr>
              <w:t>56</w:t>
            </w:r>
          </w:hyperlink>
        </w:p>
        <w:p>
          <w:pPr>
            <w:pStyle w:val="Contents5"/>
            <w:tabs>
              <w:tab w:val="clear" w:pos="7892"/>
              <w:tab w:val="right" w:pos="9026" w:leader="dot"/>
            </w:tabs>
            <w:rPr/>
          </w:pPr>
          <w:hyperlink w:anchor="__RefHeading___Toc3140650_3531895371">
            <w:r>
              <w:rPr>
                <w:webHidden/>
                <w:rStyle w:val="IndexLink"/>
              </w:rPr>
              <w:t>2/3/1/3</w:t>
            </w:r>
            <w:r>
              <w:rPr>
                <w:rStyle w:val="IndexLink"/>
                <w:rtl w:val="true"/>
              </w:rPr>
              <w:t xml:space="preserve">. </w:t>
            </w:r>
            <w:r>
              <w:rPr>
                <w:rStyle w:val="IndexLink"/>
                <w:rtl w:val="true"/>
              </w:rPr>
              <w:t>عنصر معنوی</w:t>
            </w:r>
            <w:r>
              <w:rPr>
                <w:rStyle w:val="IndexLink"/>
                <w:rtl w:val="true"/>
              </w:rPr>
              <w:tab/>
            </w:r>
            <w:r>
              <w:rPr>
                <w:rStyle w:val="IndexLink"/>
              </w:rPr>
              <w:t>57</w:t>
            </w:r>
          </w:hyperlink>
        </w:p>
        <w:p>
          <w:pPr>
            <w:pStyle w:val="Contents5"/>
            <w:tabs>
              <w:tab w:val="clear" w:pos="7892"/>
              <w:tab w:val="right" w:pos="9026" w:leader="dot"/>
            </w:tabs>
            <w:rPr/>
          </w:pPr>
          <w:hyperlink w:anchor="__RefHeading___Toc3140652_3531895371">
            <w:r>
              <w:rPr>
                <w:webHidden/>
                <w:rStyle w:val="IndexLink"/>
                <w:rtl w:val="true"/>
              </w:rPr>
              <w:t>جمع بندی</w:t>
            </w:r>
            <w:r>
              <w:rPr>
                <w:rStyle w:val="IndexLink"/>
                <w:rtl w:val="true"/>
              </w:rPr>
              <w:tab/>
            </w:r>
            <w:r>
              <w:rPr>
                <w:rStyle w:val="IndexLink"/>
              </w:rPr>
              <w:t>57</w:t>
            </w:r>
          </w:hyperlink>
        </w:p>
        <w:p>
          <w:pPr>
            <w:pStyle w:val="Contents4"/>
            <w:tabs>
              <w:tab w:val="clear" w:pos="8176"/>
              <w:tab w:val="right" w:pos="9026" w:leader="dot"/>
            </w:tabs>
            <w:rPr/>
          </w:pPr>
          <w:hyperlink w:anchor="__RefHeading___Toc3140654_3531895371">
            <w:r>
              <w:rPr>
                <w:webHidden/>
                <w:rStyle w:val="IndexLink"/>
              </w:rPr>
              <w:t>2/3/3</w:t>
            </w:r>
            <w:r>
              <w:rPr>
                <w:rStyle w:val="IndexLink"/>
                <w:rtl w:val="true"/>
              </w:rPr>
              <w:t xml:space="preserve">. </w:t>
            </w:r>
            <w:r>
              <w:rPr>
                <w:rStyle w:val="IndexLink"/>
                <w:rtl w:val="true"/>
              </w:rPr>
              <w:t>اهلیت جزایی</w:t>
            </w:r>
            <w:r>
              <w:rPr>
                <w:rStyle w:val="IndexLink"/>
                <w:rtl w:val="true"/>
              </w:rPr>
              <w:tab/>
            </w:r>
            <w:r>
              <w:rPr>
                <w:rStyle w:val="IndexLink"/>
              </w:rPr>
              <w:t>58</w:t>
            </w:r>
          </w:hyperlink>
        </w:p>
        <w:p>
          <w:pPr>
            <w:pStyle w:val="Contents5"/>
            <w:tabs>
              <w:tab w:val="clear" w:pos="7892"/>
              <w:tab w:val="right" w:pos="9026" w:leader="dot"/>
            </w:tabs>
            <w:rPr/>
          </w:pPr>
          <w:hyperlink w:anchor="__RefHeading___Toc3140656_3531895371">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140658_3531895371">
            <w:r>
              <w:rPr>
                <w:webHidden/>
                <w:rStyle w:val="IndexLink"/>
              </w:rPr>
              <w:t>2/3/3/1</w:t>
            </w:r>
            <w:r>
              <w:rPr>
                <w:rStyle w:val="IndexLink"/>
                <w:rtl w:val="true"/>
              </w:rPr>
              <w:t xml:space="preserve">. </w:t>
            </w:r>
            <w:r>
              <w:rPr>
                <w:rStyle w:val="IndexLink"/>
                <w:rtl w:val="true"/>
              </w:rPr>
              <w:t>بلوغ از شرایط عمومی تکلیف</w:t>
            </w:r>
            <w:r>
              <w:rPr>
                <w:rStyle w:val="IndexLink"/>
                <w:rtl w:val="true"/>
              </w:rPr>
              <w:tab/>
            </w:r>
            <w:r>
              <w:rPr>
                <w:rStyle w:val="IndexLink"/>
              </w:rPr>
              <w:t>60</w:t>
            </w:r>
          </w:hyperlink>
        </w:p>
        <w:p>
          <w:pPr>
            <w:pStyle w:val="Contents5"/>
            <w:tabs>
              <w:tab w:val="clear" w:pos="7892"/>
              <w:tab w:val="right" w:pos="9026" w:leader="dot"/>
            </w:tabs>
            <w:rPr/>
          </w:pPr>
          <w:hyperlink w:anchor="__RefHeading___Toc3140660_3531895371">
            <w:r>
              <w:rPr>
                <w:webHidden/>
                <w:rStyle w:val="IndexLink"/>
              </w:rPr>
              <w:t>2/3/3/2</w:t>
            </w:r>
            <w:r>
              <w:rPr>
                <w:rStyle w:val="IndexLink"/>
                <w:rtl w:val="true"/>
              </w:rPr>
              <w:t xml:space="preserve">. </w:t>
            </w:r>
            <w:r>
              <w:rPr>
                <w:rStyle w:val="IndexLink"/>
                <w:rtl w:val="true"/>
              </w:rPr>
              <w:t>عقل از شرایط عمومی تکلیف</w:t>
            </w:r>
            <w:r>
              <w:rPr>
                <w:rStyle w:val="IndexLink"/>
                <w:rtl w:val="true"/>
              </w:rPr>
              <w:tab/>
            </w:r>
            <w:r>
              <w:rPr>
                <w:rStyle w:val="IndexLink"/>
              </w:rPr>
              <w:t>61</w:t>
            </w:r>
          </w:hyperlink>
        </w:p>
        <w:p>
          <w:pPr>
            <w:pStyle w:val="Contents5"/>
            <w:tabs>
              <w:tab w:val="clear" w:pos="7892"/>
              <w:tab w:val="right" w:pos="9026" w:leader="dot"/>
            </w:tabs>
            <w:rPr/>
          </w:pPr>
          <w:hyperlink w:anchor="__RefHeading___Toc3140662_3531895371">
            <w:r>
              <w:rPr>
                <w:webHidden/>
                <w:rStyle w:val="IndexLink"/>
              </w:rPr>
              <w:t>2/3/3/3</w:t>
            </w:r>
            <w:r>
              <w:rPr>
                <w:rStyle w:val="IndexLink"/>
                <w:rtl w:val="true"/>
              </w:rPr>
              <w:t xml:space="preserve">. </w:t>
            </w:r>
            <w:r>
              <w:rPr>
                <w:rStyle w:val="IndexLink"/>
                <w:rtl w:val="true"/>
              </w:rPr>
              <w:t>اختیار از شرایط عمومی تکلیف</w:t>
            </w:r>
            <w:r>
              <w:rPr>
                <w:rStyle w:val="IndexLink"/>
                <w:rtl w:val="true"/>
              </w:rPr>
              <w:tab/>
            </w:r>
            <w:r>
              <w:rPr>
                <w:rStyle w:val="IndexLink"/>
              </w:rPr>
              <w:t>62</w:t>
            </w:r>
          </w:hyperlink>
        </w:p>
        <w:p>
          <w:pPr>
            <w:pStyle w:val="Contents4"/>
            <w:tabs>
              <w:tab w:val="clear" w:pos="8176"/>
              <w:tab w:val="right" w:pos="9026" w:leader="dot"/>
            </w:tabs>
            <w:rPr/>
          </w:pPr>
          <w:hyperlink w:anchor="__RefHeading___Toc3140664_3531895371">
            <w:r>
              <w:rPr>
                <w:webHidden/>
                <w:rStyle w:val="IndexLink"/>
              </w:rPr>
              <w:t>2/3/4</w:t>
            </w:r>
            <w:r>
              <w:rPr>
                <w:rStyle w:val="IndexLink"/>
                <w:rtl w:val="true"/>
              </w:rPr>
              <w:t xml:space="preserve">. </w:t>
            </w:r>
            <w:r>
              <w:rPr>
                <w:rStyle w:val="IndexLink"/>
                <w:rtl w:val="true"/>
              </w:rPr>
              <w:t>اسباب مانع مجازات</w:t>
            </w:r>
            <w:r>
              <w:rPr>
                <w:rStyle w:val="IndexLink"/>
                <w:rtl w:val="true"/>
              </w:rPr>
              <w:tab/>
            </w:r>
            <w:r>
              <w:rPr>
                <w:rStyle w:val="IndexLink"/>
              </w:rPr>
              <w:t>63</w:t>
            </w:r>
          </w:hyperlink>
        </w:p>
        <w:p>
          <w:pPr>
            <w:pStyle w:val="Contents5"/>
            <w:tabs>
              <w:tab w:val="clear" w:pos="7892"/>
              <w:tab w:val="right" w:pos="9026" w:leader="dot"/>
            </w:tabs>
            <w:rPr/>
          </w:pPr>
          <w:hyperlink w:anchor="__RefHeading___Toc3140666_3531895371">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140668_3531895371">
            <w:r>
              <w:rPr>
                <w:webHidden/>
                <w:rStyle w:val="IndexLink"/>
              </w:rPr>
              <w:t>2/3/4/1</w:t>
            </w:r>
            <w:r>
              <w:rPr>
                <w:rStyle w:val="IndexLink"/>
                <w:rtl w:val="true"/>
              </w:rPr>
              <w:t xml:space="preserve">. </w:t>
            </w:r>
            <w:r>
              <w:rPr>
                <w:rStyle w:val="IndexLink"/>
                <w:rtl w:val="true"/>
              </w:rPr>
              <w:t>معاذیر قانونی</w:t>
            </w:r>
            <w:r>
              <w:rPr>
                <w:rStyle w:val="IndexLink"/>
                <w:rtl w:val="true"/>
              </w:rPr>
              <w:tab/>
            </w:r>
            <w:r>
              <w:rPr>
                <w:rStyle w:val="IndexLink"/>
              </w:rPr>
              <w:t>63</w:t>
            </w:r>
          </w:hyperlink>
        </w:p>
        <w:p>
          <w:pPr>
            <w:pStyle w:val="Contents5"/>
            <w:tabs>
              <w:tab w:val="clear" w:pos="7892"/>
              <w:tab w:val="right" w:pos="9026" w:leader="dot"/>
            </w:tabs>
            <w:rPr/>
          </w:pPr>
          <w:hyperlink w:anchor="__RefHeading___Toc3140670_3531895371">
            <w:r>
              <w:rPr>
                <w:webHidden/>
                <w:rStyle w:val="IndexLink"/>
              </w:rPr>
              <w:t>2/3/4/2</w:t>
            </w:r>
            <w:r>
              <w:rPr>
                <w:rStyle w:val="IndexLink"/>
                <w:rtl w:val="true"/>
              </w:rPr>
              <w:t xml:space="preserve">. </w:t>
            </w:r>
            <w:r>
              <w:rPr>
                <w:rStyle w:val="IndexLink"/>
                <w:rtl w:val="true"/>
              </w:rPr>
              <w:t>علل موجهه جرم</w:t>
            </w:r>
            <w:r>
              <w:rPr>
                <w:rStyle w:val="IndexLink"/>
                <w:rtl w:val="true"/>
              </w:rPr>
              <w:tab/>
            </w:r>
            <w:r>
              <w:rPr>
                <w:rStyle w:val="IndexLink"/>
              </w:rPr>
              <w:t>64</w:t>
            </w:r>
          </w:hyperlink>
        </w:p>
        <w:p>
          <w:pPr>
            <w:pStyle w:val="Contents5"/>
            <w:tabs>
              <w:tab w:val="clear" w:pos="7892"/>
              <w:tab w:val="right" w:pos="9026" w:leader="dot"/>
            </w:tabs>
            <w:rPr/>
          </w:pPr>
          <w:hyperlink w:anchor="__RefHeading___Toc3140672_3531895371">
            <w:r>
              <w:rPr>
                <w:webHidden/>
                <w:rStyle w:val="IndexLink"/>
              </w:rPr>
              <w:t>2/3/4/3</w:t>
            </w:r>
            <w:r>
              <w:rPr>
                <w:rStyle w:val="IndexLink"/>
                <w:rtl w:val="true"/>
              </w:rPr>
              <w:t xml:space="preserve">. </w:t>
            </w:r>
            <w:r>
              <w:rPr>
                <w:rStyle w:val="IndexLink"/>
                <w:rtl w:val="true"/>
              </w:rPr>
              <w:t>علل رافع مسئولیت کیفری</w:t>
            </w:r>
            <w:r>
              <w:rPr>
                <w:rStyle w:val="IndexLink"/>
                <w:rtl w:val="true"/>
              </w:rPr>
              <w:tab/>
            </w:r>
            <w:r>
              <w:rPr>
                <w:rStyle w:val="IndexLink"/>
              </w:rPr>
              <w:t>65</w:t>
            </w:r>
          </w:hyperlink>
        </w:p>
        <w:p>
          <w:pPr>
            <w:pStyle w:val="Contents2"/>
            <w:tabs>
              <w:tab w:val="clear" w:pos="8743"/>
              <w:tab w:val="right" w:pos="9026" w:leader="dot"/>
            </w:tabs>
            <w:rPr/>
          </w:pPr>
          <w:hyperlink w:anchor="__RefHeading___Toc3140674_3531895371">
            <w:r>
              <w:rPr>
                <w:webHidden/>
                <w:rStyle w:val="IndexLink"/>
                <w:rtl w:val="true"/>
              </w:rPr>
              <w:t>فصل سوم</w:t>
            </w:r>
            <w:r>
              <w:rPr>
                <w:rStyle w:val="IndexLink"/>
                <w:rtl w:val="true"/>
              </w:rPr>
              <w:t xml:space="preserve">: </w:t>
            </w:r>
            <w:r>
              <w:rPr>
                <w:rStyle w:val="IndexLink"/>
                <w:rtl w:val="true"/>
              </w:rPr>
              <w:t>سن مسئولیت کیفری</w:t>
            </w:r>
            <w:r>
              <w:rPr>
                <w:rStyle w:val="IndexLink"/>
                <w:rtl w:val="true"/>
              </w:rPr>
              <w:t xml:space="preserve">: </w:t>
            </w:r>
            <w:r>
              <w:rPr>
                <w:rStyle w:val="IndexLink"/>
                <w:rtl w:val="true"/>
              </w:rPr>
              <w:t>تحلیل فقهی و حقوقی</w:t>
            </w:r>
            <w:r>
              <w:rPr>
                <w:rStyle w:val="IndexLink"/>
                <w:rtl w:val="true"/>
              </w:rPr>
              <w:tab/>
            </w:r>
            <w:r>
              <w:rPr>
                <w:rStyle w:val="IndexLink"/>
              </w:rPr>
              <w:t>68</w:t>
            </w:r>
          </w:hyperlink>
        </w:p>
        <w:p>
          <w:pPr>
            <w:pStyle w:val="Contents3"/>
            <w:tabs>
              <w:tab w:val="clear" w:pos="8459"/>
              <w:tab w:val="right" w:pos="9026" w:leader="dot"/>
            </w:tabs>
            <w:rPr/>
          </w:pPr>
          <w:hyperlink w:anchor="__RefHeading___Toc3140676_353189537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140678_3531895371">
            <w:r>
              <w:rPr>
                <w:webHidden/>
                <w:rStyle w:val="IndexLink"/>
              </w:rPr>
              <w:t>3/1</w:t>
            </w:r>
            <w:r>
              <w:rPr>
                <w:rStyle w:val="IndexLink"/>
                <w:rtl w:val="true"/>
              </w:rPr>
              <w:t xml:space="preserve">. </w:t>
            </w:r>
            <w:r>
              <w:rPr>
                <w:rStyle w:val="IndexLink"/>
                <w:rtl w:val="true"/>
              </w:rPr>
              <w:t>بررسی سن مسئولیت کیفری در چارچوب نظام فقهی و حقوقی</w:t>
            </w:r>
            <w:r>
              <w:rPr>
                <w:rStyle w:val="IndexLink"/>
                <w:rtl w:val="true"/>
              </w:rPr>
              <w:tab/>
            </w:r>
            <w:r>
              <w:rPr>
                <w:rStyle w:val="IndexLink"/>
              </w:rPr>
              <w:t>69</w:t>
            </w:r>
          </w:hyperlink>
        </w:p>
        <w:p>
          <w:pPr>
            <w:pStyle w:val="Contents4"/>
            <w:tabs>
              <w:tab w:val="clear" w:pos="8176"/>
              <w:tab w:val="right" w:pos="9026" w:leader="dot"/>
            </w:tabs>
            <w:rPr/>
          </w:pPr>
          <w:hyperlink w:anchor="__RefHeading___Toc3140680_3531895371">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40682_3531895371">
            <w:r>
              <w:rPr>
                <w:webHidden/>
                <w:rStyle w:val="IndexLink"/>
                <w:rtl w:val="true"/>
              </w:rPr>
              <w:t xml:space="preserve">تعریف کودک </w:t>
            </w:r>
            <w:r>
              <w:rPr>
                <w:rStyle w:val="IndexLink"/>
                <w:rtl w:val="true"/>
              </w:rPr>
              <w:t>(</w:t>
            </w:r>
            <w:r>
              <w:rPr>
                <w:rStyle w:val="IndexLink"/>
                <w:rtl w:val="true"/>
              </w:rPr>
              <w:t>صغیر</w:t>
            </w:r>
            <w:r>
              <w:rPr>
                <w:rStyle w:val="IndexLink"/>
                <w:rtl w:val="true"/>
              </w:rPr>
              <w:t>)</w:t>
              <w:tab/>
            </w:r>
            <w:r>
              <w:rPr>
                <w:rStyle w:val="IndexLink"/>
              </w:rPr>
              <w:t>69</w:t>
            </w:r>
          </w:hyperlink>
        </w:p>
        <w:p>
          <w:pPr>
            <w:pStyle w:val="Contents4"/>
            <w:tabs>
              <w:tab w:val="clear" w:pos="8176"/>
              <w:tab w:val="right" w:pos="9026" w:leader="dot"/>
            </w:tabs>
            <w:rPr/>
          </w:pPr>
          <w:hyperlink w:anchor="__RefHeading___Toc3140684_3531895371">
            <w:r>
              <w:rPr>
                <w:webHidden/>
                <w:rStyle w:val="IndexLink"/>
                <w:rtl w:val="true"/>
              </w:rPr>
              <w:t>آغاز و پایان دوره کودکی</w:t>
            </w:r>
            <w:r>
              <w:rPr>
                <w:rStyle w:val="IndexLink"/>
                <w:rtl w:val="true"/>
              </w:rPr>
              <w:tab/>
            </w:r>
            <w:r>
              <w:rPr>
                <w:rStyle w:val="IndexLink"/>
              </w:rPr>
              <w:t>69</w:t>
            </w:r>
          </w:hyperlink>
        </w:p>
        <w:p>
          <w:pPr>
            <w:pStyle w:val="Contents4"/>
            <w:tabs>
              <w:tab w:val="clear" w:pos="8176"/>
              <w:tab w:val="right" w:pos="9026" w:leader="dot"/>
            </w:tabs>
            <w:rPr/>
          </w:pPr>
          <w:hyperlink w:anchor="__RefHeading___Toc3140686_3531895371">
            <w:r>
              <w:rPr>
                <w:webHidden/>
                <w:rStyle w:val="IndexLink"/>
              </w:rPr>
              <w:t>3/1/1</w:t>
            </w:r>
            <w:r>
              <w:rPr>
                <w:rStyle w:val="IndexLink"/>
                <w:rtl w:val="true"/>
              </w:rPr>
              <w:t xml:space="preserve">. </w:t>
            </w:r>
            <w:r>
              <w:rPr>
                <w:rStyle w:val="IndexLink"/>
                <w:rtl w:val="true"/>
              </w:rPr>
              <w:t>بررسی سن مسئولیت نسبی کیفری در فقه</w:t>
            </w:r>
            <w:r>
              <w:rPr>
                <w:rStyle w:val="IndexLink"/>
                <w:rtl w:val="true"/>
              </w:rPr>
              <w:tab/>
            </w:r>
            <w:r>
              <w:rPr>
                <w:rStyle w:val="IndexLink"/>
              </w:rPr>
              <w:t>71</w:t>
            </w:r>
          </w:hyperlink>
        </w:p>
        <w:p>
          <w:pPr>
            <w:pStyle w:val="Contents5"/>
            <w:tabs>
              <w:tab w:val="clear" w:pos="7892"/>
              <w:tab w:val="right" w:pos="9026" w:leader="dot"/>
            </w:tabs>
            <w:rPr/>
          </w:pPr>
          <w:hyperlink w:anchor="__RefHeading___Toc3140688_353189537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140690_3531895371">
            <w:r>
              <w:rPr>
                <w:webHidden/>
                <w:rStyle w:val="IndexLink"/>
              </w:rPr>
              <w:t>3/1/1/1</w:t>
            </w:r>
            <w:r>
              <w:rPr>
                <w:rStyle w:val="IndexLink"/>
                <w:rtl w:val="true"/>
              </w:rPr>
              <w:t xml:space="preserve">. </w:t>
            </w:r>
            <w:r>
              <w:rPr>
                <w:rStyle w:val="IndexLink"/>
                <w:rtl w:val="true"/>
              </w:rPr>
              <w:t>حدود</w:t>
            </w:r>
            <w:r>
              <w:rPr>
                <w:rStyle w:val="IndexLink"/>
                <w:rtl w:val="true"/>
              </w:rPr>
              <w:tab/>
            </w:r>
            <w:r>
              <w:rPr>
                <w:rStyle w:val="IndexLink"/>
              </w:rPr>
              <w:t>71</w:t>
            </w:r>
          </w:hyperlink>
        </w:p>
        <w:p>
          <w:pPr>
            <w:pStyle w:val="Contents6"/>
            <w:tabs>
              <w:tab w:val="clear" w:pos="7609"/>
              <w:tab w:val="right" w:pos="9026" w:leader="dot"/>
            </w:tabs>
            <w:rPr/>
          </w:pPr>
          <w:hyperlink w:anchor="__RefHeading___Toc3140692_3531895371">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140694_3531895371">
            <w:r>
              <w:rPr>
                <w:webHidden/>
                <w:rStyle w:val="IndexLink"/>
              </w:rPr>
              <w:t>3/1/1/1/1</w:t>
            </w:r>
            <w:r>
              <w:rPr>
                <w:rStyle w:val="IndexLink"/>
                <w:rtl w:val="true"/>
              </w:rPr>
              <w:t xml:space="preserve">. </w:t>
            </w:r>
            <w:r>
              <w:rPr>
                <w:rStyle w:val="IndexLink"/>
                <w:rtl w:val="true"/>
              </w:rPr>
              <w:t>ارتکاب زنا</w:t>
            </w:r>
            <w:r>
              <w:rPr>
                <w:rStyle w:val="IndexLink"/>
                <w:rtl w:val="true"/>
              </w:rPr>
              <w:tab/>
            </w:r>
            <w:r>
              <w:rPr>
                <w:rStyle w:val="IndexLink"/>
              </w:rPr>
              <w:t>72</w:t>
            </w:r>
          </w:hyperlink>
        </w:p>
        <w:p>
          <w:pPr>
            <w:pStyle w:val="Contents6"/>
            <w:tabs>
              <w:tab w:val="clear" w:pos="7609"/>
              <w:tab w:val="right" w:pos="9026" w:leader="dot"/>
            </w:tabs>
            <w:rPr/>
          </w:pPr>
          <w:hyperlink w:anchor="__RefHeading___Toc3140696_3531895371">
            <w:r>
              <w:rPr>
                <w:webHidden/>
                <w:rStyle w:val="IndexLink"/>
              </w:rPr>
              <w:t>3/1/1/1/2</w:t>
            </w:r>
            <w:r>
              <w:rPr>
                <w:rStyle w:val="IndexLink"/>
                <w:rtl w:val="true"/>
              </w:rPr>
              <w:t xml:space="preserve">. </w:t>
            </w:r>
            <w:r>
              <w:rPr>
                <w:rStyle w:val="IndexLink"/>
                <w:rtl w:val="true"/>
              </w:rPr>
              <w:t>ارتکاب لواط</w:t>
            </w:r>
            <w:r>
              <w:rPr>
                <w:rStyle w:val="IndexLink"/>
                <w:rtl w:val="true"/>
              </w:rPr>
              <w:tab/>
            </w:r>
            <w:r>
              <w:rPr>
                <w:rStyle w:val="IndexLink"/>
              </w:rPr>
              <w:t>73</w:t>
            </w:r>
          </w:hyperlink>
        </w:p>
        <w:p>
          <w:pPr>
            <w:pStyle w:val="Contents6"/>
            <w:tabs>
              <w:tab w:val="clear" w:pos="7609"/>
              <w:tab w:val="right" w:pos="9026" w:leader="dot"/>
            </w:tabs>
            <w:rPr/>
          </w:pPr>
          <w:hyperlink w:anchor="__RefHeading___Toc3140698_3531895371">
            <w:r>
              <w:rPr>
                <w:webHidden/>
                <w:rStyle w:val="IndexLink"/>
              </w:rPr>
              <w:t>3/1/1/1/3</w:t>
            </w:r>
            <w:r>
              <w:rPr>
                <w:rStyle w:val="IndexLink"/>
                <w:rtl w:val="true"/>
              </w:rPr>
              <w:t xml:space="preserve">. </w:t>
            </w:r>
            <w:r>
              <w:rPr>
                <w:rStyle w:val="IndexLink"/>
                <w:rtl w:val="true"/>
              </w:rPr>
              <w:t>ارتکاب قذف</w:t>
            </w:r>
            <w:r>
              <w:rPr>
                <w:rStyle w:val="IndexLink"/>
                <w:rtl w:val="true"/>
              </w:rPr>
              <w:tab/>
            </w:r>
            <w:r>
              <w:rPr>
                <w:rStyle w:val="IndexLink"/>
              </w:rPr>
              <w:t>74</w:t>
            </w:r>
          </w:hyperlink>
        </w:p>
        <w:p>
          <w:pPr>
            <w:pStyle w:val="Contents6"/>
            <w:tabs>
              <w:tab w:val="clear" w:pos="7609"/>
              <w:tab w:val="right" w:pos="9026" w:leader="dot"/>
            </w:tabs>
            <w:rPr/>
          </w:pPr>
          <w:hyperlink w:anchor="__RefHeading___Toc3140700_3531895371">
            <w:r>
              <w:rPr>
                <w:webHidden/>
                <w:rStyle w:val="IndexLink"/>
              </w:rPr>
              <w:t>3/1/1/1/4</w:t>
            </w:r>
            <w:r>
              <w:rPr>
                <w:rStyle w:val="IndexLink"/>
                <w:rtl w:val="true"/>
              </w:rPr>
              <w:t xml:space="preserve">. </w:t>
            </w:r>
            <w:r>
              <w:rPr>
                <w:rStyle w:val="IndexLink"/>
                <w:rtl w:val="true"/>
              </w:rPr>
              <w:t>ارتکاب سرقت</w:t>
            </w:r>
            <w:r>
              <w:rPr>
                <w:rStyle w:val="IndexLink"/>
                <w:rtl w:val="true"/>
              </w:rPr>
              <w:tab/>
            </w:r>
            <w:r>
              <w:rPr>
                <w:rStyle w:val="IndexLink"/>
              </w:rPr>
              <w:t>75</w:t>
            </w:r>
          </w:hyperlink>
        </w:p>
        <w:p>
          <w:pPr>
            <w:pStyle w:val="Contents6"/>
            <w:tabs>
              <w:tab w:val="clear" w:pos="7609"/>
              <w:tab w:val="right" w:pos="9026" w:leader="dot"/>
            </w:tabs>
            <w:rPr/>
          </w:pPr>
          <w:hyperlink w:anchor="__RefHeading___Toc3140702_3531895371">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140704_3531895371">
            <w:r>
              <w:rPr>
                <w:webHidden/>
                <w:rStyle w:val="IndexLink"/>
                <w:rtl w:val="true"/>
              </w:rPr>
              <w:t>حکم سرقت طفل غير مميز</w:t>
            </w:r>
            <w:r>
              <w:rPr>
                <w:rStyle w:val="IndexLink"/>
                <w:rtl w:val="true"/>
              </w:rPr>
              <w:tab/>
            </w:r>
            <w:r>
              <w:rPr>
                <w:rStyle w:val="IndexLink"/>
              </w:rPr>
              <w:t>75</w:t>
            </w:r>
          </w:hyperlink>
        </w:p>
        <w:p>
          <w:pPr>
            <w:pStyle w:val="Contents6"/>
            <w:tabs>
              <w:tab w:val="clear" w:pos="7609"/>
              <w:tab w:val="right" w:pos="9026" w:leader="dot"/>
            </w:tabs>
            <w:rPr/>
          </w:pPr>
          <w:hyperlink w:anchor="__RefHeading___Toc3140706_3531895371">
            <w:r>
              <w:rPr>
                <w:webHidden/>
                <w:rStyle w:val="IndexLink"/>
                <w:rtl w:val="true"/>
              </w:rPr>
              <w:t>استدلال طرفداران تأديب</w:t>
            </w:r>
            <w:r>
              <w:rPr>
                <w:rStyle w:val="IndexLink"/>
                <w:rtl w:val="true"/>
              </w:rPr>
              <w:tab/>
            </w:r>
            <w:r>
              <w:rPr>
                <w:rStyle w:val="IndexLink"/>
              </w:rPr>
              <w:t>76</w:t>
            </w:r>
          </w:hyperlink>
        </w:p>
        <w:p>
          <w:pPr>
            <w:pStyle w:val="Contents6"/>
            <w:tabs>
              <w:tab w:val="clear" w:pos="7609"/>
              <w:tab w:val="right" w:pos="9026" w:leader="dot"/>
            </w:tabs>
            <w:rPr/>
          </w:pPr>
          <w:hyperlink w:anchor="__RefHeading___Toc3140708_3531895371">
            <w:r>
              <w:rPr>
                <w:webHidden/>
                <w:rStyle w:val="IndexLink"/>
                <w:rtl w:val="true"/>
              </w:rPr>
              <w:t>استدلال طرفداران تفصيل</w:t>
            </w:r>
            <w:r>
              <w:rPr>
                <w:rStyle w:val="IndexLink"/>
                <w:rtl w:val="true"/>
              </w:rPr>
              <w:tab/>
            </w:r>
            <w:r>
              <w:rPr>
                <w:rStyle w:val="IndexLink"/>
              </w:rPr>
              <w:t>77</w:t>
            </w:r>
          </w:hyperlink>
        </w:p>
        <w:p>
          <w:pPr>
            <w:pStyle w:val="Contents5"/>
            <w:tabs>
              <w:tab w:val="clear" w:pos="7892"/>
              <w:tab w:val="right" w:pos="9026" w:leader="dot"/>
            </w:tabs>
            <w:rPr/>
          </w:pPr>
          <w:hyperlink w:anchor="__RefHeading___Toc3140710_3531895371">
            <w:r>
              <w:rPr>
                <w:webHidden/>
                <w:rStyle w:val="IndexLink"/>
              </w:rPr>
              <w:t>3/1/1/2</w:t>
            </w:r>
            <w:r>
              <w:rPr>
                <w:rStyle w:val="IndexLink"/>
                <w:rtl w:val="true"/>
              </w:rPr>
              <w:t xml:space="preserve">. </w:t>
            </w:r>
            <w:r>
              <w:rPr>
                <w:rStyle w:val="IndexLink"/>
                <w:rtl w:val="true"/>
              </w:rPr>
              <w:t>تعزیرات</w:t>
            </w:r>
            <w:r>
              <w:rPr>
                <w:rStyle w:val="IndexLink"/>
                <w:rtl w:val="true"/>
              </w:rPr>
              <w:tab/>
            </w:r>
            <w:r>
              <w:rPr>
                <w:rStyle w:val="IndexLink"/>
              </w:rPr>
              <w:t>78</w:t>
            </w:r>
          </w:hyperlink>
        </w:p>
        <w:p>
          <w:pPr>
            <w:pStyle w:val="Contents6"/>
            <w:tabs>
              <w:tab w:val="clear" w:pos="7609"/>
              <w:tab w:val="right" w:pos="9026" w:leader="dot"/>
            </w:tabs>
            <w:rPr/>
          </w:pPr>
          <w:hyperlink w:anchor="__RefHeading___Toc3140712_3531895371">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140714_3531895371">
            <w:r>
              <w:rPr>
                <w:webHidden/>
                <w:rStyle w:val="IndexLink"/>
              </w:rPr>
              <w:t>1</w:t>
            </w:r>
            <w:r>
              <w:rPr>
                <w:rStyle w:val="IndexLink"/>
                <w:rtl w:val="true"/>
              </w:rPr>
              <w:t xml:space="preserve">. </w:t>
            </w:r>
            <w:r>
              <w:rPr>
                <w:rStyle w:val="IndexLink"/>
                <w:rtl w:val="true"/>
              </w:rPr>
              <w:t>پنج تا شش ضربه شلاق</w:t>
            </w:r>
            <w:r>
              <w:rPr>
                <w:rStyle w:val="IndexLink"/>
                <w:rtl w:val="true"/>
              </w:rPr>
              <w:tab/>
            </w:r>
            <w:r>
              <w:rPr>
                <w:rStyle w:val="IndexLink"/>
              </w:rPr>
              <w:t>78</w:t>
            </w:r>
          </w:hyperlink>
        </w:p>
        <w:p>
          <w:pPr>
            <w:pStyle w:val="Contents6"/>
            <w:tabs>
              <w:tab w:val="clear" w:pos="7609"/>
              <w:tab w:val="right" w:pos="9026" w:leader="dot"/>
            </w:tabs>
            <w:rPr/>
          </w:pPr>
          <w:hyperlink w:anchor="__RefHeading___Toc3140716_3531895371">
            <w:r>
              <w:rPr>
                <w:webHidden/>
                <w:rStyle w:val="IndexLink"/>
              </w:rPr>
              <w:t>2</w:t>
            </w:r>
            <w:r>
              <w:rPr>
                <w:rStyle w:val="IndexLink"/>
                <w:rtl w:val="true"/>
              </w:rPr>
              <w:t xml:space="preserve">. </w:t>
            </w:r>
            <w:r>
              <w:rPr>
                <w:rStyle w:val="IndexLink"/>
                <w:rtl w:val="true"/>
              </w:rPr>
              <w:t>عدم جواز بیش از ده ضربه</w:t>
            </w:r>
            <w:r>
              <w:rPr>
                <w:rStyle w:val="IndexLink"/>
                <w:rtl w:val="true"/>
              </w:rPr>
              <w:tab/>
            </w:r>
            <w:r>
              <w:rPr>
                <w:rStyle w:val="IndexLink"/>
              </w:rPr>
              <w:t>79</w:t>
            </w:r>
          </w:hyperlink>
        </w:p>
        <w:p>
          <w:pPr>
            <w:pStyle w:val="Contents6"/>
            <w:tabs>
              <w:tab w:val="clear" w:pos="7609"/>
              <w:tab w:val="right" w:pos="9026" w:leader="dot"/>
            </w:tabs>
            <w:rPr/>
          </w:pPr>
          <w:hyperlink w:anchor="__RefHeading___Toc3140718_3531895371">
            <w:r>
              <w:rPr>
                <w:webHidden/>
                <w:rStyle w:val="IndexLink"/>
              </w:rPr>
              <w:t>3</w:t>
            </w:r>
            <w:r>
              <w:rPr>
                <w:rStyle w:val="IndexLink"/>
                <w:rtl w:val="true"/>
              </w:rPr>
              <w:t xml:space="preserve">. </w:t>
            </w:r>
            <w:r>
              <w:rPr>
                <w:rStyle w:val="IndexLink"/>
                <w:rtl w:val="true"/>
              </w:rPr>
              <w:t xml:space="preserve">صلاحدید مودب </w:t>
            </w:r>
            <w:r>
              <w:rPr>
                <w:rStyle w:val="IndexLink"/>
                <w:rtl w:val="true"/>
              </w:rPr>
              <w:t>(</w:t>
            </w:r>
            <w:r>
              <w:rPr>
                <w:rStyle w:val="IndexLink"/>
                <w:rtl w:val="true"/>
              </w:rPr>
              <w:t>حاکم یا ولی</w:t>
            </w:r>
            <w:r>
              <w:rPr>
                <w:rStyle w:val="IndexLink"/>
                <w:rtl w:val="true"/>
              </w:rPr>
              <w:t>)</w:t>
              <w:tab/>
            </w:r>
            <w:r>
              <w:rPr>
                <w:rStyle w:val="IndexLink"/>
              </w:rPr>
              <w:t>79</w:t>
            </w:r>
          </w:hyperlink>
        </w:p>
        <w:p>
          <w:pPr>
            <w:pStyle w:val="Contents6"/>
            <w:tabs>
              <w:tab w:val="clear" w:pos="7609"/>
              <w:tab w:val="right" w:pos="9026" w:leader="dot"/>
            </w:tabs>
            <w:rPr/>
          </w:pPr>
          <w:hyperlink w:anchor="__RefHeading___Toc3140720_3531895371">
            <w:r>
              <w:rPr>
                <w:webHidden/>
                <w:rStyle w:val="IndexLink"/>
                <w:rtl w:val="true"/>
              </w:rPr>
              <w:t>جمع بندی نهایی</w:t>
            </w:r>
            <w:r>
              <w:rPr>
                <w:rStyle w:val="IndexLink"/>
                <w:rtl w:val="true"/>
              </w:rPr>
              <w:t>:</w:t>
              <w:tab/>
            </w:r>
            <w:r>
              <w:rPr>
                <w:rStyle w:val="IndexLink"/>
              </w:rPr>
              <w:t>79</w:t>
            </w:r>
          </w:hyperlink>
        </w:p>
        <w:p>
          <w:pPr>
            <w:pStyle w:val="Contents5"/>
            <w:tabs>
              <w:tab w:val="clear" w:pos="7892"/>
              <w:tab w:val="right" w:pos="9026" w:leader="dot"/>
            </w:tabs>
            <w:rPr/>
          </w:pPr>
          <w:hyperlink w:anchor="__RefHeading___Toc3140722_3531895371">
            <w:r>
              <w:rPr>
                <w:webHidden/>
                <w:rStyle w:val="IndexLink"/>
              </w:rPr>
              <w:t>3/1/1/3</w:t>
            </w:r>
            <w:r>
              <w:rPr>
                <w:rStyle w:val="IndexLink"/>
                <w:rtl w:val="true"/>
              </w:rPr>
              <w:t xml:space="preserve">. </w:t>
            </w:r>
            <w:r>
              <w:rPr>
                <w:rStyle w:val="IndexLink"/>
                <w:rtl w:val="true"/>
              </w:rPr>
              <w:t>قصاص</w:t>
            </w:r>
            <w:r>
              <w:rPr>
                <w:rStyle w:val="IndexLink"/>
                <w:rtl w:val="true"/>
              </w:rPr>
              <w:tab/>
            </w:r>
            <w:r>
              <w:rPr>
                <w:rStyle w:val="IndexLink"/>
              </w:rPr>
              <w:t>80</w:t>
            </w:r>
          </w:hyperlink>
        </w:p>
        <w:p>
          <w:pPr>
            <w:pStyle w:val="Contents5"/>
            <w:tabs>
              <w:tab w:val="clear" w:pos="7892"/>
              <w:tab w:val="right" w:pos="9026" w:leader="dot"/>
            </w:tabs>
            <w:rPr/>
          </w:pPr>
          <w:hyperlink w:anchor="__RefHeading___Toc3140724_3531895371">
            <w:r>
              <w:rPr>
                <w:webHidden/>
                <w:rStyle w:val="IndexLink"/>
              </w:rPr>
              <w:t>3/1/1/4</w:t>
            </w:r>
            <w:r>
              <w:rPr>
                <w:rStyle w:val="IndexLink"/>
                <w:rtl w:val="true"/>
              </w:rPr>
              <w:t xml:space="preserve">. </w:t>
            </w:r>
            <w:r>
              <w:rPr>
                <w:rStyle w:val="IndexLink"/>
                <w:rtl w:val="true"/>
              </w:rPr>
              <w:t>ديات</w:t>
            </w:r>
            <w:r>
              <w:rPr>
                <w:rStyle w:val="IndexLink"/>
                <w:rtl w:val="true"/>
              </w:rPr>
              <w:tab/>
            </w:r>
            <w:r>
              <w:rPr>
                <w:rStyle w:val="IndexLink"/>
              </w:rPr>
              <w:t>81</w:t>
            </w:r>
          </w:hyperlink>
        </w:p>
        <w:p>
          <w:pPr>
            <w:pStyle w:val="Contents3"/>
            <w:tabs>
              <w:tab w:val="clear" w:pos="8459"/>
              <w:tab w:val="right" w:pos="9026" w:leader="dot"/>
            </w:tabs>
            <w:rPr/>
          </w:pPr>
          <w:hyperlink w:anchor="__RefHeading___Toc3140726_3531895371">
            <w:r>
              <w:rPr>
                <w:webHidden/>
                <w:rStyle w:val="IndexLink"/>
              </w:rPr>
              <w:t>3/2</w:t>
            </w:r>
            <w:r>
              <w:rPr>
                <w:rStyle w:val="IndexLink"/>
                <w:rtl w:val="true"/>
              </w:rPr>
              <w:t xml:space="preserve">. </w:t>
            </w:r>
            <w:r>
              <w:rPr>
                <w:rStyle w:val="IndexLink"/>
                <w:rtl w:val="true"/>
              </w:rPr>
              <w:t>سن مسئولیت کیفری در قوانین پیش از انقلاب</w:t>
            </w:r>
            <w:r>
              <w:rPr>
                <w:rStyle w:val="IndexLink"/>
                <w:rtl w:val="true"/>
              </w:rPr>
              <w:tab/>
            </w:r>
            <w:r>
              <w:rPr>
                <w:rStyle w:val="IndexLink"/>
              </w:rPr>
              <w:t>82</w:t>
            </w:r>
          </w:hyperlink>
        </w:p>
        <w:p>
          <w:pPr>
            <w:pStyle w:val="Contents4"/>
            <w:tabs>
              <w:tab w:val="clear" w:pos="8176"/>
              <w:tab w:val="right" w:pos="9026" w:leader="dot"/>
            </w:tabs>
            <w:rPr/>
          </w:pPr>
          <w:hyperlink w:anchor="__RefHeading___Toc3140728_353189537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140730_3531895371">
            <w:r>
              <w:rPr>
                <w:webHidden/>
                <w:rStyle w:val="IndexLink"/>
              </w:rPr>
              <w:t>3/2/1</w:t>
            </w:r>
            <w:r>
              <w:rPr>
                <w:rStyle w:val="IndexLink"/>
                <w:rtl w:val="true"/>
              </w:rPr>
              <w:t xml:space="preserve">. </w:t>
            </w:r>
            <w:r>
              <w:rPr>
                <w:rStyle w:val="IndexLink"/>
                <w:rtl w:val="true"/>
              </w:rPr>
              <w:t xml:space="preserve">قانون مجازات عمومی مصوب </w:t>
            </w:r>
            <w:r>
              <w:rPr>
                <w:rStyle w:val="IndexLink"/>
              </w:rPr>
              <w:t>1304</w:t>
            </w:r>
            <w:r>
              <w:rPr>
                <w:rStyle w:val="IndexLink"/>
                <w:rtl w:val="true"/>
              </w:rPr>
              <w:tab/>
            </w:r>
            <w:r>
              <w:rPr>
                <w:rStyle w:val="IndexLink"/>
              </w:rPr>
              <w:t>82</w:t>
            </w:r>
          </w:hyperlink>
        </w:p>
        <w:p>
          <w:pPr>
            <w:pStyle w:val="Contents5"/>
            <w:tabs>
              <w:tab w:val="clear" w:pos="7892"/>
              <w:tab w:val="right" w:pos="9026" w:leader="dot"/>
            </w:tabs>
            <w:rPr/>
          </w:pPr>
          <w:hyperlink w:anchor="__RefHeading___Toc3140732_3531895371">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140734_3531895371">
            <w:r>
              <w:rPr>
                <w:webHidden/>
                <w:rStyle w:val="IndexLink"/>
              </w:rPr>
              <w:t>1</w:t>
            </w:r>
            <w:r>
              <w:rPr>
                <w:rStyle w:val="IndexLink"/>
                <w:rtl w:val="true"/>
              </w:rPr>
              <w:t xml:space="preserve">. </w:t>
            </w:r>
            <w:r>
              <w:rPr>
                <w:rStyle w:val="IndexLink"/>
                <w:rtl w:val="true"/>
              </w:rPr>
              <w:t xml:space="preserve">اطفال کم تر از </w:t>
            </w:r>
            <w:r>
              <w:rPr>
                <w:rStyle w:val="IndexLink"/>
              </w:rPr>
              <w:t>12</w:t>
            </w:r>
            <w:r>
              <w:rPr>
                <w:rStyle w:val="IndexLink"/>
                <w:rtl w:val="true"/>
              </w:rPr>
              <w:t xml:space="preserve"> </w:t>
            </w:r>
            <w:r>
              <w:rPr>
                <w:rStyle w:val="IndexLink"/>
                <w:rtl w:val="true"/>
              </w:rPr>
              <w:t xml:space="preserve">سال </w:t>
            </w:r>
            <w:r>
              <w:rPr>
                <w:rStyle w:val="IndexLink"/>
                <w:rtl w:val="true"/>
              </w:rPr>
              <w:t>(</w:t>
            </w:r>
            <w:r>
              <w:rPr>
                <w:rStyle w:val="IndexLink"/>
                <w:rtl w:val="true"/>
              </w:rPr>
              <w:t>صغار غیر ممیز</w:t>
            </w:r>
            <w:r>
              <w:rPr>
                <w:rStyle w:val="IndexLink"/>
                <w:rtl w:val="true"/>
              </w:rPr>
              <w:t>)</w:t>
              <w:tab/>
            </w:r>
            <w:r>
              <w:rPr>
                <w:rStyle w:val="IndexLink"/>
              </w:rPr>
              <w:t>82</w:t>
            </w:r>
          </w:hyperlink>
        </w:p>
        <w:p>
          <w:pPr>
            <w:pStyle w:val="Contents5"/>
            <w:tabs>
              <w:tab w:val="clear" w:pos="7892"/>
              <w:tab w:val="right" w:pos="9026" w:leader="dot"/>
            </w:tabs>
            <w:rPr/>
          </w:pPr>
          <w:hyperlink w:anchor="__RefHeading___Toc3140736_3531895371">
            <w:r>
              <w:rPr>
                <w:webHidden/>
                <w:rStyle w:val="IndexLink"/>
              </w:rPr>
              <w:t>2</w:t>
            </w:r>
            <w:r>
              <w:rPr>
                <w:rStyle w:val="IndexLink"/>
                <w:rtl w:val="true"/>
              </w:rPr>
              <w:t xml:space="preserve">. </w:t>
            </w:r>
            <w:r>
              <w:rPr>
                <w:rStyle w:val="IndexLink"/>
                <w:rtl w:val="true"/>
              </w:rPr>
              <w:t xml:space="preserve">اطفال بین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 xml:space="preserve"> </w:t>
            </w:r>
            <w:r>
              <w:rPr>
                <w:rStyle w:val="IndexLink"/>
                <w:rtl w:val="true"/>
              </w:rPr>
              <w:t xml:space="preserve">سال </w:t>
            </w:r>
            <w:r>
              <w:rPr>
                <w:rStyle w:val="IndexLink"/>
                <w:rtl w:val="true"/>
              </w:rPr>
              <w:t>(</w:t>
            </w:r>
            <w:r>
              <w:rPr>
                <w:rStyle w:val="IndexLink"/>
                <w:rtl w:val="true"/>
              </w:rPr>
              <w:t>صغار مميز غير بالغ</w:t>
            </w:r>
            <w:r>
              <w:rPr>
                <w:rStyle w:val="IndexLink"/>
                <w:rtl w:val="true"/>
              </w:rPr>
              <w:t>)</w:t>
              <w:tab/>
            </w:r>
            <w:r>
              <w:rPr>
                <w:rStyle w:val="IndexLink"/>
              </w:rPr>
              <w:t>82</w:t>
            </w:r>
          </w:hyperlink>
        </w:p>
        <w:p>
          <w:pPr>
            <w:pStyle w:val="Contents5"/>
            <w:tabs>
              <w:tab w:val="clear" w:pos="7892"/>
              <w:tab w:val="right" w:pos="9026" w:leader="dot"/>
            </w:tabs>
            <w:rPr/>
          </w:pPr>
          <w:hyperlink w:anchor="__RefHeading___Toc3140738_3531895371">
            <w:r>
              <w:rPr>
                <w:webHidden/>
                <w:rStyle w:val="IndexLink"/>
              </w:rPr>
              <w:t>3</w:t>
            </w:r>
            <w:r>
              <w:rPr>
                <w:rStyle w:val="IndexLink"/>
                <w:rtl w:val="true"/>
              </w:rPr>
              <w:t xml:space="preserve">. </w:t>
            </w:r>
            <w:r>
              <w:rPr>
                <w:rStyle w:val="IndexLink"/>
                <w:rtl w:val="true"/>
              </w:rPr>
              <w:t xml:space="preserve">اطفال بین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 xml:space="preserve">سال </w:t>
            </w:r>
            <w:r>
              <w:rPr>
                <w:rStyle w:val="IndexLink"/>
                <w:rtl w:val="true"/>
              </w:rPr>
              <w:t>(</w:t>
            </w:r>
            <w:r>
              <w:rPr>
                <w:rStyle w:val="IndexLink"/>
                <w:rtl w:val="true"/>
              </w:rPr>
              <w:t>صغار بالغ</w:t>
            </w:r>
            <w:r>
              <w:rPr>
                <w:rStyle w:val="IndexLink"/>
                <w:rtl w:val="true"/>
              </w:rPr>
              <w:t>)</w:t>
              <w:tab/>
            </w:r>
            <w:r>
              <w:rPr>
                <w:rStyle w:val="IndexLink"/>
              </w:rPr>
              <w:t>83</w:t>
            </w:r>
          </w:hyperlink>
        </w:p>
        <w:p>
          <w:pPr>
            <w:pStyle w:val="Contents5"/>
            <w:tabs>
              <w:tab w:val="clear" w:pos="7892"/>
              <w:tab w:val="right" w:pos="9026" w:leader="dot"/>
            </w:tabs>
            <w:rPr/>
          </w:pPr>
          <w:hyperlink w:anchor="__RefHeading___Toc3140740_3531895371">
            <w:r>
              <w:rPr>
                <w:webHidden/>
                <w:rStyle w:val="IndexLink"/>
                <w:rtl w:val="true"/>
              </w:rPr>
              <w:t>نتیجه گیری اجرایی</w:t>
            </w:r>
            <w:r>
              <w:rPr>
                <w:rStyle w:val="IndexLink"/>
                <w:rtl w:val="true"/>
              </w:rPr>
              <w:t>:</w:t>
              <w:tab/>
            </w:r>
            <w:r>
              <w:rPr>
                <w:rStyle w:val="IndexLink"/>
              </w:rPr>
              <w:t>83</w:t>
            </w:r>
          </w:hyperlink>
        </w:p>
        <w:p>
          <w:pPr>
            <w:pStyle w:val="Contents4"/>
            <w:tabs>
              <w:tab w:val="clear" w:pos="8176"/>
              <w:tab w:val="right" w:pos="9026" w:leader="dot"/>
            </w:tabs>
            <w:rPr/>
          </w:pPr>
          <w:hyperlink w:anchor="__RefHeading___Toc3140742_3531895371">
            <w:r>
              <w:rPr>
                <w:webHidden/>
                <w:rStyle w:val="IndexLink"/>
              </w:rPr>
              <w:t>3/2/2</w:t>
            </w:r>
            <w:r>
              <w:rPr>
                <w:rStyle w:val="IndexLink"/>
                <w:rtl w:val="true"/>
              </w:rPr>
              <w:t xml:space="preserve">. </w:t>
            </w:r>
            <w:r>
              <w:rPr>
                <w:rStyle w:val="IndexLink"/>
                <w:rtl w:val="true"/>
              </w:rPr>
              <w:t xml:space="preserve">قانون مربوط به تشکیل دادگاه اطفال مصوب </w:t>
            </w:r>
            <w:r>
              <w:rPr>
                <w:rStyle w:val="IndexLink"/>
              </w:rPr>
              <w:t>1338</w:t>
            </w:r>
            <w:r>
              <w:rPr>
                <w:rStyle w:val="IndexLink"/>
                <w:rtl w:val="true"/>
              </w:rPr>
              <w:tab/>
            </w:r>
            <w:r>
              <w:rPr>
                <w:rStyle w:val="IndexLink"/>
              </w:rPr>
              <w:t>83</w:t>
            </w:r>
          </w:hyperlink>
        </w:p>
        <w:p>
          <w:pPr>
            <w:pStyle w:val="Contents5"/>
            <w:tabs>
              <w:tab w:val="clear" w:pos="7892"/>
              <w:tab w:val="right" w:pos="9026" w:leader="dot"/>
            </w:tabs>
            <w:rPr/>
          </w:pPr>
          <w:hyperlink w:anchor="__RefHeading___Toc3140744_3531895371">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140746_3531895371">
            <w:r>
              <w:rPr>
                <w:webHidden/>
                <w:rStyle w:val="IndexLink"/>
                <w:rtl w:val="true"/>
              </w:rPr>
              <w:t>مرحله اول</w:t>
            </w:r>
            <w:r>
              <w:rPr>
                <w:rStyle w:val="IndexLink"/>
                <w:rtl w:val="true"/>
              </w:rPr>
              <w:t xml:space="preserve">- </w:t>
            </w:r>
            <w:r>
              <w:rPr>
                <w:rStyle w:val="IndexLink"/>
                <w:rtl w:val="true"/>
              </w:rPr>
              <w:t xml:space="preserve">تا پایان </w:t>
            </w:r>
            <w:r>
              <w:rPr>
                <w:rStyle w:val="IndexLink"/>
              </w:rPr>
              <w:t>6</w:t>
            </w:r>
            <w:r>
              <w:rPr>
                <w:rStyle w:val="IndexLink"/>
                <w:rtl w:val="true"/>
              </w:rPr>
              <w:t xml:space="preserve"> </w:t>
            </w:r>
            <w:r>
              <w:rPr>
                <w:rStyle w:val="IndexLink"/>
                <w:rtl w:val="true"/>
              </w:rPr>
              <w:t>سالگی</w:t>
            </w:r>
            <w:r>
              <w:rPr>
                <w:rStyle w:val="IndexLink"/>
                <w:rtl w:val="true"/>
              </w:rPr>
              <w:tab/>
            </w:r>
            <w:r>
              <w:rPr>
                <w:rStyle w:val="IndexLink"/>
              </w:rPr>
              <w:t>83</w:t>
            </w:r>
          </w:hyperlink>
        </w:p>
        <w:p>
          <w:pPr>
            <w:pStyle w:val="Contents5"/>
            <w:tabs>
              <w:tab w:val="clear" w:pos="7892"/>
              <w:tab w:val="right" w:pos="9026" w:leader="dot"/>
            </w:tabs>
            <w:rPr/>
          </w:pPr>
          <w:hyperlink w:anchor="__RefHeading___Toc3140748_3531895371">
            <w:r>
              <w:rPr>
                <w:webHidden/>
                <w:rStyle w:val="IndexLink"/>
                <w:rtl w:val="true"/>
              </w:rPr>
              <w:t>مرحله دوم</w:t>
            </w:r>
            <w:r>
              <w:rPr>
                <w:rStyle w:val="IndexLink"/>
                <w:rtl w:val="true"/>
              </w:rPr>
              <w:t xml:space="preserve">- </w:t>
            </w:r>
            <w:r>
              <w:rPr>
                <w:rStyle w:val="IndexLink"/>
                <w:rtl w:val="true"/>
              </w:rPr>
              <w:t xml:space="preserve">از آغاز </w:t>
            </w:r>
            <w:r>
              <w:rPr>
                <w:rStyle w:val="IndexLink"/>
              </w:rPr>
              <w:t>7</w:t>
            </w:r>
            <w:r>
              <w:rPr>
                <w:rStyle w:val="IndexLink"/>
                <w:rtl w:val="true"/>
              </w:rPr>
              <w:t xml:space="preserve"> </w:t>
            </w:r>
            <w:r>
              <w:rPr>
                <w:rStyle w:val="IndexLink"/>
                <w:rtl w:val="true"/>
              </w:rPr>
              <w:t xml:space="preserve">سالگی تا پایان </w:t>
            </w:r>
            <w:r>
              <w:rPr>
                <w:rStyle w:val="IndexLink"/>
              </w:rPr>
              <w:t>12</w:t>
            </w:r>
            <w:r>
              <w:rPr>
                <w:rStyle w:val="IndexLink"/>
                <w:rtl w:val="true"/>
              </w:rPr>
              <w:t xml:space="preserve"> </w:t>
            </w:r>
            <w:r>
              <w:rPr>
                <w:rStyle w:val="IndexLink"/>
                <w:rtl w:val="true"/>
              </w:rPr>
              <w:t>سالگی</w:t>
            </w:r>
            <w:r>
              <w:rPr>
                <w:rStyle w:val="IndexLink"/>
                <w:rtl w:val="true"/>
              </w:rPr>
              <w:tab/>
            </w:r>
            <w:r>
              <w:rPr>
                <w:rStyle w:val="IndexLink"/>
              </w:rPr>
              <w:t>84</w:t>
            </w:r>
          </w:hyperlink>
        </w:p>
        <w:p>
          <w:pPr>
            <w:pStyle w:val="Contents5"/>
            <w:tabs>
              <w:tab w:val="clear" w:pos="7892"/>
              <w:tab w:val="right" w:pos="9026" w:leader="dot"/>
            </w:tabs>
            <w:rPr/>
          </w:pPr>
          <w:hyperlink w:anchor="__RefHeading___Toc3140750_3531895371">
            <w:r>
              <w:rPr>
                <w:webHidden/>
                <w:rStyle w:val="IndexLink"/>
                <w:rtl w:val="true"/>
              </w:rPr>
              <w:t>مرحله سوم</w:t>
            </w:r>
            <w:r>
              <w:rPr>
                <w:rStyle w:val="IndexLink"/>
                <w:rtl w:val="true"/>
              </w:rPr>
              <w:t xml:space="preserve">- </w:t>
            </w:r>
            <w:r>
              <w:rPr>
                <w:rStyle w:val="IndexLink"/>
                <w:rtl w:val="true"/>
              </w:rPr>
              <w:t xml:space="preserve">از آغاز </w:t>
            </w:r>
            <w:r>
              <w:rPr>
                <w:rStyle w:val="IndexLink"/>
              </w:rPr>
              <w:t>13</w:t>
            </w:r>
            <w:r>
              <w:rPr>
                <w:rStyle w:val="IndexLink"/>
                <w:rtl w:val="true"/>
              </w:rPr>
              <w:t xml:space="preserve"> </w:t>
            </w:r>
            <w:r>
              <w:rPr>
                <w:rStyle w:val="IndexLink"/>
                <w:rtl w:val="true"/>
              </w:rPr>
              <w:t xml:space="preserve">سالگی تا پایان </w:t>
            </w:r>
            <w:r>
              <w:rPr>
                <w:rStyle w:val="IndexLink"/>
              </w:rPr>
              <w:t>18</w:t>
            </w:r>
            <w:r>
              <w:rPr>
                <w:rStyle w:val="IndexLink"/>
                <w:rtl w:val="true"/>
              </w:rPr>
              <w:t xml:space="preserve"> </w:t>
            </w:r>
            <w:r>
              <w:rPr>
                <w:rStyle w:val="IndexLink"/>
                <w:rtl w:val="true"/>
              </w:rPr>
              <w:t>سالگی</w:t>
            </w:r>
            <w:r>
              <w:rPr>
                <w:rStyle w:val="IndexLink"/>
                <w:rtl w:val="true"/>
              </w:rPr>
              <w:tab/>
            </w:r>
            <w:r>
              <w:rPr>
                <w:rStyle w:val="IndexLink"/>
              </w:rPr>
              <w:t>84</w:t>
            </w:r>
          </w:hyperlink>
        </w:p>
        <w:p>
          <w:pPr>
            <w:pStyle w:val="Contents4"/>
            <w:tabs>
              <w:tab w:val="clear" w:pos="8176"/>
              <w:tab w:val="right" w:pos="9026" w:leader="dot"/>
            </w:tabs>
            <w:rPr/>
          </w:pPr>
          <w:hyperlink w:anchor="__RefHeading___Toc3140752_3531895371">
            <w:r>
              <w:rPr>
                <w:webHidden/>
                <w:rStyle w:val="IndexLink"/>
              </w:rPr>
              <w:t>3/2/3</w:t>
            </w:r>
            <w:r>
              <w:rPr>
                <w:rStyle w:val="IndexLink"/>
                <w:rtl w:val="true"/>
              </w:rPr>
              <w:t xml:space="preserve">. </w:t>
            </w:r>
            <w:r>
              <w:rPr>
                <w:rStyle w:val="IndexLink"/>
                <w:rtl w:val="true"/>
              </w:rPr>
              <w:t xml:space="preserve">قانون مجازات عمومی اصلاحی مصوب </w:t>
            </w:r>
            <w:r>
              <w:rPr>
                <w:rStyle w:val="IndexLink"/>
              </w:rPr>
              <w:t>1352</w:t>
            </w:r>
            <w:r>
              <w:rPr>
                <w:rStyle w:val="IndexLink"/>
                <w:rtl w:val="true"/>
              </w:rPr>
              <w:tab/>
            </w:r>
            <w:r>
              <w:rPr>
                <w:rStyle w:val="IndexLink"/>
              </w:rPr>
              <w:t>84</w:t>
            </w:r>
          </w:hyperlink>
        </w:p>
        <w:p>
          <w:pPr>
            <w:pStyle w:val="Contents5"/>
            <w:tabs>
              <w:tab w:val="clear" w:pos="7892"/>
              <w:tab w:val="right" w:pos="9026" w:leader="dot"/>
            </w:tabs>
            <w:rPr/>
          </w:pPr>
          <w:hyperlink w:anchor="__RefHeading___Toc3140754_3531895371">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140756_3531895371">
            <w:r>
              <w:rPr>
                <w:webHidden/>
                <w:rStyle w:val="IndexLink"/>
              </w:rPr>
              <w:t>1</w:t>
            </w:r>
            <w:r>
              <w:rPr>
                <w:rStyle w:val="IndexLink"/>
                <w:rtl w:val="true"/>
              </w:rPr>
              <w:t xml:space="preserve">. </w:t>
            </w:r>
            <w:r>
              <w:rPr>
                <w:rStyle w:val="IndexLink"/>
                <w:rtl w:val="true"/>
              </w:rPr>
              <w:t xml:space="preserve">اطفال بیش از </w:t>
            </w:r>
            <w:r>
              <w:rPr>
                <w:rStyle w:val="IndexLink"/>
              </w:rPr>
              <w:t>6</w:t>
            </w:r>
            <w:r>
              <w:rPr>
                <w:rStyle w:val="IndexLink"/>
                <w:rtl w:val="true"/>
              </w:rPr>
              <w:t xml:space="preserve"> </w:t>
            </w:r>
            <w:r>
              <w:rPr>
                <w:rStyle w:val="IndexLink"/>
                <w:rtl w:val="true"/>
              </w:rPr>
              <w:t xml:space="preserve">سال تا </w:t>
            </w:r>
            <w:r>
              <w:rPr>
                <w:rStyle w:val="IndexLink"/>
              </w:rPr>
              <w:t>12</w:t>
            </w:r>
            <w:r>
              <w:rPr>
                <w:rStyle w:val="IndexLink"/>
                <w:rtl w:val="true"/>
              </w:rPr>
              <w:t xml:space="preserve"> </w:t>
            </w:r>
            <w:r>
              <w:rPr>
                <w:rStyle w:val="IndexLink"/>
                <w:rtl w:val="true"/>
              </w:rPr>
              <w:t>سال تمام</w:t>
            </w:r>
            <w:r>
              <w:rPr>
                <w:rStyle w:val="IndexLink"/>
                <w:rtl w:val="true"/>
              </w:rPr>
              <w:tab/>
            </w:r>
            <w:r>
              <w:rPr>
                <w:rStyle w:val="IndexLink"/>
              </w:rPr>
              <w:t>85</w:t>
            </w:r>
          </w:hyperlink>
        </w:p>
        <w:p>
          <w:pPr>
            <w:pStyle w:val="Contents5"/>
            <w:tabs>
              <w:tab w:val="clear" w:pos="7892"/>
              <w:tab w:val="right" w:pos="9026" w:leader="dot"/>
            </w:tabs>
            <w:rPr/>
          </w:pPr>
          <w:hyperlink w:anchor="__RefHeading___Toc3140758_3531895371">
            <w:r>
              <w:rPr>
                <w:webHidden/>
                <w:rStyle w:val="IndexLink"/>
              </w:rPr>
              <w:t>2</w:t>
            </w:r>
            <w:r>
              <w:rPr>
                <w:rStyle w:val="IndexLink"/>
                <w:rtl w:val="true"/>
              </w:rPr>
              <w:t xml:space="preserve">. </w:t>
            </w:r>
            <w:r>
              <w:rPr>
                <w:rStyle w:val="IndexLink"/>
                <w:rtl w:val="true"/>
              </w:rPr>
              <w:t xml:space="preserve">اطفال بیش از </w:t>
            </w:r>
            <w:r>
              <w:rPr>
                <w:rStyle w:val="IndexLink"/>
              </w:rPr>
              <w:t>12</w:t>
            </w:r>
            <w:r>
              <w:rPr>
                <w:rStyle w:val="IndexLink"/>
                <w:rtl w:val="true"/>
              </w:rPr>
              <w:t xml:space="preserve"> </w:t>
            </w:r>
            <w:r>
              <w:rPr>
                <w:rStyle w:val="IndexLink"/>
                <w:rtl w:val="true"/>
              </w:rPr>
              <w:t xml:space="preserve">سال تا </w:t>
            </w:r>
            <w:r>
              <w:rPr>
                <w:rStyle w:val="IndexLink"/>
              </w:rPr>
              <w:t>18</w:t>
            </w:r>
            <w:r>
              <w:rPr>
                <w:rStyle w:val="IndexLink"/>
                <w:rtl w:val="true"/>
              </w:rPr>
              <w:t xml:space="preserve"> </w:t>
            </w:r>
            <w:r>
              <w:rPr>
                <w:rStyle w:val="IndexLink"/>
                <w:rtl w:val="true"/>
              </w:rPr>
              <w:t>سال تمام</w:t>
            </w:r>
            <w:r>
              <w:rPr>
                <w:rStyle w:val="IndexLink"/>
                <w:rtl w:val="true"/>
              </w:rPr>
              <w:tab/>
            </w:r>
            <w:r>
              <w:rPr>
                <w:rStyle w:val="IndexLink"/>
              </w:rPr>
              <w:t>85</w:t>
            </w:r>
          </w:hyperlink>
        </w:p>
        <w:p>
          <w:pPr>
            <w:pStyle w:val="Contents5"/>
            <w:tabs>
              <w:tab w:val="clear" w:pos="7892"/>
              <w:tab w:val="right" w:pos="9026" w:leader="dot"/>
            </w:tabs>
            <w:rPr/>
          </w:pPr>
          <w:hyperlink w:anchor="__RefHeading___Toc3140760_3531895371">
            <w:r>
              <w:rPr>
                <w:webHidden/>
                <w:rStyle w:val="IndexLink"/>
                <w:rtl w:val="true"/>
              </w:rPr>
              <w:t>نتیجه گیری</w:t>
            </w:r>
            <w:r>
              <w:rPr>
                <w:rStyle w:val="IndexLink"/>
                <w:rtl w:val="true"/>
              </w:rPr>
              <w:t>:</w:t>
              <w:tab/>
            </w:r>
            <w:r>
              <w:rPr>
                <w:rStyle w:val="IndexLink"/>
              </w:rPr>
              <w:t>85</w:t>
            </w:r>
          </w:hyperlink>
        </w:p>
        <w:p>
          <w:pPr>
            <w:pStyle w:val="Contents3"/>
            <w:tabs>
              <w:tab w:val="clear" w:pos="8459"/>
              <w:tab w:val="right" w:pos="9026" w:leader="dot"/>
            </w:tabs>
            <w:rPr/>
          </w:pPr>
          <w:hyperlink w:anchor="__RefHeading___Toc3140762_3531895371">
            <w:r>
              <w:rPr>
                <w:webHidden/>
                <w:rStyle w:val="IndexLink"/>
              </w:rPr>
              <w:t>3/3</w:t>
            </w:r>
            <w:r>
              <w:rPr>
                <w:rStyle w:val="IndexLink"/>
                <w:rtl w:val="true"/>
              </w:rPr>
              <w:t xml:space="preserve">. </w:t>
            </w:r>
            <w:r>
              <w:rPr>
                <w:rStyle w:val="IndexLink"/>
                <w:rtl w:val="true"/>
              </w:rPr>
              <w:t>سن مسئولیت نسبی کیفری در نظام تقنینی جمهوری اسلامی ایران</w:t>
            </w:r>
            <w:r>
              <w:rPr>
                <w:rStyle w:val="IndexLink"/>
                <w:rtl w:val="true"/>
              </w:rPr>
              <w:tab/>
            </w:r>
            <w:r>
              <w:rPr>
                <w:rStyle w:val="IndexLink"/>
              </w:rPr>
              <w:t>86</w:t>
            </w:r>
          </w:hyperlink>
        </w:p>
        <w:p>
          <w:pPr>
            <w:pStyle w:val="Contents4"/>
            <w:tabs>
              <w:tab w:val="clear" w:pos="8176"/>
              <w:tab w:val="right" w:pos="9026" w:leader="dot"/>
            </w:tabs>
            <w:rPr/>
          </w:pPr>
          <w:hyperlink w:anchor="__RefHeading___Toc3140764_3531895371">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140766_3531895371">
            <w:r>
              <w:rPr>
                <w:webHidden/>
                <w:rStyle w:val="IndexLink"/>
              </w:rPr>
              <w:t>3/3/1</w:t>
            </w:r>
            <w:r>
              <w:rPr>
                <w:rStyle w:val="IndexLink"/>
                <w:rtl w:val="true"/>
              </w:rPr>
              <w:t xml:space="preserve">. </w:t>
            </w:r>
            <w:r>
              <w:rPr>
                <w:rStyle w:val="IndexLink"/>
                <w:rtl w:val="true"/>
              </w:rPr>
              <w:t xml:space="preserve">قانون مجازات اسلامی مصوب </w:t>
            </w:r>
            <w:r>
              <w:rPr>
                <w:rStyle w:val="IndexLink"/>
              </w:rPr>
              <w:t>1370</w:t>
            </w:r>
            <w:r>
              <w:rPr>
                <w:rStyle w:val="IndexLink"/>
                <w:rtl w:val="true"/>
              </w:rPr>
              <w:tab/>
            </w:r>
            <w:r>
              <w:rPr>
                <w:rStyle w:val="IndexLink"/>
              </w:rPr>
              <w:t>86</w:t>
            </w:r>
          </w:hyperlink>
        </w:p>
        <w:p>
          <w:pPr>
            <w:pStyle w:val="Contents4"/>
            <w:tabs>
              <w:tab w:val="clear" w:pos="8176"/>
              <w:tab w:val="right" w:pos="9026" w:leader="dot"/>
            </w:tabs>
            <w:rPr/>
          </w:pPr>
          <w:hyperlink w:anchor="__RefHeading___Toc3140768_3531895371">
            <w:r>
              <w:rPr>
                <w:webHidden/>
                <w:rStyle w:val="IndexLink"/>
                <w:rtl w:val="true"/>
              </w:rPr>
              <w:t>نتیجه گیری تحلیلی</w:t>
            </w:r>
            <w:r>
              <w:rPr>
                <w:rStyle w:val="IndexLink"/>
                <w:rtl w:val="true"/>
              </w:rPr>
              <w:t>:</w:t>
              <w:tab/>
            </w:r>
            <w:r>
              <w:rPr>
                <w:rStyle w:val="IndexLink"/>
              </w:rPr>
              <w:t>87</w:t>
            </w:r>
          </w:hyperlink>
        </w:p>
        <w:p>
          <w:pPr>
            <w:pStyle w:val="Contents4"/>
            <w:tabs>
              <w:tab w:val="clear" w:pos="8176"/>
              <w:tab w:val="right" w:pos="9026" w:leader="dot"/>
            </w:tabs>
            <w:rPr/>
          </w:pPr>
          <w:hyperlink w:anchor="__RefHeading___Toc3140770_3531895371">
            <w:r>
              <w:rPr>
                <w:webHidden/>
                <w:rStyle w:val="IndexLink"/>
              </w:rPr>
              <w:t>3/3/2</w:t>
            </w:r>
            <w:r>
              <w:rPr>
                <w:rStyle w:val="IndexLink"/>
                <w:rtl w:val="true"/>
              </w:rPr>
              <w:t xml:space="preserve">. </w:t>
            </w:r>
            <w:r>
              <w:rPr>
                <w:rStyle w:val="IndexLink"/>
                <w:rtl w:val="true"/>
              </w:rPr>
              <w:t>لایحه جدید قانون مجازات اسلامی</w:t>
            </w:r>
            <w:r>
              <w:rPr>
                <w:rStyle w:val="IndexLink"/>
                <w:rtl w:val="true"/>
              </w:rPr>
              <w:tab/>
            </w:r>
            <w:r>
              <w:rPr>
                <w:rStyle w:val="IndexLink"/>
              </w:rPr>
              <w:t>88</w:t>
            </w:r>
          </w:hyperlink>
        </w:p>
        <w:p>
          <w:pPr>
            <w:pStyle w:val="Contents5"/>
            <w:tabs>
              <w:tab w:val="clear" w:pos="7892"/>
              <w:tab w:val="right" w:pos="9026" w:leader="dot"/>
            </w:tabs>
            <w:rPr/>
          </w:pPr>
          <w:hyperlink w:anchor="__RefHeading___Toc3140772_3531895371">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140774_3531895371">
            <w:r>
              <w:rPr>
                <w:webHidden/>
                <w:rStyle w:val="IndexLink"/>
              </w:rPr>
              <w:t>1</w:t>
            </w:r>
            <w:r>
              <w:rPr>
                <w:rStyle w:val="IndexLink"/>
                <w:rtl w:val="true"/>
              </w:rPr>
              <w:t xml:space="preserve">. </w:t>
            </w:r>
            <w:r>
              <w:rPr>
                <w:rStyle w:val="IndexLink"/>
                <w:rtl w:val="true"/>
              </w:rPr>
              <w:t>تعيين حداقل سن عدم مسئولیت کیفری</w:t>
            </w:r>
            <w:r>
              <w:rPr>
                <w:rStyle w:val="IndexLink"/>
                <w:rtl w:val="true"/>
              </w:rPr>
              <w:tab/>
            </w:r>
            <w:r>
              <w:rPr>
                <w:rStyle w:val="IndexLink"/>
              </w:rPr>
              <w:t>88</w:t>
            </w:r>
          </w:hyperlink>
        </w:p>
        <w:p>
          <w:pPr>
            <w:pStyle w:val="Contents5"/>
            <w:tabs>
              <w:tab w:val="clear" w:pos="7892"/>
              <w:tab w:val="right" w:pos="9026" w:leader="dot"/>
            </w:tabs>
            <w:rPr/>
          </w:pPr>
          <w:hyperlink w:anchor="__RefHeading___Toc3140776_3531895371">
            <w:r>
              <w:rPr>
                <w:webHidden/>
                <w:rStyle w:val="IndexLink"/>
              </w:rPr>
              <w:t>2</w:t>
            </w:r>
            <w:r>
              <w:rPr>
                <w:rStyle w:val="IndexLink"/>
                <w:rtl w:val="true"/>
              </w:rPr>
              <w:t xml:space="preserve">. </w:t>
            </w:r>
            <w:r>
              <w:rPr>
                <w:rStyle w:val="IndexLink"/>
                <w:rtl w:val="true"/>
              </w:rPr>
              <w:t>تفکیک سن مسئولیت نسبی بر اساس نوع جرم</w:t>
            </w:r>
            <w:r>
              <w:rPr>
                <w:rStyle w:val="IndexLink"/>
                <w:rtl w:val="true"/>
              </w:rPr>
              <w:tab/>
            </w:r>
            <w:r>
              <w:rPr>
                <w:rStyle w:val="IndexLink"/>
              </w:rPr>
              <w:t>88</w:t>
            </w:r>
          </w:hyperlink>
        </w:p>
        <w:p>
          <w:pPr>
            <w:pStyle w:val="Contents6"/>
            <w:tabs>
              <w:tab w:val="clear" w:pos="7609"/>
              <w:tab w:val="right" w:pos="9026" w:leader="dot"/>
            </w:tabs>
            <w:rPr/>
          </w:pPr>
          <w:hyperlink w:anchor="__RefHeading___Toc3140778_3531895371">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3140780_3531895371">
            <w:r>
              <w:rPr>
                <w:webHidden/>
                <w:rStyle w:val="IndexLink"/>
                <w:rtl w:val="true"/>
              </w:rPr>
              <w:t>در حدود و قصاص</w:t>
            </w:r>
            <w:r>
              <w:rPr>
                <w:rStyle w:val="IndexLink"/>
                <w:rtl w:val="true"/>
              </w:rPr>
              <w:t>:</w:t>
              <w:tab/>
            </w:r>
            <w:r>
              <w:rPr>
                <w:rStyle w:val="IndexLink"/>
              </w:rPr>
              <w:t>88</w:t>
            </w:r>
          </w:hyperlink>
        </w:p>
        <w:p>
          <w:pPr>
            <w:pStyle w:val="Contents6"/>
            <w:tabs>
              <w:tab w:val="clear" w:pos="7609"/>
              <w:tab w:val="right" w:pos="9026" w:leader="dot"/>
            </w:tabs>
            <w:rPr/>
          </w:pPr>
          <w:hyperlink w:anchor="__RefHeading___Toc3140782_3531895371">
            <w:r>
              <w:rPr>
                <w:webHidden/>
                <w:rStyle w:val="IndexLink"/>
                <w:rtl w:val="true"/>
              </w:rPr>
              <w:t>در تعزیرات</w:t>
            </w:r>
            <w:r>
              <w:rPr>
                <w:rStyle w:val="IndexLink"/>
                <w:rtl w:val="true"/>
              </w:rPr>
              <w:t>:</w:t>
              <w:tab/>
            </w:r>
            <w:r>
              <w:rPr>
                <w:rStyle w:val="IndexLink"/>
              </w:rPr>
              <w:t>89</w:t>
            </w:r>
          </w:hyperlink>
        </w:p>
        <w:p>
          <w:pPr>
            <w:pStyle w:val="Contents6"/>
            <w:tabs>
              <w:tab w:val="clear" w:pos="7609"/>
              <w:tab w:val="right" w:pos="9026" w:leader="dot"/>
            </w:tabs>
            <w:rPr/>
          </w:pPr>
          <w:hyperlink w:anchor="__RefHeading___Toc3140784_3531895371">
            <w:r>
              <w:rPr>
                <w:webHidden/>
                <w:rStyle w:val="IndexLink"/>
                <w:rtl w:val="true"/>
              </w:rPr>
              <w:t>تحلیل دوره های کودکی از منظر رشد مسئولیت</w:t>
            </w:r>
            <w:r>
              <w:rPr>
                <w:rStyle w:val="IndexLink"/>
                <w:rtl w:val="true"/>
              </w:rPr>
              <w:t>:</w:t>
              <w:tab/>
            </w:r>
            <w:r>
              <w:rPr>
                <w:rStyle w:val="IndexLink"/>
              </w:rPr>
              <w:t>89</w:t>
            </w:r>
          </w:hyperlink>
        </w:p>
        <w:p>
          <w:pPr>
            <w:pStyle w:val="Contents6"/>
            <w:tabs>
              <w:tab w:val="clear" w:pos="7609"/>
              <w:tab w:val="right" w:pos="9026" w:leader="dot"/>
            </w:tabs>
            <w:rPr/>
          </w:pPr>
          <w:hyperlink w:anchor="__RefHeading___Toc3140786_3531895371">
            <w:r>
              <w:rPr>
                <w:webHidden/>
                <w:rStyle w:val="IndexLink"/>
                <w:rtl w:val="true"/>
              </w:rPr>
              <w:t>نتیجه گیری نهایی</w:t>
            </w:r>
            <w:r>
              <w:rPr>
                <w:rStyle w:val="IndexLink"/>
                <w:rtl w:val="true"/>
              </w:rPr>
              <w:t>:</w:t>
              <w:tab/>
            </w:r>
            <w:r>
              <w:rPr>
                <w:rStyle w:val="IndexLink"/>
              </w:rPr>
              <w:t>89</w:t>
            </w:r>
          </w:hyperlink>
        </w:p>
        <w:p>
          <w:pPr>
            <w:pStyle w:val="Contents3"/>
            <w:tabs>
              <w:tab w:val="clear" w:pos="8459"/>
              <w:tab w:val="right" w:pos="9026" w:leader="dot"/>
            </w:tabs>
            <w:rPr/>
          </w:pPr>
          <w:hyperlink w:anchor="__RefHeading___Toc3140788_3531895371">
            <w:r>
              <w:rPr>
                <w:webHidden/>
                <w:rStyle w:val="IndexLink"/>
              </w:rPr>
              <w:t>3/4</w:t>
            </w:r>
            <w:r>
              <w:rPr>
                <w:rStyle w:val="IndexLink"/>
                <w:rtl w:val="true"/>
              </w:rPr>
              <w:t xml:space="preserve">. </w:t>
            </w:r>
            <w:r>
              <w:rPr>
                <w:rStyle w:val="IndexLink"/>
                <w:rtl w:val="true"/>
              </w:rPr>
              <w:t>بررسی سن مسئولیت تام کیفری</w:t>
            </w:r>
            <w:r>
              <w:rPr>
                <w:rStyle w:val="IndexLink"/>
                <w:rtl w:val="true"/>
              </w:rPr>
              <w:tab/>
            </w:r>
            <w:r>
              <w:rPr>
                <w:rStyle w:val="IndexLink"/>
              </w:rPr>
              <w:t>90</w:t>
            </w:r>
          </w:hyperlink>
        </w:p>
        <w:p>
          <w:pPr>
            <w:pStyle w:val="Contents4"/>
            <w:tabs>
              <w:tab w:val="clear" w:pos="8176"/>
              <w:tab w:val="right" w:pos="9026" w:leader="dot"/>
            </w:tabs>
            <w:rPr/>
          </w:pPr>
          <w:hyperlink w:anchor="__RefHeading___Toc3140790_3531895371">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140792_3531895371">
            <w:r>
              <w:rPr>
                <w:webHidden/>
                <w:rStyle w:val="IndexLink"/>
              </w:rPr>
              <w:t>3/4/1</w:t>
            </w:r>
            <w:r>
              <w:rPr>
                <w:rStyle w:val="IndexLink"/>
                <w:rtl w:val="true"/>
              </w:rPr>
              <w:t xml:space="preserve">. </w:t>
            </w:r>
            <w:r>
              <w:rPr>
                <w:rStyle w:val="IndexLink"/>
                <w:rtl w:val="true"/>
              </w:rPr>
              <w:t>سن مسئولیت تام کیفری در فقه</w:t>
            </w:r>
            <w:r>
              <w:rPr>
                <w:rStyle w:val="IndexLink"/>
                <w:rtl w:val="true"/>
              </w:rPr>
              <w:tab/>
            </w:r>
            <w:r>
              <w:rPr>
                <w:rStyle w:val="IndexLink"/>
              </w:rPr>
              <w:t>90</w:t>
            </w:r>
          </w:hyperlink>
        </w:p>
        <w:p>
          <w:pPr>
            <w:pStyle w:val="Contents5"/>
            <w:tabs>
              <w:tab w:val="clear" w:pos="7892"/>
              <w:tab w:val="right" w:pos="9026" w:leader="dot"/>
            </w:tabs>
            <w:rPr/>
          </w:pPr>
          <w:hyperlink w:anchor="__RefHeading___Toc3140794_3531895371">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140796_3531895371">
            <w:r>
              <w:rPr>
                <w:webHidden/>
                <w:rStyle w:val="IndexLink"/>
                <w:rtl w:val="true"/>
              </w:rPr>
              <w:t>دیدگاه اول</w:t>
            </w:r>
            <w:r>
              <w:rPr>
                <w:rStyle w:val="IndexLink"/>
                <w:rtl w:val="true"/>
              </w:rPr>
              <w:t xml:space="preserve">: </w:t>
            </w:r>
            <w:r>
              <w:rPr>
                <w:rStyle w:val="IndexLink"/>
                <w:rtl w:val="true"/>
              </w:rPr>
              <w:t>بلوغ به عنوان شرط کافی</w:t>
            </w:r>
            <w:r>
              <w:rPr>
                <w:rStyle w:val="IndexLink"/>
                <w:rtl w:val="true"/>
              </w:rPr>
              <w:tab/>
            </w:r>
            <w:r>
              <w:rPr>
                <w:rStyle w:val="IndexLink"/>
              </w:rPr>
              <w:t>90</w:t>
            </w:r>
          </w:hyperlink>
        </w:p>
        <w:p>
          <w:pPr>
            <w:pStyle w:val="Contents6"/>
            <w:tabs>
              <w:tab w:val="clear" w:pos="7609"/>
              <w:tab w:val="right" w:pos="9026" w:leader="dot"/>
            </w:tabs>
            <w:rPr/>
          </w:pPr>
          <w:hyperlink w:anchor="__RefHeading___Toc3140798_3531895371">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140800_3531895371">
            <w:r>
              <w:rPr>
                <w:webHidden/>
                <w:rStyle w:val="IndexLink"/>
                <w:rtl w:val="true"/>
              </w:rPr>
              <w:t>فقهای متقدم</w:t>
            </w:r>
            <w:r>
              <w:rPr>
                <w:rStyle w:val="IndexLink"/>
                <w:rtl w:val="true"/>
              </w:rPr>
              <w:t>:</w:t>
              <w:tab/>
            </w:r>
            <w:r>
              <w:rPr>
                <w:rStyle w:val="IndexLink"/>
              </w:rPr>
              <w:t>90</w:t>
            </w:r>
          </w:hyperlink>
        </w:p>
        <w:p>
          <w:pPr>
            <w:pStyle w:val="Contents6"/>
            <w:tabs>
              <w:tab w:val="clear" w:pos="7609"/>
              <w:tab w:val="right" w:pos="9026" w:leader="dot"/>
            </w:tabs>
            <w:rPr/>
          </w:pPr>
          <w:hyperlink w:anchor="__RefHeading___Toc3140802_3531895371">
            <w:r>
              <w:rPr>
                <w:webHidden/>
                <w:rStyle w:val="IndexLink"/>
                <w:rtl w:val="true"/>
              </w:rPr>
              <w:t>فقهای معاصر</w:t>
            </w:r>
            <w:r>
              <w:rPr>
                <w:rStyle w:val="IndexLink"/>
                <w:rtl w:val="true"/>
              </w:rPr>
              <w:t>:</w:t>
              <w:tab/>
            </w:r>
            <w:r>
              <w:rPr>
                <w:rStyle w:val="IndexLink"/>
              </w:rPr>
              <w:t>91</w:t>
            </w:r>
          </w:hyperlink>
        </w:p>
        <w:p>
          <w:pPr>
            <w:pStyle w:val="Contents5"/>
            <w:tabs>
              <w:tab w:val="clear" w:pos="7892"/>
              <w:tab w:val="right" w:pos="9026" w:leader="dot"/>
            </w:tabs>
            <w:rPr/>
          </w:pPr>
          <w:hyperlink w:anchor="__RefHeading___Toc3140804_3531895371">
            <w:r>
              <w:rPr>
                <w:webHidden/>
                <w:rStyle w:val="IndexLink"/>
                <w:rtl w:val="true"/>
              </w:rPr>
              <w:t>دیدگاه دوم</w:t>
            </w:r>
            <w:r>
              <w:rPr>
                <w:rStyle w:val="IndexLink"/>
                <w:rtl w:val="true"/>
              </w:rPr>
              <w:t xml:space="preserve">: </w:t>
            </w:r>
            <w:r>
              <w:rPr>
                <w:rStyle w:val="IndexLink"/>
                <w:rtl w:val="true"/>
              </w:rPr>
              <w:t>لزوم بلوغ همراه با رشد کیفری</w:t>
            </w:r>
            <w:r>
              <w:rPr>
                <w:rStyle w:val="IndexLink"/>
                <w:rtl w:val="true"/>
              </w:rPr>
              <w:tab/>
            </w:r>
            <w:r>
              <w:rPr>
                <w:rStyle w:val="IndexLink"/>
              </w:rPr>
              <w:t>91</w:t>
            </w:r>
          </w:hyperlink>
        </w:p>
        <w:p>
          <w:pPr>
            <w:pStyle w:val="Contents6"/>
            <w:tabs>
              <w:tab w:val="clear" w:pos="7609"/>
              <w:tab w:val="right" w:pos="9026" w:leader="dot"/>
            </w:tabs>
            <w:rPr/>
          </w:pPr>
          <w:hyperlink w:anchor="__RefHeading___Toc3140806_3531895371">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3140808_3531895371">
            <w:r>
              <w:rPr>
                <w:webHidden/>
                <w:rStyle w:val="IndexLink"/>
                <w:rtl w:val="true"/>
              </w:rPr>
              <w:t>فقهای متقدم</w:t>
            </w:r>
            <w:r>
              <w:rPr>
                <w:rStyle w:val="IndexLink"/>
                <w:rtl w:val="true"/>
              </w:rPr>
              <w:t>:</w:t>
              <w:tab/>
            </w:r>
            <w:r>
              <w:rPr>
                <w:rStyle w:val="IndexLink"/>
              </w:rPr>
              <w:t>91</w:t>
            </w:r>
          </w:hyperlink>
        </w:p>
        <w:p>
          <w:pPr>
            <w:pStyle w:val="Contents6"/>
            <w:tabs>
              <w:tab w:val="clear" w:pos="7609"/>
              <w:tab w:val="right" w:pos="9026" w:leader="dot"/>
            </w:tabs>
            <w:rPr/>
          </w:pPr>
          <w:hyperlink w:anchor="__RefHeading___Toc3140810_3531895371">
            <w:r>
              <w:rPr>
                <w:webHidden/>
                <w:rStyle w:val="IndexLink"/>
                <w:rtl w:val="true"/>
              </w:rPr>
              <w:t>فقهای معاصر</w:t>
            </w:r>
            <w:r>
              <w:rPr>
                <w:rStyle w:val="IndexLink"/>
                <w:rtl w:val="true"/>
              </w:rPr>
              <w:t>:</w:t>
              <w:tab/>
            </w:r>
            <w:r>
              <w:rPr>
                <w:rStyle w:val="IndexLink"/>
              </w:rPr>
              <w:t>91</w:t>
            </w:r>
          </w:hyperlink>
        </w:p>
        <w:p>
          <w:pPr>
            <w:pStyle w:val="Contents6"/>
            <w:tabs>
              <w:tab w:val="clear" w:pos="7609"/>
              <w:tab w:val="right" w:pos="9026" w:leader="dot"/>
            </w:tabs>
            <w:rPr/>
          </w:pPr>
          <w:hyperlink w:anchor="__RefHeading___Toc3140812_3531895371">
            <w:r>
              <w:rPr>
                <w:webHidden/>
                <w:rStyle w:val="IndexLink"/>
                <w:rtl w:val="true"/>
              </w:rPr>
              <w:t>جمع بندی</w:t>
            </w:r>
            <w:r>
              <w:rPr>
                <w:rStyle w:val="IndexLink"/>
                <w:rtl w:val="true"/>
              </w:rPr>
              <w:t>:</w:t>
              <w:tab/>
            </w:r>
            <w:r>
              <w:rPr>
                <w:rStyle w:val="IndexLink"/>
              </w:rPr>
              <w:t>92</w:t>
            </w:r>
          </w:hyperlink>
        </w:p>
        <w:p>
          <w:pPr>
            <w:pStyle w:val="Contents3"/>
            <w:tabs>
              <w:tab w:val="clear" w:pos="8459"/>
              <w:tab w:val="right" w:pos="9026" w:leader="dot"/>
            </w:tabs>
            <w:rPr/>
          </w:pPr>
          <w:hyperlink w:anchor="__RefHeading___Toc3140814_3531895371">
            <w:r>
              <w:rPr>
                <w:webHidden/>
                <w:rStyle w:val="IndexLink"/>
              </w:rPr>
              <w:t>3/5</w:t>
            </w:r>
            <w:r>
              <w:rPr>
                <w:rStyle w:val="IndexLink"/>
                <w:rtl w:val="true"/>
              </w:rPr>
              <w:t xml:space="preserve">. </w:t>
            </w:r>
            <w:r>
              <w:rPr>
                <w:rStyle w:val="IndexLink"/>
                <w:rtl w:val="true"/>
              </w:rPr>
              <w:t>سن مسئولیت تام کیفری در قوانین بعد از انقلاب اسلامی</w:t>
            </w:r>
            <w:r>
              <w:rPr>
                <w:rStyle w:val="IndexLink"/>
                <w:rtl w:val="true"/>
              </w:rPr>
              <w:tab/>
            </w:r>
            <w:r>
              <w:rPr>
                <w:rStyle w:val="IndexLink"/>
              </w:rPr>
              <w:t>93</w:t>
            </w:r>
          </w:hyperlink>
        </w:p>
        <w:p>
          <w:pPr>
            <w:pStyle w:val="Contents4"/>
            <w:tabs>
              <w:tab w:val="clear" w:pos="8176"/>
              <w:tab w:val="right" w:pos="9026" w:leader="dot"/>
            </w:tabs>
            <w:rPr/>
          </w:pPr>
          <w:hyperlink w:anchor="__RefHeading___Toc3140816_3531895371">
            <w:r>
              <w:rPr>
                <w:webHidden/>
                <w:rStyle w:val="IndexLink"/>
              </w:rPr>
              <w:t>3/5/1</w:t>
            </w:r>
            <w:r>
              <w:rPr>
                <w:rStyle w:val="IndexLink"/>
                <w:rtl w:val="true"/>
              </w:rPr>
              <w:t xml:space="preserve">. </w:t>
            </w:r>
            <w:r>
              <w:rPr>
                <w:rStyle w:val="IndexLink"/>
                <w:rtl w:val="true"/>
              </w:rPr>
              <w:t xml:space="preserve">قانون مجازات اسلامی مصوب </w:t>
            </w:r>
            <w:r>
              <w:rPr>
                <w:rStyle w:val="IndexLink"/>
              </w:rPr>
              <w:t>1370</w:t>
            </w:r>
            <w:r>
              <w:rPr>
                <w:rStyle w:val="IndexLink"/>
                <w:rtl w:val="true"/>
              </w:rPr>
              <w:tab/>
            </w:r>
            <w:r>
              <w:rPr>
                <w:rStyle w:val="IndexLink"/>
              </w:rPr>
              <w:t>93</w:t>
            </w:r>
          </w:hyperlink>
        </w:p>
        <w:p>
          <w:pPr>
            <w:pStyle w:val="Contents5"/>
            <w:tabs>
              <w:tab w:val="clear" w:pos="7892"/>
              <w:tab w:val="right" w:pos="9026" w:leader="dot"/>
            </w:tabs>
            <w:rPr/>
          </w:pPr>
          <w:hyperlink w:anchor="__RefHeading___Toc3140818_3531895371">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140820_3531895371">
            <w:r>
              <w:rPr>
                <w:webHidden/>
                <w:rStyle w:val="IndexLink"/>
              </w:rPr>
              <w:t>1</w:t>
            </w:r>
            <w:r>
              <w:rPr>
                <w:rStyle w:val="IndexLink"/>
                <w:rtl w:val="true"/>
              </w:rPr>
              <w:t xml:space="preserve">. </w:t>
            </w:r>
            <w:r>
              <w:rPr>
                <w:rStyle w:val="IndexLink"/>
                <w:rtl w:val="true"/>
              </w:rPr>
              <w:t xml:space="preserve">تعیین نشدن محدوده دقیق </w:t>
            </w:r>
            <w:r>
              <w:rPr>
                <w:rStyle w:val="IndexLink"/>
                <w:rtl w:val="true"/>
              </w:rPr>
              <w:t>«</w:t>
            </w:r>
            <w:r>
              <w:rPr>
                <w:rStyle w:val="IndexLink"/>
                <w:rtl w:val="true"/>
              </w:rPr>
              <w:t>بلوغ شرعی</w:t>
            </w:r>
            <w:r>
              <w:rPr>
                <w:rStyle w:val="IndexLink"/>
                <w:rtl w:val="true"/>
              </w:rPr>
              <w:t xml:space="preserve">» </w:t>
            </w:r>
            <w:r>
              <w:rPr>
                <w:rStyle w:val="IndexLink"/>
                <w:rtl w:val="true"/>
              </w:rPr>
              <w:t>و ابهام در تعریف آن</w:t>
            </w:r>
            <w:r>
              <w:rPr>
                <w:rStyle w:val="IndexLink"/>
                <w:rtl w:val="true"/>
              </w:rPr>
              <w:tab/>
            </w:r>
            <w:r>
              <w:rPr>
                <w:rStyle w:val="IndexLink"/>
              </w:rPr>
              <w:t>93</w:t>
            </w:r>
          </w:hyperlink>
        </w:p>
        <w:p>
          <w:pPr>
            <w:pStyle w:val="Contents5"/>
            <w:tabs>
              <w:tab w:val="clear" w:pos="7892"/>
              <w:tab w:val="right" w:pos="9026" w:leader="dot"/>
            </w:tabs>
            <w:rPr/>
          </w:pPr>
          <w:hyperlink w:anchor="__RefHeading___Toc3140822_3531895371">
            <w:r>
              <w:rPr>
                <w:webHidden/>
                <w:rStyle w:val="IndexLink"/>
              </w:rPr>
              <w:t>2</w:t>
            </w:r>
            <w:r>
              <w:rPr>
                <w:rStyle w:val="IndexLink"/>
                <w:rtl w:val="true"/>
              </w:rPr>
              <w:t xml:space="preserve">. </w:t>
            </w:r>
            <w:r>
              <w:rPr>
                <w:rStyle w:val="IndexLink"/>
                <w:rtl w:val="true"/>
              </w:rPr>
              <w:t>عدم پیشبینی حداقل سن عدم مسئولیت کیفری</w:t>
            </w:r>
            <w:r>
              <w:rPr>
                <w:rStyle w:val="IndexLink"/>
                <w:rtl w:val="true"/>
              </w:rPr>
              <w:tab/>
            </w:r>
            <w:r>
              <w:rPr>
                <w:rStyle w:val="IndexLink"/>
              </w:rPr>
              <w:t>94</w:t>
            </w:r>
          </w:hyperlink>
        </w:p>
        <w:p>
          <w:pPr>
            <w:pStyle w:val="Contents5"/>
            <w:tabs>
              <w:tab w:val="clear" w:pos="7892"/>
              <w:tab w:val="right" w:pos="9026" w:leader="dot"/>
            </w:tabs>
            <w:rPr/>
          </w:pPr>
          <w:hyperlink w:anchor="__RefHeading___Toc3140824_3531895371">
            <w:r>
              <w:rPr>
                <w:webHidden/>
                <w:rStyle w:val="IndexLink"/>
              </w:rPr>
              <w:t>3</w:t>
            </w:r>
            <w:r>
              <w:rPr>
                <w:rStyle w:val="IndexLink"/>
                <w:rtl w:val="true"/>
              </w:rPr>
              <w:t xml:space="preserve">. </w:t>
            </w:r>
            <w:r>
              <w:rPr>
                <w:rStyle w:val="IndexLink"/>
                <w:rtl w:val="true"/>
              </w:rPr>
              <w:t>تعيين سن بلوغ جنسی به عنوان ملاک مسئولیت کیفری تام</w:t>
            </w:r>
            <w:r>
              <w:rPr>
                <w:rStyle w:val="IndexLink"/>
                <w:rtl w:val="true"/>
              </w:rPr>
              <w:tab/>
            </w:r>
            <w:r>
              <w:rPr>
                <w:rStyle w:val="IndexLink"/>
              </w:rPr>
              <w:t>94</w:t>
            </w:r>
          </w:hyperlink>
        </w:p>
        <w:p>
          <w:pPr>
            <w:pStyle w:val="Contents5"/>
            <w:tabs>
              <w:tab w:val="clear" w:pos="7892"/>
              <w:tab w:val="right" w:pos="9026" w:leader="dot"/>
            </w:tabs>
            <w:rPr/>
          </w:pPr>
          <w:hyperlink w:anchor="__RefHeading___Toc3140826_3531895371">
            <w:r>
              <w:rPr>
                <w:webHidden/>
                <w:rStyle w:val="IndexLink"/>
              </w:rPr>
              <w:t>4</w:t>
            </w:r>
            <w:r>
              <w:rPr>
                <w:rStyle w:val="IndexLink"/>
                <w:rtl w:val="true"/>
              </w:rPr>
              <w:t xml:space="preserve">. </w:t>
            </w:r>
            <w:r>
              <w:rPr>
                <w:rStyle w:val="IndexLink"/>
                <w:rtl w:val="true"/>
              </w:rPr>
              <w:t xml:space="preserve">تضاد در مفاد ماده </w:t>
            </w:r>
            <w:r>
              <w:rPr>
                <w:rStyle w:val="IndexLink"/>
              </w:rPr>
              <w:t>49</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r>
            <w:r>
              <w:rPr>
                <w:rStyle w:val="IndexLink"/>
                <w:rtl w:val="true"/>
              </w:rPr>
              <w:t>ا</w:t>
            </w:r>
            <w:r>
              <w:rPr>
                <w:rStyle w:val="IndexLink"/>
                <w:rtl w:val="true"/>
              </w:rPr>
              <w:t>.</w:t>
              <w:tab/>
            </w:r>
            <w:r>
              <w:rPr>
                <w:rStyle w:val="IndexLink"/>
              </w:rPr>
              <w:t>95</w:t>
            </w:r>
          </w:hyperlink>
        </w:p>
        <w:p>
          <w:pPr>
            <w:pStyle w:val="Contents5"/>
            <w:tabs>
              <w:tab w:val="clear" w:pos="7892"/>
              <w:tab w:val="right" w:pos="9026" w:leader="dot"/>
            </w:tabs>
            <w:rPr/>
          </w:pPr>
          <w:hyperlink w:anchor="__RefHeading___Toc3140828_3531895371">
            <w:r>
              <w:rPr>
                <w:webHidden/>
                <w:rStyle w:val="IndexLink"/>
              </w:rPr>
              <w:t>5</w:t>
            </w:r>
            <w:r>
              <w:rPr>
                <w:rStyle w:val="IndexLink"/>
                <w:rtl w:val="true"/>
              </w:rPr>
              <w:t xml:space="preserve">. </w:t>
            </w:r>
            <w:r>
              <w:rPr>
                <w:rStyle w:val="IndexLink"/>
                <w:rtl w:val="true"/>
              </w:rPr>
              <w:t>تعارض اصل عدم مسئولیت با مجازات پیش بینی شده برای نابالغان</w:t>
            </w:r>
            <w:r>
              <w:rPr>
                <w:rStyle w:val="IndexLink"/>
                <w:rtl w:val="true"/>
              </w:rPr>
              <w:tab/>
            </w:r>
            <w:r>
              <w:rPr>
                <w:rStyle w:val="IndexLink"/>
              </w:rPr>
              <w:t>95</w:t>
            </w:r>
          </w:hyperlink>
        </w:p>
        <w:p>
          <w:pPr>
            <w:pStyle w:val="Contents5"/>
            <w:tabs>
              <w:tab w:val="clear" w:pos="7892"/>
              <w:tab w:val="right" w:pos="9026" w:leader="dot"/>
            </w:tabs>
            <w:rPr/>
          </w:pPr>
          <w:hyperlink w:anchor="__RefHeading___Toc3140830_3531895371">
            <w:r>
              <w:rPr>
                <w:webHidden/>
                <w:rStyle w:val="IndexLink"/>
                <w:rtl w:val="true"/>
              </w:rPr>
              <w:t>جمع بندی</w:t>
            </w:r>
            <w:r>
              <w:rPr>
                <w:rStyle w:val="IndexLink"/>
                <w:rtl w:val="true"/>
              </w:rPr>
              <w:t>:</w:t>
              <w:tab/>
            </w:r>
            <w:r>
              <w:rPr>
                <w:rStyle w:val="IndexLink"/>
              </w:rPr>
              <w:t>95</w:t>
            </w:r>
          </w:hyperlink>
        </w:p>
        <w:p>
          <w:pPr>
            <w:pStyle w:val="Contents4"/>
            <w:tabs>
              <w:tab w:val="clear" w:pos="8176"/>
              <w:tab w:val="right" w:pos="9026" w:leader="dot"/>
            </w:tabs>
            <w:rPr/>
          </w:pPr>
          <w:hyperlink w:anchor="__RefHeading___Toc3140832_3531895371">
            <w:r>
              <w:rPr>
                <w:webHidden/>
                <w:rStyle w:val="IndexLink"/>
              </w:rPr>
              <w:t>3/5/2</w:t>
            </w:r>
            <w:r>
              <w:rPr>
                <w:rStyle w:val="IndexLink"/>
                <w:rtl w:val="true"/>
              </w:rPr>
              <w:t xml:space="preserve">. </w:t>
            </w:r>
            <w:r>
              <w:rPr>
                <w:rStyle w:val="IndexLink"/>
                <w:rtl w:val="true"/>
              </w:rPr>
              <w:t>لایحه جدید قانون مجازات اسلامی</w:t>
            </w:r>
            <w:r>
              <w:rPr>
                <w:rStyle w:val="IndexLink"/>
                <w:rtl w:val="true"/>
              </w:rPr>
              <w:tab/>
            </w:r>
            <w:r>
              <w:rPr>
                <w:rStyle w:val="IndexLink"/>
              </w:rPr>
              <w:t>96</w:t>
            </w:r>
          </w:hyperlink>
        </w:p>
        <w:p>
          <w:pPr>
            <w:pStyle w:val="Contents5"/>
            <w:tabs>
              <w:tab w:val="clear" w:pos="7892"/>
              <w:tab w:val="right" w:pos="9026" w:leader="dot"/>
            </w:tabs>
            <w:rPr/>
          </w:pPr>
          <w:hyperlink w:anchor="__RefHeading___Toc3140834_3531895371">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140836_3531895371">
            <w:r>
              <w:rPr>
                <w:webHidden/>
                <w:rStyle w:val="IndexLink"/>
                <w:rtl w:val="true"/>
              </w:rPr>
              <w:t>تحولات لایحه در سن مسئولیت تام کیفری</w:t>
            </w:r>
            <w:r>
              <w:rPr>
                <w:rStyle w:val="IndexLink"/>
                <w:rtl w:val="true"/>
              </w:rPr>
              <w:t>:</w:t>
              <w:tab/>
            </w:r>
            <w:r>
              <w:rPr>
                <w:rStyle w:val="IndexLink"/>
              </w:rPr>
              <w:t>96</w:t>
            </w:r>
          </w:hyperlink>
        </w:p>
        <w:p>
          <w:pPr>
            <w:pStyle w:val="Contents6"/>
            <w:tabs>
              <w:tab w:val="clear" w:pos="7609"/>
              <w:tab w:val="right" w:pos="9026" w:leader="dot"/>
            </w:tabs>
            <w:rPr/>
          </w:pPr>
          <w:hyperlink w:anchor="__RefHeading___Toc3140838_3531895371">
            <w:r>
              <w:rPr>
                <w:webHidden/>
                <w:rStyle w:val="IndexLink"/>
              </w:rPr>
              <w:t>1</w:t>
            </w:r>
            <w:r>
              <w:rPr>
                <w:rStyle w:val="IndexLink"/>
                <w:rtl w:val="true"/>
              </w:rPr>
              <w:t xml:space="preserve">. </w:t>
            </w:r>
            <w:r>
              <w:rPr>
                <w:rStyle w:val="IndexLink"/>
                <w:rtl w:val="true"/>
              </w:rPr>
              <w:t>در جرائم تعزیری</w:t>
            </w:r>
            <w:r>
              <w:rPr>
                <w:rStyle w:val="IndexLink"/>
                <w:rtl w:val="true"/>
              </w:rPr>
              <w:t>:</w:t>
              <w:tab/>
            </w:r>
            <w:r>
              <w:rPr>
                <w:rStyle w:val="IndexLink"/>
              </w:rPr>
              <w:t>96</w:t>
            </w:r>
          </w:hyperlink>
        </w:p>
        <w:p>
          <w:pPr>
            <w:pStyle w:val="Contents6"/>
            <w:tabs>
              <w:tab w:val="clear" w:pos="7609"/>
              <w:tab w:val="right" w:pos="9026" w:leader="dot"/>
            </w:tabs>
            <w:rPr/>
          </w:pPr>
          <w:hyperlink w:anchor="__RefHeading___Toc3140840_3531895371">
            <w:r>
              <w:rPr>
                <w:webHidden/>
                <w:rStyle w:val="IndexLink"/>
              </w:rPr>
              <w:t>2</w:t>
            </w:r>
            <w:r>
              <w:rPr>
                <w:rStyle w:val="IndexLink"/>
                <w:rtl w:val="true"/>
              </w:rPr>
              <w:t xml:space="preserve">. </w:t>
            </w:r>
            <w:r>
              <w:rPr>
                <w:rStyle w:val="IndexLink"/>
                <w:rtl w:val="true"/>
              </w:rPr>
              <w:t>در حدود و قصاص</w:t>
            </w:r>
            <w:r>
              <w:rPr>
                <w:rStyle w:val="IndexLink"/>
                <w:rtl w:val="true"/>
              </w:rPr>
              <w:t>:</w:t>
              <w:tab/>
            </w:r>
            <w:r>
              <w:rPr>
                <w:rStyle w:val="IndexLink"/>
              </w:rPr>
              <w:t>96</w:t>
            </w:r>
          </w:hyperlink>
        </w:p>
        <w:p>
          <w:pPr>
            <w:pStyle w:val="Contents3"/>
            <w:tabs>
              <w:tab w:val="clear" w:pos="8459"/>
              <w:tab w:val="right" w:pos="9026" w:leader="dot"/>
            </w:tabs>
            <w:rPr/>
          </w:pPr>
          <w:hyperlink w:anchor="__RefHeading___Toc3140842_3531895371">
            <w:r>
              <w:rPr>
                <w:webHidden/>
                <w:rStyle w:val="IndexLink"/>
              </w:rPr>
              <w:t>3/6</w:t>
            </w:r>
            <w:r>
              <w:rPr>
                <w:rStyle w:val="IndexLink"/>
                <w:rtl w:val="true"/>
              </w:rPr>
              <w:t xml:space="preserve">. </w:t>
            </w:r>
            <w:r>
              <w:rPr>
                <w:rStyle w:val="IndexLink"/>
                <w:rtl w:val="true"/>
              </w:rPr>
              <w:t>سن مسئولیت کیفری در قرآن</w:t>
            </w:r>
            <w:r>
              <w:rPr>
                <w:rStyle w:val="IndexLink"/>
                <w:rtl w:val="true"/>
              </w:rPr>
              <w:tab/>
            </w:r>
            <w:r>
              <w:rPr>
                <w:rStyle w:val="IndexLink"/>
              </w:rPr>
              <w:t>97</w:t>
            </w:r>
          </w:hyperlink>
        </w:p>
        <w:p>
          <w:pPr>
            <w:pStyle w:val="Contents4"/>
            <w:tabs>
              <w:tab w:val="clear" w:pos="8176"/>
              <w:tab w:val="right" w:pos="9026" w:leader="dot"/>
            </w:tabs>
            <w:rPr/>
          </w:pPr>
          <w:hyperlink w:anchor="__RefHeading___Toc3140844_3531895371">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140846_3531895371">
            <w:r>
              <w:rPr>
                <w:webHidden/>
                <w:rStyle w:val="IndexLink"/>
              </w:rPr>
              <w:t>1</w:t>
            </w:r>
            <w:r>
              <w:rPr>
                <w:rStyle w:val="IndexLink"/>
                <w:rtl w:val="true"/>
              </w:rPr>
              <w:t xml:space="preserve">. </w:t>
            </w:r>
            <w:r>
              <w:rPr>
                <w:rStyle w:val="IndexLink"/>
                <w:rtl w:val="true"/>
              </w:rPr>
              <w:t>بلوغ به مثابه امری طبیعی و تکوینی</w:t>
            </w:r>
            <w:r>
              <w:rPr>
                <w:rStyle w:val="IndexLink"/>
                <w:rtl w:val="true"/>
              </w:rPr>
              <w:tab/>
            </w:r>
            <w:r>
              <w:rPr>
                <w:rStyle w:val="IndexLink"/>
              </w:rPr>
              <w:t>97</w:t>
            </w:r>
          </w:hyperlink>
        </w:p>
        <w:p>
          <w:pPr>
            <w:pStyle w:val="Contents4"/>
            <w:tabs>
              <w:tab w:val="clear" w:pos="8176"/>
              <w:tab w:val="right" w:pos="9026" w:leader="dot"/>
            </w:tabs>
            <w:rPr/>
          </w:pPr>
          <w:hyperlink w:anchor="__RefHeading___Toc3140848_3531895371">
            <w:r>
              <w:rPr>
                <w:webHidden/>
                <w:rStyle w:val="IndexLink"/>
              </w:rPr>
              <w:t>2</w:t>
            </w:r>
            <w:r>
              <w:rPr>
                <w:rStyle w:val="IndexLink"/>
                <w:rtl w:val="true"/>
              </w:rPr>
              <w:t xml:space="preserve">. </w:t>
            </w:r>
            <w:r>
              <w:rPr>
                <w:rStyle w:val="IndexLink"/>
                <w:rtl w:val="true"/>
              </w:rPr>
              <w:t>معیار اصلی بلوغ توانایی جنسی و فکری</w:t>
            </w:r>
            <w:r>
              <w:rPr>
                <w:rStyle w:val="IndexLink"/>
                <w:rtl w:val="true"/>
              </w:rPr>
              <w:tab/>
            </w:r>
            <w:r>
              <w:rPr>
                <w:rStyle w:val="IndexLink"/>
              </w:rPr>
              <w:t>97</w:t>
            </w:r>
          </w:hyperlink>
        </w:p>
        <w:p>
          <w:pPr>
            <w:pStyle w:val="Contents4"/>
            <w:tabs>
              <w:tab w:val="clear" w:pos="8176"/>
              <w:tab w:val="right" w:pos="9026" w:leader="dot"/>
            </w:tabs>
            <w:rPr/>
          </w:pPr>
          <w:hyperlink w:anchor="__RefHeading___Toc3140850_3531895371">
            <w:r>
              <w:rPr>
                <w:webHidden/>
                <w:rStyle w:val="IndexLink"/>
              </w:rPr>
              <w:t>3</w:t>
            </w:r>
            <w:r>
              <w:rPr>
                <w:rStyle w:val="IndexLink"/>
                <w:rtl w:val="true"/>
              </w:rPr>
              <w:t xml:space="preserve">. </w:t>
            </w:r>
            <w:r>
              <w:rPr>
                <w:rStyle w:val="IndexLink"/>
                <w:rtl w:val="true"/>
              </w:rPr>
              <w:t>شرط دوگانه مسئولیت کیفری</w:t>
            </w:r>
            <w:r>
              <w:rPr>
                <w:rStyle w:val="IndexLink"/>
                <w:rtl w:val="true"/>
              </w:rPr>
              <w:tab/>
            </w:r>
            <w:r>
              <w:rPr>
                <w:rStyle w:val="IndexLink"/>
              </w:rPr>
              <w:t>98</w:t>
            </w:r>
          </w:hyperlink>
        </w:p>
        <w:p>
          <w:pPr>
            <w:pStyle w:val="Contents4"/>
            <w:tabs>
              <w:tab w:val="clear" w:pos="8176"/>
              <w:tab w:val="right" w:pos="9026" w:leader="dot"/>
            </w:tabs>
            <w:rPr/>
          </w:pPr>
          <w:hyperlink w:anchor="__RefHeading___Toc3140852_3531895371">
            <w:r>
              <w:rPr>
                <w:webHidden/>
                <w:rStyle w:val="IndexLink"/>
              </w:rPr>
              <w:t>4</w:t>
            </w:r>
            <w:r>
              <w:rPr>
                <w:rStyle w:val="IndexLink"/>
                <w:rtl w:val="true"/>
              </w:rPr>
              <w:t xml:space="preserve">. </w:t>
            </w:r>
            <w:r>
              <w:rPr>
                <w:rStyle w:val="IndexLink"/>
                <w:rtl w:val="true"/>
              </w:rPr>
              <w:t>عدم موضوعیت سن در تحقق بلوغ</w:t>
            </w:r>
            <w:r>
              <w:rPr>
                <w:rStyle w:val="IndexLink"/>
                <w:rtl w:val="true"/>
              </w:rPr>
              <w:tab/>
            </w:r>
            <w:r>
              <w:rPr>
                <w:rStyle w:val="IndexLink"/>
              </w:rPr>
              <w:t>98</w:t>
            </w:r>
          </w:hyperlink>
        </w:p>
        <w:p>
          <w:pPr>
            <w:pStyle w:val="Contents3"/>
            <w:tabs>
              <w:tab w:val="clear" w:pos="8459"/>
              <w:tab w:val="right" w:pos="9026" w:leader="dot"/>
            </w:tabs>
            <w:rPr/>
          </w:pPr>
          <w:hyperlink w:anchor="__RefHeading___Toc3140854_3531895371">
            <w:r>
              <w:rPr>
                <w:webHidden/>
                <w:rStyle w:val="IndexLink"/>
              </w:rPr>
              <w:t>3/7</w:t>
            </w:r>
            <w:r>
              <w:rPr>
                <w:rStyle w:val="IndexLink"/>
                <w:rtl w:val="true"/>
              </w:rPr>
              <w:t xml:space="preserve">. </w:t>
            </w:r>
            <w:r>
              <w:rPr>
                <w:rStyle w:val="IndexLink"/>
                <w:rtl w:val="true"/>
              </w:rPr>
              <w:t>سن مسئولیت کیفری در سُنّت</w:t>
            </w:r>
            <w:r>
              <w:rPr>
                <w:rStyle w:val="IndexLink"/>
                <w:rtl w:val="true"/>
              </w:rPr>
              <w:tab/>
            </w:r>
            <w:r>
              <w:rPr>
                <w:rStyle w:val="IndexLink"/>
              </w:rPr>
              <w:t>99</w:t>
            </w:r>
          </w:hyperlink>
        </w:p>
        <w:p>
          <w:pPr>
            <w:pStyle w:val="Contents4"/>
            <w:tabs>
              <w:tab w:val="clear" w:pos="8176"/>
              <w:tab w:val="right" w:pos="9026" w:leader="dot"/>
            </w:tabs>
            <w:rPr/>
          </w:pPr>
          <w:hyperlink w:anchor="__RefHeading___Toc3140856_3531895371">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40858_3531895371">
            <w:r>
              <w:rPr>
                <w:webHidden/>
                <w:rStyle w:val="IndexLink"/>
              </w:rPr>
              <w:t>3/7/1</w:t>
            </w:r>
            <w:r>
              <w:rPr>
                <w:rStyle w:val="IndexLink"/>
                <w:rtl w:val="true"/>
              </w:rPr>
              <w:t xml:space="preserve">. </w:t>
            </w:r>
            <w:r>
              <w:rPr>
                <w:rStyle w:val="IndexLink"/>
                <w:rtl w:val="true"/>
              </w:rPr>
              <w:t xml:space="preserve">سن مسئولیت کیفری در روایات پیامبر اکرم </w:t>
            </w:r>
            <w:r>
              <w:rPr>
                <w:rStyle w:val="IndexLink"/>
                <w:rtl w:val="true"/>
              </w:rPr>
              <w:t>(</w:t>
            </w:r>
            <w:r>
              <w:rPr>
                <w:rStyle w:val="IndexLink"/>
                <w:rtl w:val="true"/>
              </w:rPr>
              <w:t>صلی الله علیه و آله</w:t>
            </w:r>
            <w:r>
              <w:rPr>
                <w:rStyle w:val="IndexLink"/>
                <w:rtl w:val="true"/>
              </w:rPr>
              <w:t>)</w:t>
              <w:tab/>
            </w:r>
            <w:r>
              <w:rPr>
                <w:rStyle w:val="IndexLink"/>
              </w:rPr>
              <w:t>99</w:t>
            </w:r>
          </w:hyperlink>
        </w:p>
        <w:p>
          <w:pPr>
            <w:pStyle w:val="Contents5"/>
            <w:tabs>
              <w:tab w:val="clear" w:pos="7892"/>
              <w:tab w:val="right" w:pos="9026" w:leader="dot"/>
            </w:tabs>
            <w:rPr/>
          </w:pPr>
          <w:hyperlink w:anchor="__RefHeading___Toc3140860_3531895371">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140862_3531895371">
            <w:r>
              <w:rPr>
                <w:webHidden/>
                <w:rStyle w:val="IndexLink"/>
              </w:rPr>
              <w:t>1</w:t>
            </w:r>
            <w:r>
              <w:rPr>
                <w:rStyle w:val="IndexLink"/>
                <w:rtl w:val="true"/>
              </w:rPr>
              <w:t xml:space="preserve">. </w:t>
            </w:r>
            <w:r>
              <w:rPr>
                <w:rStyle w:val="IndexLink"/>
                <w:rtl w:val="true"/>
              </w:rPr>
              <w:t>انسجام با آیات قرآن</w:t>
            </w:r>
            <w:r>
              <w:rPr>
                <w:rStyle w:val="IndexLink"/>
                <w:rtl w:val="true"/>
              </w:rPr>
              <w:tab/>
            </w:r>
            <w:r>
              <w:rPr>
                <w:rStyle w:val="IndexLink"/>
              </w:rPr>
              <w:t>99</w:t>
            </w:r>
          </w:hyperlink>
        </w:p>
        <w:p>
          <w:pPr>
            <w:pStyle w:val="Contents5"/>
            <w:tabs>
              <w:tab w:val="clear" w:pos="7892"/>
              <w:tab w:val="right" w:pos="9026" w:leader="dot"/>
            </w:tabs>
            <w:rPr/>
          </w:pPr>
          <w:hyperlink w:anchor="__RefHeading___Toc3140864_3531895371">
            <w:r>
              <w:rPr>
                <w:webHidden/>
                <w:rStyle w:val="IndexLink"/>
              </w:rPr>
              <w:t>2</w:t>
            </w:r>
            <w:r>
              <w:rPr>
                <w:rStyle w:val="IndexLink"/>
                <w:rtl w:val="true"/>
              </w:rPr>
              <w:t xml:space="preserve">. </w:t>
            </w:r>
            <w:r>
              <w:rPr>
                <w:rStyle w:val="IndexLink"/>
                <w:rtl w:val="true"/>
              </w:rPr>
              <w:t>احتلام به عنوان معیار اصلی بلوغ</w:t>
            </w:r>
            <w:r>
              <w:rPr>
                <w:rStyle w:val="IndexLink"/>
                <w:rtl w:val="true"/>
              </w:rPr>
              <w:tab/>
            </w:r>
            <w:r>
              <w:rPr>
                <w:rStyle w:val="IndexLink"/>
              </w:rPr>
              <w:t>99</w:t>
            </w:r>
          </w:hyperlink>
        </w:p>
        <w:p>
          <w:pPr>
            <w:pStyle w:val="Contents5"/>
            <w:tabs>
              <w:tab w:val="clear" w:pos="7892"/>
              <w:tab w:val="right" w:pos="9026" w:leader="dot"/>
            </w:tabs>
            <w:rPr/>
          </w:pPr>
          <w:hyperlink w:anchor="__RefHeading___Toc3140866_3531895371">
            <w:r>
              <w:rPr>
                <w:webHidden/>
                <w:rStyle w:val="IndexLink"/>
              </w:rPr>
              <w:t>3</w:t>
            </w:r>
            <w:r>
              <w:rPr>
                <w:rStyle w:val="IndexLink"/>
                <w:rtl w:val="true"/>
              </w:rPr>
              <w:t xml:space="preserve">. </w:t>
            </w:r>
            <w:r>
              <w:rPr>
                <w:rStyle w:val="IndexLink"/>
                <w:rtl w:val="true"/>
              </w:rPr>
              <w:t>معيار واحد بلوغ برای پسران و دختران</w:t>
            </w:r>
            <w:r>
              <w:rPr>
                <w:rStyle w:val="IndexLink"/>
                <w:rtl w:val="true"/>
              </w:rPr>
              <w:tab/>
            </w:r>
            <w:r>
              <w:rPr>
                <w:rStyle w:val="IndexLink"/>
              </w:rPr>
              <w:t>99</w:t>
            </w:r>
          </w:hyperlink>
        </w:p>
        <w:p>
          <w:pPr>
            <w:pStyle w:val="Contents5"/>
            <w:tabs>
              <w:tab w:val="clear" w:pos="7892"/>
              <w:tab w:val="right" w:pos="9026" w:leader="dot"/>
            </w:tabs>
            <w:rPr/>
          </w:pPr>
          <w:hyperlink w:anchor="__RefHeading___Toc3140868_3531895371">
            <w:r>
              <w:rPr>
                <w:webHidden/>
                <w:rStyle w:val="IndexLink"/>
              </w:rPr>
              <w:t>4</w:t>
            </w:r>
            <w:r>
              <w:rPr>
                <w:rStyle w:val="IndexLink"/>
                <w:rtl w:val="true"/>
              </w:rPr>
              <w:t xml:space="preserve">. </w:t>
            </w:r>
            <w:r>
              <w:rPr>
                <w:rStyle w:val="IndexLink"/>
                <w:rtl w:val="true"/>
              </w:rPr>
              <w:t>شرط دوگانه برای مسئولیت کیفری</w:t>
            </w:r>
            <w:r>
              <w:rPr>
                <w:rStyle w:val="IndexLink"/>
                <w:rtl w:val="true"/>
              </w:rPr>
              <w:tab/>
            </w:r>
            <w:r>
              <w:rPr>
                <w:rStyle w:val="IndexLink"/>
              </w:rPr>
              <w:t>100</w:t>
            </w:r>
          </w:hyperlink>
        </w:p>
        <w:p>
          <w:pPr>
            <w:pStyle w:val="Contents5"/>
            <w:tabs>
              <w:tab w:val="clear" w:pos="7892"/>
              <w:tab w:val="right" w:pos="9026" w:leader="dot"/>
            </w:tabs>
            <w:rPr/>
          </w:pPr>
          <w:hyperlink w:anchor="__RefHeading___Toc3140870_3531895371">
            <w:r>
              <w:rPr>
                <w:webHidden/>
                <w:rStyle w:val="IndexLink"/>
                <w:rtl w:val="true"/>
              </w:rPr>
              <w:t>نتیجه گیری</w:t>
            </w:r>
            <w:r>
              <w:rPr>
                <w:rStyle w:val="IndexLink"/>
                <w:rtl w:val="true"/>
              </w:rPr>
              <w:t>:</w:t>
              <w:tab/>
            </w:r>
            <w:r>
              <w:rPr>
                <w:rStyle w:val="IndexLink"/>
              </w:rPr>
              <w:t>100</w:t>
            </w:r>
          </w:hyperlink>
        </w:p>
        <w:p>
          <w:pPr>
            <w:pStyle w:val="Contents4"/>
            <w:tabs>
              <w:tab w:val="clear" w:pos="8176"/>
              <w:tab w:val="right" w:pos="9026" w:leader="dot"/>
            </w:tabs>
            <w:rPr/>
          </w:pPr>
          <w:hyperlink w:anchor="__RefHeading___Toc3140872_3531895371">
            <w:r>
              <w:rPr>
                <w:webHidden/>
                <w:rStyle w:val="IndexLink"/>
              </w:rPr>
              <w:t>3/7/2</w:t>
            </w:r>
            <w:r>
              <w:rPr>
                <w:rStyle w:val="IndexLink"/>
                <w:rtl w:val="true"/>
              </w:rPr>
              <w:t xml:space="preserve">. </w:t>
            </w:r>
            <w:r>
              <w:rPr>
                <w:rStyle w:val="IndexLink"/>
                <w:rtl w:val="true"/>
              </w:rPr>
              <w:t>سن مسئولیت کیفری در احادیث امامان معصوم علیهم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3140874_3531895371">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140876_3531895371">
            <w:r>
              <w:rPr>
                <w:webHidden/>
                <w:rStyle w:val="IndexLink"/>
              </w:rPr>
              <w:t>1</w:t>
            </w:r>
            <w:r>
              <w:rPr>
                <w:rStyle w:val="IndexLink"/>
                <w:rtl w:val="true"/>
              </w:rPr>
              <w:t xml:space="preserve">. </w:t>
            </w:r>
            <w:r>
              <w:rPr>
                <w:rStyle w:val="IndexLink"/>
                <w:rtl w:val="true"/>
              </w:rPr>
              <w:t xml:space="preserve">روایاتی که بلوغ را منحصراً با نشانه های طبیعی </w:t>
            </w:r>
            <w:r>
              <w:rPr>
                <w:rStyle w:val="IndexLink"/>
                <w:rtl w:val="true"/>
              </w:rPr>
              <w:t>(</w:t>
            </w:r>
            <w:r>
              <w:rPr>
                <w:rStyle w:val="IndexLink"/>
                <w:rtl w:val="true"/>
              </w:rPr>
              <w:t>تکوینی</w:t>
            </w:r>
            <w:r>
              <w:rPr>
                <w:rStyle w:val="IndexLink"/>
                <w:rtl w:val="true"/>
              </w:rPr>
              <w:t xml:space="preserve">) </w:t>
            </w:r>
            <w:r>
              <w:rPr>
                <w:rStyle w:val="IndexLink"/>
                <w:rtl w:val="true"/>
              </w:rPr>
              <w:t>بیان می کنند</w:t>
            </w:r>
            <w:r>
              <w:rPr>
                <w:rStyle w:val="IndexLink"/>
                <w:rtl w:val="true"/>
              </w:rPr>
              <w:tab/>
            </w:r>
            <w:r>
              <w:rPr>
                <w:rStyle w:val="IndexLink"/>
              </w:rPr>
              <w:t>100</w:t>
            </w:r>
          </w:hyperlink>
        </w:p>
        <w:p>
          <w:pPr>
            <w:pStyle w:val="Contents5"/>
            <w:tabs>
              <w:tab w:val="clear" w:pos="7892"/>
              <w:tab w:val="right" w:pos="9026" w:leader="dot"/>
            </w:tabs>
            <w:rPr/>
          </w:pPr>
          <w:hyperlink w:anchor="__RefHeading___Toc3140878_3531895371">
            <w:r>
              <w:rPr>
                <w:webHidden/>
                <w:rStyle w:val="IndexLink"/>
              </w:rPr>
              <w:t>2</w:t>
            </w:r>
            <w:r>
              <w:rPr>
                <w:rStyle w:val="IndexLink"/>
                <w:rtl w:val="true"/>
              </w:rPr>
              <w:t xml:space="preserve">. </w:t>
            </w:r>
            <w:r>
              <w:rPr>
                <w:rStyle w:val="IndexLink"/>
                <w:rtl w:val="true"/>
              </w:rPr>
              <w:t>روایاتی که سن را همراه با نشانه های طبیعی ذکر کرده اند</w:t>
            </w:r>
            <w:r>
              <w:rPr>
                <w:rStyle w:val="IndexLink"/>
                <w:rtl w:val="true"/>
              </w:rPr>
              <w:tab/>
            </w:r>
            <w:r>
              <w:rPr>
                <w:rStyle w:val="IndexLink"/>
              </w:rPr>
              <w:t>101</w:t>
            </w:r>
          </w:hyperlink>
        </w:p>
        <w:p>
          <w:pPr>
            <w:pStyle w:val="Contents5"/>
            <w:tabs>
              <w:tab w:val="clear" w:pos="7892"/>
              <w:tab w:val="right" w:pos="9026" w:leader="dot"/>
            </w:tabs>
            <w:rPr/>
          </w:pPr>
          <w:hyperlink w:anchor="__RefHeading___Toc3140880_3531895371">
            <w:r>
              <w:rPr>
                <w:webHidden/>
                <w:rStyle w:val="IndexLink"/>
              </w:rPr>
              <w:t>3</w:t>
            </w:r>
            <w:r>
              <w:rPr>
                <w:rStyle w:val="IndexLink"/>
                <w:rtl w:val="true"/>
              </w:rPr>
              <w:t xml:space="preserve">. </w:t>
            </w:r>
            <w:r>
              <w:rPr>
                <w:rStyle w:val="IndexLink"/>
                <w:rtl w:val="true"/>
              </w:rPr>
              <w:t>روایاتی که صرفاً سن را به عنوان علامت بلوغ معرفی می کنند</w:t>
            </w:r>
            <w:r>
              <w:rPr>
                <w:rStyle w:val="IndexLink"/>
                <w:rtl w:val="true"/>
              </w:rPr>
              <w:tab/>
            </w:r>
            <w:r>
              <w:rPr>
                <w:rStyle w:val="IndexLink"/>
              </w:rPr>
              <w:t>101</w:t>
            </w:r>
          </w:hyperlink>
        </w:p>
        <w:p>
          <w:pPr>
            <w:pStyle w:val="Contents5"/>
            <w:tabs>
              <w:tab w:val="clear" w:pos="7892"/>
              <w:tab w:val="right" w:pos="9026" w:leader="dot"/>
            </w:tabs>
            <w:rPr/>
          </w:pPr>
          <w:hyperlink w:anchor="__RefHeading___Toc3140882_3531895371">
            <w:r>
              <w:rPr>
                <w:webHidden/>
                <w:rStyle w:val="IndexLink"/>
                <w:rtl w:val="true"/>
              </w:rPr>
              <w:t>تحلیل دسته نخست</w:t>
            </w:r>
            <w:r>
              <w:rPr>
                <w:rStyle w:val="IndexLink"/>
                <w:rtl w:val="true"/>
              </w:rPr>
              <w:t xml:space="preserve">: </w:t>
            </w:r>
            <w:r>
              <w:rPr>
                <w:rStyle w:val="IndexLink"/>
                <w:rtl w:val="true"/>
              </w:rPr>
              <w:t>تأکید بر جنبه تکوینی بلوغ</w:t>
            </w:r>
            <w:r>
              <w:rPr>
                <w:rStyle w:val="IndexLink"/>
                <w:rtl w:val="true"/>
              </w:rPr>
              <w:tab/>
            </w:r>
            <w:r>
              <w:rPr>
                <w:rStyle w:val="IndexLink"/>
              </w:rPr>
              <w:t>101</w:t>
            </w:r>
          </w:hyperlink>
        </w:p>
        <w:p>
          <w:pPr>
            <w:pStyle w:val="Contents5"/>
            <w:tabs>
              <w:tab w:val="clear" w:pos="7892"/>
              <w:tab w:val="right" w:pos="9026" w:leader="dot"/>
            </w:tabs>
            <w:rPr/>
          </w:pPr>
          <w:hyperlink w:anchor="__RefHeading___Toc3140884_3531895371">
            <w:r>
              <w:rPr>
                <w:webHidden/>
                <w:rStyle w:val="IndexLink"/>
                <w:rtl w:val="true"/>
              </w:rPr>
              <w:t>نتیجه گیری کلی</w:t>
            </w:r>
            <w:r>
              <w:rPr>
                <w:rStyle w:val="IndexLink"/>
                <w:rtl w:val="true"/>
              </w:rPr>
              <w:t>:</w:t>
              <w:tab/>
            </w:r>
            <w:r>
              <w:rPr>
                <w:rStyle w:val="IndexLink"/>
              </w:rPr>
              <w:t>101</w:t>
            </w:r>
          </w:hyperlink>
        </w:p>
        <w:p>
          <w:pPr>
            <w:pStyle w:val="Contents2"/>
            <w:tabs>
              <w:tab w:val="clear" w:pos="8743"/>
              <w:tab w:val="right" w:pos="9026" w:leader="dot"/>
            </w:tabs>
            <w:rPr/>
          </w:pPr>
          <w:hyperlink w:anchor="__RefHeading___Toc3140886_3531895371">
            <w:r>
              <w:rPr>
                <w:webHidden/>
                <w:rStyle w:val="IndexLink"/>
                <w:rtl w:val="true"/>
              </w:rPr>
              <w:t>فصل چهارم</w:t>
            </w:r>
            <w:r>
              <w:rPr>
                <w:rStyle w:val="IndexLink"/>
                <w:rtl w:val="true"/>
              </w:rPr>
              <w:t xml:space="preserve">: </w:t>
            </w:r>
            <w:r>
              <w:rPr>
                <w:rStyle w:val="IndexLink"/>
                <w:rtl w:val="true"/>
              </w:rPr>
              <w:t>منابع و مأخذ</w:t>
            </w:r>
            <w:r>
              <w:rPr>
                <w:rStyle w:val="IndexLink"/>
                <w:rtl w:val="true"/>
              </w:rPr>
              <w:tab/>
            </w:r>
            <w:r>
              <w:rPr>
                <w:rStyle w:val="IndexLink"/>
              </w:rPr>
              <w:t>104</w:t>
            </w:r>
          </w:hyperlink>
        </w:p>
        <w:p>
          <w:pPr>
            <w:pStyle w:val="Contents3"/>
            <w:tabs>
              <w:tab w:val="clear" w:pos="8459"/>
              <w:tab w:val="right" w:pos="9026" w:leader="dot"/>
            </w:tabs>
            <w:rPr/>
          </w:pPr>
          <w:hyperlink w:anchor="__RefHeading___Toc3140888_3531895371">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140890_3531895371">
            <w:r>
              <w:rPr>
                <w:webHidden/>
                <w:rStyle w:val="IndexLink"/>
                <w:rtl w:val="true"/>
              </w:rPr>
              <w:t>کتاب ها</w:t>
            </w:r>
            <w:r>
              <w:rPr>
                <w:rStyle w:val="IndexLink"/>
                <w:rtl w:val="true"/>
              </w:rPr>
              <w:tab/>
            </w:r>
            <w:r>
              <w:rPr>
                <w:rStyle w:val="IndexLink"/>
              </w:rPr>
              <w:t>105</w:t>
            </w:r>
          </w:hyperlink>
        </w:p>
        <w:p>
          <w:pPr>
            <w:pStyle w:val="Contents3"/>
            <w:tabs>
              <w:tab w:val="clear" w:pos="8459"/>
              <w:tab w:val="right" w:pos="9026" w:leader="dot"/>
            </w:tabs>
            <w:rPr/>
          </w:pPr>
          <w:hyperlink w:anchor="__RefHeading___Toc3140892_3531895371">
            <w:r>
              <w:rPr>
                <w:webHidden/>
                <w:rStyle w:val="IndexLink"/>
                <w:rtl w:val="true"/>
              </w:rPr>
              <w:t>مقالات</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5_781476"/>
      <w:bookmarkStart w:id="1" w:name="pg20875_781476"/>
      <w:bookmarkEnd w:id="1"/>
    </w:p>
    <w:p>
      <w:pPr>
        <w:pStyle w:val="Heading2"/>
        <w:numPr>
          <w:ilvl w:val="1"/>
          <w:numId w:val="1"/>
        </w:numPr>
        <w:rPr/>
      </w:pPr>
      <w:bookmarkStart w:id="2" w:name="pg20875_781476"/>
      <w:bookmarkStart w:id="3" w:name="__RefHeading___Toc314049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دستگردی،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عنوان قراردادی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احکام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Laws, etc</w:t>
      </w:r>
    </w:p>
    <w:p>
      <w:pPr>
        <w:pStyle w:val="BookText"/>
        <w:rPr/>
      </w:pPr>
      <w:r>
        <w:rPr>
          <w:rFonts w:ascii="IRNazanin" w:hAnsi="IRNazanin" w:eastAsia="IRNazanin"/>
          <w:color w:val="111111"/>
          <w:sz w:val="28"/>
          <w:sz w:val="28"/>
          <w:szCs w:val="28"/>
          <w:rtl w:val="true"/>
          <w:lang w:bidi="fa-IR"/>
        </w:rPr>
        <w:t>عنوان و نام پدیدآوراز فطرت تا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آیینه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تالیف محمدرضا</w:t>
      </w:r>
    </w:p>
    <w:p>
      <w:pPr>
        <w:pStyle w:val="BookText"/>
        <w:rPr/>
      </w:pPr>
      <w:r>
        <w:rPr>
          <w:rFonts w:ascii="IRNazanin" w:hAnsi="IRNazanin" w:eastAsia="IRNazanin"/>
          <w:color w:val="111111"/>
          <w:sz w:val="28"/>
          <w:sz w:val="28"/>
          <w:szCs w:val="28"/>
          <w:rtl w:val="true"/>
          <w:lang w:bidi="fa-IR"/>
        </w:rPr>
        <w:t>شفیعی دستگردی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87547</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آیینه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Criminal liability-- Iran</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Puberty (Islamic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Age (Law) -- Iran</w:t>
      </w:r>
    </w:p>
    <w:p>
      <w:pPr>
        <w:pStyle w:val="BookText"/>
        <w:rPr/>
      </w:pPr>
      <w:r>
        <w:rPr>
          <w:rFonts w:ascii="IRNazanin" w:hAnsi="IRNazanin" w:eastAsia="IRNazanin"/>
          <w:color w:val="111111"/>
          <w:sz w:val="28"/>
          <w:sz w:val="28"/>
          <w:szCs w:val="28"/>
          <w:rtl w:val="true"/>
          <w:lang w:bidi="fa-IR"/>
        </w:rPr>
        <w:t xml:space="preserve">مسوولیت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Criminal liability (Islamic law</w:t>
      </w:r>
    </w:p>
    <w:p>
      <w:pPr>
        <w:pStyle w:val="BookText"/>
        <w:rPr/>
      </w:pPr>
      <w:r>
        <w:rPr>
          <w:rFonts w:ascii="IRNazanin" w:hAnsi="IRNazanin" w:eastAsia="IRNazanin"/>
          <w:color w:val="111111"/>
          <w:sz w:val="28"/>
          <w:sz w:val="28"/>
          <w:szCs w:val="28"/>
          <w:rtl w:val="true"/>
          <w:lang w:bidi="fa-IR"/>
        </w:rPr>
        <w:t xml:space="preserve">مسوولیت جزائی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Criminal liability -- Law and</w:t>
      </w:r>
    </w:p>
    <w:p>
      <w:pPr>
        <w:pStyle w:val="BookText"/>
        <w:rPr/>
      </w:pPr>
      <w:r>
        <w:rPr>
          <w:rFonts w:eastAsia="Times New Roman" w:cs="Times New Roman" w:ascii="Times New Roman" w:hAnsi="Times New Roman"/>
          <w:color w:val="111111"/>
          <w:sz w:val="28"/>
          <w:szCs w:val="28"/>
          <w:lang w:val="en-US" w:bidi="en-US"/>
        </w:rPr>
        <w:t>legislation -- Iran</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Puberty -- Religious aspects -- Islam</w:t>
      </w:r>
    </w:p>
    <w:p>
      <w:pPr>
        <w:pStyle w:val="BookText"/>
        <w:rPr/>
      </w:pPr>
      <w:r>
        <w:rPr>
          <w:rFonts w:ascii="IRNazanin" w:hAnsi="IRNazanin" w:eastAsia="IRNazanin"/>
          <w:color w:val="111111"/>
          <w:sz w:val="28"/>
          <w:sz w:val="28"/>
          <w:szCs w:val="28"/>
          <w:rtl w:val="true"/>
          <w:lang w:bidi="fa-IR"/>
        </w:rPr>
        <w:t xml:space="preserve">جرم و جنایت و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Crime and age -- Iran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KMH3878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345/0455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10353553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050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فطرت تا قانون</w:t>
      </w:r>
    </w:p>
    <w:p>
      <w:pPr>
        <w:pStyle w:val="BookText"/>
        <w:rPr/>
      </w:pPr>
      <w:r>
        <w:rPr>
          <w:rFonts w:ascii="IRNazanin" w:hAnsi="IRNazanin" w:eastAsia="IRNazanin"/>
          <w:color w:val="111111"/>
          <w:sz w:val="28"/>
          <w:sz w:val="28"/>
          <w:szCs w:val="28"/>
          <w:rtl w:val="true"/>
          <w:lang w:bidi="fa-IR"/>
        </w:rPr>
        <w:t>انسان در آیینه مسئولیت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شفیعی دستگردی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دستگردی،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عنوان قراردادی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احکام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Laws, etc</w:t>
      </w:r>
    </w:p>
    <w:p>
      <w:pPr>
        <w:pStyle w:val="BookText"/>
        <w:rPr/>
      </w:pPr>
      <w:r>
        <w:rPr>
          <w:rFonts w:ascii="IRNazanin" w:hAnsi="IRNazanin" w:eastAsia="IRNazanin"/>
          <w:color w:val="111111"/>
          <w:sz w:val="28"/>
          <w:sz w:val="28"/>
          <w:szCs w:val="28"/>
          <w:rtl w:val="true"/>
          <w:lang w:bidi="fa-IR"/>
        </w:rPr>
        <w:t>عنوان و نام پدیدآوراز فطرت تا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آیینه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تالیف محمدرضا</w:t>
      </w:r>
    </w:p>
    <w:p>
      <w:pPr>
        <w:pStyle w:val="BookText"/>
        <w:rPr/>
      </w:pPr>
      <w:r>
        <w:rPr>
          <w:rFonts w:ascii="IRNazanin" w:hAnsi="IRNazanin" w:eastAsia="IRNazanin"/>
          <w:color w:val="111111"/>
          <w:sz w:val="28"/>
          <w:sz w:val="28"/>
          <w:szCs w:val="28"/>
          <w:rtl w:val="true"/>
          <w:lang w:bidi="fa-IR"/>
        </w:rPr>
        <w:t>شفیعی دستگردی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87547</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آیینه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Criminal liability-- Iran</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Puberty (Islamic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Age (Law) -- Iran</w:t>
      </w:r>
    </w:p>
    <w:p>
      <w:pPr>
        <w:pStyle w:val="BookText"/>
        <w:rPr/>
      </w:pPr>
      <w:r>
        <w:rPr>
          <w:rFonts w:ascii="IRNazanin" w:hAnsi="IRNazanin" w:eastAsia="IRNazanin"/>
          <w:color w:val="111111"/>
          <w:sz w:val="28"/>
          <w:sz w:val="28"/>
          <w:szCs w:val="28"/>
          <w:rtl w:val="true"/>
          <w:lang w:bidi="fa-IR"/>
        </w:rPr>
        <w:t xml:space="preserve">مسوولیت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Criminal liability (Islamic law</w:t>
      </w:r>
    </w:p>
    <w:p>
      <w:pPr>
        <w:pStyle w:val="BookText"/>
        <w:rPr/>
      </w:pPr>
      <w:r>
        <w:rPr>
          <w:rFonts w:ascii="IRNazanin" w:hAnsi="IRNazanin" w:eastAsia="IRNazanin"/>
          <w:color w:val="111111"/>
          <w:sz w:val="28"/>
          <w:sz w:val="28"/>
          <w:szCs w:val="28"/>
          <w:rtl w:val="true"/>
          <w:lang w:bidi="fa-IR"/>
        </w:rPr>
        <w:t xml:space="preserve">مسوولیت جزائی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Criminal liability -- Law and</w:t>
      </w:r>
    </w:p>
    <w:p>
      <w:pPr>
        <w:pStyle w:val="BookText"/>
        <w:rPr/>
      </w:pPr>
      <w:r>
        <w:rPr>
          <w:rFonts w:eastAsia="Times New Roman" w:cs="Times New Roman" w:ascii="Times New Roman" w:hAnsi="Times New Roman"/>
          <w:color w:val="111111"/>
          <w:sz w:val="28"/>
          <w:szCs w:val="28"/>
          <w:lang w:val="en-US" w:bidi="en-US"/>
        </w:rPr>
        <w:t>legislation -- Iran</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Puberty -- Religious aspects -- Islam</w:t>
      </w:r>
    </w:p>
    <w:p>
      <w:pPr>
        <w:pStyle w:val="BookText"/>
        <w:rPr/>
      </w:pPr>
      <w:r>
        <w:rPr>
          <w:rFonts w:ascii="IRNazanin" w:hAnsi="IRNazanin" w:eastAsia="IRNazanin"/>
          <w:color w:val="111111"/>
          <w:sz w:val="28"/>
          <w:sz w:val="28"/>
          <w:szCs w:val="28"/>
          <w:rtl w:val="true"/>
          <w:lang w:bidi="fa-IR"/>
        </w:rPr>
        <w:t xml:space="preserve">جرم و جنایت و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Crime and age -- Iran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KMH3878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345/0455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10353553</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فطرت تا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آئینه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شفیعی دستگردی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ایلماه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87547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میره زاده </w:t>
      </w:r>
      <w:bookmarkStart w:id="7" w:name="pg20875_781480"/>
    </w:p>
    <w:p>
      <w:pPr>
        <w:pStyle w:val="Heading2"/>
        <w:numPr>
          <w:ilvl w:val="1"/>
          <w:numId w:val="1"/>
        </w:numPr>
        <w:rPr/>
      </w:pPr>
      <w:bookmarkStart w:id="8" w:name="__RefHeading___Toc3140502_3531895371"/>
      <w:bookmarkStart w:id="9" w:name="_Toc3"/>
      <w:bookmarkEnd w:id="7"/>
      <w:bookmarkEnd w:id="8"/>
      <w:r>
        <w:rPr>
          <w:rtl w:val="true"/>
        </w:rPr>
        <w:t>قدردانی</w:t>
      </w:r>
      <w:bookmarkEnd w:id="9"/>
    </w:p>
    <w:p>
      <w:pPr>
        <w:pStyle w:val="BookText"/>
        <w:rPr/>
      </w:pPr>
      <w:r>
        <w:rPr>
          <w:rFonts w:ascii="IRNazanin" w:hAnsi="IRNazanin" w:eastAsia="IRNazanin"/>
          <w:color w:val="111111"/>
          <w:sz w:val="28"/>
          <w:sz w:val="28"/>
          <w:szCs w:val="28"/>
          <w:rtl w:val="true"/>
          <w:lang w:bidi="fa-IR"/>
        </w:rPr>
        <w:t>این اثر، که جستجویی در رازهای عهد ازلی عالم ذرّ و مبانی بلوغ و مسئولیت است، در پناه دعای خیر و همیاری های بی دریغ به سرانجام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افتخار و از صمیم قلب، این جوهر قلم را تقدیم می کنم به پدر و مادر عزیزم، که نه تنها اولین گواهان معنای وفای به عهد بودند، بلکه با صبر تربیت و آموزه هایشان، اولین معلمان توحید و مسئولیت در حیات من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نگاه و دعایشان، نور راه نگارش این سطور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همسر فداکارم، که با درک و همراهی بی مانندش، لحظات سکوت و تأمل را برای نگارش این پژوهش فراهم آورد،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آرامش حضورش، بزرگ ترین الهام بخش در این مسیر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و تکریم جاودانه </w:t>
      </w:r>
      <w:bookmarkStart w:id="10" w:name="pg20875_781481"/>
    </w:p>
    <w:p>
      <w:pPr>
        <w:pStyle w:val="Heading2"/>
        <w:numPr>
          <w:ilvl w:val="1"/>
          <w:numId w:val="1"/>
        </w:numPr>
        <w:rPr/>
      </w:pPr>
      <w:bookmarkStart w:id="11" w:name="__RefHeading___Toc3140504_3531895371"/>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سپیده دم خلقت، انسان با پیمانی ازلی در برابر پروردگار ایستاد؛ پیمانی که سرچشمۀ فطرت، آگاهی و مسئولیت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داستان بلوغ و تکلیف، آغاز سیر انسان از غفلت به معرفت و از امکان به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با دقت و ژرف نگری بی نظیر، این مسیر را از زایش تا کمال اخلاقی و عقلانی، ترسیم کرده است تا هر گامی از زندگی، جلوه ای از عهد آن روز باشد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کوششی است در واکاوی نسبت فطرت و قانون، و بررسی بنیادهای مسئولیت انسان در نظام اسلامی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محور فهم عدالت و کرامت نوع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پرآشوب ما که معنا، زیر سایه ظاهرها گم می شود، بازگشت به سر آغازها و فهم جایگاه بلوغ، اختیار و مسئولیت، نه تنها پرسشی فقهی یا حقوقی، بلکه ضرورتی معرفتی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تلاشی است برای بازخوانی دوبارۀ آن حقیقت دیرینه؛ حقیقتی که فطرت را به قانون پیوند می دهد و انسان را به حکمت الهی باز می گرداند تا بداند، مسئول بودن یعنی ادامه دادن راه شناخت خدا در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تمامی استادان و بزرگانی که چراغ دانش و بینش را در مسیر این اندیشه افروخته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شفیعی دستگردی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13" w:name="pg20875_781482"/>
    </w:p>
    <w:p>
      <w:pPr>
        <w:pStyle w:val="Heading2"/>
        <w:numPr>
          <w:ilvl w:val="1"/>
          <w:numId w:val="1"/>
        </w:numPr>
        <w:rPr/>
      </w:pPr>
      <w:bookmarkStart w:id="14" w:name="__RefHeading___Toc314050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فقهی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قرآن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مسئولیت و وجوه افتراق 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بلوغ در فقه و قوانین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بلوغ</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بلوغ به مثابه شرط صحت و وجوب 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بلوغ در 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قاعده عدم اعتبار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قلمرو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حدود تکلیف پیش از بلوغ</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بلوغ</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تحقق مسئولیت کیفری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جرم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جزایی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مانع مجازات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فقهی و حقوقی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 مسئولیت کیفری در چارچوب نظام فقهی و حقوقی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 مسئولیت نسبی کیفری در فقه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 در قوانین پیش از انقلاب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مصوب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مربوط به تشکیل دادگاه اطفال مصوب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اصلاحی مصوب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نسبی کیفری در نظام تقنینی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 جديد قانون مجازات اسلامی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 مسئولیت تام کیف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تام کیفری در فقه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تام کیفری در قوانین بعد از انقلاب اسلامی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جدید قانون مجازات اسلامی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 در قرآن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 در سُنّت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مسئولیت کیفری در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 در احادیث امامان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6" w:name="pg20875_781484"/>
    </w:p>
    <w:p>
      <w:pPr>
        <w:pStyle w:val="Heading2"/>
        <w:numPr>
          <w:ilvl w:val="1"/>
          <w:numId w:val="1"/>
        </w:numPr>
        <w:rPr/>
      </w:pPr>
      <w:bookmarkStart w:id="17" w:name="__RefHeading___Toc3140508_3531895371"/>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دین گران در اسلام مکتبی است والا و برتر، این برتری خصوصاً در قوانین و احکام از بدو تولد انسان تا مرگ و پس از آن به حدی است که سبب گردیده تمامی ادیان چه مذاهب الهی و چه مذاهب بشری در مقابل آن ناقص و منسوخ گردند خداوند تبارک و تعالی برای اعتلای کامل بشر و خروج از جهل پس از دوره های متمادی از مکاتبی که همگی ریشه در وحدانیت الهی داشتند شریعتی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نمود که از حیث قانونمندی سرآمد ادیان گذشته بود و این بزرگ ترین مایه فخر و مباهات است که اسلام دینی نه تنها عبادی، بلکه اقتصادی، حقوقی، سیاسی و فرهنگی است و ما دارای میراثی بزرگ از قرآن کریم و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هستیم و چه افتخاری از این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فقه اسلامی از این منبع جوشان بسیار بوده است و حتی پس از گذشت قرن های متمادی و بحث های وسیع، علمایی که هر کدام اسطوره های علم و معرفت و کمال بوده و خواهند بود در بسیاری از مباحث، بازهم طراوت و تازگی را برای تحقیق و پی جویی دارند یکی از این موضوعات بلوغ و سن مسئولیت کیفری هست که سعی شده است در این پژوهش به به بررسی حدود مسئولیت کیفری کودکان و تفکیک کودکی از بزرگسالی و سن مسئولیت کیفری از دیدگاه حقوق اسلام خواهیم پرداخت چرا که حقوق اسلام به عنوان منبع اساسی قانون مجازات جمهوری اسلامی ایران است و قانون اساسی نیز در اصل چهارم بر این مطلب تصریح کرده است مطالب این تحقیق در سه فصل ارائه می گردد که در 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تعاریف آن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بررسی جایگاه بلوغ در فقه و قوانین پرداخته شده که شامل چند گفتار و چند مبحث هست و در فصل سوم نیز به بررسی فقهی و حقوقی سن مسئولیت کیفری پرداخته شده که در آن نیز، در چند گفتار و مبحث به توضیح و تشریح مسائل پرداخته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فصول ارائه شده، نتیجه گیری از کلیه مطالب به عمل آمده و در پایان نیز به ارائه پیشنهادها و راهکارها در زمینهٔ این تحقیق پرداخته شده است لذا با عنایت به اهمیت موضوع بلوغ و سن مسئولیت کیفری، سعی بر آن گردیده که در ارائه مطالب این کتاب، حتی الامکان از کلی گویی و پیچیدگی بحث ها خودداری شود و تا ضمن رعایت حالت انسجام و پیوستگی، خواننده محترم در پایان بحث بتواند به جمع بندی و استنتاج لازم نائل آید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875_781486"/>
      <w:bookmarkStart w:id="20" w:name="pg20875_781486"/>
      <w:bookmarkEnd w:id="20"/>
    </w:p>
    <w:p>
      <w:pPr>
        <w:pStyle w:val="Heading2"/>
        <w:numPr>
          <w:ilvl w:val="1"/>
          <w:numId w:val="1"/>
        </w:numPr>
        <w:rPr/>
      </w:pPr>
      <w:bookmarkStart w:id="21" w:name="pg20875_781486"/>
      <w:bookmarkStart w:id="22" w:name="__RefHeading___Toc3140510_3531895371"/>
      <w:bookmarkStart w:id="23" w:name="_Toc7"/>
      <w:bookmarkEnd w:id="21"/>
      <w:bookmarkEnd w:id="22"/>
      <w:r>
        <w:rPr>
          <w:rtl w:val="true"/>
        </w:rPr>
        <w:t>اول</w:t>
      </w:r>
      <w:r>
        <w:rPr>
          <w:rtl w:val="true"/>
        </w:rPr>
        <w:t xml:space="preserve">: </w:t>
      </w:r>
      <w:r>
        <w:rPr>
          <w:rtl w:val="true"/>
        </w:rPr>
        <w:t>کلیات و مفاهیم</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140512_3531895371"/>
      <w:bookmarkStart w:id="25" w:name="_Toc8"/>
      <w:bookmarkEnd w:id="24"/>
      <w:r>
        <w:rPr>
          <w:rtl w:val="true"/>
        </w:rPr>
        <w:t>اشاره</w:t>
      </w:r>
      <w:bookmarkStart w:id="26" w:name="pg20875_781487"/>
      <w:bookmarkEnd w:id="25"/>
    </w:p>
    <w:p>
      <w:pPr>
        <w:pStyle w:val="Heading3"/>
        <w:numPr>
          <w:ilvl w:val="2"/>
          <w:numId w:val="1"/>
        </w:numPr>
        <w:rPr/>
      </w:pPr>
      <w:bookmarkStart w:id="27" w:name="__RefHeading___Toc3140514_3531895371"/>
      <w:bookmarkStart w:id="28" w:name="_Toc9"/>
      <w:bookmarkEnd w:id="26"/>
      <w:bookmarkEnd w:id="27"/>
      <w:r>
        <w:rPr/>
        <w:t>1</w:t>
      </w:r>
      <w:r>
        <w:rPr/>
        <w:t>٫</w:t>
      </w:r>
      <w:r>
        <w:rPr/>
        <w:t>1</w:t>
      </w:r>
      <w:r>
        <w:rPr>
          <w:rtl w:val="true"/>
        </w:rPr>
        <w:t xml:space="preserve">. </w:t>
      </w:r>
      <w:r>
        <w:rPr>
          <w:rtl w:val="true"/>
        </w:rPr>
        <w:t>بلوغ</w:t>
      </w:r>
      <w:bookmarkEnd w:id="28"/>
    </w:p>
    <w:p>
      <w:pPr>
        <w:pStyle w:val="Heading4"/>
        <w:numPr>
          <w:ilvl w:val="3"/>
          <w:numId w:val="1"/>
        </w:numPr>
        <w:rPr/>
      </w:pPr>
      <w:bookmarkStart w:id="29" w:name="__RefHeading___Toc3140516_353189537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بلوغ در فقه شیعه و مذاهب اسلامی، از جایگاه ویژه ای برخوردار است و شرط اعتبار بسیاری از احکام و تکالیف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گام نخست، تعاریف و معیارهای بلوغ را از دیدگاه فقها و حقوقدانان بررسی کرده، سپس به آثار و پیامدهای حقوقی آن می پردازد</w:t>
      </w:r>
      <w:r>
        <w:rPr>
          <w:rFonts w:eastAsia="IRNazanin" w:cs="IRNazanin"/>
          <w:color w:val="111111"/>
          <w:sz w:val="28"/>
          <w:szCs w:val="28"/>
          <w:rtl w:val="true"/>
          <w:lang w:bidi="fa-IR"/>
        </w:rPr>
        <w:t>.</w:t>
      </w:r>
    </w:p>
    <w:p>
      <w:pPr>
        <w:pStyle w:val="Heading4"/>
        <w:numPr>
          <w:ilvl w:val="3"/>
          <w:numId w:val="1"/>
        </w:numPr>
        <w:rPr/>
      </w:pPr>
      <w:bookmarkStart w:id="31" w:name="__RefHeading___Toc3140518_3531895371"/>
      <w:bookmarkStart w:id="32" w:name="_Toc11"/>
      <w:bookmarkEnd w:id="31"/>
      <w:r>
        <w:rPr/>
        <w:t>1/1/1</w:t>
      </w:r>
      <w:r>
        <w:rPr>
          <w:rtl w:val="true"/>
        </w:rPr>
        <w:t xml:space="preserve">. </w:t>
      </w:r>
      <w:r>
        <w:rPr>
          <w:rtl w:val="true"/>
        </w:rPr>
        <w:t>معنای لغوی و فقهی</w:t>
      </w:r>
      <w:bookmarkEnd w:id="32"/>
    </w:p>
    <w:p>
      <w:pPr>
        <w:pStyle w:val="BookText"/>
        <w:rPr/>
      </w:pPr>
      <w:r>
        <w:rPr>
          <w:rFonts w:ascii="IRNazanin" w:hAnsi="IRNazanin" w:eastAsia="IRNazanin"/>
          <w:color w:val="111111"/>
          <w:sz w:val="28"/>
          <w:sz w:val="28"/>
          <w:szCs w:val="28"/>
          <w:rtl w:val="true"/>
          <w:lang w:bidi="fa-IR"/>
        </w:rPr>
        <w:t xml:space="preserve">بلوغ در لغت به معنای سر رسیدن، رسیدن به سن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 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شدن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مقصود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فرهنگ بزرگ جامع نوین،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در اصطلاح شرعی به معنای رسیدن طفل به حال احتلام در مرد و حیض یا حمل 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ترمینولوژی حقوق،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رسیدن کودک به حد تکلیف و سنی که انجام عبادات برایش واجب می شود، اطلاق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اصطلاحات فقهی،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تعریف بلوغ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بلوغ که در لغت به ادراک معنی شده، رسیدن به حد احتلام و زمان ازدواج است؛ زیرا در این هنگام سنی در بدن شناخته و شهوت جنسی بیدار می شود، شخص نیاز به آمیزش پیدا می کند و انزال صورت می گیرد و خروج آب جهنده که مبدأ پیدایش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کمال طبیعی انسان است، با بلوغ، نسل آدمی حفظ می شود و عقل قوت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گذر از دوران طفولیت به مرز کمال و رسیدن به رتبه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احتلام در وقت مناسب خود پدید آید، بلوغ حاصل شده و نیاز به بیان شرع ندارد؛ زیرا بلوغ امور طبیعی شناخته شده در لغت و عرف است، نه از موضوعات شرعی که باید از سوی شرع دانسته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3" w:name="pg20875_781488"/>
    </w:p>
    <w:p>
      <w:pPr>
        <w:pStyle w:val="Heading4"/>
        <w:numPr>
          <w:ilvl w:val="3"/>
          <w:numId w:val="1"/>
        </w:numPr>
        <w:rPr/>
      </w:pPr>
      <w:bookmarkStart w:id="34" w:name="__RefHeading___Toc3140520_3531895371"/>
      <w:bookmarkStart w:id="35" w:name="_Toc12"/>
      <w:bookmarkEnd w:id="33"/>
      <w:bookmarkEnd w:id="34"/>
      <w:r>
        <w:rPr/>
        <w:t>1/1/2</w:t>
      </w:r>
      <w:r>
        <w:rPr>
          <w:rtl w:val="true"/>
        </w:rPr>
        <w:t xml:space="preserve">. </w:t>
      </w:r>
      <w:r>
        <w:rPr>
          <w:rtl w:val="true"/>
        </w:rPr>
        <w:t>بلوغ در قرآن</w:t>
      </w:r>
      <w:bookmarkEnd w:id="35"/>
    </w:p>
    <w:p>
      <w:pPr>
        <w:pStyle w:val="Heading5"/>
        <w:numPr>
          <w:ilvl w:val="4"/>
          <w:numId w:val="1"/>
        </w:numPr>
        <w:rPr/>
      </w:pPr>
      <w:bookmarkStart w:id="36" w:name="__RefHeading___Toc3140522_3531895371"/>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بسیاری از آیات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آیات ویژه ی تبلیغ رسالت هستند و برخی دیگر در بردارنده ی معنای بلوغ یا ابلاغ به مفهوم رسیدن یا رساندن به چیزی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 ترجمه المفردات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درباره ی ابلاغ رسالت آمده است، می توان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در قرآن وجود دارند که در آن ها به معیارهایی چون بلوغ حُلْم، بلوغ نکاح و بلوغ 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واژه هایی که بیانگر بلوغ انسان هستند دقت کنیم، در می یابیم که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کودک به مرحله 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تکوینی و جنسی است که در قرآن کریم به تعابیر فوق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 تر، به آیاتی که صراحتاً این تعابیر را در بردارنده، اشاره می کنیم</w:t>
      </w:r>
      <w:r>
        <w:rPr>
          <w:rFonts w:eastAsia="IRNazanin" w:cs="IRNazanin"/>
          <w:color w:val="111111"/>
          <w:sz w:val="28"/>
          <w:szCs w:val="28"/>
          <w:rtl w:val="true"/>
          <w:lang w:bidi="fa-IR"/>
        </w:rPr>
        <w:t>.</w:t>
      </w:r>
    </w:p>
    <w:p>
      <w:pPr>
        <w:pStyle w:val="Heading5"/>
        <w:numPr>
          <w:ilvl w:val="4"/>
          <w:numId w:val="1"/>
        </w:numPr>
        <w:rPr/>
      </w:pPr>
      <w:bookmarkStart w:id="38" w:name="__RefHeading___Toc3140524_3531895371"/>
      <w:bookmarkStart w:id="39" w:name="_Toc14"/>
      <w:bookmarkEnd w:id="38"/>
      <w:r>
        <w:rPr/>
        <w:t>1/1/2/1</w:t>
      </w:r>
      <w:r>
        <w:rPr>
          <w:rtl w:val="true"/>
        </w:rPr>
        <w:t xml:space="preserve">. </w:t>
      </w:r>
      <w:r>
        <w:rPr>
          <w:rtl w:val="true"/>
        </w:rPr>
        <w:t>بلوغ حلم</w:t>
      </w:r>
      <w:bookmarkEnd w:id="39"/>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الظَّهِيرَهُ وَ مِن بَعْدِ صَلَاهُ الْعِشَاء ثَلَاثُ عَوْرَاتِ لَكُمْ لَيْسَ عَلَيْكُمْ وَلَا عَلَيْهِمْ جُنَاحٌ بَعْدَهُنَّ طَوَّافُونَ عَلَيْكُم بَعْضُكُمْ عَلَى بَعْضٍ كَذَلِكَ يُبَيِّنُ اللَّهُ لَكُمُ الْآيَاتِ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بردگان شما و هم چنین کودکانتان که به حد بلوغ و احتلام نرسیده اند، در شبانه روز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از نماز صبح، دوم هنگام نیمروز که جامه های خویش را از تن در می آورید و سوم بعد از نماز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هنگام، زمان خلوت شماست و پس از آن می توانند بدون اجازه وارد شوند و گناهی بر شما و ایشان نیست و به گرد یک دیگر بگردید و باصفا و صمیمیت به یکدیگر خدمت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نور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مِنكُمُ الْحُلُمَ فَلْيَسْتَأْذِنُوا كَمَا اسْتَأْذَنَ الَّذِينَ مِن قَبْلِهِمْ كَذَلِكَ يُبَيِّنُ اللَّهُ لَكُمْ آيَاتِهِ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کودکانتان به سن بلوغ برسند، باید اجازه ی دخول بگیرند، همان گونه که افراد پیش از ایشان که به حد رشد رسیده بودند اجازه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آیاتش را برای شما تبیین می کند و خداوند عالم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درباره این آیه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حلم در این آیه به این معنی است که در این هنگام، حکم وجوب اذن خواستن از انحصار در سه نوبت خارج می شود و لازم است در تمام حالات، مردان بالغ با اذن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459/7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حکم وارد شده درباره ی اطفال در آیه مبارکه را به پسران اختصاص داده اند و این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 حکم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می توان نکات زیر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سه نوبت از شبانه روز، هر کس در خانه اش بالباس های ساده و کم به 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نماز صبح که هنوز شخص خود را برای ادای نماز آماده نکرده و از رختخواب بیرون نیامده و لباس های کامل نپوشیده و گاهی نیمه عریان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که برای رفع خستگی و استراحت، معمولاً مردم در خانه های خود لباس هایی را که برای انجام کارهای روزانه و خروج از خانه پوشیده بودند، از تن خارج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عشاء که خویش را برای خوابیدن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مبارکه فرزندان را به دو دسته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حلم نرسیده 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لَمْ يَبْلُغُوا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نمی توانند وارد اتاق پدر و مادر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حلم رسیده اند که اجازه گرفتن آنان محدود به زمان ویژه ای نیست و همیشه باید با کسب اجازه وارد شوند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بَلَغَ الْأَطْفَالُ مِنكُمُ الْحُلُمَ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مجمع البیان روایتی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الَّذِينَ لَمْ يَبْلُغُوا الْحُلُمَ</w:t>
      </w:r>
      <w:r>
        <w:rPr>
          <w:rFonts w:ascii="IRNazanin" w:hAnsi="IRNazanin" w:eastAsia="IRNazanin"/>
          <w:color w:val="111111"/>
          <w:sz w:val="28"/>
          <w:sz w:val="28"/>
          <w:szCs w:val="28"/>
          <w:rtl w:val="true"/>
          <w:lang w:bidi="fa-IR"/>
        </w:rPr>
        <w:t xml:space="preserve"> کودکی است که به حد تمییز رسیده است و مسائل جنسی و عورت و غیر آن را تشخیص می دهد، ولی بالغ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اذن گرفتن در صورتی مفهوم دارد که کودکان معنای اذن را بدانند و تا حدودی چرایی این حکم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عقلایی و درک خیر و شر در کودکان تدریجاً حاصل می شود و هر قدر سن بیش تر شود، رشد فکری و عقلی نیز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تدریجی بودن رشد، در آموزه های اسلامی دستورات خاصی برای سنین متفاوت کودکان در نظر گرفته شده است؛ مثلاً در شش یا هفت سالگی باید محدودیت های جنسی را مراعات نمایند، همان طور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رختخواب کودکانتان را از هفت سالگی جدا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بحارالانوار، </w:t>
      </w:r>
      <w:r>
        <w:rPr>
          <w:rFonts w:eastAsia="IRNazanin" w:cs="IRNazanin"/>
          <w:color w:val="111111"/>
          <w:sz w:val="28"/>
          <w:szCs w:val="28"/>
          <w:lang w:bidi="fa-IR"/>
        </w:rPr>
        <w:t>96/101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گزارات سن شش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مکارم الأخلاق،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دختر بچه در شش سالگی و پسر بچه در هفت سالگی به بعد، قدرت تمییز در مسائل جنسی را دارند؛ لذا باید آنان را از اموری که باعث تحریک غریزه ی جنسی می شود، پرهیز داد و آن چه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مؤید این مطلب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بچه ی شش ساله را پسر نبوسد و هم چنین زنان از بوسیدن پسربچه ای که سنش از هفت سال تجاوز کرده است، خودداری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دستور 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طفلی که در آستانه ی بلوغ است، وظیفه دارد در اوقات ویژه ای برای ورود به جایگاه خصوصی پدر و مادر اجازه گرفته و سرزده وارد نشود؛ مبادا با منظره ای غیر عادی روبرو گردد، طبع غریزی اش تحریک شود و زمینه ی انحراف و آلودگی جنسی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گرفتن دوران طفولیت و ورود او به دوره ی مسئولیت و تکلیف، همیشه باید این دستور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در مورد این آیه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ى الَّذِينَ لَمْ يَبْلُغُوا الْحُلُمَ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کسی که به حد بلوغ نرسیده، اما در حد درک امور است، باید واجبات شرعی را رعایت کند و از ارتکاب امور ناشایست بپرهیزد و این به صورت تمرینی و آموزشی است، چنان که امر شده اند در این سه زمان اذن ورود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جصاص، احكام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خواب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المحيط، ص </w:t>
      </w:r>
      <w:r>
        <w:rPr>
          <w:rFonts w:eastAsia="IRNazanin" w:cs="IRNazanin"/>
          <w:color w:val="111111"/>
          <w:sz w:val="28"/>
          <w:szCs w:val="28"/>
          <w:lang w:bidi="fa-IR"/>
        </w:rPr>
        <w:t>1416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کودک بالغ شد و به مرحله ی جوانی و مردی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ریگی، ترجمه ى المعجم الوسيط</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بردباری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خیالات هم معنی می دهد؛ زیرا خواب های پریشان نیز یک نوع خیال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قریشی، 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را می توان شاهد آورد و به دو صورت معنی کرد؛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یعنی آیا حلم و خرد ایشان به آنان دستوری می دهد که چنین بگویند یا ایشان قومی طغیانگرند؟ و به لحاظ این که آیه ی </w:t>
      </w:r>
    </w:p>
    <w:p>
      <w:pPr>
        <w:pStyle w:val="BookText"/>
        <w:rPr/>
      </w:pPr>
      <w:r>
        <w:rPr>
          <w:rFonts w:ascii="IRNazanin" w:hAnsi="IRNazanin" w:eastAsia="IRNazanin"/>
          <w:color w:val="111111"/>
          <w:sz w:val="28"/>
          <w:sz w:val="28"/>
          <w:szCs w:val="28"/>
          <w:rtl w:val="true"/>
          <w:lang w:bidi="fa-IR"/>
        </w:rPr>
        <w:t xml:space="preserve">مذکور درباره 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مرگ پیامبر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ایشان خود را صاحب عقل و شعور و پیامبر را شاعر می پنداشتند، ممکن است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خیالات واهی معنی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یوسف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قَالُوا أَضْغَاثُ أَحْلَام</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پریشان و پراکنده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ذیل آیه ی مذکور در تفسیر المیزان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 است و گاهی هم به سکون لام می خوانند و عبارت است از آن چه شخص نائم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اصل در معنایش آن تصوراتی باشد که انسان از داخل نفس خود بدون واسطه ی حواس ظاهری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است که عقل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عقل عبارت است از استقامت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باب است که حد بلوغ و رشد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قرآن هم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بَلَغَ الْأطْفَالُ مِنكُمُ الْحُلُمَ</w:t>
      </w:r>
      <w:r>
        <w:rPr>
          <w:rFonts w:ascii="IRNazanin" w:hAnsi="IRNazanin" w:eastAsia="IRNazanin"/>
          <w:color w:val="111111"/>
          <w:sz w:val="28"/>
          <w:sz w:val="28"/>
          <w:szCs w:val="28"/>
          <w:rtl w:val="true"/>
          <w:lang w:bidi="fa-IR"/>
        </w:rPr>
        <w:t xml:space="preserve"> و نیز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که به معنای حوصله و ضد کمی تحمل است؛ چون حوصله عبارت است از ضبط نفس و کنترل طبع است از این که دچار هیجان غضب شود و در عقوبت طرف عجله کند و این خود ناشی از استقامت 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احتلام در خواب لذت دیدن است؛ خواه این خواب وجب انزال منی شود، خواه نشود؛ و از همین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محتلم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خواب دید که هم بستری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احتلام به معنی آرمان و آرزو نیز استعمال شده است، مانند این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خدا دست رحمت بر سر بندگان نهد تا در تعقل هماهنگ شوند و آرمان های آنان کامل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40" w:name="pg20875_781493"/>
    </w:p>
    <w:p>
      <w:pPr>
        <w:pStyle w:val="Heading5"/>
        <w:numPr>
          <w:ilvl w:val="4"/>
          <w:numId w:val="1"/>
        </w:numPr>
        <w:rPr/>
      </w:pPr>
      <w:bookmarkStart w:id="41" w:name="__RefHeading___Toc3140526_3531895371"/>
      <w:bookmarkStart w:id="42" w:name="_Toc15"/>
      <w:bookmarkEnd w:id="40"/>
      <w:bookmarkEnd w:id="41"/>
      <w:r>
        <w:rPr/>
        <w:t>1/1/2/2</w:t>
      </w:r>
      <w:r>
        <w:rPr>
          <w:rtl w:val="true"/>
        </w:rPr>
        <w:t xml:space="preserve">. </w:t>
      </w:r>
      <w:r>
        <w:rPr>
          <w:rtl w:val="true"/>
        </w:rPr>
        <w:t>بلوغ نکاح</w:t>
      </w:r>
      <w:bookmarkEnd w:id="42"/>
    </w:p>
    <w:p>
      <w:pPr>
        <w:pStyle w:val="BookText"/>
        <w:rPr/>
      </w:pPr>
      <w:r>
        <w:rPr>
          <w:rFonts w:ascii="Amiri" w:hAnsi="Amiri" w:eastAsia="Amiri" w:cs="Amiri"/>
          <w:color w:val="111111"/>
          <w:sz w:val="28"/>
          <w:sz w:val="28"/>
          <w:szCs w:val="28"/>
          <w:rtl w:val="true"/>
          <w:lang w:bidi="ar-SA"/>
        </w:rPr>
        <w:t>وَ ابْتلوا اليَتامى حَتَّى إِذا بَلغوا النِكَاحَ فَإِنْ ءانَستُمْ مِنهُم رُشْداً فَادْفَعُو إِلَيْهِم أَمْوَالَهُمْ</w:t>
      </w:r>
      <w:r>
        <w:rPr>
          <w:rFonts w:ascii="IRNazanin" w:hAnsi="IRNazanin" w:eastAsia="IRNazanin"/>
          <w:color w:val="111111"/>
          <w:sz w:val="28"/>
          <w:sz w:val="28"/>
          <w:szCs w:val="28"/>
          <w:rtl w:val="true"/>
          <w:lang w:bidi="fa-IR"/>
        </w:rPr>
        <w:t xml:space="preserve">؛ يتيمان را چون به حد بلوغ برسند بیازمایید اگر در آن 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با آن 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بجنوردی در تفسیر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 صفت مشبهه بر وزن فعیل است در عرب به کسی که صغیر یا محجور از تصرف، یعنی فاقد استقلال از تصرف باشد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حد از رشد جسمی و فکری که بتواند استقلال در تصرف داشته باشد و معاملات مالی را خودش انجام دهد نرسیده است بنابراین ترجمه آیه شریفه </w:t>
      </w:r>
      <w:r>
        <w:rPr>
          <w:rFonts w:ascii="Amiri" w:hAnsi="Amiri" w:eastAsia="Amiri" w:cs="Amiri"/>
          <w:color w:val="111111"/>
          <w:sz w:val="28"/>
          <w:sz w:val="28"/>
          <w:szCs w:val="28"/>
          <w:rtl w:val="true"/>
          <w:lang w:bidi="ar-SA"/>
        </w:rPr>
        <w:t>وَ ابْتُلُوا الْيَتَامِيَّ</w:t>
      </w:r>
      <w:r>
        <w:rPr>
          <w:rFonts w:ascii="IRNazanin" w:hAnsi="IRNazanin" w:eastAsia="IRNazanin"/>
          <w:color w:val="111111"/>
          <w:sz w:val="28"/>
          <w:sz w:val="28"/>
          <w:szCs w:val="28"/>
          <w:rtl w:val="true"/>
          <w:lang w:bidi="fa-IR"/>
        </w:rPr>
        <w:t xml:space="preserve">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محجور و ممنوع از تصرف در اموال باشند، آزمایش و امتحان کنید البته خیلی واضح است که این آزمایش و اختیار، قبل از بلوغ صورت می گیرد چون در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غایت است که در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افرادی را که در تصرفات مالی خود استقلال ندارند و ممنوع از تصرف می باشند امتحان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بالغ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موسوی بجنوردی، مجموعه مقالات فقهی حقوقی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دریافت پیام الهی در کوه طور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ءانَسْتُ نَارًا</w:t>
      </w:r>
      <w:r>
        <w:rPr>
          <w:rFonts w:ascii="IRNazanin" w:hAnsi="IRNazanin" w:eastAsia="IRNazanin"/>
          <w:color w:val="111111"/>
          <w:sz w:val="28"/>
          <w:sz w:val="28"/>
          <w:szCs w:val="28"/>
          <w:rtl w:val="true"/>
          <w:lang w:bidi="fa-IR"/>
        </w:rPr>
        <w:t xml:space="preserve"> یعنی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حسب ظاهر دریافت او غیر از دریافت ماست به هر حال اگر یتیم و ممنوع از تصرف از اموال را آزمایش کردید و به رشد معاملی، جنسی و حقوقی در او رسیدید و دریافتید که مصلحت و منفعت خود را تشخیص می دهد بر شما واجب است که اموالش را به او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بلوغ نکاح همان قابلیت نکاح است از حيث طبيعت جسم و آن چیزی است که از آن به توانایی جنسی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جنسی که مرد به وسیله آن قادر به انجام عمل و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وسیله آن آثاری هم چون خروج منی، شهوت و لذت بردن </w:t>
      </w:r>
      <w:bookmarkStart w:id="43" w:name="pg20875_781494"/>
    </w:p>
    <w:p>
      <w:pPr>
        <w:pStyle w:val="BookText"/>
        <w:rPr/>
      </w:pPr>
      <w:bookmarkEnd w:id="43"/>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بلوغ نکاح به وسیله تغییر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حاصل می شود و از مرحله طفولیت و کودکی به مرحله قدرت جسمی منتقل می شود که در خلال توانایی جسمی به توانایی جنسی نیز دست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بجنوردی 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حسن نجفی،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مفسران و فقهایی هستند که به معنای پیش گفته درباره بلوغ نکاح اشاره داشته اند</w:t>
      </w:r>
      <w:r>
        <w:rPr>
          <w:rFonts w:eastAsia="IRNazanin" w:cs="IRNazanin"/>
          <w:color w:val="111111"/>
          <w:sz w:val="28"/>
          <w:szCs w:val="28"/>
          <w:rtl w:val="true"/>
          <w:lang w:bidi="fa-IR"/>
        </w:rPr>
        <w:t>.</w:t>
      </w:r>
    </w:p>
    <w:p>
      <w:pPr>
        <w:pStyle w:val="Heading5"/>
        <w:numPr>
          <w:ilvl w:val="4"/>
          <w:numId w:val="1"/>
        </w:numPr>
        <w:rPr/>
      </w:pPr>
      <w:bookmarkStart w:id="44" w:name="__RefHeading___Toc3140528_3531895371"/>
      <w:bookmarkStart w:id="45" w:name="_Toc16"/>
      <w:bookmarkEnd w:id="44"/>
      <w:r>
        <w:rPr/>
        <w:t>1/1/2/3</w:t>
      </w:r>
      <w:r>
        <w:rPr>
          <w:rtl w:val="true"/>
        </w:rPr>
        <w:t xml:space="preserve">. </w:t>
      </w:r>
      <w:r>
        <w:rPr>
          <w:rtl w:val="true"/>
        </w:rPr>
        <w:t>بلوغ اشد</w:t>
      </w:r>
      <w:bookmarkEnd w:id="45"/>
    </w:p>
    <w:p>
      <w:pPr>
        <w:pStyle w:val="BookText"/>
        <w:rPr/>
      </w:pPr>
      <w:r>
        <w:rPr>
          <w:rFonts w:ascii="IRNazanin" w:hAnsi="IRNazanin" w:eastAsia="IRNazanin"/>
          <w:color w:val="111111"/>
          <w:sz w:val="28"/>
          <w:sz w:val="28"/>
          <w:szCs w:val="28"/>
          <w:rtl w:val="true"/>
          <w:lang w:bidi="fa-IR"/>
        </w:rPr>
        <w:t>واژه قرآنی اشد در هشت آیه از آیات قرآن کریم به کار رفته است و به معنای رشد، نیرومندی و اشاره به استحکام قوای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مورد از این آیات درباره پیامبران الهی نازل شده است و اشاره به زمانی دارد که آمادگی دریافت وحی و نبوت را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فراهیدی،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بیست و دو سوره یوسف و چهارده قصص به زمان اعطای حکمت و دانش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آیه پانزدهم سوره احقاف به انسان اشاره و نام پیامبری ذکر نشده است، لیکن چون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چهل سالگی اشاره شده است به اعتقاد برخی اشاره به زمان وحی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bookmarkStart w:id="46" w:name="pg20875_781495"/>
    </w:p>
    <w:p>
      <w:pPr>
        <w:pStyle w:val="Heading3"/>
        <w:numPr>
          <w:ilvl w:val="2"/>
          <w:numId w:val="1"/>
        </w:numPr>
        <w:rPr/>
      </w:pPr>
      <w:bookmarkStart w:id="47" w:name="__RefHeading___Toc3140530_3531895371"/>
      <w:bookmarkStart w:id="48" w:name="_Toc17"/>
      <w:bookmarkEnd w:id="46"/>
      <w:bookmarkEnd w:id="47"/>
      <w:r>
        <w:rPr/>
        <w:t>1</w:t>
      </w:r>
      <w:r>
        <w:rPr/>
        <w:t>٫</w:t>
      </w:r>
      <w:r>
        <w:rPr/>
        <w:t>2</w:t>
      </w:r>
      <w:r>
        <w:rPr>
          <w:rtl w:val="true"/>
        </w:rPr>
        <w:t xml:space="preserve">. </w:t>
      </w:r>
      <w:r>
        <w:rPr>
          <w:rtl w:val="true"/>
        </w:rPr>
        <w:t>سن</w:t>
      </w:r>
      <w:bookmarkEnd w:id="4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سال های عمر است و برای آن اقسامی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که فرد در آن مکلف می شود و به تکلیف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که شخص قادر به تشخیص خوب و بد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از عمر که پس از آن، قانون به فرد اجازه می دهد کلیه معاملات را شخصاً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629/28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اصطلاح حقوقی نیز عنصری مهم در قانون گذاری به شمار می رود؛ زیرا در نظام های حقوقی کشورها، با تعیین سن، میان وضعیت کیفری صغار و کبار تفاوت گذاشته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و هاشم بیگی، دانشنامه جرم شناسی،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49" w:name="__RefHeading___Toc3140532_3531895371"/>
      <w:bookmarkStart w:id="50" w:name="_Toc18"/>
      <w:bookmarkEnd w:id="49"/>
      <w:r>
        <w:rPr/>
        <w:t>1/3</w:t>
      </w:r>
      <w:r>
        <w:rPr>
          <w:rtl w:val="true"/>
        </w:rPr>
        <w:t xml:space="preserve">. </w:t>
      </w:r>
      <w:r>
        <w:rPr>
          <w:rtl w:val="true"/>
        </w:rPr>
        <w:t>مسئولیت</w:t>
      </w:r>
      <w:bookmarkEnd w:id="50"/>
    </w:p>
    <w:p>
      <w:pPr>
        <w:pStyle w:val="Heading4"/>
        <w:numPr>
          <w:ilvl w:val="3"/>
          <w:numId w:val="1"/>
        </w:numPr>
        <w:rPr/>
      </w:pPr>
      <w:bookmarkStart w:id="51" w:name="__RefHeading___Toc3140534_3531895371"/>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مسئولیت مصدر جعلی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مفعولی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فارسی، مسئولیت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تعهد 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448/43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عربی، مسئولیت به حالت کسی اطلاق می شود که درباره امور و افعال خود مورد سؤال و مطالبه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1723/5</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318/11</w:t>
      </w:r>
      <w:r>
        <w:rPr>
          <w:rFonts w:ascii="IRNazanin" w:hAnsi="IRNazanin" w:eastAsia="IRNazanin"/>
          <w:color w:val="111111"/>
          <w:sz w:val="28"/>
          <w:sz w:val="28"/>
          <w:szCs w:val="28"/>
          <w:rtl w:val="true"/>
          <w:lang w:bidi="fa-IR"/>
        </w:rPr>
        <w:t xml:space="preserve">؛ المنجد في اللغه،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خواستن، بازخواست و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 قاموس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حقوقی، مسئولیت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قانونی شخص برای رفع ضرری که به دیگری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اعم از آن که این ضرر ناشی از تقصیر خود وی یا ناشی از فعالیت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این معنا غالباً تحت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هر نوع مسئولیت مدنی و کیفری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ترمینولوژی حقوق،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53" w:name="pg20875_781496"/>
    </w:p>
    <w:p>
      <w:pPr>
        <w:pStyle w:val="Heading4"/>
        <w:numPr>
          <w:ilvl w:val="3"/>
          <w:numId w:val="1"/>
        </w:numPr>
        <w:rPr/>
      </w:pPr>
      <w:bookmarkStart w:id="54" w:name="__RefHeading___Toc3140536_3531895371"/>
      <w:bookmarkStart w:id="55" w:name="_Toc20"/>
      <w:bookmarkEnd w:id="53"/>
      <w:bookmarkEnd w:id="54"/>
      <w:r>
        <w:rPr/>
        <w:t>1/3/1</w:t>
      </w:r>
      <w:r>
        <w:rPr>
          <w:rtl w:val="true"/>
        </w:rPr>
        <w:t xml:space="preserve">. </w:t>
      </w:r>
      <w:r>
        <w:rPr>
          <w:rtl w:val="true"/>
        </w:rPr>
        <w:t>مسئولیت در قرآن</w:t>
      </w:r>
      <w:bookmarkEnd w:id="55"/>
    </w:p>
    <w:p>
      <w:pPr>
        <w:pStyle w:val="Heading5"/>
        <w:numPr>
          <w:ilvl w:val="4"/>
          <w:numId w:val="1"/>
        </w:numPr>
        <w:rPr/>
      </w:pPr>
      <w:bookmarkStart w:id="56" w:name="__RefHeading___Toc3140538_3531895371"/>
      <w:bookmarkStart w:id="57" w:name="_Toc21"/>
      <w:bookmarkEnd w:id="56"/>
      <w:r>
        <w:rPr/>
        <w:t>1/3/1/1</w:t>
      </w:r>
      <w:r>
        <w:rPr>
          <w:rtl w:val="true"/>
        </w:rPr>
        <w:t xml:space="preserve">. </w:t>
      </w:r>
      <w:r>
        <w:rPr>
          <w:rtl w:val="true"/>
        </w:rPr>
        <w:t>معناشناسی</w:t>
      </w:r>
      <w:bookmarkEnd w:id="57"/>
    </w:p>
    <w:p>
      <w:pPr>
        <w:pStyle w:val="BookText"/>
        <w:rPr/>
      </w:pPr>
      <w:r>
        <w:rPr>
          <w:rFonts w:ascii="IRNazanin" w:hAnsi="IRNazanin" w:eastAsia="IRNazanin"/>
          <w:color w:val="111111"/>
          <w:sz w:val="28"/>
          <w:sz w:val="28"/>
          <w:szCs w:val="28"/>
          <w:rtl w:val="true"/>
          <w:lang w:bidi="fa-IR"/>
        </w:rPr>
        <w:t>در قرآن کریم آیات فراوانی درباره مسئولیت و مشتقات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مسئولیت به معنای مورد بازخواست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نتیجه گرفته می شود که انسان ها در قبال اعمال خود مسلماً مورد بازخواست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دیگر مسئولیت به معنای اثر شرعی اعمال و رفتار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 قرآن، افعال ارادی انسان معیار سنجش مسئولیت است و هر عمل با حسابگری دقیق محاسبه می شود، زیرا هر عملی متناسب با خود پاداش یا کیفری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در قرآن به عنوان اثر شرعی و طبیعی رفتار انسان توجیه می شود</w:t>
      </w:r>
      <w:r>
        <w:rPr>
          <w:rFonts w:eastAsia="IRNazanin" w:cs="IRNazanin"/>
          <w:color w:val="111111"/>
          <w:sz w:val="28"/>
          <w:szCs w:val="28"/>
          <w:rtl w:val="true"/>
          <w:lang w:bidi="fa-IR"/>
        </w:rPr>
        <w:t>.</w:t>
      </w:r>
    </w:p>
    <w:p>
      <w:pPr>
        <w:pStyle w:val="Heading5"/>
        <w:numPr>
          <w:ilvl w:val="4"/>
          <w:numId w:val="1"/>
        </w:numPr>
        <w:rPr/>
      </w:pPr>
      <w:bookmarkStart w:id="58" w:name="__RefHeading___Toc3140540_3531895371"/>
      <w:bookmarkStart w:id="59" w:name="_Toc22"/>
      <w:bookmarkEnd w:id="58"/>
      <w:r>
        <w:rPr/>
        <w:t>1.1/3/1/2</w:t>
      </w:r>
      <w:r>
        <w:rPr>
          <w:rtl w:val="true"/>
        </w:rPr>
        <w:t xml:space="preserve">. </w:t>
      </w:r>
      <w:r>
        <w:rPr>
          <w:rtl w:val="true"/>
        </w:rPr>
        <w:t>گونه شناسی مسئولیت و وجوه افتراق آن</w:t>
      </w:r>
      <w:bookmarkEnd w:id="59"/>
    </w:p>
    <w:p>
      <w:pPr>
        <w:pStyle w:val="Heading6"/>
        <w:numPr>
          <w:ilvl w:val="5"/>
          <w:numId w:val="1"/>
        </w:numPr>
        <w:rPr/>
      </w:pPr>
      <w:bookmarkStart w:id="60" w:name="__RefHeading___Toc3140542_3531895371"/>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مسئولیت در مفهوم کلی،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مسئولیت مدنی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شخص به جبران خسارتی که به دیگری وارد کرده، خواه ناشی از تقصیر خود او باشد یا ناشی از فعالیت او یا اشیاء تحت حراست وی، یا ناشی از تخلف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ترمینولوژی حقوق، 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مسئولیت کیفری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ناشی از ارتکاب جرمی که در قانون تصریح شده است و شخص را مستحق یکی از مجازات مقرر می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قسم هم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اخلاقی، به مسئولیتی اشاره دارد که قانون گذار به طور مستقیم به آن نمی پردازد؛ مانند تعهد انسان در برابر خود، خدا یا دیگران بر پایۀ وجدان و اصول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62" w:name="pg20875_781497"/>
    </w:p>
    <w:p>
      <w:pPr>
        <w:pStyle w:val="BookText"/>
        <w:rPr/>
      </w:pPr>
      <w:bookmarkEnd w:id="62"/>
      <w:r>
        <w:rPr>
          <w:rFonts w:ascii="IRNazanin" w:hAnsi="IRNazanin" w:eastAsia="IRNazanin"/>
          <w:color w:val="111111"/>
          <w:sz w:val="28"/>
          <w:sz w:val="28"/>
          <w:szCs w:val="28"/>
          <w:rtl w:val="true"/>
          <w:lang w:bidi="fa-IR"/>
        </w:rPr>
        <w:t>تفاوت مسئولیت اخلاقی با مسئولیت مدنی و کیفری را می توان در سه محور اصلی زیر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مسئولیت مدنی و کیفری، وجود یک عمل خارجی زیان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مسئولیت اخلاقی عمدتاً بر احساس درونی و وجدان فرد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ولیدی بایسته های حقوق جزای عمومی،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 های مدنی و کیفری، شخص در برابر جامعه یا فرد متضرر پاسخگو است، اما در مسئولیت اخلاقی، پاسخگویی نخست در پیشگاه وجدان خود فرد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 مسئولیت مدنی و کیفری، جبران عینی خسارت یا تحمل مجازات قانونی است، این در حالی است که ضمانت اجرای مسئولیت اخلاقی، درونی و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احساس گناه یا عذاب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اصلی مسئولیت کیفری و مدنی را می توان در محورهای پنج گانه زیر خلاصه نمود</w:t>
      </w:r>
      <w:r>
        <w:rPr>
          <w:rFonts w:eastAsia="IRNazanin" w:cs="IRNazanin"/>
          <w:color w:val="111111"/>
          <w:sz w:val="28"/>
          <w:szCs w:val="28"/>
          <w:rtl w:val="true"/>
          <w:lang w:bidi="fa-IR"/>
        </w:rPr>
        <w:t>:</w:t>
      </w:r>
    </w:p>
    <w:p>
      <w:pPr>
        <w:pStyle w:val="Heading6"/>
        <w:numPr>
          <w:ilvl w:val="5"/>
          <w:numId w:val="1"/>
        </w:numPr>
        <w:rPr/>
      </w:pPr>
      <w:bookmarkStart w:id="63" w:name="__RefHeading___Toc3140544_3531895371"/>
      <w:bookmarkStart w:id="64" w:name="_Toc24"/>
      <w:bookmarkEnd w:id="63"/>
      <w:r>
        <w:rPr/>
        <w:t>1</w:t>
      </w:r>
      <w:r>
        <w:rPr>
          <w:rtl w:val="true"/>
        </w:rPr>
        <w:t xml:space="preserve">. </w:t>
      </w:r>
      <w:r>
        <w:rPr>
          <w:rtl w:val="true"/>
        </w:rPr>
        <w:t>منشأ ایجاد</w:t>
      </w:r>
      <w:bookmarkEnd w:id="64"/>
    </w:p>
    <w:p>
      <w:pPr>
        <w:pStyle w:val="BookText"/>
        <w:rPr/>
      </w:pPr>
      <w:r>
        <w:rPr>
          <w:rFonts w:ascii="IRNazanin" w:hAnsi="IRNazanin" w:eastAsia="IRNazanin"/>
          <w:color w:val="111111"/>
          <w:sz w:val="28"/>
          <w:sz w:val="28"/>
          <w:szCs w:val="28"/>
          <w:rtl w:val="true"/>
          <w:lang w:bidi="fa-IR"/>
        </w:rPr>
        <w:t xml:space="preserve">مسئولیت کیفری ناشی از نقض قوانین جزا و ارتکاب جرم است، در حالی که مسئولیت مدنی از ایراد ضرر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ناشی از قرارداد باشد یا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ساکی، حقوق جزای عمومی،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6"/>
        <w:numPr>
          <w:ilvl w:val="5"/>
          <w:numId w:val="1"/>
        </w:numPr>
        <w:rPr/>
      </w:pPr>
      <w:bookmarkStart w:id="65" w:name="__RefHeading___Toc3140546_3531895371"/>
      <w:bookmarkStart w:id="66" w:name="_Toc25"/>
      <w:bookmarkEnd w:id="65"/>
      <w:r>
        <w:rPr/>
        <w:t>2</w:t>
      </w:r>
      <w:r>
        <w:rPr>
          <w:rtl w:val="true"/>
        </w:rPr>
        <w:t xml:space="preserve">. </w:t>
      </w:r>
      <w:r>
        <w:rPr>
          <w:rtl w:val="true"/>
        </w:rPr>
        <w:t>منبع</w:t>
      </w:r>
      <w:r>
        <w:rPr>
          <w:rtl w:val="true"/>
        </w:rPr>
        <w:t>:</w:t>
      </w:r>
      <w:bookmarkEnd w:id="6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مسئولیت کیفری به طور انحصاری قوانین جزایی است؛ اما منبع مسئولیت مدنی می تواند علاوه بر قانون، عرف عادت یا نظریات علمای حقوق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ولیدی، حقوق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67" w:name="pg20875_781498"/>
    </w:p>
    <w:p>
      <w:pPr>
        <w:pStyle w:val="Heading6"/>
        <w:numPr>
          <w:ilvl w:val="5"/>
          <w:numId w:val="1"/>
        </w:numPr>
        <w:rPr/>
      </w:pPr>
      <w:bookmarkStart w:id="68" w:name="__RefHeading___Toc3140548_3531895371"/>
      <w:bookmarkStart w:id="69" w:name="_Toc26"/>
      <w:bookmarkEnd w:id="67"/>
      <w:bookmarkEnd w:id="68"/>
      <w:r>
        <w:rPr/>
        <w:t>3</w:t>
      </w:r>
      <w:r>
        <w:rPr>
          <w:rtl w:val="true"/>
        </w:rPr>
        <w:t xml:space="preserve">. </w:t>
      </w:r>
      <w:r>
        <w:rPr>
          <w:rtl w:val="true"/>
        </w:rPr>
        <w:t>ذينفع</w:t>
      </w:r>
      <w:r>
        <w:rPr>
          <w:rtl w:val="true"/>
        </w:rPr>
        <w:t>:</w:t>
      </w:r>
      <w:bookmarkEnd w:id="69"/>
    </w:p>
    <w:p>
      <w:pPr>
        <w:pStyle w:val="BookText"/>
        <w:rPr/>
      </w:pPr>
      <w:r>
        <w:rPr>
          <w:rFonts w:ascii="IRNazanin" w:hAnsi="IRNazanin" w:eastAsia="IRNazanin"/>
          <w:color w:val="111111"/>
          <w:sz w:val="28"/>
          <w:sz w:val="28"/>
          <w:szCs w:val="28"/>
          <w:rtl w:val="true"/>
          <w:lang w:bidi="fa-IR"/>
        </w:rPr>
        <w:t>در مسئولیت کیفری، ضرر وارده جنبه عمومی دارد و متهم در مقابل جامعه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مسئولیت مدنی، ضرر متوجه شخص یا اشخاص مشخص است و مسئولیت در قبال فرد زیان دیده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شامبیاتی، حقوق جزای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6"/>
        <w:numPr>
          <w:ilvl w:val="5"/>
          <w:numId w:val="1"/>
        </w:numPr>
        <w:rPr/>
      </w:pPr>
      <w:bookmarkStart w:id="70" w:name="__RefHeading___Toc3140550_3531895371"/>
      <w:bookmarkStart w:id="71" w:name="_Toc27"/>
      <w:bookmarkEnd w:id="70"/>
      <w:r>
        <w:rPr/>
        <w:t>4</w:t>
      </w:r>
      <w:r>
        <w:rPr>
          <w:rtl w:val="true"/>
        </w:rPr>
        <w:t xml:space="preserve">. </w:t>
      </w:r>
      <w:r>
        <w:rPr>
          <w:rtl w:val="true"/>
        </w:rPr>
        <w:t>هدف</w:t>
      </w:r>
      <w:r>
        <w:rPr>
          <w:rtl w:val="true"/>
        </w:rPr>
        <w:t>:</w:t>
      </w:r>
      <w:bookmarkEnd w:id="71"/>
    </w:p>
    <w:p>
      <w:pPr>
        <w:pStyle w:val="BookText"/>
        <w:rPr/>
      </w:pPr>
      <w:r>
        <w:rPr>
          <w:rFonts w:ascii="IRNazanin" w:hAnsi="IRNazanin" w:eastAsia="IRNazanin"/>
          <w:color w:val="111111"/>
          <w:sz w:val="28"/>
          <w:sz w:val="28"/>
          <w:szCs w:val="28"/>
          <w:rtl w:val="true"/>
          <w:lang w:bidi="fa-IR"/>
        </w:rPr>
        <w:t>هدف اصلی از مسئولیت کیفری، مجازات مجرم، حفظ نظم عمومی و دفاع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هدف مسئولیت مدنی، جبران خسارت وارده و اعاده حقوق خصوصی اشخاص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6"/>
        <w:numPr>
          <w:ilvl w:val="5"/>
          <w:numId w:val="1"/>
        </w:numPr>
        <w:rPr/>
      </w:pPr>
      <w:bookmarkStart w:id="72" w:name="__RefHeading___Toc3140552_3531895371"/>
      <w:bookmarkStart w:id="73" w:name="_Toc28"/>
      <w:bookmarkEnd w:id="72"/>
      <w:r>
        <w:rPr/>
        <w:t>5</w:t>
      </w:r>
      <w:r>
        <w:rPr>
          <w:rtl w:val="true"/>
        </w:rPr>
        <w:t xml:space="preserve">. </w:t>
      </w:r>
      <w:r>
        <w:rPr>
          <w:rtl w:val="true"/>
        </w:rPr>
        <w:t>شخصی بودن</w:t>
      </w:r>
      <w:r>
        <w:rPr>
          <w:rtl w:val="true"/>
        </w:rPr>
        <w:t>:</w:t>
      </w:r>
      <w:bookmarkEnd w:id="7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مسئولیت کیفری، اصل بر شخصی بودن مجازات است؛ به این معنا که هیچکس را نمی توان به جای دیگری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مسئولیت مدنی، این اصل با استثنائاتی همراه است و مسئولیت ممکن است به اشخاص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ولیّ قهری یا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 دوره حقوق جزای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bookmarkStart w:id="74" w:name="pg20875_781499"/>
    </w:p>
    <w:p>
      <w:pPr>
        <w:pStyle w:val="Heading3"/>
        <w:numPr>
          <w:ilvl w:val="2"/>
          <w:numId w:val="1"/>
        </w:numPr>
        <w:rPr/>
      </w:pPr>
      <w:bookmarkStart w:id="75" w:name="__RefHeading___Toc3140554_3531895371"/>
      <w:bookmarkStart w:id="76" w:name="_Toc29"/>
      <w:bookmarkEnd w:id="74"/>
      <w:bookmarkEnd w:id="75"/>
      <w:r>
        <w:rPr/>
        <w:t>1/4</w:t>
      </w:r>
      <w:r>
        <w:rPr>
          <w:rtl w:val="true"/>
        </w:rPr>
        <w:t xml:space="preserve">. </w:t>
      </w:r>
      <w:r>
        <w:rPr>
          <w:rtl w:val="true"/>
        </w:rPr>
        <w:t>کیفر</w:t>
      </w:r>
      <w:bookmarkEnd w:id="76"/>
    </w:p>
    <w:p>
      <w:pPr>
        <w:pStyle w:val="Heading4"/>
        <w:numPr>
          <w:ilvl w:val="3"/>
          <w:numId w:val="1"/>
        </w:numPr>
        <w:rPr/>
      </w:pPr>
      <w:bookmarkStart w:id="77" w:name="__RefHeading___Toc3140556_3531895371"/>
      <w:bookmarkStart w:id="78" w:name="_Toc30"/>
      <w:bookmarkEnd w:id="77"/>
      <w:r>
        <w:rPr>
          <w:rtl w:val="true"/>
        </w:rPr>
        <w:t>الف</w:t>
      </w:r>
      <w:r>
        <w:rPr>
          <w:rtl w:val="true"/>
        </w:rPr>
        <w:t xml:space="preserve">) </w:t>
      </w:r>
      <w:r>
        <w:rPr>
          <w:rtl w:val="true"/>
        </w:rPr>
        <w:t>معناشناسی کیفر</w:t>
      </w:r>
      <w:bookmarkEnd w:id="78"/>
    </w:p>
    <w:p>
      <w:pPr>
        <w:pStyle w:val="BookText"/>
        <w:rPr/>
      </w:pPr>
      <w:r>
        <w:rPr>
          <w:rFonts w:ascii="IRNazanin" w:hAnsi="IRNazanin" w:eastAsia="IRNazanin"/>
          <w:color w:val="111111"/>
          <w:sz w:val="28"/>
          <w:sz w:val="28"/>
          <w:szCs w:val="28"/>
          <w:rtl w:val="true"/>
          <w:lang w:bidi="fa-IR"/>
        </w:rPr>
        <w:t>کیفر در فرهنگ فارسی به معنای مکافات بدی، جزا، پاداش، عقوبت و مجازات قانونی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475/39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عربی مثل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مکافات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پاداش و هم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قاموس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انگلیسی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Criminal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مرتبط با حقوق ناظر بر جرائم یا اجرای عدالت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دلفانی، مبانی مسئولیت کیفری در حقوق اسلام و فرانسه،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Campbell Black Black's Law Dictionary, 1984,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ترمینولوژی حقوق نیز، کیفر به معنای عقوبت و مجازات است که به کسی که خلاف قانون، اخلاق، عرف یا عادت رفتار کرده باشد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ترمینولوژی حقوق،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4"/>
        <w:numPr>
          <w:ilvl w:val="3"/>
          <w:numId w:val="1"/>
        </w:numPr>
        <w:rPr/>
      </w:pPr>
      <w:bookmarkStart w:id="79" w:name="__RefHeading___Toc3140558_3531895371"/>
      <w:bookmarkStart w:id="80" w:name="_Toc31"/>
      <w:bookmarkEnd w:id="79"/>
      <w:r>
        <w:rPr>
          <w:rtl w:val="true"/>
        </w:rPr>
        <w:t>ب</w:t>
      </w:r>
      <w:r>
        <w:rPr>
          <w:rtl w:val="true"/>
        </w:rPr>
        <w:t xml:space="preserve">) </w:t>
      </w:r>
      <w:r>
        <w:rPr>
          <w:rtl w:val="true"/>
        </w:rPr>
        <w:t>معناشناسی مسئولیت کیفری</w:t>
      </w:r>
      <w:bookmarkEnd w:id="80"/>
    </w:p>
    <w:p>
      <w:pPr>
        <w:pStyle w:val="BookText"/>
        <w:rPr/>
      </w:pPr>
      <w:r>
        <w:rPr>
          <w:rFonts w:ascii="IRNazanin" w:hAnsi="IRNazanin" w:eastAsia="IRNazanin"/>
          <w:color w:val="111111"/>
          <w:sz w:val="28"/>
          <w:sz w:val="28"/>
          <w:szCs w:val="28"/>
          <w:rtl w:val="true"/>
          <w:lang w:bidi="fa-IR"/>
        </w:rPr>
        <w:t xml:space="preserve">در قوانین جزایی ایران، ماهیت و تعریف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مشخص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در مقررات جزایی گاه صرفاً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عبارات کلی 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مسئولیت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بدون آن که تعریفی از این مفهوم ارائه دهد؛ بنابراین، برای تبیین این اصطلاح می توان به تعاریف حقوقدانان مراجعه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مسئولیت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مسئولیت مرتکب جرمی از جرائم مصرح در قانون است که شخص را مستحق یکی از مجازات مقرر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ترمینولوژی حقوق،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81" w:name="pg20875_781500"/>
    </w:p>
    <w:p>
      <w:pPr>
        <w:pStyle w:val="BookText"/>
        <w:rPr/>
      </w:pPr>
      <w:bookmarkEnd w:id="81"/>
      <w:r>
        <w:rPr>
          <w:rFonts w:ascii="IRNazanin" w:hAnsi="IRNazanin" w:eastAsia="IRNazanin"/>
          <w:color w:val="111111"/>
          <w:sz w:val="28"/>
          <w:sz w:val="28"/>
          <w:szCs w:val="28"/>
          <w:rtl w:val="true"/>
          <w:lang w:bidi="fa-IR"/>
        </w:rPr>
        <w:t>جناب ولیدی معتقد است، مسئولیت کیفری معمولاً پس از وقوع جرم مطرح می شود و منظور از آن، تشخیص این امر است که آیا فرد مرتکب، عمل را با اراده و قصد انجام داده یا ناشی از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الزام مجرم به پاسخگویی در قبال عواقب نامطلوب عملش، مسئولیت کیفری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پل ارتباطی بین جرم و مجازات است و قاضی باید در احراز آن عوامل مؤثری مانند دفاع مشروع یا عوامل رافع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صغر، جنون، 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ولیدی، بایسته های حقوق جزای عمومی،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نوربها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کیفری عبارت است از انتساب فعل یا ترک فعل هم مجرمانه به شخص یا اشخاصی که با ارتکاب 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مباشر، شریک یا معاون، اعم از عمدی یا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را نقض کرده اند و توان تحمل مجازات یا اقدامات تأمینی و تربیتی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کسانی که به دلیل عدم توان جسمی یا روانی، یا به حکم قانون، فاقد این توانایی هستند، از شمول مسئولیت کیفری خارج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نوربها، زمینه حقوق جزای عمومی،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یک جمع بندی کلی،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و جامع ترین تعریف است، زیرا تمامی جوانب و عناصر تشکیل دهنده مسئولیت کیفری را پوشش می دهد</w:t>
      </w:r>
      <w:r>
        <w:rPr>
          <w:rFonts w:eastAsia="IRNazanin" w:cs="IRNazanin"/>
          <w:color w:val="111111"/>
          <w:sz w:val="28"/>
          <w:szCs w:val="28"/>
          <w:rtl w:val="true"/>
          <w:lang w:bidi="fa-IR"/>
        </w:rPr>
        <w:t>.</w:t>
      </w:r>
    </w:p>
    <w:p>
      <w:pPr>
        <w:pStyle w:val="Heading4"/>
        <w:numPr>
          <w:ilvl w:val="3"/>
          <w:numId w:val="1"/>
        </w:numPr>
        <w:rPr/>
      </w:pPr>
      <w:bookmarkStart w:id="82" w:name="__RefHeading___Toc3140560_3531895371"/>
      <w:bookmarkStart w:id="83" w:name="_Toc32"/>
      <w:bookmarkEnd w:id="82"/>
      <w:r>
        <w:rPr>
          <w:rtl w:val="true"/>
        </w:rPr>
        <w:t>ج</w:t>
      </w:r>
      <w:r>
        <w:rPr>
          <w:rtl w:val="true"/>
        </w:rPr>
        <w:t xml:space="preserve">: </w:t>
      </w:r>
      <w:r>
        <w:rPr>
          <w:rtl w:val="true"/>
        </w:rPr>
        <w:t>سن مسئولیت کیفری</w:t>
      </w:r>
      <w:bookmarkEnd w:id="83"/>
    </w:p>
    <w:p>
      <w:pPr>
        <w:pStyle w:val="BookText"/>
        <w:rPr/>
      </w:pPr>
      <w:r>
        <w:rPr>
          <w:rFonts w:ascii="IRNazanin" w:hAnsi="IRNazanin" w:eastAsia="IRNazanin"/>
          <w:color w:val="111111"/>
          <w:sz w:val="28"/>
          <w:sz w:val="28"/>
          <w:szCs w:val="28"/>
          <w:rtl w:val="true"/>
          <w:lang w:bidi="fa-IR"/>
        </w:rPr>
        <w:t>با توجه به تعریف فوق، سن مسئولیت کیفری به سنی اطلاق می شود که فرد در صورت ارتکاب جرم، به طور کامل مشمول مجازات گردد و بتوان او را به صورت تام و کامل عقاب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 به دو قسم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مسئولیت نسبی کیفری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مسئولیت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فصول آینده به تفصیل مورد بررسی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 مسئولیت کیفری به عنوان عاملی کلیدی و اساسی در حقوق جزا و حقوق کیفری اطفال محسوب می شود، زیرا معیار اصلی برای تفکیک اطفال و نوجوانان بزهکار از مجرمان بزرگ سال است</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0875_781504"/>
      <w:bookmarkStart w:id="85" w:name="pg20875_781504"/>
      <w:bookmarkEnd w:id="85"/>
    </w:p>
    <w:p>
      <w:pPr>
        <w:pStyle w:val="Heading2"/>
        <w:numPr>
          <w:ilvl w:val="1"/>
          <w:numId w:val="1"/>
        </w:numPr>
        <w:rPr/>
      </w:pPr>
      <w:bookmarkStart w:id="86" w:name="pg20875_781504"/>
      <w:bookmarkStart w:id="87" w:name="__RefHeading___Toc3140562_3531895371"/>
      <w:bookmarkStart w:id="88" w:name="_Toc33"/>
      <w:bookmarkEnd w:id="86"/>
      <w:bookmarkEnd w:id="87"/>
      <w:r>
        <w:rPr>
          <w:rtl w:val="true"/>
        </w:rPr>
        <w:t>فصل دوم</w:t>
      </w:r>
      <w:r>
        <w:rPr>
          <w:rtl w:val="true"/>
        </w:rPr>
        <w:t xml:space="preserve">: </w:t>
      </w:r>
      <w:r>
        <w:rPr>
          <w:rtl w:val="true"/>
        </w:rPr>
        <w:t>جایگاه بلوغ در فقه و قوانین</w:t>
      </w:r>
      <w:bookmarkEnd w:id="8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3140564_3531895371"/>
      <w:bookmarkStart w:id="90" w:name="_Toc34"/>
      <w:bookmarkEnd w:id="89"/>
      <w:r>
        <w:rPr>
          <w:rtl w:val="true"/>
        </w:rPr>
        <w:t>اشاره</w:t>
      </w:r>
      <w:bookmarkStart w:id="91" w:name="pg20875_781505"/>
      <w:bookmarkEnd w:id="90"/>
    </w:p>
    <w:p>
      <w:pPr>
        <w:pStyle w:val="Heading3"/>
        <w:numPr>
          <w:ilvl w:val="2"/>
          <w:numId w:val="1"/>
        </w:numPr>
        <w:rPr/>
      </w:pPr>
      <w:bookmarkStart w:id="92" w:name="__RefHeading___Toc3140566_3531895371"/>
      <w:bookmarkStart w:id="93" w:name="_Toc35"/>
      <w:bookmarkEnd w:id="91"/>
      <w:bookmarkEnd w:id="92"/>
      <w:r>
        <w:rPr/>
        <w:t>2/1</w:t>
      </w:r>
      <w:r>
        <w:rPr>
          <w:rtl w:val="true"/>
        </w:rPr>
        <w:t xml:space="preserve">. </w:t>
      </w:r>
      <w:r>
        <w:rPr>
          <w:rtl w:val="true"/>
        </w:rPr>
        <w:t>قلمر و بلوغ</w:t>
      </w:r>
      <w:bookmarkEnd w:id="93"/>
    </w:p>
    <w:p>
      <w:pPr>
        <w:pStyle w:val="Heading4"/>
        <w:numPr>
          <w:ilvl w:val="3"/>
          <w:numId w:val="1"/>
        </w:numPr>
        <w:rPr/>
      </w:pPr>
      <w:bookmarkStart w:id="94" w:name="__RefHeading___Toc3140568_3531895371"/>
      <w:bookmarkStart w:id="95" w:name="_Toc36"/>
      <w:bookmarkEnd w:id="94"/>
      <w:r>
        <w:rPr/>
        <w:t>1.2/1/1</w:t>
      </w:r>
      <w:r>
        <w:rPr>
          <w:rtl w:val="true"/>
        </w:rPr>
        <w:t xml:space="preserve">. </w:t>
      </w:r>
      <w:r>
        <w:rPr>
          <w:rtl w:val="true"/>
        </w:rPr>
        <w:t>نقش بلوغ به مثابه شرط صحت و وجوب تکلیف</w:t>
      </w:r>
      <w:bookmarkEnd w:id="95"/>
    </w:p>
    <w:p>
      <w:pPr>
        <w:pStyle w:val="BookText"/>
        <w:rPr/>
      </w:pPr>
      <w:r>
        <w:rPr>
          <w:rFonts w:ascii="IRNazanin" w:hAnsi="IRNazanin" w:eastAsia="IRNazanin"/>
          <w:color w:val="111111"/>
          <w:sz w:val="28"/>
          <w:sz w:val="28"/>
          <w:szCs w:val="28"/>
          <w:rtl w:val="true"/>
          <w:lang w:bidi="fa-IR"/>
        </w:rPr>
        <w:t>موضوع بلوغ در فقه شیعه و دیگر مذاهب اسلامی از جایگاهی ویژه برخوردار است و شرط صحت و وجوب بسیاری از احکام و تکالیف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ابواب گسترده ای از فقه، از مباحث طهارت تا دیات، به تفصیل به احکام مرتبط با بلوغ و تفاوت تكاليف بالغان و نابالغان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احکام، تکلیف منحصراً متوجه بالغان است، در پاره ای دیگر ویژه نابالغان بوده و در برخی موارد نیز هر دو گروه مشترکاً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امامیه، بلوغ به عنوان شرط در اموری هم چون وجوب روزه، وجوب زكات، وجوب حج، وجوب اجرای حد، شرایط وکیل، شرایط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احکام قصاص و شهادت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معجم فقه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تنها بخشی از مصادیق فراوان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مذاهب اسلامی نیز بلوغ دارای جایگاه شرط کننده است؛ از جمله به عنوان شرط وجوب نماز، وجوب روزه، وجوب حج، اعتبار در شاهد، شرایط وصی، وجوب نفقه و نیز شرایط راهن و ودیعه دهنده در مذاهب غیر از حنفیه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بلوغ در شمار زیادی از ابواب فقهی به عنوان شرط وجوب یا صحت احکام قرار گرفته است و این امر گویای اهمیت ویژه این موضوع در منظومه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تعداد ابواب فقهی که بلوغ در آن ها شرط تکلیف یا صحت عمل محسوب می شود، در فقه امامیه به بیش از چهل باب می رسد و در سایر مذاهب نیز موارد متعددی دارد که در این جا تنها به ذکر نمونه هایی از آن ها اکتفا شده است</w:t>
      </w:r>
      <w:r>
        <w:rPr>
          <w:rFonts w:eastAsia="IRNazanin" w:cs="IRNazanin"/>
          <w:color w:val="111111"/>
          <w:sz w:val="28"/>
          <w:szCs w:val="28"/>
          <w:rtl w:val="true"/>
          <w:lang w:bidi="fa-IR"/>
        </w:rPr>
        <w:t xml:space="preserve">. </w:t>
      </w:r>
      <w:bookmarkStart w:id="96" w:name="pg20875_781506"/>
    </w:p>
    <w:p>
      <w:pPr>
        <w:pStyle w:val="Heading4"/>
        <w:numPr>
          <w:ilvl w:val="3"/>
          <w:numId w:val="1"/>
        </w:numPr>
        <w:rPr/>
      </w:pPr>
      <w:bookmarkStart w:id="97" w:name="__RefHeading___Toc3140570_3531895371"/>
      <w:bookmarkStart w:id="98" w:name="_Toc37"/>
      <w:bookmarkEnd w:id="96"/>
      <w:bookmarkEnd w:id="97"/>
      <w:r>
        <w:rPr/>
        <w:t>2/1/2</w:t>
      </w:r>
      <w:r>
        <w:rPr>
          <w:rtl w:val="true"/>
        </w:rPr>
        <w:t xml:space="preserve">. </w:t>
      </w:r>
      <w:r>
        <w:rPr>
          <w:rtl w:val="true"/>
        </w:rPr>
        <w:t>جایگاه بلوغ در احکام وضعی</w:t>
      </w:r>
      <w:r>
        <w:rPr>
          <w:rtl w:val="true"/>
        </w:rPr>
        <w:t xml:space="preserve">: </w:t>
      </w:r>
      <w:r>
        <w:rPr>
          <w:rtl w:val="true"/>
        </w:rPr>
        <w:t>تحلیل قاعده عدم اعتبار</w:t>
      </w:r>
      <w:bookmarkEnd w:id="98"/>
    </w:p>
    <w:p>
      <w:pPr>
        <w:pStyle w:val="Heading5"/>
        <w:numPr>
          <w:ilvl w:val="4"/>
          <w:numId w:val="1"/>
        </w:numPr>
        <w:rPr/>
      </w:pPr>
      <w:bookmarkStart w:id="99" w:name="__RefHeading___Toc3140572_3531895371"/>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احکام وضعی که به موضوعات اولیه مکلف و جعل های شارع مربوط می شوند، مشروط به بلوغ شرعی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شامل احکامی است که موضوع آن ها صدور ارادی فعل از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مالکیت ناشی از احیای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احکامی که موضوع آن ها صرفاً با تحقق عيني فعل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ضمان ناشی از اتلاف مال غیر یا نجاست اجسام براثر تماس با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تفاوتی بین بالغ و نابالغ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العقل و البلوغ عند الاماميه،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شمول احکامی مانند مقررات ارث، دیات، ضمان، اتلاف، ضمان غصب، خیانت، شفعه و ولایت بر قصاص، نیل به بلوغ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بدو تولد، اهلیت بهره مندی از حقوق و نیز مسئولیت در قبال این تعهدات را دارد؛ هر چند اهلیت اجرای مستقیم این حقوق و ایفای تعهدات تا زمان بلوغ بر عهده ولی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مقاله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مشهور میان فقها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نووی دمشقى، المجموع شرح 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65/17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قاعده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سنت و روایات که در ادامه به شرح هر یک می پردازیم</w:t>
      </w:r>
      <w:r>
        <w:rPr>
          <w:rFonts w:eastAsia="IRNazanin" w:cs="IRNazanin"/>
          <w:color w:val="111111"/>
          <w:sz w:val="28"/>
          <w:szCs w:val="28"/>
          <w:rtl w:val="true"/>
          <w:lang w:bidi="fa-IR"/>
        </w:rPr>
        <w:t>.</w:t>
      </w:r>
    </w:p>
    <w:p>
      <w:pPr>
        <w:pStyle w:val="Heading5"/>
        <w:numPr>
          <w:ilvl w:val="4"/>
          <w:numId w:val="1"/>
        </w:numPr>
        <w:rPr/>
      </w:pPr>
      <w:bookmarkStart w:id="101" w:name="__RefHeading___Toc3140574_3531895371"/>
      <w:bookmarkStart w:id="102" w:name="_Toc39"/>
      <w:bookmarkEnd w:id="101"/>
      <w:r>
        <w:rPr>
          <w:rtl w:val="true"/>
        </w:rPr>
        <w:t>الف</w:t>
      </w:r>
      <w:r>
        <w:rPr>
          <w:rtl w:val="true"/>
        </w:rPr>
        <w:t xml:space="preserve">) </w:t>
      </w:r>
      <w:r>
        <w:rPr>
          <w:rtl w:val="true"/>
        </w:rPr>
        <w:t>اجماع</w:t>
      </w:r>
      <w:bookmarkEnd w:id="102"/>
    </w:p>
    <w:p>
      <w:pPr>
        <w:pStyle w:val="BookText"/>
        <w:rPr/>
      </w:pPr>
      <w:r>
        <w:rPr>
          <w:rFonts w:ascii="IRNazanin" w:hAnsi="IRNazanin" w:eastAsia="IRNazanin"/>
          <w:color w:val="111111"/>
          <w:sz w:val="28"/>
          <w:sz w:val="28"/>
          <w:szCs w:val="28"/>
          <w:rtl w:val="true"/>
          <w:lang w:bidi="fa-IR"/>
        </w:rPr>
        <w:t>تردیدی نیست که اتلاف مال دیگران توسط کودک نابالغ، ضمان آور بوده و ذمه او را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شخص نابالغ سبب تلف مال دیگری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میان فقها اختلافی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 القواعد الفقهيه</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Heading5"/>
        <w:numPr>
          <w:ilvl w:val="4"/>
          <w:numId w:val="1"/>
        </w:numPr>
        <w:rPr/>
      </w:pPr>
      <w:bookmarkStart w:id="103" w:name="__RefHeading___Toc3140576_3531895371"/>
      <w:bookmarkStart w:id="104" w:name="_Toc40"/>
      <w:bookmarkEnd w:id="103"/>
      <w:r>
        <w:rPr>
          <w:rtl w:val="true"/>
        </w:rPr>
        <w:t>ب</w:t>
      </w:r>
      <w:r>
        <w:rPr>
          <w:rtl w:val="true"/>
        </w:rPr>
        <w:t xml:space="preserve">) </w:t>
      </w:r>
      <w:r>
        <w:rPr>
          <w:rtl w:val="true"/>
        </w:rPr>
        <w:t>سنت عقلاء</w:t>
      </w:r>
      <w:bookmarkEnd w:id="10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بنای عقلای عالم بر این استوار شده که اگر کودکی مال دیگری را تلف یا غصب کند، ضامن است؛ به ویژه اگر به سن بلوغ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نه تنها از ناحیه شارع مقدس نهی و منعی نرسیده، بلکه از اطلاقات ادله می توان دریافت که شارع چنین شیوه ای را امضا و تأیید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وضعی مقرراتی الزامی هستند و مخالفت با آن ها خواه از </w:t>
      </w:r>
      <w:bookmarkStart w:id="105" w:name="pg20875_781507"/>
    </w:p>
    <w:p>
      <w:pPr>
        <w:pStyle w:val="BookText"/>
        <w:rPr/>
      </w:pPr>
      <w:bookmarkEnd w:id="105"/>
      <w:r>
        <w:rPr>
          <w:rFonts w:ascii="IRNazanin" w:hAnsi="IRNazanin" w:eastAsia="IRNazanin"/>
          <w:color w:val="111111"/>
          <w:sz w:val="28"/>
          <w:sz w:val="28"/>
          <w:szCs w:val="28"/>
          <w:rtl w:val="true"/>
          <w:lang w:bidi="fa-IR"/>
        </w:rPr>
        <w:t>روی تقصیر یا ناشی از عدم درک و ناتوانی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کودکان نیز مانند بالغان باید خسارت مالی وارد بر دیگران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جرائم مالی، اگر کودک دارای مال باشد، خسارت از اموال خود او که تحت ولایت ولی یا قیم است پرداخت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رسایل فقهی،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5"/>
        <w:numPr>
          <w:ilvl w:val="4"/>
          <w:numId w:val="1"/>
        </w:numPr>
        <w:rPr/>
      </w:pPr>
      <w:bookmarkStart w:id="106" w:name="__RefHeading___Toc3140578_3531895371"/>
      <w:bookmarkStart w:id="107" w:name="_Toc41"/>
      <w:bookmarkEnd w:id="106"/>
      <w:r>
        <w:rPr>
          <w:rtl w:val="true"/>
        </w:rPr>
        <w:t>ج</w:t>
      </w:r>
      <w:r>
        <w:rPr>
          <w:rtl w:val="true"/>
        </w:rPr>
        <w:t xml:space="preserve">) </w:t>
      </w:r>
      <w:r>
        <w:rPr>
          <w:rtl w:val="true"/>
        </w:rPr>
        <w:t>روایات</w:t>
      </w:r>
      <w:bookmarkEnd w:id="107"/>
    </w:p>
    <w:p>
      <w:pPr>
        <w:pStyle w:val="BookText"/>
        <w:rPr/>
      </w:pPr>
      <w:r>
        <w:rPr>
          <w:rFonts w:ascii="IRNazanin" w:hAnsi="IRNazanin" w:eastAsia="IRNazanin"/>
          <w:color w:val="111111"/>
          <w:sz w:val="28"/>
          <w:sz w:val="28"/>
          <w:szCs w:val="28"/>
          <w:rtl w:val="true"/>
          <w:lang w:bidi="fa-IR"/>
        </w:rPr>
        <w:t>روایات و ادله بسیاری در ابواب مختلف فقه مانند ضمان، دیات، حیازت،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عام هستند و هم بالغ و هم غير بالغ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مراغی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شمار بسیاری از احکام مشروط به بلوغ نمی شوند، احکامی چون ارث، دیه و ضمان که منشأ آن غصب مال یا اتلاف آن است، در مورد نابالغ هم چون بالغ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ادله بسیاری است که در مورد این احکام واردشده و عام هستند و مخصصی نیز برای آن 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مراغى، العناوين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روایاتی که بر قاعده ضمان دلالت دارد دو حدیث ذیل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أَحْيَا أَرْضًا مَيَّتَهُ فَهيَ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زمین بایری را احیا کند، آن زمین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تهذيب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الْيَدِ مَا أَخَذَتْ حَتَّى تُؤَدِّيَهُ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دست تو گرفته ضامن آنی تا آن را باز پس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طبرسی،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 تأمل در این ادله و توجه به کثرت آن ها در می یابد که این احکام اختصاصی به بالغان ندارد و حتی نابالغی را که تمام شرایط تکلیف جز بلوغ را داراست نیز شامل می شود</w:t>
      </w:r>
      <w:r>
        <w:rPr>
          <w:rFonts w:eastAsia="IRNazanin" w:cs="IRNazanin"/>
          <w:color w:val="111111"/>
          <w:sz w:val="28"/>
          <w:szCs w:val="28"/>
          <w:rtl w:val="true"/>
          <w:lang w:bidi="fa-IR"/>
        </w:rPr>
        <w:t xml:space="preserve">. </w:t>
      </w:r>
      <w:bookmarkStart w:id="108" w:name="pg20875_781508"/>
    </w:p>
    <w:p>
      <w:pPr>
        <w:pStyle w:val="Heading4"/>
        <w:numPr>
          <w:ilvl w:val="3"/>
          <w:numId w:val="1"/>
        </w:numPr>
        <w:rPr/>
      </w:pPr>
      <w:bookmarkStart w:id="109" w:name="__RefHeading___Toc3140580_3531895371"/>
      <w:bookmarkStart w:id="110" w:name="_Toc42"/>
      <w:bookmarkEnd w:id="108"/>
      <w:bookmarkEnd w:id="109"/>
      <w:r>
        <w:rPr/>
        <w:t>2/1/3</w:t>
      </w:r>
      <w:r>
        <w:rPr>
          <w:rtl w:val="true"/>
        </w:rPr>
        <w:t xml:space="preserve">. </w:t>
      </w:r>
      <w:r>
        <w:rPr>
          <w:rtl w:val="true"/>
        </w:rPr>
        <w:t>بلوغ و قلمرو مستحبات و مکروهات</w:t>
      </w:r>
      <w:r>
        <w:rPr>
          <w:rtl w:val="true"/>
        </w:rPr>
        <w:t xml:space="preserve">: </w:t>
      </w:r>
      <w:r>
        <w:rPr>
          <w:rtl w:val="true"/>
        </w:rPr>
        <w:t>بررسی حدود تکلیف پیش از بلوغ</w:t>
      </w:r>
      <w:bookmarkEnd w:id="110"/>
    </w:p>
    <w:p>
      <w:pPr>
        <w:pStyle w:val="BookText"/>
        <w:rPr/>
      </w:pPr>
      <w:r>
        <w:rPr>
          <w:rFonts w:ascii="IRNazanin" w:hAnsi="IRNazanin" w:eastAsia="IRNazanin"/>
          <w:color w:val="111111"/>
          <w:sz w:val="28"/>
          <w:sz w:val="28"/>
          <w:szCs w:val="28"/>
          <w:rtl w:val="true"/>
          <w:lang w:bidi="fa-IR"/>
        </w:rPr>
        <w:t>بدون شک، شرط بلوغ در وجوب واجبات و حرمت محرمات دخالت دارد و تکلیف به این امور مشروط به بلوغ شرعی است؛ اما در مقابل، تکلیف به مستحبات و پرهیز از مکروهات، وابسته به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کودک ممیز از قبیل نماز، روزه و حج صحیح و شرعی محسوب شده و ثواب اخروی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خطاب الهی متوجه کودکی است که توان تشخیص عبادات، مستحبات و مکروهات را دارد و اعمال عبادی او مستند به امر شارع و مستحق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فقهای شیعه و اهل سنت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زحیلی، الفقه الاسلامی و ادلته</w:t>
      </w:r>
      <w:r>
        <w:rPr>
          <w:rFonts w:eastAsia="IRNazanin" w:cs="IRNazanin"/>
          <w:color w:val="111111"/>
          <w:sz w:val="28"/>
          <w:szCs w:val="28"/>
          <w:rtl w:val="true"/>
          <w:lang w:bidi="fa-IR"/>
        </w:rPr>
        <w:t xml:space="preserve">: </w:t>
      </w:r>
      <w:r>
        <w:rPr>
          <w:rFonts w:eastAsia="IRNazanin" w:cs="IRNazanin"/>
          <w:color w:val="111111"/>
          <w:sz w:val="28"/>
          <w:szCs w:val="28"/>
          <w:lang w:bidi="fa-IR"/>
        </w:rPr>
        <w:t>2966/4</w:t>
      </w:r>
      <w:r>
        <w:rPr>
          <w:rFonts w:ascii="IRNazanin" w:hAnsi="IRNazanin" w:eastAsia="IRNazanin"/>
          <w:color w:val="111111"/>
          <w:sz w:val="28"/>
          <w:sz w:val="28"/>
          <w:szCs w:val="28"/>
          <w:rtl w:val="true"/>
          <w:lang w:bidi="fa-IR"/>
        </w:rPr>
        <w:t>؛ حسینی مراغی، العناوين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صاحب حدائق، مشهور فقها بر این باورند که نیت عبادت از سوی کودک ممیز، صحیح و روزه و دیگر عباداتش شرعی و مستند به امر شارع است؛ بنابراین شایستگی دریافت پاداش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الحدائق الناظره في احكام العترة الطاهره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صاحب مدارک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خوب و بد را تمیز می دهد، مخاطب خطابات شارع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 هیچ گونه منعی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واجبات و محرمات به بلوغ، به دلالت حديث رفع است، اما تکلیف به مستحبات چنین نیست و هیچ مانع عقلی یا شرعی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ادله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کودک ممیز نیز می شود؛ چرا که اساس تکلیف بر درک و فهم استوار است که در این جا موجود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عاملی، مدارک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عاملی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واجب و حرام است که به بلوغ بستگی دارد، اما در مورد امور مستحبی و آن چه در معنای استحباب است، هیچ مانع عقلی یا شرعی از تعلق تکلیف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عاملی، مفتاح الكرامه فی شرح قواعد العلامه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bookmarkStart w:id="111" w:name="pg20875_781509"/>
    </w:p>
    <w:p>
      <w:pPr>
        <w:pStyle w:val="Heading3"/>
        <w:numPr>
          <w:ilvl w:val="2"/>
          <w:numId w:val="1"/>
        </w:numPr>
        <w:rPr/>
      </w:pPr>
      <w:bookmarkStart w:id="112" w:name="__RefHeading___Toc3140582_3531895371"/>
      <w:bookmarkStart w:id="113" w:name="_Toc43"/>
      <w:bookmarkEnd w:id="111"/>
      <w:bookmarkEnd w:id="112"/>
      <w:r>
        <w:rPr/>
        <w:t>2/2</w:t>
      </w:r>
      <w:r>
        <w:rPr>
          <w:rtl w:val="true"/>
        </w:rPr>
        <w:t xml:space="preserve">. </w:t>
      </w:r>
      <w:r>
        <w:rPr>
          <w:rtl w:val="true"/>
        </w:rPr>
        <w:t>نشانه های بلوغ</w:t>
      </w:r>
      <w:bookmarkEnd w:id="113"/>
    </w:p>
    <w:p>
      <w:pPr>
        <w:pStyle w:val="Heading4"/>
        <w:numPr>
          <w:ilvl w:val="3"/>
          <w:numId w:val="1"/>
        </w:numPr>
        <w:rPr/>
      </w:pPr>
      <w:bookmarkStart w:id="114" w:name="__RefHeading___Toc3140584_3531895371"/>
      <w:bookmarkStart w:id="115" w:name="_Toc44"/>
      <w:bookmarkEnd w:id="114"/>
      <w:r>
        <w:rPr/>
        <w:t>2/2/1</w:t>
      </w:r>
      <w:r>
        <w:rPr>
          <w:rtl w:val="true"/>
        </w:rPr>
        <w:t xml:space="preserve">. </w:t>
      </w:r>
      <w:r>
        <w:rPr>
          <w:rtl w:val="true"/>
        </w:rPr>
        <w:t>احتلام</w:t>
      </w:r>
      <w:bookmarkEnd w:id="115"/>
    </w:p>
    <w:p>
      <w:pPr>
        <w:pStyle w:val="Heading5"/>
        <w:numPr>
          <w:ilvl w:val="4"/>
          <w:numId w:val="1"/>
        </w:numPr>
        <w:rPr/>
      </w:pPr>
      <w:bookmarkStart w:id="116" w:name="__RefHeading___Toc3140586_3531895371"/>
      <w:bookmarkStart w:id="117" w:name="_Toc45"/>
      <w:bookmarkEnd w:id="116"/>
      <w:r>
        <w:rPr/>
        <w:t>2/2/1/1</w:t>
      </w:r>
      <w:r>
        <w:rPr>
          <w:rtl w:val="true"/>
        </w:rPr>
        <w:t xml:space="preserve">. </w:t>
      </w:r>
      <w:r>
        <w:rPr>
          <w:rtl w:val="true"/>
        </w:rPr>
        <w:t>مفهوم شناسی</w:t>
      </w:r>
      <w:bookmarkEnd w:id="117"/>
    </w:p>
    <w:p>
      <w:pPr>
        <w:pStyle w:val="BookText"/>
        <w:rPr/>
      </w:pPr>
      <w:r>
        <w:rPr>
          <w:rFonts w:ascii="IRNazanin" w:hAnsi="IRNazanin" w:eastAsia="IRNazanin"/>
          <w:color w:val="111111"/>
          <w:sz w:val="28"/>
          <w:sz w:val="28"/>
          <w:szCs w:val="28"/>
          <w:rtl w:val="true"/>
          <w:lang w:bidi="fa-IR"/>
        </w:rPr>
        <w:t>احتلام مصدر باب افتعال و به معنای خواب دیدن رسیدن به سن بلوغ و بالغ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 به معنای لذت بردن در خواب است، خواه همراه با انزال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 در قرآن و هم در سنت به کار رفته و معنای آن در شرع و عرف عقلایی یکسان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ندارند، بلکه حقیقتی عرفی اند و شارع مقدس نیز در قرآن به همین معنای عقلایی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حلم، خروج منی از عورت مرد و زن است، مطلقاً؛ چه همراه با شهوت باشد یا نباشد، چه با جماع باشد یا نه و چه در خواب باشد یا در بیداری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اینترنتی تخصصی فقه و حقوق، فصلنامه متین،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18" w:name="__RefHeading___Toc3140588_3531895371"/>
      <w:bookmarkStart w:id="119" w:name="_Toc46"/>
      <w:bookmarkEnd w:id="118"/>
      <w:r>
        <w:rPr/>
        <w:t>2/2/1/2</w:t>
      </w:r>
      <w:r>
        <w:rPr>
          <w:rtl w:val="true"/>
        </w:rPr>
        <w:t xml:space="preserve">. </w:t>
      </w:r>
      <w:r>
        <w:rPr>
          <w:rtl w:val="true"/>
        </w:rPr>
        <w:t>احتلام در قرآن</w:t>
      </w:r>
      <w:bookmarkEnd w:id="11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باید بردگان شما و کسانی از شما که به حد احتلام نرسیده اند،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بامداد و هنگامی که لباس هایتان را در وقت ظهر بر می دارید و پس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زمان، هنگام عورتتان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شما گناهی است و نه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بر برخی در رفت و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روشن می سازد و خداوند دانا و حکیم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کودکان شما به حد احتلام رسیدند،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بخواهند، همان گونه که کسانی که پیش از آنان بودند اجازه 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20" w:name="pg20875_781510"/>
    </w:p>
    <w:p>
      <w:pPr>
        <w:pStyle w:val="BookText"/>
        <w:rPr/>
      </w:pPr>
      <w:bookmarkEnd w:id="120"/>
      <w:r>
        <w:rPr>
          <w:rFonts w:ascii="IRNazanin" w:hAnsi="IRNazanin" w:eastAsia="IRNazanin"/>
          <w:color w:val="111111"/>
          <w:sz w:val="28"/>
          <w:sz w:val="28"/>
          <w:szCs w:val="28"/>
          <w:rtl w:val="true"/>
          <w:lang w:bidi="fa-IR"/>
        </w:rPr>
        <w:t xml:space="preserve">در این دو آیه، بلوغ مردان تنها با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گذاشته شده و نشانه دیگری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آن است که خداوند مبنای بلوغ را یک امر تکوینی و طبیعی قرار داده است</w:t>
      </w:r>
      <w:r>
        <w:rPr>
          <w:rFonts w:eastAsia="IRNazanin" w:cs="IRNazanin"/>
          <w:color w:val="111111"/>
          <w:sz w:val="28"/>
          <w:szCs w:val="28"/>
          <w:rtl w:val="true"/>
          <w:lang w:bidi="fa-IR"/>
        </w:rPr>
        <w:t>.</w:t>
      </w:r>
    </w:p>
    <w:p>
      <w:pPr>
        <w:pStyle w:val="Heading5"/>
        <w:numPr>
          <w:ilvl w:val="4"/>
          <w:numId w:val="1"/>
        </w:numPr>
        <w:rPr/>
      </w:pPr>
      <w:bookmarkStart w:id="121" w:name="__RefHeading___Toc3140590_3531895371"/>
      <w:bookmarkStart w:id="122" w:name="_Toc47"/>
      <w:bookmarkEnd w:id="121"/>
      <w:r>
        <w:rPr/>
        <w:t>2/2/1/3</w:t>
      </w:r>
      <w:r>
        <w:rPr>
          <w:rtl w:val="true"/>
        </w:rPr>
        <w:t xml:space="preserve">. </w:t>
      </w:r>
      <w:r>
        <w:rPr>
          <w:rtl w:val="true"/>
        </w:rPr>
        <w:t>احتلام در روایات</w:t>
      </w:r>
      <w:bookmarkEnd w:id="122"/>
    </w:p>
    <w:p>
      <w:pPr>
        <w:pStyle w:val="BookText"/>
        <w:rPr/>
      </w:pPr>
      <w:r>
        <w:rPr>
          <w:rFonts w:ascii="IRNazanin" w:hAnsi="IRNazanin" w:eastAsia="IRNazanin"/>
          <w:color w:val="111111"/>
          <w:sz w:val="28"/>
          <w:sz w:val="28"/>
          <w:szCs w:val="28"/>
          <w:rtl w:val="true"/>
          <w:lang w:bidi="fa-IR"/>
        </w:rPr>
        <w:t>روایات متعددی با اسناد مختلف از طریق خاصه و عامه بر اهمیت احتلام به عنوان نشانه بلوغ دلالت دارند که در ادامه به نمونه هایی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پسر هنگامی واجب می شود که محتلم گردد و بر دختر هنگامی که حائض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پس از شیر گیری، رضاعی نیست و پس از احتلام، یتیمی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تصرف مالی یتیم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 یتیم جایز نیست تا وقتی که محتلم شود و مال به او تسلیم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تهذيب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Heading5"/>
        <w:numPr>
          <w:ilvl w:val="4"/>
          <w:numId w:val="1"/>
        </w:numPr>
        <w:rPr/>
      </w:pPr>
      <w:bookmarkStart w:id="123" w:name="__RefHeading___Toc3140592_3531895371"/>
      <w:bookmarkStart w:id="124" w:name="_Toc48"/>
      <w:bookmarkEnd w:id="123"/>
      <w:r>
        <w:rPr/>
        <w:t>2/2/1/4</w:t>
      </w:r>
      <w:r>
        <w:rPr>
          <w:rtl w:val="true"/>
        </w:rPr>
        <w:t xml:space="preserve">. </w:t>
      </w:r>
      <w:r>
        <w:rPr>
          <w:rtl w:val="true"/>
        </w:rPr>
        <w:t>دیدگاه فقهای امامیه</w:t>
      </w:r>
      <w:bookmarkEnd w:id="124"/>
    </w:p>
    <w:p>
      <w:pPr>
        <w:pStyle w:val="BookText"/>
        <w:rPr/>
      </w:pPr>
      <w:r>
        <w:rPr>
          <w:rFonts w:ascii="IRNazanin" w:hAnsi="IRNazanin" w:eastAsia="IRNazanin"/>
          <w:color w:val="111111"/>
          <w:sz w:val="28"/>
          <w:sz w:val="28"/>
          <w:szCs w:val="28"/>
          <w:rtl w:val="true"/>
          <w:lang w:bidi="fa-IR"/>
        </w:rPr>
        <w:t>فقهای امامیه به اجماع، احتلام را یکی از نشانه های بلوغ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برای اثبات این دیدگاه، به آیات قرآن و روایات متعدد استناد کرده اند که در ادامه به دیدگاه های برخی از آنان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تذکره الفقهاء می نویسد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هو خروج منى من الذكر او قبل المرأه مطلقاً؛ از نشانه های بلوغ خروج منی اعم از این که در خواب یا بیداری، با شهوت یا بدون آن باشد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ثانی در مسالک الافهام ضمن بررسی شرایط خروج منی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 فی البلوغ خروج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 کند که این نشانه، مختص به حالت خاصی نیست و در خواب یا بیداری، شب یا روز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کتاب حجر نیز با توضیحی حکیمانه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إذا اتفق الاحتلام في الوقت المحتمل حصل به البلوغ و لم يتوقف على بيان الشارع، فإن البلوغ من الأمور الطبيعية المعروفة في اللغة و العرف و ليس من الموضوعات الشرعية التي لا تعلم إلا من جهة الشرع كألفاظ العبادا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ها همگی مؤید آن است که احتلام به عنوان یک پدیده طبیعی و عینی، نزد فقهای امامیه معیار اصلی و مورد اجماع برای تشخیص بلوغ در پسران شمرده می شود</w:t>
      </w:r>
      <w:r>
        <w:rPr>
          <w:rFonts w:eastAsia="IRNazanin" w:cs="IRNazanin"/>
          <w:color w:val="111111"/>
          <w:sz w:val="28"/>
          <w:szCs w:val="28"/>
          <w:rtl w:val="true"/>
          <w:lang w:bidi="fa-IR"/>
        </w:rPr>
        <w:t xml:space="preserve">. </w:t>
      </w:r>
      <w:bookmarkStart w:id="125" w:name="pg20875_781512"/>
    </w:p>
    <w:p>
      <w:pPr>
        <w:pStyle w:val="Heading4"/>
        <w:numPr>
          <w:ilvl w:val="3"/>
          <w:numId w:val="1"/>
        </w:numPr>
        <w:rPr/>
      </w:pPr>
      <w:bookmarkStart w:id="126" w:name="__RefHeading___Toc3140594_3531895371"/>
      <w:bookmarkStart w:id="127" w:name="_Toc49"/>
      <w:bookmarkEnd w:id="125"/>
      <w:bookmarkEnd w:id="126"/>
      <w:r>
        <w:rPr/>
        <w:t>2/2/2</w:t>
      </w:r>
      <w:r>
        <w:rPr>
          <w:rtl w:val="true"/>
        </w:rPr>
        <w:t xml:space="preserve">. </w:t>
      </w:r>
      <w:r>
        <w:rPr>
          <w:rtl w:val="true"/>
        </w:rPr>
        <w:t>حيض</w:t>
      </w:r>
      <w:bookmarkEnd w:id="127"/>
    </w:p>
    <w:p>
      <w:pPr>
        <w:pStyle w:val="Heading5"/>
        <w:numPr>
          <w:ilvl w:val="4"/>
          <w:numId w:val="1"/>
        </w:numPr>
        <w:rPr/>
      </w:pPr>
      <w:bookmarkStart w:id="128" w:name="__RefHeading___Toc3140596_3531895371"/>
      <w:bookmarkStart w:id="129" w:name="_Toc50"/>
      <w:bookmarkEnd w:id="128"/>
      <w:r>
        <w:rPr/>
        <w:t>2/2/2/1</w:t>
      </w:r>
      <w:r>
        <w:rPr>
          <w:rtl w:val="true"/>
        </w:rPr>
        <w:t xml:space="preserve">. </w:t>
      </w:r>
      <w:r>
        <w:rPr>
          <w:rtl w:val="true"/>
        </w:rPr>
        <w:t>چیستی حیض</w:t>
      </w:r>
      <w:bookmarkEnd w:id="129"/>
    </w:p>
    <w:p>
      <w:pPr>
        <w:pStyle w:val="Heading6"/>
        <w:numPr>
          <w:ilvl w:val="5"/>
          <w:numId w:val="1"/>
        </w:numPr>
        <w:rPr/>
      </w:pPr>
      <w:bookmarkStart w:id="130" w:name="__RefHeading___Toc3140598_3531895371"/>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حیض خون طبیعی ای است که در دوره های تقریبی ماهانه، به مدت چند روز از رحم زنان خارج می شود و زن در زمان دیدن این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معمولاً غلیظ، گرم و به رنگ سرخ متمایل به سیاه است و با احساس فشار و کمی سوزش همراه است</w:t>
      </w:r>
      <w:r>
        <w:rPr>
          <w:rFonts w:eastAsia="IRNazanin" w:cs="IRNazanin"/>
          <w:color w:val="111111"/>
          <w:sz w:val="28"/>
          <w:szCs w:val="28"/>
          <w:rtl w:val="true"/>
          <w:lang w:bidi="fa-IR"/>
        </w:rPr>
        <w:t>.</w:t>
      </w:r>
    </w:p>
    <w:p>
      <w:pPr>
        <w:pStyle w:val="Heading6"/>
        <w:numPr>
          <w:ilvl w:val="5"/>
          <w:numId w:val="1"/>
        </w:numPr>
        <w:rPr/>
      </w:pPr>
      <w:bookmarkStart w:id="132" w:name="__RefHeading___Toc3140600_3531895371"/>
      <w:bookmarkStart w:id="133" w:name="_Toc52"/>
      <w:bookmarkEnd w:id="132"/>
      <w:r>
        <w:rPr>
          <w:rtl w:val="true"/>
        </w:rPr>
        <w:t>الف</w:t>
      </w:r>
      <w:r>
        <w:rPr>
          <w:rtl w:val="true"/>
        </w:rPr>
        <w:t xml:space="preserve">) </w:t>
      </w:r>
      <w:r>
        <w:rPr>
          <w:rtl w:val="true"/>
        </w:rPr>
        <w:t>تشخیص خون حیض</w:t>
      </w:r>
      <w:r>
        <w:rPr>
          <w:rtl w:val="true"/>
        </w:rPr>
        <w:t>:</w:t>
      </w:r>
      <w:bookmarkEnd w:id="133"/>
    </w:p>
    <w:p>
      <w:pPr>
        <w:pStyle w:val="BookText"/>
        <w:rPr/>
      </w:pPr>
      <w:r>
        <w:rPr>
          <w:rFonts w:ascii="IRNazanin" w:hAnsi="IRNazanin" w:eastAsia="IRNazanin"/>
          <w:color w:val="111111"/>
          <w:sz w:val="28"/>
          <w:sz w:val="28"/>
          <w:szCs w:val="28"/>
          <w:rtl w:val="true"/>
          <w:lang w:bidi="fa-IR"/>
        </w:rPr>
        <w:t xml:space="preserve">برای تشخیص خون حیض از دیگر انواع خونریزی های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هایی ذکر شده است که زن باید با مشاهده خون به آن ها توجه کرده و مطابق احکام مربوط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خون حیض، تداوم آن است؛ به طوری که کم ترین مدت حیض، سه روز کامل و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میانۀ خونریزی، یک روز یا بیش تر پاکی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اول خون، روز دوم پاکی و روز سوم مجدد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خون حیض محسوب نشده و نمازها و روزه های ترک شده در آن ایام باید قضا شوند</w:t>
      </w:r>
      <w:r>
        <w:rPr>
          <w:rFonts w:eastAsia="IRNazanin" w:cs="IRNazanin"/>
          <w:color w:val="111111"/>
          <w:sz w:val="28"/>
          <w:szCs w:val="28"/>
          <w:rtl w:val="true"/>
          <w:lang w:bidi="fa-IR"/>
        </w:rPr>
        <w:t>.</w:t>
      </w:r>
    </w:p>
    <w:p>
      <w:pPr>
        <w:pStyle w:val="Heading6"/>
        <w:numPr>
          <w:ilvl w:val="5"/>
          <w:numId w:val="1"/>
        </w:numPr>
        <w:rPr/>
      </w:pPr>
      <w:bookmarkStart w:id="134" w:name="__RefHeading___Toc3140602_3531895371"/>
      <w:bookmarkStart w:id="135" w:name="_Toc53"/>
      <w:bookmarkEnd w:id="134"/>
      <w:r>
        <w:rPr>
          <w:rtl w:val="true"/>
        </w:rPr>
        <w:t>ب</w:t>
      </w:r>
      <w:r>
        <w:rPr>
          <w:rtl w:val="true"/>
        </w:rPr>
        <w:t xml:space="preserve">) </w:t>
      </w:r>
      <w:r>
        <w:rPr>
          <w:rtl w:val="true"/>
        </w:rPr>
        <w:t>عوامل مؤثر در شروع عادت ماهانه</w:t>
      </w:r>
      <w:bookmarkEnd w:id="135"/>
    </w:p>
    <w:p>
      <w:pPr>
        <w:pStyle w:val="BookText"/>
        <w:rPr/>
      </w:pPr>
      <w:r>
        <w:rPr>
          <w:rFonts w:ascii="IRNazanin" w:hAnsi="IRNazanin" w:eastAsia="IRNazanin"/>
          <w:color w:val="111111"/>
          <w:sz w:val="28"/>
          <w:sz w:val="28"/>
          <w:szCs w:val="28"/>
          <w:rtl w:val="true"/>
          <w:lang w:bidi="fa-IR"/>
        </w:rPr>
        <w:t>ظهور نشانه های بلوغ در دختران و پسران به شدت تحت تأثیر عوامل محیطی، تغذیه ای، فرهنگی و جغرافیایی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گرمسیری مانند حبشه، بلوغ جسمانی دختران ممکن است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سردسیر مانند لابونی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اسکاندیناوی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اتفاق ممکن است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نامناسب اجتماعی و اخلاقی نیز می تواند منجر به بلوغ زودرس در جوامع مختلف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 نژادی نیز در سن بلوغ مؤثر است؛ به عنوان مثال، دختران هندی معمولاً دیرتر از دختران انگلیسی یا آمریکایی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 ها حتی نشان می دهند که در کشورهای اروپایی، هر دهه سن شروع قاعدگی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کاهش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ایران نیز مطالعات آماری، کاهش تدریجی سن قاعدگی در نسل های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نسبت به مادران و مادر بزرگ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اردوباری، احمد صبور، بلوغ،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دختری از نظر رشد جسمی در وضعیت متوسط و متعادلی باشد، اولین عادت ماهیانه اش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شروع قاعدگی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شیمیایی در بدن دختر، مرحلۀ پیش از بلوغ را ایجاد کرده و سپس او را به بلوغ کامل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این مرحله کاملاً به عوامل ژنتیکی، سلامت جسمانی و نوع تغذیه در دوران رشد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انسون وايت، ویلیام، روانشناسی بلوغ،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شاهلوئی پور، و قائمی،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36" w:name="pg20875_781514"/>
    </w:p>
    <w:p>
      <w:pPr>
        <w:pStyle w:val="Heading5"/>
        <w:numPr>
          <w:ilvl w:val="4"/>
          <w:numId w:val="1"/>
        </w:numPr>
        <w:rPr/>
      </w:pPr>
      <w:bookmarkStart w:id="137" w:name="__RefHeading___Toc3140604_3531895371"/>
      <w:bookmarkStart w:id="138" w:name="_Toc54"/>
      <w:bookmarkEnd w:id="136"/>
      <w:bookmarkEnd w:id="137"/>
      <w:r>
        <w:rPr/>
        <w:t>2/2/2/2</w:t>
      </w:r>
      <w:r>
        <w:rPr>
          <w:rtl w:val="true"/>
        </w:rPr>
        <w:t xml:space="preserve">. </w:t>
      </w:r>
      <w:r>
        <w:rPr>
          <w:rtl w:val="true"/>
        </w:rPr>
        <w:t>حیض از دیدگاه فقهای امامیه</w:t>
      </w:r>
      <w:bookmarkEnd w:id="138"/>
    </w:p>
    <w:p>
      <w:pPr>
        <w:pStyle w:val="BookText"/>
        <w:rPr/>
      </w:pPr>
      <w:r>
        <w:rPr>
          <w:rFonts w:ascii="IRNazanin" w:hAnsi="IRNazanin" w:eastAsia="IRNazanin"/>
          <w:color w:val="111111"/>
          <w:sz w:val="28"/>
          <w:sz w:val="28"/>
          <w:szCs w:val="28"/>
          <w:rtl w:val="true"/>
          <w:lang w:bidi="fa-IR"/>
        </w:rPr>
        <w:t>در میان فقهای امامیه درباره جایگاه حیض به عنوان نشانه بلوغ،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شیعه معتقدند که حیض به خودی خود نشانه بلوغ نیست، بلکه تنها دلیل بر بلوغ به شمار می رود؛ به این معنا که وقوع حیض، حاکی از آن است که بلوغ پیش از آن نیز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این مطلب، به چند نمونه از آرای فقهای برجسته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نیست در این که حمل و حیض دلیل بر بلوغ سابق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حيض، شارع مقدس احکام مکلف را به آن معلق نموده است، مانند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حائض قبول نمی شود مگر با روسری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با صراحت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حیض در حق زنان، خودِ بلوغ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زیرا علامه بر این که حیض دلیل بر بلوغ است ادعای اجماع داشته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فقها مانند شیخ طوسی و ابن حمزه حیض را در زمره نشانه های بلوغ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با سه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حیض و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دلیل بر بلوغ سابق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المبسوط في فقه الاماميه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زن به یکی از این دو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تمام شدن ده سال؛ و آبستن شدن نیز علامت بلوغ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حمزه، الوسيله الى نيل الفضيله،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گرچه در تعبیرها تفاوت وجود دارد اما در عمل و نتیجه، وقوع حيض نزد همه فقها به عنوان اماره قطعی بلوغ دختران محسوب می شود و احکام تکلیفی با تحقق آن بر زن بار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یک سؤال مهم پاسخ گوییم که آیا حیض نشانه بلوغ است؟ تمامی فقهای امامیه بر این امر اجماع دارند که دختر در نه سالگی بالغ می شود؛ و پیش از این سن، بالغ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خونی که پیش از نه سالگی دیده می شود حتی اگر دارای همه نشانه های ظاهری حیض باشد حیض شرعی به شمار نمی رود، این دیدگاه سبب شده است که برخی از فقها استدلال کنند که اگر حیض را نشانه بلوغ بدانیم، با توجه به قطعیت بلوغ در نه سالگی، نقش حیض به عنوان نشانه بلوغ دچار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الحدائق الناظره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لغويت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نه سالگی، هر خونی حیض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نه سالگی، بلوغ با رسیدن به سن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حالت، حیض چه سهمی در اثبات بلوغ خواهد داشت؟ پاسخ فقها به این اشکال معمولاً این است که نشانه بودن حیض در جایی کاربرد دارد که سن دختر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اگر دختری خونی با ویژگی های حیض ببیند، بلوغ او از طریق همان خون ثابت می شود، زیرا حیض کاشف از رسیدن به سن نه سالگی است و سن نه سالگی خود دال بر بلوغ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حیض اماره ای است که در فرض جهالت به سن، بلوغ را اثبات می کند؛ نه به این معنا که خودِ حیض موجب بلوغ است، بلکه به این معنا که وقوع حیض نشان می دهد دختر به سن نه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مبتنی بر اعتبار امارات شرعی مانند بینه، خبر ثقه و دیگر قرائن است که تا زمانی که یقین به مخالفت آن ها با واقع وجود نداشته باشد، معتبرند؛ بنابراین، اگر یقین داشته باشیم که دختری هنوز به نه سالگی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تاریخ تولد او مطمئن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با دیدن خون دارای نشانه های حیض، آن را حیض شرعی نمی دانیم؛ زیرا در این حالت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واقعِ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bookmarkStart w:id="139" w:name="pg20875_781516"/>
    </w:p>
    <w:p>
      <w:pPr>
        <w:pStyle w:val="Heading5"/>
        <w:numPr>
          <w:ilvl w:val="4"/>
          <w:numId w:val="1"/>
        </w:numPr>
        <w:rPr/>
      </w:pPr>
      <w:bookmarkStart w:id="140" w:name="__RefHeading___Toc3140606_3531895371"/>
      <w:bookmarkStart w:id="141" w:name="_Toc55"/>
      <w:bookmarkEnd w:id="139"/>
      <w:bookmarkEnd w:id="140"/>
      <w:r>
        <w:rPr>
          <w:rtl w:val="true"/>
        </w:rPr>
        <w:t>جمع بندی</w:t>
      </w:r>
      <w:bookmarkEnd w:id="141"/>
    </w:p>
    <w:p>
      <w:pPr>
        <w:pStyle w:val="BookText"/>
        <w:rPr/>
      </w:pPr>
      <w:r>
        <w:rPr>
          <w:rFonts w:ascii="IRNazanin" w:hAnsi="IRNazanin" w:eastAsia="IRNazanin"/>
          <w:color w:val="111111"/>
          <w:sz w:val="28"/>
          <w:sz w:val="28"/>
          <w:szCs w:val="28"/>
          <w:rtl w:val="true"/>
          <w:lang w:bidi="fa-IR"/>
        </w:rPr>
        <w:t>در منظومه فقه امامیه، حیض به عنوان کاشف بلوغ عمل می کند، نه علت تامه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بلوغ با تکمیل نه سال است، اما در مواردی که سن مشخص نیست، وقوع حیض می تواند به عنوان دليلِ بلوغ مورد استناد قرار گیرد</w:t>
      </w:r>
      <w:r>
        <w:rPr>
          <w:rFonts w:eastAsia="IRNazanin" w:cs="IRNazanin"/>
          <w:color w:val="111111"/>
          <w:sz w:val="28"/>
          <w:szCs w:val="28"/>
          <w:rtl w:val="true"/>
          <w:lang w:bidi="fa-IR"/>
        </w:rPr>
        <w:t>.</w:t>
      </w:r>
    </w:p>
    <w:p>
      <w:pPr>
        <w:pStyle w:val="Heading5"/>
        <w:numPr>
          <w:ilvl w:val="4"/>
          <w:numId w:val="1"/>
        </w:numPr>
        <w:rPr/>
      </w:pPr>
      <w:bookmarkStart w:id="142" w:name="__RefHeading___Toc3140608_3531895371"/>
      <w:bookmarkStart w:id="143" w:name="_Toc56"/>
      <w:bookmarkEnd w:id="142"/>
      <w:r>
        <w:rPr/>
        <w:t>2/2/2/3</w:t>
      </w:r>
      <w:r>
        <w:rPr>
          <w:rtl w:val="true"/>
        </w:rPr>
        <w:t xml:space="preserve">. </w:t>
      </w:r>
      <w:r>
        <w:rPr>
          <w:rtl w:val="true"/>
        </w:rPr>
        <w:t>حیض از دیدگاه فقهای عامه</w:t>
      </w:r>
      <w:bookmarkEnd w:id="143"/>
    </w:p>
    <w:p>
      <w:pPr>
        <w:pStyle w:val="BookText"/>
        <w:rPr/>
      </w:pPr>
      <w:r>
        <w:rPr>
          <w:rFonts w:ascii="IRNazanin" w:hAnsi="IRNazanin" w:eastAsia="IRNazanin"/>
          <w:color w:val="111111"/>
          <w:sz w:val="28"/>
          <w:sz w:val="28"/>
          <w:szCs w:val="28"/>
          <w:rtl w:val="true"/>
          <w:lang w:bidi="fa-IR"/>
        </w:rPr>
        <w:t>فقهای سایر مذاهب اسلامی نیز حیض را یکی از نشانه های بلوغ مختص زنان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دیدگاه های متعددی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نشانه ها، ویژه زنان است که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حیض در زمان امکان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نشانه 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اسماء دختر ابوبکر استناد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 حیض شود، شایسته نیست جز این دو عضو از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و دو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وجوب پوشش را معلق به حیض نموده و این خود نوعی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روایت نماز حائض پذیرفته نیست مگر با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تکلیف نماز بر حیض مترتب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دوم بلوغ ویژه زنان،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بلوغ با حیض ثابت می شود یا با آبستنی اختلاف شده؛ نظر صحیح آن است که احکام بلوغ با حیض اثبات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مفتاح، شرح الازهار</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زیدان بیان می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بلوغ،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خون حیض از رحم زن تنها زمانی رخ می دهد که وی به حد بلوغ رسیده باشد؛ بنابراین پیدایش خون حیض کاشف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سنی که حیض پدیدار می شود، نه سالگی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زيدان، المفصل في أحكام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144" w:name="pg20875_781517"/>
    </w:p>
    <w:p>
      <w:pPr>
        <w:pStyle w:val="BookText"/>
        <w:rPr/>
      </w:pPr>
      <w:bookmarkEnd w:id="144"/>
      <w:r>
        <w:rPr>
          <w:rFonts w:ascii="IRNazanin" w:hAnsi="IRNazanin" w:eastAsia="IRNazanin"/>
          <w:color w:val="111111"/>
          <w:sz w:val="28"/>
          <w:sz w:val="28"/>
          <w:szCs w:val="28"/>
          <w:rtl w:val="true"/>
          <w:lang w:bidi="fa-IR"/>
        </w:rPr>
        <w:t>به نقل از شافعی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حیض، نشانه بلوغ است و در آن اختلافی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زن حائض قبول نمی شود مگر با روسری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قدامه، 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دمشقی معتقد است آن چه ویژه زنان است، دو چیز است؛ یکی از آن ها حیض است که در زمان طبیعی خود نشانه بلوغ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نووى دمشقی، روضة الطالبين</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ها به وضوح بر می آید که دیگر مذاهب اسلامی، حیض به عنوان یک نشانه طبیعی و تکوینی بلوغ زنان شناخته می شود و با وقوع آن، تکالیف شرعی بر عهده دختر نهاده می گردد</w:t>
      </w:r>
      <w:r>
        <w:rPr>
          <w:rFonts w:eastAsia="IRNazanin" w:cs="IRNazanin"/>
          <w:color w:val="111111"/>
          <w:sz w:val="28"/>
          <w:szCs w:val="28"/>
          <w:rtl w:val="true"/>
          <w:lang w:bidi="fa-IR"/>
        </w:rPr>
        <w:t>.</w:t>
      </w:r>
    </w:p>
    <w:p>
      <w:pPr>
        <w:pStyle w:val="Heading4"/>
        <w:numPr>
          <w:ilvl w:val="3"/>
          <w:numId w:val="1"/>
        </w:numPr>
        <w:rPr/>
      </w:pPr>
      <w:bookmarkStart w:id="145" w:name="__RefHeading___Toc3140610_3531895371"/>
      <w:bookmarkStart w:id="146" w:name="_Toc57"/>
      <w:bookmarkEnd w:id="145"/>
      <w:r>
        <w:rPr/>
        <w:t>2/2/3</w:t>
      </w:r>
      <w:r>
        <w:rPr>
          <w:rtl w:val="true"/>
        </w:rPr>
        <w:t xml:space="preserve">. </w:t>
      </w:r>
      <w:r>
        <w:rPr>
          <w:rtl w:val="true"/>
        </w:rPr>
        <w:t>حمل</w:t>
      </w:r>
      <w:bookmarkEnd w:id="146"/>
    </w:p>
    <w:p>
      <w:pPr>
        <w:pStyle w:val="Heading5"/>
        <w:numPr>
          <w:ilvl w:val="4"/>
          <w:numId w:val="1"/>
        </w:numPr>
        <w:rPr/>
      </w:pPr>
      <w:bookmarkStart w:id="147" w:name="__RefHeading___Toc3140612_3531895371"/>
      <w:bookmarkStart w:id="148" w:name="_Toc58"/>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یکی دیگر از نشانه های اشاره شده برای بلوغ،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به صورت ضمنی به این موضوع پرداخته شد و در این جا به تفصیل موردبررسی قرار می گیرد</w:t>
      </w:r>
      <w:r>
        <w:rPr>
          <w:rFonts w:eastAsia="IRNazanin" w:cs="IRNazanin"/>
          <w:color w:val="111111"/>
          <w:sz w:val="28"/>
          <w:szCs w:val="28"/>
          <w:rtl w:val="true"/>
          <w:lang w:bidi="fa-IR"/>
        </w:rPr>
        <w:t>.</w:t>
      </w:r>
    </w:p>
    <w:p>
      <w:pPr>
        <w:pStyle w:val="Heading5"/>
        <w:numPr>
          <w:ilvl w:val="4"/>
          <w:numId w:val="1"/>
        </w:numPr>
        <w:rPr/>
      </w:pPr>
      <w:bookmarkStart w:id="149" w:name="__RefHeading___Toc3140614_3531895371"/>
      <w:bookmarkStart w:id="150" w:name="_Toc59"/>
      <w:bookmarkEnd w:id="149"/>
      <w:r>
        <w:rPr>
          <w:rtl w:val="true"/>
        </w:rPr>
        <w:t>الف</w:t>
      </w:r>
      <w:r>
        <w:rPr>
          <w:rtl w:val="true"/>
        </w:rPr>
        <w:t xml:space="preserve">) </w:t>
      </w:r>
      <w:r>
        <w:rPr>
          <w:rtl w:val="true"/>
        </w:rPr>
        <w:t>دیدگاه فقه امامیه</w:t>
      </w:r>
      <w:r>
        <w:rPr>
          <w:rtl w:val="true"/>
        </w:rPr>
        <w:t>:</w:t>
      </w:r>
      <w:bookmarkEnd w:id="150"/>
    </w:p>
    <w:p>
      <w:pPr>
        <w:pStyle w:val="BookText"/>
        <w:rPr/>
      </w:pPr>
      <w:r>
        <w:rPr>
          <w:rFonts w:ascii="IRNazanin" w:hAnsi="IRNazanin" w:eastAsia="IRNazanin"/>
          <w:color w:val="111111"/>
          <w:sz w:val="28"/>
          <w:sz w:val="28"/>
          <w:szCs w:val="28"/>
          <w:rtl w:val="true"/>
          <w:lang w:bidi="fa-IR"/>
        </w:rPr>
        <w:t>صاحب جواهر حمل را دلیل بر بلوغ پیشین می داند و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حمل بر بلوغ سابق،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اساس قاعده عادی که حیاضت، پیش از حمل رخ می دهد؛ ثانیاً، زیرا حمل مسبوق به انزال است که خود نشانۀ بلوغ شناخته می شود، چرا که تشکیل فرزند تنها از اختلاط دو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45/26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سنت الهی، زن معمولاً پیش از بارداری، حیض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 بدون تحقق انزال در زن ممکن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منظور از حمل در این جا، باردار شدن زنانی است که از حالت صغیر بودن خارج شده و بالغ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استناد به روایاتی این دیدگاه را تقویت می کند</w:t>
      </w:r>
      <w:r>
        <w:rPr>
          <w:rFonts w:eastAsia="IRNazanin" w:cs="IRNazanin"/>
          <w:color w:val="111111"/>
          <w:sz w:val="28"/>
          <w:szCs w:val="28"/>
          <w:rtl w:val="true"/>
          <w:lang w:bidi="fa-IR"/>
        </w:rPr>
        <w:t xml:space="preserve">: </w:t>
      </w:r>
      <w:bookmarkStart w:id="151" w:name="pg20875_781518"/>
    </w:p>
    <w:p>
      <w:pPr>
        <w:pStyle w:val="BookText"/>
        <w:rPr/>
      </w:pPr>
      <w:bookmarkEnd w:id="151"/>
      <w:r>
        <w:rPr>
          <w:rFonts w:ascii="IRNazanin" w:hAnsi="IRNazanin" w:eastAsia="IRNazanin"/>
          <w:color w:val="111111"/>
          <w:sz w:val="28"/>
          <w:sz w:val="28"/>
          <w:szCs w:val="28"/>
          <w:rtl w:val="true"/>
          <w:lang w:bidi="fa-IR"/>
        </w:rPr>
        <w:t xml:space="preserve">روایت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همانند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می شود، عدۀ طلاق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وسائل الشيعه،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کنیزی که حیض نمی بیند و به سن بارداری نرسیده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با او همبستر شود، عدۀ طلاق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وسائل الشیعه،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نكاح العبيد و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هم چنین فتوای اخبار مستفیضِ برداشت می شود که عده از صغیره و زنی که حیض ندیده،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حمل نشان می دهد زن از حد صغیر بودن خارج شده و قابلیت بارداری رادار است</w:t>
      </w:r>
      <w:r>
        <w:rPr>
          <w:rFonts w:eastAsia="IRNazanin" w:cs="IRNazanin"/>
          <w:color w:val="111111"/>
          <w:sz w:val="28"/>
          <w:szCs w:val="28"/>
          <w:rtl w:val="true"/>
          <w:lang w:bidi="fa-IR"/>
        </w:rPr>
        <w:t>.</w:t>
      </w:r>
    </w:p>
    <w:p>
      <w:pPr>
        <w:pStyle w:val="Heading5"/>
        <w:numPr>
          <w:ilvl w:val="4"/>
          <w:numId w:val="1"/>
        </w:numPr>
        <w:rPr/>
      </w:pPr>
      <w:bookmarkStart w:id="152" w:name="__RefHeading___Toc3140616_3531895371"/>
      <w:bookmarkStart w:id="153" w:name="_Toc60"/>
      <w:bookmarkEnd w:id="152"/>
      <w:r>
        <w:rPr>
          <w:rtl w:val="true"/>
        </w:rPr>
        <w:t>ب</w:t>
      </w:r>
      <w:r>
        <w:rPr>
          <w:rtl w:val="true"/>
        </w:rPr>
        <w:t xml:space="preserve">) </w:t>
      </w:r>
      <w:r>
        <w:rPr>
          <w:rtl w:val="true"/>
        </w:rPr>
        <w:t>دیدگاه سایر مذاهب اسلامی</w:t>
      </w:r>
      <w:r>
        <w:rPr>
          <w:rtl w:val="true"/>
        </w:rPr>
        <w:t>:</w:t>
      </w:r>
      <w:bookmarkEnd w:id="153"/>
    </w:p>
    <w:p>
      <w:pPr>
        <w:pStyle w:val="BookText"/>
        <w:rPr/>
      </w:pPr>
      <w:r>
        <w:rPr>
          <w:rFonts w:ascii="IRNazanin" w:hAnsi="IRNazanin" w:eastAsia="IRNazanin"/>
          <w:color w:val="111111"/>
          <w:sz w:val="28"/>
          <w:sz w:val="28"/>
          <w:szCs w:val="28"/>
          <w:rtl w:val="true"/>
          <w:lang w:bidi="fa-IR"/>
        </w:rPr>
        <w:t>در مذاهب دیگر نیز حمل به عنوان یکی از نشانه های بلوغ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اعانة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زنان امارۀ بلوغ است، نه خودِ علامت 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الدّمياطى، حاشیه اعانۀ الطالبين</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دمشقی معتقد است، دومین نشانۀ اختصاصی زنان، حمل است؛ زیرا مسبوق به انزال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نووی دمشقی، روضة الطالبين</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Heading5"/>
        <w:numPr>
          <w:ilvl w:val="4"/>
          <w:numId w:val="1"/>
        </w:numPr>
        <w:rPr/>
      </w:pPr>
      <w:bookmarkStart w:id="154" w:name="__RefHeading___Toc3140618_3531895371"/>
      <w:bookmarkStart w:id="155" w:name="_Toc61"/>
      <w:bookmarkEnd w:id="154"/>
      <w:r>
        <w:rPr>
          <w:rtl w:val="true"/>
        </w:rPr>
        <w:t>جمع بندی</w:t>
      </w:r>
      <w:r>
        <w:rPr>
          <w:rtl w:val="true"/>
        </w:rPr>
        <w:t>:</w:t>
      </w:r>
      <w:bookmarkEnd w:id="155"/>
    </w:p>
    <w:p>
      <w:pPr>
        <w:pStyle w:val="BookText"/>
        <w:rPr/>
      </w:pPr>
      <w:r>
        <w:rPr>
          <w:rFonts w:ascii="IRNazanin" w:hAnsi="IRNazanin" w:eastAsia="IRNazanin"/>
          <w:color w:val="111111"/>
          <w:sz w:val="28"/>
          <w:sz w:val="28"/>
          <w:szCs w:val="28"/>
          <w:rtl w:val="true"/>
          <w:lang w:bidi="fa-IR"/>
        </w:rPr>
        <w:t>در مجموع، حمل نزد فقهای امامیه و سایر مذاهب اسلامی به عنوان دلیل یا امارۀ بلوغ زن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مبتنی بر دوپایه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تکوینی که معمولاً بارداری پس از بلوغ و وقوع حیض رخ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کاراندام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تشکیل نطفه مستلزم انزال است و انزال خود نشانۀ بلوغ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توجه به این نکته ضروری است که حمل به خودی خود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بلوغ نیست، بلکه کاشف از بلوغ پیشین است و در مواردی که سن یا حیاضت زن معلوم نباشد، می تواند به عنوان قرینه ای معتبر برای احراز بلوغ مورد استناد قرار گیرد</w:t>
      </w:r>
      <w:r>
        <w:rPr>
          <w:rFonts w:eastAsia="IRNazanin" w:cs="IRNazanin"/>
          <w:color w:val="111111"/>
          <w:sz w:val="28"/>
          <w:szCs w:val="28"/>
          <w:rtl w:val="true"/>
          <w:lang w:bidi="fa-IR"/>
        </w:rPr>
        <w:t xml:space="preserve">. </w:t>
      </w:r>
      <w:bookmarkStart w:id="156" w:name="pg20875_781520"/>
    </w:p>
    <w:p>
      <w:pPr>
        <w:pStyle w:val="Heading3"/>
        <w:numPr>
          <w:ilvl w:val="2"/>
          <w:numId w:val="1"/>
        </w:numPr>
        <w:rPr/>
      </w:pPr>
      <w:bookmarkStart w:id="157" w:name="__RefHeading___Toc3140620_3531895371"/>
      <w:bookmarkStart w:id="158" w:name="_Toc62"/>
      <w:bookmarkEnd w:id="156"/>
      <w:bookmarkEnd w:id="157"/>
      <w:r>
        <w:rPr/>
        <w:t>2/3</w:t>
      </w:r>
      <w:r>
        <w:rPr>
          <w:rtl w:val="true"/>
        </w:rPr>
        <w:t xml:space="preserve">. </w:t>
      </w:r>
      <w:r>
        <w:rPr>
          <w:rtl w:val="true"/>
        </w:rPr>
        <w:t>شرایط تحقق مسئولیت کیفری</w:t>
      </w:r>
      <w:bookmarkEnd w:id="158"/>
    </w:p>
    <w:p>
      <w:pPr>
        <w:pStyle w:val="Heading4"/>
        <w:numPr>
          <w:ilvl w:val="3"/>
          <w:numId w:val="1"/>
        </w:numPr>
        <w:rPr/>
      </w:pPr>
      <w:bookmarkStart w:id="159" w:name="__RefHeading___Toc3140622_3531895371"/>
      <w:bookmarkStart w:id="160" w:name="_Toc6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اکنون که ماهیت مسئولیت کیفری تا حدی روشن شده، باید بررسی نمود چه عناصری موجب تشکیل آن می گردد و برای احراز مسئولیت مجرم از چه عواملی باید استفاده نمود؟ هم چنین در نظام حقوقی ما، آن چه مستوجب مجازات است، جرم ارتکابی است یا شخصیت مجرم؟</w:t>
      </w:r>
    </w:p>
    <w:p>
      <w:pPr>
        <w:pStyle w:val="BookText"/>
        <w:rPr/>
      </w:pPr>
      <w:r>
        <w:rPr>
          <w:rFonts w:ascii="IRNazanin" w:hAnsi="IRNazanin" w:eastAsia="IRNazanin"/>
          <w:color w:val="111111"/>
          <w:sz w:val="28"/>
          <w:sz w:val="28"/>
          <w:szCs w:val="28"/>
          <w:rtl w:val="true"/>
          <w:lang w:bidi="fa-IR"/>
        </w:rPr>
        <w:t>جرم و مجازات دو نهاد اساسی در حقوق جزا هستند که اولی از سوی مرتکب صادر می شود و دومی بر او تحمیل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به تعیین شرایط و اوصافی در مرتکب می پردازد که هم امکان صدور جرم و هم امکان تحمیل مجازات را فراهم می کند؛ با این حال،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سعیدی،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صدور جرم مربوط به فعل ارتکابی است و منظور، عناصر تشکیل دهنده جرم است که تعیین می کند آیا عمل انجام شده جرم بوده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تحمیل مجازات مربوط به شخص مرتکب است و منظور، اهلیت جزایی اوست که بیانگر شرایط و اوصافی است که امکان تحمیل مجازات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واقعی مسئولیت کیفری، علاوه بر اهلیت مرتکب، وقوع جرم و اجتماع ارکان آن، هم چنین وجود رابطۀ سببیت و تقصیر جزایی اهمیت اساسی دارد؛ زیرا تنها در صورت اجتماع تمام ارکان جرم، تحقق اوصاف لازم در مرتکب و وجود تقصیر، اجرا و تحمیل مجازات ممکن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ادامه ابتدا به عناصر تشکیل دهنده جرم و سپس به اهلیت جزایی پرداخته خواهد شد؛ چرا که مسئولیت کیفری ناشی از جرم است و این رابطه به گونه ای است که اگر جرمی نباشد، تحميل كیفر بر مرتکب، منطقاً ناممکن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61" w:name="pg20875_781521"/>
    </w:p>
    <w:p>
      <w:pPr>
        <w:pStyle w:val="Heading4"/>
        <w:numPr>
          <w:ilvl w:val="3"/>
          <w:numId w:val="1"/>
        </w:numPr>
        <w:rPr/>
      </w:pPr>
      <w:bookmarkStart w:id="162" w:name="__RefHeading___Toc3140624_3531895371"/>
      <w:bookmarkStart w:id="163" w:name="_Toc64"/>
      <w:bookmarkEnd w:id="161"/>
      <w:bookmarkEnd w:id="162"/>
      <w:r>
        <w:rPr/>
        <w:t>2/3/1</w:t>
      </w:r>
      <w:r>
        <w:rPr>
          <w:rtl w:val="true"/>
        </w:rPr>
        <w:t xml:space="preserve">. </w:t>
      </w:r>
      <w:r>
        <w:rPr>
          <w:rtl w:val="true"/>
        </w:rPr>
        <w:t>عناصر تشکیل دهنده جرم</w:t>
      </w:r>
      <w:bookmarkEnd w:id="163"/>
    </w:p>
    <w:p>
      <w:pPr>
        <w:pStyle w:val="Heading5"/>
        <w:numPr>
          <w:ilvl w:val="4"/>
          <w:numId w:val="1"/>
        </w:numPr>
        <w:rPr/>
      </w:pPr>
      <w:bookmarkStart w:id="164" w:name="__RefHeading___Toc3140626_3531895371"/>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از دیدگاه قانونی، برای این که عملی جرم محسوب شده و قابل مجازات باشد، وجود عناصری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عناصر جنبه عام و کلی دارند؛ یعنی میان همۀ جرائم مشترک اند و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عمومی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شرایطی هستند که بدون آن ها جرم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عوامل یا شرایط تشکیل دهنده جرم، جنبه خصوصی دارند و ناظر به اوضاع و احوال ویژه ای هستند که جرم خاصی را توصیف و تعریف می کنند؛ 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اختصاصی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حاضر معطوف به عناصر عام و مشترک همۀ جرائم است که از منظر قانون برای تحقق جرم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سه گانه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قانونی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ولیدی، بایسته های حقوق جزای عمومی،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166" w:name="__RefHeading___Toc3140628_3531895371"/>
      <w:bookmarkStart w:id="167" w:name="_Toc66"/>
      <w:bookmarkEnd w:id="166"/>
      <w:r>
        <w:rPr/>
        <w:t>2/3/1/1</w:t>
      </w:r>
      <w:r>
        <w:rPr>
          <w:rtl w:val="true"/>
        </w:rPr>
        <w:t xml:space="preserve">. </w:t>
      </w:r>
      <w:r>
        <w:rPr>
          <w:rtl w:val="true"/>
        </w:rPr>
        <w:t>عنصر قانونی</w:t>
      </w:r>
      <w:bookmarkEnd w:id="167"/>
    </w:p>
    <w:p>
      <w:pPr>
        <w:pStyle w:val="Heading6"/>
        <w:numPr>
          <w:ilvl w:val="5"/>
          <w:numId w:val="1"/>
        </w:numPr>
        <w:rPr/>
      </w:pPr>
      <w:bookmarkStart w:id="168" w:name="__RefHeading___Toc3140630_3531895371"/>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منظور از رکن یا عنصر قانونی جرم این است که هیچ فعل یا ترک فعلی جرم نیست مگر این که پیش تر در قانون یا شرع به عنوان جرم شناخته شده و برای آن مجازات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حقوقدانان این 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قانونی بودن جرم و اصل قانونی بودن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های خویی، خلیل، 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 و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6"/>
        <w:numPr>
          <w:ilvl w:val="5"/>
          <w:numId w:val="1"/>
        </w:numPr>
        <w:rPr/>
      </w:pPr>
      <w:bookmarkStart w:id="170" w:name="__RefHeading___Toc3140632_3531895371"/>
      <w:bookmarkStart w:id="171" w:name="_Toc68"/>
      <w:bookmarkEnd w:id="170"/>
      <w:r>
        <w:rPr>
          <w:rtl w:val="true"/>
        </w:rPr>
        <w:t>الف</w:t>
      </w:r>
      <w:r>
        <w:rPr>
          <w:rtl w:val="true"/>
        </w:rPr>
        <w:t xml:space="preserve">) </w:t>
      </w:r>
      <w:r>
        <w:rPr>
          <w:rtl w:val="true"/>
        </w:rPr>
        <w:t>تاریخچه و جایگاه اصل</w:t>
      </w:r>
      <w:r>
        <w:rPr>
          <w:rtl w:val="true"/>
        </w:rPr>
        <w:t>:</w:t>
      </w:r>
      <w:bookmarkEnd w:id="17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در اواخر قرن هجدهم و پس از انقلاب کبیر فرانسه،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به صراحت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شرع مقدس اسلام، پیدایش این قاعده بیش از دوازده قرن پیش از آن، توسط آیات قرآن کریم تشریع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ای خویی، آیات الاحکام،</w:t>
      </w:r>
      <w:r>
        <w:rPr>
          <w:rFonts w:eastAsia="IRNazanin" w:cs="IRNazanin"/>
          <w:color w:val="111111"/>
          <w:sz w:val="28"/>
          <w:szCs w:val="28"/>
          <w:rtl w:val="true"/>
          <w:lang w:bidi="fa-IR"/>
        </w:rPr>
        <w:t xml:space="preserve">). </w:t>
      </w:r>
      <w:bookmarkStart w:id="172" w:name="pg20875_781522"/>
    </w:p>
    <w:p>
      <w:pPr>
        <w:pStyle w:val="Heading6"/>
        <w:numPr>
          <w:ilvl w:val="5"/>
          <w:numId w:val="1"/>
        </w:numPr>
        <w:rPr/>
      </w:pPr>
      <w:bookmarkStart w:id="173" w:name="__RefHeading___Toc3140634_3531895371"/>
      <w:bookmarkStart w:id="174" w:name="_Toc69"/>
      <w:bookmarkEnd w:id="172"/>
      <w:bookmarkEnd w:id="173"/>
      <w:r>
        <w:rPr>
          <w:rtl w:val="true"/>
        </w:rPr>
        <w:t>ب</w:t>
      </w:r>
      <w:r>
        <w:rPr>
          <w:rtl w:val="true"/>
        </w:rPr>
        <w:t xml:space="preserve">) </w:t>
      </w:r>
      <w:r>
        <w:rPr>
          <w:rtl w:val="true"/>
        </w:rPr>
        <w:t>فواید اصل قانونی بودن جرائم و مجازات</w:t>
      </w:r>
      <w:r>
        <w:rPr>
          <w:rtl w:val="true"/>
        </w:rPr>
        <w:t>:</w:t>
      </w:r>
      <w:bookmarkEnd w:id="174"/>
    </w:p>
    <w:p>
      <w:pPr>
        <w:pStyle w:val="BookText"/>
        <w:rPr/>
      </w:pPr>
      <w:r>
        <w:rPr>
          <w:rFonts w:ascii="IRNazanin" w:hAnsi="IRNazanin" w:eastAsia="IRNazanin"/>
          <w:color w:val="111111"/>
          <w:sz w:val="28"/>
          <w:sz w:val="28"/>
          <w:szCs w:val="28"/>
          <w:rtl w:val="true"/>
          <w:lang w:bidi="fa-IR"/>
        </w:rPr>
        <w:t>این اصل یکی از مهم ترین و مطمئن ترین اصول حقوق کیفری است که هم به سود فرد و هم به سود جامعه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برای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 توانند با اطلاع از قوانین، رفتار خود را بسنجند و با آگاهی از جرم و مجازات، از ارتکاب عمل بزهکارانه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گلدوزیان، بایسته های حقوق جزای عمومی،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 تر به این اصل احترام گذاشته شود، قوانین و نظام اجتماعی از اعتبار و قدرت بیش تری برخوردار شده و اجرای صحیح عدالت تسهیل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حقوق جزای عمومی،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6"/>
        <w:numPr>
          <w:ilvl w:val="5"/>
          <w:numId w:val="1"/>
        </w:numPr>
        <w:rPr/>
      </w:pPr>
      <w:bookmarkStart w:id="175" w:name="__RefHeading___Toc3140636_3531895371"/>
      <w:bookmarkStart w:id="176" w:name="_Toc70"/>
      <w:bookmarkEnd w:id="175"/>
      <w:r>
        <w:rPr>
          <w:rtl w:val="true"/>
        </w:rPr>
        <w:t>ج الزامات ناشی از این اصل</w:t>
      </w:r>
      <w:r>
        <w:rPr>
          <w:rtl w:val="true"/>
        </w:rPr>
        <w:t>:</w:t>
      </w:r>
      <w:bookmarkEnd w:id="176"/>
    </w:p>
    <w:p>
      <w:pPr>
        <w:pStyle w:val="BookText"/>
        <w:rPr/>
      </w:pPr>
      <w:r>
        <w:rPr>
          <w:rFonts w:ascii="IRNazanin" w:hAnsi="IRNazanin" w:eastAsia="IRNazanin"/>
          <w:color w:val="111111"/>
          <w:sz w:val="28"/>
          <w:sz w:val="28"/>
          <w:szCs w:val="28"/>
          <w:rtl w:val="true"/>
          <w:lang w:bidi="fa-IR"/>
        </w:rPr>
        <w:t>این اصل دو نوع الزام اساسی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برای 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موظف است هر فعل یا ترک فعلی را که مغایر نظم و اهداف جامعه می داند، به طور صریح در قانون جرم دانسته و مجازات آن را نیز مشخص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برای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تنها در چارچوب مقررات قانونی مجاز به تعیین مجازات هستند و نمی توانند خارج از حدود مصرح قانونی حکم صادر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ساکی، حقوق جزای عمومی،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6"/>
        <w:numPr>
          <w:ilvl w:val="5"/>
          <w:numId w:val="1"/>
        </w:numPr>
        <w:rPr/>
      </w:pPr>
      <w:bookmarkStart w:id="177" w:name="__RefHeading___Toc3140638_3531895371"/>
      <w:bookmarkStart w:id="178" w:name="_Toc71"/>
      <w:bookmarkEnd w:id="177"/>
      <w:r>
        <w:rPr>
          <w:rtl w:val="true"/>
        </w:rPr>
        <w:t>د</w:t>
      </w:r>
      <w:r>
        <w:rPr>
          <w:rtl w:val="true"/>
        </w:rPr>
        <w:t xml:space="preserve">) </w:t>
      </w:r>
      <w:r>
        <w:rPr>
          <w:rtl w:val="true"/>
        </w:rPr>
        <w:t>انعکاس اصل در نظام حقوقی ایران</w:t>
      </w:r>
      <w:r>
        <w:rPr>
          <w:rtl w:val="true"/>
        </w:rPr>
        <w:t>:</w:t>
      </w:r>
      <w:bookmarkEnd w:id="178"/>
    </w:p>
    <w:p>
      <w:pPr>
        <w:pStyle w:val="BookText"/>
        <w:rPr/>
      </w:pPr>
      <w:r>
        <w:rPr>
          <w:rFonts w:ascii="IRNazanin" w:hAnsi="IRNazanin" w:eastAsia="IRNazanin"/>
          <w:color w:val="111111"/>
          <w:sz w:val="28"/>
          <w:sz w:val="28"/>
          <w:szCs w:val="28"/>
          <w:rtl w:val="true"/>
          <w:lang w:bidi="fa-IR"/>
        </w:rPr>
        <w:t>مراجع قانون گذاری جمهوری اسلامی ایران با پیروی از ضوابط شریعت اسلام، احترام به این اصل را در قانون اساسی و قوانین عادی تضمین کرده 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است و هیچ کس از نظر قانون مجرم شناخته نمی شود، هیچ کس مگر این که جرم او در دادگاه صالح ثابت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فعل یا ترک فعلی به استناد قانونی که بعد از آن وضع شده است جرم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 یا ترک فعلی که در قانون برای آن مجازات تعیین شده باشد، جرم محسوب می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اصل قانونی بودن جرائم و مجازات به عنوان سنگ بنیان سیاست کیفری نظام حقوقی ایران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79" w:name="pg20875_781524"/>
    </w:p>
    <w:p>
      <w:pPr>
        <w:pStyle w:val="Heading5"/>
        <w:numPr>
          <w:ilvl w:val="4"/>
          <w:numId w:val="1"/>
        </w:numPr>
        <w:rPr/>
      </w:pPr>
      <w:bookmarkStart w:id="180" w:name="__RefHeading___Toc3140640_3531895371"/>
      <w:bookmarkStart w:id="181" w:name="_Toc72"/>
      <w:bookmarkEnd w:id="179"/>
      <w:bookmarkEnd w:id="180"/>
      <w:r>
        <w:rPr/>
        <w:t>2/3/1/2</w:t>
      </w:r>
      <w:r>
        <w:rPr>
          <w:rtl w:val="true"/>
        </w:rPr>
        <w:t xml:space="preserve">. </w:t>
      </w:r>
      <w:r>
        <w:rPr>
          <w:rtl w:val="true"/>
        </w:rPr>
        <w:t>عنصر مادی</w:t>
      </w:r>
      <w:bookmarkEnd w:id="181"/>
    </w:p>
    <w:p>
      <w:pPr>
        <w:pStyle w:val="Heading6"/>
        <w:numPr>
          <w:ilvl w:val="5"/>
          <w:numId w:val="1"/>
        </w:numPr>
        <w:rPr/>
      </w:pPr>
      <w:bookmarkStart w:id="182" w:name="__RefHeading___Toc3140642_3531895371"/>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یکی دیگر از ارکان تشکیل دهنده جرم، رکن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آن چه قانون منع کرده و ارتکاب آن مستوجب مجازات است، باید جنبه عینی یافته و به صورت رفتاری قابل مشاهده ظهور کند؛ بنابراین، صرف قصد ارتکاب جرم تا زمانی که در قالب یکی از منعیات قانونی تجلی نیابد، جرم محسوب نشده و قابل تعقیب و مجازات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ساکی، حقوق جزای عمومی،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مادی جرم معمولاً در یکی از سه حالت زیر متجلی می شود</w:t>
      </w:r>
      <w:r>
        <w:rPr>
          <w:rFonts w:eastAsia="IRNazanin" w:cs="IRNazanin"/>
          <w:color w:val="111111"/>
          <w:sz w:val="28"/>
          <w:szCs w:val="28"/>
          <w:rtl w:val="true"/>
          <w:lang w:bidi="fa-IR"/>
        </w:rPr>
        <w:t>:</w:t>
      </w:r>
    </w:p>
    <w:p>
      <w:pPr>
        <w:pStyle w:val="Heading6"/>
        <w:numPr>
          <w:ilvl w:val="5"/>
          <w:numId w:val="1"/>
        </w:numPr>
        <w:rPr/>
      </w:pPr>
      <w:bookmarkStart w:id="184" w:name="__RefHeading___Toc3140644_3531895371"/>
      <w:bookmarkStart w:id="185" w:name="_Toc74"/>
      <w:bookmarkEnd w:id="184"/>
      <w:r>
        <w:rPr>
          <w:rtl w:val="true"/>
        </w:rPr>
        <w:t>الف</w:t>
      </w:r>
      <w:r>
        <w:rPr>
          <w:rtl w:val="true"/>
        </w:rPr>
        <w:t xml:space="preserve">) </w:t>
      </w:r>
      <w:r>
        <w:rPr>
          <w:rtl w:val="true"/>
        </w:rPr>
        <w:t xml:space="preserve">فعل مثبت </w:t>
      </w:r>
      <w:r>
        <w:rPr>
          <w:rtl w:val="true"/>
        </w:rPr>
        <w:t>(</w:t>
      </w:r>
      <w:r>
        <w:rPr>
          <w:rtl w:val="true"/>
        </w:rPr>
        <w:t>فعل ایجابی</w:t>
      </w:r>
      <w:r>
        <w:rPr>
          <w:rtl w:val="true"/>
        </w:rPr>
        <w:t>)</w:t>
      </w:r>
      <w:bookmarkEnd w:id="185"/>
    </w:p>
    <w:p>
      <w:pPr>
        <w:pStyle w:val="BookText"/>
        <w:rPr/>
      </w:pPr>
      <w:r>
        <w:rPr>
          <w:rFonts w:ascii="IRNazanin" w:hAnsi="IRNazanin" w:eastAsia="IRNazanin"/>
          <w:color w:val="111111"/>
          <w:sz w:val="28"/>
          <w:sz w:val="28"/>
          <w:szCs w:val="28"/>
          <w:rtl w:val="true"/>
          <w:lang w:bidi="fa-IR"/>
        </w:rPr>
        <w:t>رفتار مجرمانه می تواند به شکل اقدام عملی باشد؛ یعنی انجام یک عمل مادی خارجی که جنبه ایجابی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که عبارت است از ربودن مال متعلق به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عمد که عبارت است از سلب عمدی حیات از دیگری به ناحق</w:t>
      </w:r>
      <w:r>
        <w:rPr>
          <w:rFonts w:eastAsia="IRNazanin" w:cs="IRNazanin"/>
          <w:color w:val="111111"/>
          <w:sz w:val="28"/>
          <w:szCs w:val="28"/>
          <w:rtl w:val="true"/>
          <w:lang w:bidi="fa-IR"/>
        </w:rPr>
        <w:t>.</w:t>
      </w:r>
    </w:p>
    <w:p>
      <w:pPr>
        <w:pStyle w:val="Heading6"/>
        <w:numPr>
          <w:ilvl w:val="5"/>
          <w:numId w:val="1"/>
        </w:numPr>
        <w:rPr/>
      </w:pPr>
      <w:bookmarkStart w:id="186" w:name="__RefHeading___Toc3140646_3531895371"/>
      <w:bookmarkStart w:id="187" w:name="_Toc75"/>
      <w:bookmarkEnd w:id="186"/>
      <w:r>
        <w:rPr>
          <w:rtl w:val="true"/>
        </w:rPr>
        <w:t>ب</w:t>
      </w:r>
      <w:r>
        <w:rPr>
          <w:rtl w:val="true"/>
        </w:rPr>
        <w:t xml:space="preserve">) </w:t>
      </w:r>
      <w:r>
        <w:rPr>
          <w:rtl w:val="true"/>
        </w:rPr>
        <w:t xml:space="preserve">ترک فعل </w:t>
      </w:r>
      <w:r>
        <w:rPr>
          <w:rtl w:val="true"/>
        </w:rPr>
        <w:t>(</w:t>
      </w:r>
      <w:r>
        <w:rPr>
          <w:rtl w:val="true"/>
        </w:rPr>
        <w:t>فعل سلبی</w:t>
      </w:r>
      <w:r>
        <w:rPr>
          <w:rtl w:val="true"/>
        </w:rPr>
        <w:t>)</w:t>
      </w:r>
      <w:bookmarkEnd w:id="187"/>
    </w:p>
    <w:p>
      <w:pPr>
        <w:pStyle w:val="BookText"/>
        <w:rPr/>
      </w:pPr>
      <w:r>
        <w:rPr>
          <w:rFonts w:ascii="IRNazanin" w:hAnsi="IRNazanin" w:eastAsia="IRNazanin"/>
          <w:color w:val="111111"/>
          <w:sz w:val="28"/>
          <w:sz w:val="28"/>
          <w:szCs w:val="28"/>
          <w:rtl w:val="true"/>
          <w:lang w:bidi="fa-IR"/>
        </w:rPr>
        <w:t>رفتار مجرمانه می تواند به شکل خودداری از انجام یک تکلیف قانونی باشد؛ یعنی وقتی قانون گذار انجام کاری را الزامی کرده و ترک آن را مستوجب مجازات دانسته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امتناع از انجام وظیفه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p>
    <w:p>
      <w:pPr>
        <w:pStyle w:val="Heading6"/>
        <w:numPr>
          <w:ilvl w:val="5"/>
          <w:numId w:val="1"/>
        </w:numPr>
        <w:rPr/>
      </w:pPr>
      <w:bookmarkStart w:id="188" w:name="__RefHeading___Toc3140648_3531895371"/>
      <w:bookmarkStart w:id="189" w:name="_Toc76"/>
      <w:bookmarkEnd w:id="188"/>
      <w:r>
        <w:rPr>
          <w:rtl w:val="true"/>
        </w:rPr>
        <w:t>ج</w:t>
      </w:r>
      <w:r>
        <w:rPr>
          <w:rtl w:val="true"/>
        </w:rPr>
        <w:t xml:space="preserve">) </w:t>
      </w:r>
      <w:r>
        <w:rPr>
          <w:rtl w:val="true"/>
        </w:rPr>
        <w:t>فعل ناشی از ترک فعل</w:t>
      </w:r>
      <w:bookmarkEnd w:id="189"/>
    </w:p>
    <w:p>
      <w:pPr>
        <w:pStyle w:val="BookText"/>
        <w:rPr/>
      </w:pPr>
      <w:r>
        <w:rPr>
          <w:rFonts w:ascii="IRNazanin" w:hAnsi="IRNazanin" w:eastAsia="IRNazanin"/>
          <w:color w:val="111111"/>
          <w:sz w:val="28"/>
          <w:sz w:val="28"/>
          <w:szCs w:val="28"/>
          <w:rtl w:val="true"/>
          <w:lang w:bidi="fa-IR"/>
        </w:rPr>
        <w:t>گاه نتیجه مجرمانه از ترکیب یک ترک فعل با شرایط خاص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با خودداری از انجام تکلیف قانونی، موجب تحقق نتیجه مجرمانه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برخی نظام های حقوقی به طور غیر مستقیم جرم تلقی شده و برای آن مجازات تعیین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با علم و توانایی، به فردی که در حال افتادن در چاه است کمک نکند و در نتیجه آن فرد فوت کند، در این جا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عدم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حقوق جزای عمومی،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90" w:name="pg20875_781525"/>
    </w:p>
    <w:p>
      <w:pPr>
        <w:pStyle w:val="Heading5"/>
        <w:numPr>
          <w:ilvl w:val="4"/>
          <w:numId w:val="1"/>
        </w:numPr>
        <w:rPr/>
      </w:pPr>
      <w:bookmarkStart w:id="191" w:name="__RefHeading___Toc3140650_3531895371"/>
      <w:bookmarkStart w:id="192" w:name="_Toc77"/>
      <w:bookmarkEnd w:id="190"/>
      <w:bookmarkEnd w:id="191"/>
      <w:r>
        <w:rPr/>
        <w:t>2/3/1/3</w:t>
      </w:r>
      <w:r>
        <w:rPr>
          <w:rtl w:val="true"/>
        </w:rPr>
        <w:t xml:space="preserve">. </w:t>
      </w:r>
      <w:r>
        <w:rPr>
          <w:rtl w:val="true"/>
        </w:rPr>
        <w:t>عنصر معنوی</w:t>
      </w:r>
      <w:bookmarkEnd w:id="192"/>
    </w:p>
    <w:p>
      <w:pPr>
        <w:pStyle w:val="BookText"/>
        <w:rPr/>
      </w:pPr>
      <w:r>
        <w:rPr>
          <w:rFonts w:ascii="IRNazanin" w:hAnsi="IRNazanin" w:eastAsia="IRNazanin"/>
          <w:color w:val="111111"/>
          <w:sz w:val="28"/>
          <w:sz w:val="28"/>
          <w:szCs w:val="28"/>
          <w:rtl w:val="true"/>
          <w:lang w:bidi="fa-IR"/>
        </w:rPr>
        <w:t xml:space="preserve">برای تحقق جرم، صرف نقض اوامر و نواهی قانون گذار کافی نیست؛ وجود عنصر معنوی نیز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نگرشی بر حقوق جزای عمومی، به کوشش خان داور،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است که نوع جرم، میزان مسئولیت جزایی و مجازات را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گلدوزیان، حقوق جزای عمومی،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معنوی جرم، همان رابطۀ روانی بین مرتکب و عمل مجرمانه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تشکیل دهندۀ آن اراده مرتکب و قصد مجرمانه یا تقصیر جزایی هست؛ چرا که رفتار انسان تنها زمانی قابل سرزنش و مجازات است که همراه با قصد مجرمانه یا تقصیر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اهلیت جزایی در تحقق عنصر معنوی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اهلیت را جزئی از عنصر معنوی بدانیم، لازم می آید اشخاص فاقد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صغیر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عنصر معنوی بوده و بتوانند مرتکب جرم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بررسی مقررات جزایی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ماده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تبصرۀ ماده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نظام کیفری ما، اهلیت جزایی به عنوان بخشی از عنصر معنوی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اشخاص فاقد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صغیر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رفتاری عمد در ارتکاب عمل داشته باشند، ولی چون فاقد قدرت تشخیص هستند، عمد آنان به منزلۀ خطا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عمل آنان فاقد عنصر معنوی بوده و جرم محسوب نمی گردد؛ بنابراین، تنها اشخاص واجد شرایط مسئولیت کیفری می توانند مرتکب جرم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وتحليل مفهوم عنصر روانی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دیدگاه های حقوقی،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193" w:name="__RefHeading___Toc3140652_3531895371"/>
      <w:bookmarkStart w:id="194" w:name="_Toc78"/>
      <w:bookmarkEnd w:id="193"/>
      <w:r>
        <w:rPr>
          <w:rtl w:val="true"/>
        </w:rPr>
        <w:t>جمع بندی</w:t>
      </w:r>
      <w:bookmarkEnd w:id="19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حقوقی ایران، عنصر معنوی جرم نه تنها شامل اراده و قصد است، بلکه اهلیت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ضمنی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 عمدی صغیر یا مجنون به دلیل فقدان اهلیت، فاقد عنصر معنوی کامل بوده و جرم تلقی نمی شود</w:t>
      </w:r>
      <w:r>
        <w:rPr>
          <w:rFonts w:eastAsia="IRNazanin" w:cs="IRNazanin"/>
          <w:color w:val="111111"/>
          <w:sz w:val="28"/>
          <w:szCs w:val="28"/>
          <w:rtl w:val="true"/>
          <w:lang w:bidi="fa-IR"/>
        </w:rPr>
        <w:t xml:space="preserve">. </w:t>
      </w:r>
      <w:bookmarkStart w:id="195" w:name="pg20875_781526"/>
    </w:p>
    <w:p>
      <w:pPr>
        <w:pStyle w:val="Heading4"/>
        <w:numPr>
          <w:ilvl w:val="3"/>
          <w:numId w:val="1"/>
        </w:numPr>
        <w:rPr/>
      </w:pPr>
      <w:bookmarkStart w:id="196" w:name="__RefHeading___Toc3140654_3531895371"/>
      <w:bookmarkStart w:id="197" w:name="_Toc79"/>
      <w:bookmarkEnd w:id="195"/>
      <w:bookmarkEnd w:id="196"/>
      <w:r>
        <w:rPr/>
        <w:t>2/3/3</w:t>
      </w:r>
      <w:r>
        <w:rPr>
          <w:rtl w:val="true"/>
        </w:rPr>
        <w:t xml:space="preserve">. </w:t>
      </w:r>
      <w:r>
        <w:rPr>
          <w:rtl w:val="true"/>
        </w:rPr>
        <w:t>اهلیت جزایی</w:t>
      </w:r>
      <w:bookmarkEnd w:id="197"/>
    </w:p>
    <w:p>
      <w:pPr>
        <w:pStyle w:val="Heading5"/>
        <w:numPr>
          <w:ilvl w:val="4"/>
          <w:numId w:val="1"/>
        </w:numPr>
        <w:rPr/>
      </w:pPr>
      <w:bookmarkStart w:id="198" w:name="__RefHeading___Toc3140656_3531895371"/>
      <w:bookmarkStart w:id="199" w:name="_Toc8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همان گونه که جرم و ارکان آن از مجازات متمایز است، مجرم و اوصاف و شرایط او نیز غیر از جرم و مجازات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سعیدی،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صرف وقوع جرم به تنهایی نمی تواند مجازات یا اقدامات تأمینی را موجه سازد، بلکه مرتکب عمل مجرمانه باید واجد مسئولیت کیفری شناخته شود تا اجرای مجازات نسبت به او عادلانه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نوربها، زمینه حقوق جزای عمومی،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 که از اهلیت جزایی مسئولیت سخن به میان می آید، تنها باید به حوزه مجرم، شخصیت و اوصاف او پرداخت و بررسی کرد که اهلیت و قابلیت او در پرتو چه عناصر و ارکانی شکل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مسئولیت کیفری پل ارتباطی میان جرم و مجازات را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زمینه حقوق جزای عمومی،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حقوق جزا، تشخیص مسئولیت کیفری فرد از اهمیت بالایی برخوردار است؛ زیرا تحميل مجازات به مرتکب جرم به عنوان پیامد نامطلوب عمل او، مستلزم آن است که شخصِ مستحق کیفر، از نظر جسمی، روانی، رشد، اهلیت و سایر ویژگی های ضروری در وضعیتی باشد که توانایی درک صحیح اعمال خویش را داشته باشد تا بتوان جرم را به او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مرتکب باید قابلیت انتساب نتیجه مجرمانه را دارا باشد تا از نظر کیفری مسئول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ولیدی، بایسته های حقوق جزای عمومی،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کیفری تنها در صورت تحقق شرایط خاصی قابل اثبات است؛ با این حال، قوانین موضوعه در بیان این شرایط رویکرد یکسانی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نظام های حقوقی مانند قوانین فرانسه، بلژیک، هلند و مصر، شرایط مسئولیت کیفری را به طور مثبت برنشمرده اند و صرفاً به ذکر عوامل رافع مسئولیت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دیگر از قوانین، مانند قوانین ایتالیا، لهستان و سوئیس، این شرایط را به صراحت بیان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رعیتی،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مسئولیت کیفری و </w:t>
      </w:r>
    </w:p>
    <w:p>
      <w:pPr>
        <w:pStyle w:val="BookText"/>
        <w:rPr/>
      </w:pPr>
      <w:r>
        <w:rPr>
          <w:rFonts w:ascii="IRNazanin" w:hAnsi="IRNazanin" w:eastAsia="IRNazanin"/>
          <w:color w:val="111111"/>
          <w:sz w:val="28"/>
          <w:sz w:val="28"/>
          <w:szCs w:val="28"/>
          <w:rtl w:val="true"/>
          <w:lang w:bidi="fa-IR"/>
        </w:rPr>
        <w:t>عوامل رافع آن همسو با قانون مجازات عمومی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رهنمون،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کیفری ایران ترکیبی از هر دو رویکرد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در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مسئولیت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مواد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حقوق جزای پیشین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پرداختن به شرایط و ارکان عمومی مسئولیت کیفری، به تفکیک از عوامل رافع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اکراه، اضطرار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و آثار هر یک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کتاب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حدود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با</w:t>
      </w:r>
    </w:p>
    <w:p>
      <w:pPr>
        <w:pStyle w:val="BookText"/>
        <w:rPr/>
      </w:pPr>
      <w:r>
        <w:rPr>
          <w:rFonts w:ascii="IRNazanin" w:hAnsi="IRNazanin" w:eastAsia="IRNazanin"/>
          <w:color w:val="111111"/>
          <w:sz w:val="28"/>
          <w:sz w:val="28"/>
          <w:szCs w:val="28"/>
          <w:rtl w:val="true"/>
          <w:lang w:bidi="fa-IR"/>
        </w:rPr>
        <w:t xml:space="preserve">تأسی به حقوق جزای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فقه جزای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شرایط و ارکان عمومی مسئولیت، شامل عقل، بلوغ و اختیار مطرح گردیده و سپس در قوانین مربوط، مسئولیت کیفری افرادی هم چون مجنون، صغیر، مکره، مضطر، خواب و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فاقد یکی از این شرایط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قان ونگذار در لایحه جدید قانون مجازات اسلامی، برخلاف قانون مجازات فعلی، اوصافی را که شخص در زمان ارتکاب جرم باید دارا باشد تا واجد مسئولیت کیفری شناخته شود، در 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 تنها زمانی محقق است که فرد حین ارتکاب جرم، عاقل، بالغ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را عقل، بلوغ و اختیار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گفت پایه های مسئولیت کیفری را شرایط عامه تکلیف، یعنی عقل، بلوغ و اختیار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مقارنه و تطبیق در حقوق جزای عمومی اسلام،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200" w:name="pg20875_781528"/>
    </w:p>
    <w:p>
      <w:pPr>
        <w:pStyle w:val="Heading5"/>
        <w:numPr>
          <w:ilvl w:val="4"/>
          <w:numId w:val="1"/>
        </w:numPr>
        <w:rPr/>
      </w:pPr>
      <w:bookmarkStart w:id="201" w:name="__RefHeading___Toc3140658_3531895371"/>
      <w:bookmarkStart w:id="202" w:name="_Toc81"/>
      <w:bookmarkEnd w:id="200"/>
      <w:bookmarkEnd w:id="201"/>
      <w:r>
        <w:rPr/>
        <w:t>2/3/3/1</w:t>
      </w:r>
      <w:r>
        <w:rPr>
          <w:rtl w:val="true"/>
        </w:rPr>
        <w:t xml:space="preserve">. </w:t>
      </w:r>
      <w:r>
        <w:rPr>
          <w:rtl w:val="true"/>
        </w:rPr>
        <w:t>بلوغ از شرایط عمومی تکلیف</w:t>
      </w:r>
      <w:bookmarkEnd w:id="202"/>
    </w:p>
    <w:p>
      <w:pPr>
        <w:pStyle w:val="BookText"/>
        <w:rPr/>
      </w:pPr>
      <w:r>
        <w:rPr>
          <w:rFonts w:ascii="IRNazanin" w:hAnsi="IRNazanin" w:eastAsia="IRNazanin"/>
          <w:color w:val="111111"/>
          <w:sz w:val="28"/>
          <w:sz w:val="28"/>
          <w:szCs w:val="28"/>
          <w:rtl w:val="true"/>
          <w:lang w:bidi="fa-IR"/>
        </w:rPr>
        <w:t>بلوغ پدیده ای طبیعی و مرحله ای از حیات انسانی است که در پایان دوره کودکی پدیدار می شود و در آن تغییرات ناگهانی در اندام، احساسات، اندیشه و قوای جسمی و روانی فرد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انسانی دارای سن بلوغ طبیعی است، اما برخی افراد به دلیل ویژگی های فردی، منطقه ای و تحت تأثیر عوامل گوناگونی چون آب و هوا، تغذیه و سایر شرایط محیط زندگی، ممکن است زودتر یا دیرتر به سن بلوغ طبیعی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نظام های حقوقی معیار رسیدن به بلوغ را با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کنند؛ بدین صورت که در متون قانونی، حداقل سن بلوغ به عنوان یک فرض قانونی پیش بینی می شود و بر این اساس افرادی که به آن سن برسند، بالغ تلقی می گردند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بلوغ قانونی، معیار تکلیف پذیری انسان و یکی از شرایط تحقق مسئولیت کیفری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کسی از نظر قانونی به سن بلوغ نرسیده باشد، ولی آثار رشد و بلوغ طبیعی در قوای جسمی و ذهنی او آشکار شده باشد و این امر با دلیل اثبات شود، با رعایت شرایطی می توان او را بالغ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فردی از نظر قانونی به سن بلوغ رسیده باشد، اما از نظر رشد قوای ذهنی فاقد قدرت تمییز و تشخیص خوب و بد اعمال خود باشد و به عنوان فرد غیر ممیز شناخته شود، از مسئولیت و مجازات کیفری معاف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03" w:name="pg20875_781529"/>
    </w:p>
    <w:p>
      <w:pPr>
        <w:pStyle w:val="Heading5"/>
        <w:numPr>
          <w:ilvl w:val="4"/>
          <w:numId w:val="1"/>
        </w:numPr>
        <w:rPr/>
      </w:pPr>
      <w:bookmarkStart w:id="204" w:name="__RefHeading___Toc3140660_3531895371"/>
      <w:bookmarkStart w:id="205" w:name="_Toc82"/>
      <w:bookmarkEnd w:id="203"/>
      <w:bookmarkEnd w:id="204"/>
      <w:r>
        <w:rPr/>
        <w:t>2/3/3/2</w:t>
      </w:r>
      <w:r>
        <w:rPr>
          <w:rtl w:val="true"/>
        </w:rPr>
        <w:t xml:space="preserve">. </w:t>
      </w:r>
      <w:r>
        <w:rPr>
          <w:rtl w:val="true"/>
        </w:rPr>
        <w:t>عقل از شرایط عمومی تکلیف</w:t>
      </w:r>
      <w:bookmarkEnd w:id="205"/>
    </w:p>
    <w:p>
      <w:pPr>
        <w:pStyle w:val="BookText"/>
        <w:rPr/>
      </w:pPr>
      <w:r>
        <w:rPr>
          <w:rFonts w:ascii="IRNazanin" w:hAnsi="IRNazanin" w:eastAsia="IRNazanin"/>
          <w:color w:val="111111"/>
          <w:sz w:val="28"/>
          <w:sz w:val="28"/>
          <w:szCs w:val="28"/>
          <w:rtl w:val="true"/>
          <w:lang w:bidi="fa-IR"/>
        </w:rPr>
        <w:t xml:space="preserve">یکی دیگر از شرایط مسئولیت، عقل 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دریافت کردن و فهم و هوش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مراد از عقل همان نیروی ادراکی ویژه انسان است که درک کلیات را ممکن می سازد یا می توان آن را قوه ای برای تشخيص حسن و قبح اعمال و تمییز نیک و بد امور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وظیفه عقل انسان، ادراک و کشف حقایق است و از منظر فقه امامیه، عقل یکی از منابع و ادله احکام شمرده می شود که در کنار کتاب، سنت و اجماع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نیروی تعقل و تفکر آدمی و کاربرد آن در حیات جمعی، انسان را به موجودی ممتاز، صاحب</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شایسته تکلیف پذیری و قابل بازخواست و مسئول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مهم ترین شرایط مسئولیت، عقل است که به موجب آن، هر شخص عاقل و ممیز به طور منطقی پاسخگوی نتایج و آثار مدنی و جزایی اعمال خود خواهد بود؛ اما اگر شخص فاقد عقل باشد، تکلیفی ندارد و مسئول شناخته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206" w:name="pg20875_781530"/>
    </w:p>
    <w:p>
      <w:pPr>
        <w:pStyle w:val="Heading5"/>
        <w:numPr>
          <w:ilvl w:val="4"/>
          <w:numId w:val="1"/>
        </w:numPr>
        <w:rPr/>
      </w:pPr>
      <w:bookmarkStart w:id="207" w:name="__RefHeading___Toc3140662_3531895371"/>
      <w:bookmarkStart w:id="208" w:name="_Toc83"/>
      <w:bookmarkEnd w:id="206"/>
      <w:bookmarkEnd w:id="207"/>
      <w:r>
        <w:rPr/>
        <w:t>2/3/3/3</w:t>
      </w:r>
      <w:r>
        <w:rPr>
          <w:rtl w:val="true"/>
        </w:rPr>
        <w:t xml:space="preserve">. </w:t>
      </w:r>
      <w:r>
        <w:rPr>
          <w:rtl w:val="true"/>
        </w:rPr>
        <w:t>اختیار از شرایط عمومی تکلیف</w:t>
      </w:r>
      <w:bookmarkEnd w:id="208"/>
    </w:p>
    <w:p>
      <w:pPr>
        <w:pStyle w:val="BookText"/>
        <w:rPr/>
      </w:pPr>
      <w:r>
        <w:rPr>
          <w:rFonts w:ascii="IRNazanin" w:hAnsi="IRNazanin" w:eastAsia="IRNazanin"/>
          <w:color w:val="111111"/>
          <w:sz w:val="28"/>
          <w:sz w:val="28"/>
          <w:szCs w:val="28"/>
          <w:rtl w:val="true"/>
          <w:lang w:bidi="fa-IR"/>
        </w:rPr>
        <w:t>رکن دیگر تحقق مسئولیت کیفری برای انتساب عمل به مجرم،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عمل و قدرت بر انجام کار به اراده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فرهنگ فارسی،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کسی است که بتواند آن چه را می خواهد برگزیند؛ بنابراین اگر ارتکاب جرم نتیجه خواست فاعل نباشد و اراده او بر انجام فعل مجرمانه قرار نگرفته باشد، نمی توان جرم را به حساب او گذاشت و او را مؤاخذه کرد؛ زیرا فاقد مسئولیت کیفری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گذار، داشتن اختیار را در ارتکاب جرائم مستوجب حد شرط ثبوت مجازات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جرائم موضوع مجازات تعزیری یا بازدارنده، حکم به معافیت کسانی داده است که براثر اجبار یا اکراهی که عادتاً قابل تحمل نیست، مرتکب جرم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اختیار و اجبار یا مختار و مجبور، واژه هایی هستند که در مقررات کیفری در تقابل با یک دیگر قرار دارند و هر یک حالتی از احوال انسانی را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حقوق جزای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bookmarkStart w:id="209" w:name="pg20875_781531"/>
    </w:p>
    <w:p>
      <w:pPr>
        <w:pStyle w:val="Heading4"/>
        <w:numPr>
          <w:ilvl w:val="3"/>
          <w:numId w:val="1"/>
        </w:numPr>
        <w:rPr/>
      </w:pPr>
      <w:bookmarkStart w:id="210" w:name="__RefHeading___Toc3140664_3531895371"/>
      <w:bookmarkStart w:id="211" w:name="_Toc84"/>
      <w:bookmarkEnd w:id="209"/>
      <w:bookmarkEnd w:id="210"/>
      <w:r>
        <w:rPr/>
        <w:t>2/3/4</w:t>
      </w:r>
      <w:r>
        <w:rPr>
          <w:rtl w:val="true"/>
        </w:rPr>
        <w:t xml:space="preserve">. </w:t>
      </w:r>
      <w:r>
        <w:rPr>
          <w:rtl w:val="true"/>
        </w:rPr>
        <w:t>اسباب مانع مجازات</w:t>
      </w:r>
      <w:bookmarkEnd w:id="211"/>
    </w:p>
    <w:p>
      <w:pPr>
        <w:pStyle w:val="Heading5"/>
        <w:numPr>
          <w:ilvl w:val="4"/>
          <w:numId w:val="1"/>
        </w:numPr>
        <w:rPr/>
      </w:pPr>
      <w:bookmarkStart w:id="212" w:name="__RefHeading___Toc3140666_3531895371"/>
      <w:bookmarkStart w:id="213" w:name="_Toc8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مباحث پیشین بیان شد که اگر جرم با تمام عناصر سه گانه آن از فردی سر بزند و ارکان اهلیت جزایی نیز در مورد مجرم محرز شود، مجازات آن عمل بر او اعمال خواهد شد؛ به عبارت دیگر، مرتکب عمل مجرمانه از نظر کیفری مسئول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عوامل متعددی وجود دارند که مانع شکل گیری مسئولیت کیفری می شوند؛ بدین معنا که گاه در میزان مسئولیت تخفیف می دهند و گاه به طور کامل آن را زایل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آن ها اشاره می شود</w:t>
      </w:r>
      <w:r>
        <w:rPr>
          <w:rFonts w:eastAsia="IRNazanin" w:cs="IRNazanin"/>
          <w:color w:val="111111"/>
          <w:sz w:val="28"/>
          <w:szCs w:val="28"/>
          <w:rtl w:val="true"/>
          <w:lang w:bidi="fa-IR"/>
        </w:rPr>
        <w:t>.</w:t>
      </w:r>
    </w:p>
    <w:p>
      <w:pPr>
        <w:pStyle w:val="Heading5"/>
        <w:numPr>
          <w:ilvl w:val="4"/>
          <w:numId w:val="1"/>
        </w:numPr>
        <w:rPr/>
      </w:pPr>
      <w:bookmarkStart w:id="214" w:name="__RefHeading___Toc3140668_3531895371"/>
      <w:bookmarkStart w:id="215" w:name="_Toc86"/>
      <w:bookmarkEnd w:id="214"/>
      <w:r>
        <w:rPr/>
        <w:t>2/3/4/1</w:t>
      </w:r>
      <w:r>
        <w:rPr>
          <w:rtl w:val="true"/>
        </w:rPr>
        <w:t xml:space="preserve">. </w:t>
      </w:r>
      <w:r>
        <w:rPr>
          <w:rtl w:val="true"/>
        </w:rPr>
        <w:t>معاذیر قانونی</w:t>
      </w:r>
      <w:bookmarkEnd w:id="215"/>
    </w:p>
    <w:p>
      <w:pPr>
        <w:pStyle w:val="BookText"/>
        <w:rPr/>
      </w:pPr>
      <w:r>
        <w:rPr>
          <w:rFonts w:ascii="IRNazanin" w:hAnsi="IRNazanin" w:eastAsia="IRNazanin"/>
          <w:color w:val="111111"/>
          <w:sz w:val="28"/>
          <w:sz w:val="28"/>
          <w:szCs w:val="28"/>
          <w:rtl w:val="true"/>
          <w:lang w:bidi="fa-IR"/>
        </w:rPr>
        <w:t>معاذیر قانونی عواملی هستند که در قانون پیش بینی شده و به مواردی اشاره دارد که قانون گذار باوجود وقوع جرم و بقای مسئولیت و انتساب بزه به مرتکب، به دلایل ملاحظات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خاص، اجرای مجازات را در مورد مجرم موقوف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نگرشی بر حقوق جزای عمومی، به کوشش علی اکبر خان داور،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سایر مشارکت کنندگان در جرم هم چنان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جرمی که توسط چند نفر انجام می شود، عذر قانونی تنها نسبت به فردی اعمال می شود که موجبات تسهیل تعقیب دیگران را فراهم کرده یا مأموران را به طور مؤثر در کشف جرم یاری و راهنمایی نموده است و این معافیت شامل تمام شرکای جرم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گاه سبب معافیت کامل مجرم از مجازات می شوند و گاه موجب تخفیف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معاذیر قانونی را می توان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جهات مخففه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معاذیر قانونی تخفیف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شاکی یا مدعی خصوصی؛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و راهنمایی های متهم که در شناسایی شرکا و معاونان جرم یا کشف اموال ناشی از جرم مؤثر باشد؛ </w:t>
      </w:r>
      <w:bookmarkStart w:id="216" w:name="pg20875_781532"/>
    </w:p>
    <w:p>
      <w:pPr>
        <w:pStyle w:val="BookText"/>
        <w:rPr/>
      </w:pPr>
      <w:bookmarkEnd w:id="2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واحوال خاصی که متهم تحت تأثیر آن ها مرتکب جرم شده است، از قبیل رفتار یا گفتار تحریک آمیز مجنی علیه، یا وجود انگیزه شرافتمندانه در ارتکاب جرم؛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متهم قبل از تعقیب یا اقرار او در مرحله تحقیق که در کشف جرم مؤثر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خاص متهم يا سابقه او؛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یا کوشش متهم به منظور تخفیف آثار جرم و جبران زیان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p>
    <w:p>
      <w:pPr>
        <w:pStyle w:val="Heading5"/>
        <w:numPr>
          <w:ilvl w:val="4"/>
          <w:numId w:val="1"/>
        </w:numPr>
        <w:rPr/>
      </w:pPr>
      <w:bookmarkStart w:id="217" w:name="__RefHeading___Toc3140670_3531895371"/>
      <w:bookmarkStart w:id="218" w:name="_Toc87"/>
      <w:bookmarkEnd w:id="217"/>
      <w:r>
        <w:rPr/>
        <w:t>2/3/4/2</w:t>
      </w:r>
      <w:r>
        <w:rPr>
          <w:rtl w:val="true"/>
        </w:rPr>
        <w:t xml:space="preserve">. </w:t>
      </w:r>
      <w:r>
        <w:rPr>
          <w:rtl w:val="true"/>
        </w:rPr>
        <w:t>علل موجهه جرم</w:t>
      </w:r>
      <w:bookmarkEnd w:id="218"/>
    </w:p>
    <w:p>
      <w:pPr>
        <w:pStyle w:val="BookText"/>
        <w:rPr/>
      </w:pPr>
      <w:r>
        <w:rPr>
          <w:rFonts w:ascii="IRNazanin" w:hAnsi="IRNazanin" w:eastAsia="IRNazanin"/>
          <w:color w:val="111111"/>
          <w:sz w:val="28"/>
          <w:sz w:val="28"/>
          <w:szCs w:val="28"/>
          <w:rtl w:val="true"/>
          <w:lang w:bidi="fa-IR"/>
        </w:rPr>
        <w:t xml:space="preserve">مقصود از علل موجهه جرم، کیفیات عینی و خارجی ای است که به دلیل زوال عنصر قانونی جرم، نه تنها وصف مجرمانه را از عمل ارتکابی به حکم قانون گذار و به منظور تأمین مصلحت معینی برداشته و انجام عملی که پیش تر ممنوع بوده را مباح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باهری، نگرشی بر حقوق</w:t>
      </w:r>
    </w:p>
    <w:p>
      <w:pPr>
        <w:pStyle w:val="BookText"/>
        <w:rPr/>
      </w:pPr>
      <w:r>
        <w:rPr>
          <w:rFonts w:ascii="IRNazanin" w:hAnsi="IRNazanin" w:eastAsia="IRNazanin"/>
          <w:color w:val="111111"/>
          <w:sz w:val="28"/>
          <w:sz w:val="28"/>
          <w:szCs w:val="28"/>
          <w:rtl w:val="true"/>
          <w:lang w:bidi="fa-IR"/>
        </w:rPr>
        <w:t xml:space="preserve">جزای عمومی، به کوشش علی اکبر خان داور، 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وصف مجرمیت را نیز هم از مباشر و هم از شرکا و معاونان جرم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علاوه بر مرتکب اصلی، شریک و معاون نیز قابل تعقیب و مجازات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گلدوزیان، بایسته های حقوق جزای عمومی،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مسئولیت مدنی ناشی از عمل نیز ساقط می گردد، زیرا این عوامل دارای جنبه عمومی و همگانی هستند و نسبت به کلیه مداخله کنندگان در عمل مجرمانه قابلیت اجرا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دفاع از جان یا مال خود یا دیگری حقی است که برای هر انسان به رسمیت شناخته شده است؛ بنابراین مدافع مشروع مجاز است در حد دفع تجاوز، به هر اقدامی ولو این که به طور معمول جرم محسوب شود مبادرت کند و نتیجه اعمال این حق، معافیت از مجازات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مصاديق علل موجهه جرم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قانون؛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آمر قانونی؛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ارتکاب عمل برای اجرای قانون اهم؛ </w:t>
      </w:r>
      <w:bookmarkStart w:id="219" w:name="pg20875_781533"/>
    </w:p>
    <w:p>
      <w:pPr>
        <w:pStyle w:val="BookText"/>
        <w:rPr/>
      </w:pPr>
      <w:bookmarkEnd w:id="2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مشروع؛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ضرورت؛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جراحی پزشکی مشروع؛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تأدیب و تنبیه صغار و محجورین؛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ناشی از ورزش؛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مجنی علیه در موارد خاص و به حکم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5"/>
        <w:numPr>
          <w:ilvl w:val="4"/>
          <w:numId w:val="1"/>
        </w:numPr>
        <w:rPr/>
      </w:pPr>
      <w:bookmarkStart w:id="220" w:name="__RefHeading___Toc3140672_3531895371"/>
      <w:bookmarkStart w:id="221" w:name="_Toc88"/>
      <w:bookmarkEnd w:id="220"/>
      <w:r>
        <w:rPr/>
        <w:t>2/3/4/3</w:t>
      </w:r>
      <w:r>
        <w:rPr>
          <w:rtl w:val="true"/>
        </w:rPr>
        <w:t xml:space="preserve">. </w:t>
      </w:r>
      <w:r>
        <w:rPr>
          <w:rtl w:val="true"/>
        </w:rPr>
        <w:t>علل رافع مسئولیت کیفری</w:t>
      </w:r>
      <w:bookmarkEnd w:id="221"/>
    </w:p>
    <w:p>
      <w:pPr>
        <w:pStyle w:val="BookText"/>
        <w:rPr/>
      </w:pPr>
      <w:r>
        <w:rPr>
          <w:rFonts w:ascii="IRNazanin" w:hAnsi="IRNazanin" w:eastAsia="IRNazanin"/>
          <w:color w:val="111111"/>
          <w:sz w:val="28"/>
          <w:sz w:val="28"/>
          <w:szCs w:val="28"/>
          <w:rtl w:val="true"/>
          <w:lang w:bidi="fa-IR"/>
        </w:rPr>
        <w:t xml:space="preserve">عوامل رافع مسئولیت کیفری، کیفیات درونی و نفسانی موجود در شخص مرتکب جرم هستند که به رغم وقوع جرم و تحقق عناصر تشکیل دهنده آن، به دلیل فراهم نبودن شرایط مسئولیت در مجرم، هر چند عمل انجام یافته عنوان مجرمانه در قانون دارد، قانون گذار شخص مرتکب را از مسئولیت کیفری مبرا دانسته، جرم را قابل انتساب به او نمی داند و وی را از مجازات معاف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گلدوزیان، بایسته های حقوق جزای عمومی،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رافع مسئولیت کیفری، هر چند مرتکب قابل مجازات نبوده، جرم به او منتسب نمی گردد و فاقد مسئولیت کیفری است، لیکن مسئولیت مدنی به دلیل ضرر واردشده به غیر هم چنان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نگرشی بر حقوق جزای عمومی، به کوشش علی اکبر خان داور،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رافع مسئولیت کیفری از امور فردی و شخصی هستند که در مورد هر یک از شرکا و معاونان جرم به صورت جداگانه بررسی می شوند و ممکن است شامل همه آنان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بایسته های حقوق جزای عمومی، 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وجود این علل در یک شخص تنها مسئولیت کیفری خود او را زایل می کند و به سایر مداخله کنندگان در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شریک یا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فردی در ارتکاب سرقت با یک کودک مشارکت یا معاونت داشته باشد، تنها کودک قابل تعقیب و مجازات </w:t>
      </w:r>
    </w:p>
    <w:p>
      <w:pPr>
        <w:pStyle w:val="BookText"/>
        <w:rPr/>
      </w:pPr>
      <w:r>
        <w:rPr>
          <w:rFonts w:ascii="IRNazanin" w:hAnsi="IRNazanin" w:eastAsia="IRNazanin"/>
          <w:color w:val="111111"/>
          <w:sz w:val="28"/>
          <w:sz w:val="28"/>
          <w:szCs w:val="28"/>
          <w:rtl w:val="true"/>
          <w:lang w:bidi="fa-IR"/>
        </w:rPr>
        <w:t xml:space="preserve">نیست، اما شخص بالغ و عاقل تحت تعقیب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حقوق جزای عمومی،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رافع مسئولیت کیفری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یا اکراه؛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یا بیهوشی؛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گلدوزیان بایسته های حقوق جزای عمومی،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875_781536"/>
      <w:bookmarkStart w:id="223" w:name="pg20875_781536"/>
      <w:bookmarkEnd w:id="223"/>
    </w:p>
    <w:p>
      <w:pPr>
        <w:pStyle w:val="Heading2"/>
        <w:numPr>
          <w:ilvl w:val="1"/>
          <w:numId w:val="1"/>
        </w:numPr>
        <w:rPr/>
      </w:pPr>
      <w:bookmarkStart w:id="224" w:name="pg20875_781536"/>
      <w:bookmarkStart w:id="225" w:name="__RefHeading___Toc3140674_3531895371"/>
      <w:bookmarkStart w:id="226" w:name="_Toc89"/>
      <w:bookmarkEnd w:id="224"/>
      <w:bookmarkEnd w:id="225"/>
      <w:r>
        <w:rPr>
          <w:rtl w:val="true"/>
        </w:rPr>
        <w:t>فصل سوم</w:t>
      </w:r>
      <w:r>
        <w:rPr>
          <w:rtl w:val="true"/>
        </w:rPr>
        <w:t xml:space="preserve">: </w:t>
      </w:r>
      <w:r>
        <w:rPr>
          <w:rtl w:val="true"/>
        </w:rPr>
        <w:t>سن مسئولیت کیفری</w:t>
      </w:r>
      <w:r>
        <w:rPr>
          <w:rtl w:val="true"/>
        </w:rPr>
        <w:t xml:space="preserve">: </w:t>
      </w:r>
      <w:r>
        <w:rPr>
          <w:rtl w:val="true"/>
        </w:rPr>
        <w:t>تحلیل فقهی و حقوقی</w:t>
      </w:r>
      <w:bookmarkEnd w:id="22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3140676_3531895371"/>
      <w:bookmarkStart w:id="228" w:name="_Toc90"/>
      <w:bookmarkEnd w:id="227"/>
      <w:r>
        <w:rPr>
          <w:rtl w:val="true"/>
        </w:rPr>
        <w:t>اشاره</w:t>
      </w:r>
      <w:bookmarkStart w:id="229" w:name="pg20875_781537"/>
      <w:bookmarkEnd w:id="228"/>
    </w:p>
    <w:p>
      <w:pPr>
        <w:pStyle w:val="Heading3"/>
        <w:numPr>
          <w:ilvl w:val="2"/>
          <w:numId w:val="1"/>
        </w:numPr>
        <w:rPr/>
      </w:pPr>
      <w:bookmarkStart w:id="230" w:name="__RefHeading___Toc3140678_3531895371"/>
      <w:bookmarkStart w:id="231" w:name="_Toc91"/>
      <w:bookmarkEnd w:id="229"/>
      <w:bookmarkEnd w:id="230"/>
      <w:r>
        <w:rPr/>
        <w:t>3/1</w:t>
      </w:r>
      <w:r>
        <w:rPr>
          <w:rtl w:val="true"/>
        </w:rPr>
        <w:t xml:space="preserve">. </w:t>
      </w:r>
      <w:r>
        <w:rPr>
          <w:rtl w:val="true"/>
        </w:rPr>
        <w:t>بررسی سن مسئولیت کیفری در چارچوب نظام فقهی و حقوقی</w:t>
      </w:r>
      <w:bookmarkEnd w:id="231"/>
    </w:p>
    <w:p>
      <w:pPr>
        <w:pStyle w:val="Heading4"/>
        <w:numPr>
          <w:ilvl w:val="3"/>
          <w:numId w:val="1"/>
        </w:numPr>
        <w:rPr/>
      </w:pPr>
      <w:bookmarkStart w:id="232" w:name="__RefHeading___Toc3140680_3531895371"/>
      <w:bookmarkStart w:id="233" w:name="_Toc9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پیش از بررسی سن مسئولیت کیفری، لازم به یادآوری است که در ادبیات فقهی و حقوقی، اشخاص پیش از رسیدن به سن مسئولیت کیفری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از ورود به بحث اصلی، ضروری است تعریف کودک و محدوده زمانی آغاز و پایان دوره کودکی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روشن شدن این پرسش کمک می کند که آیا تمام دوره کودکی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مسئولیت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یا تنها مرحله خاصی از آن مشمول این عنوان است و در صورت ارتکاب جرم توسط کودک در این دوره، چه تدابیری پیش بینی شده است</w:t>
      </w:r>
      <w:r>
        <w:rPr>
          <w:rFonts w:eastAsia="IRNazanin" w:cs="IRNazanin"/>
          <w:color w:val="111111"/>
          <w:sz w:val="28"/>
          <w:szCs w:val="28"/>
          <w:rtl w:val="true"/>
          <w:lang w:bidi="fa-IR"/>
        </w:rPr>
        <w:t>.</w:t>
      </w:r>
    </w:p>
    <w:p>
      <w:pPr>
        <w:pStyle w:val="Heading4"/>
        <w:numPr>
          <w:ilvl w:val="3"/>
          <w:numId w:val="1"/>
        </w:numPr>
        <w:rPr/>
      </w:pPr>
      <w:bookmarkStart w:id="234" w:name="__RefHeading___Toc3140682_3531895371"/>
      <w:bookmarkStart w:id="235" w:name="_Toc93"/>
      <w:bookmarkEnd w:id="234"/>
      <w:r>
        <w:rPr>
          <w:rtl w:val="true"/>
        </w:rPr>
        <w:t xml:space="preserve">تعریف کودک </w:t>
      </w:r>
      <w:r>
        <w:rPr>
          <w:rtl w:val="true"/>
        </w:rPr>
        <w:t>(</w:t>
      </w:r>
      <w:r>
        <w:rPr>
          <w:rtl w:val="true"/>
        </w:rPr>
        <w:t>صغیر</w:t>
      </w:r>
      <w:r>
        <w:rPr>
          <w:rtl w:val="true"/>
        </w:rPr>
        <w:t>)</w:t>
      </w:r>
      <w:bookmarkEnd w:id="235"/>
    </w:p>
    <w:p>
      <w:pPr>
        <w:pStyle w:val="BookText"/>
        <w:rPr/>
      </w:pPr>
      <w:r>
        <w:rPr>
          <w:rFonts w:ascii="IRNazanin" w:hAnsi="IRNazanin" w:eastAsia="IRNazanin"/>
          <w:color w:val="111111"/>
          <w:sz w:val="28"/>
          <w:sz w:val="28"/>
          <w:szCs w:val="28"/>
          <w:rtl w:val="true"/>
          <w:lang w:bidi="fa-IR"/>
        </w:rPr>
        <w:t>در اصطلاح فقهی و حقوقی، کودک به کسی اطلاق می شود که به حد بلوغ شرعی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بر اساس نظر مشهور فقهی، نه سال قمری برای دختر و پانزده سال قمری برای پسر در نظر گرفته شده است، زیرا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بلوغ که از ویژگی های شخص بالغ است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حقوق مدنی اشخاص و محجورین، به کوشش مرتضی قاسم زاده،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236" w:name="__RefHeading___Toc3140684_3531895371"/>
      <w:bookmarkStart w:id="237" w:name="_Toc94"/>
      <w:bookmarkEnd w:id="236"/>
      <w:r>
        <w:rPr>
          <w:rtl w:val="true"/>
        </w:rPr>
        <w:t>آغاز و پایان دوره کودکی</w:t>
      </w:r>
      <w:bookmarkEnd w:id="237"/>
    </w:p>
    <w:p>
      <w:pPr>
        <w:pStyle w:val="BookText"/>
        <w:rPr/>
      </w:pPr>
      <w:r>
        <w:rPr>
          <w:rFonts w:ascii="IRNazanin" w:hAnsi="IRNazanin" w:eastAsia="IRNazanin"/>
          <w:color w:val="111111"/>
          <w:sz w:val="28"/>
          <w:sz w:val="28"/>
          <w:szCs w:val="28"/>
          <w:rtl w:val="true"/>
          <w:lang w:bidi="fa-IR"/>
        </w:rPr>
        <w:t>شروع دوره کودکی، حتی پیش از تولد و از زمان جنینی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ریشه در نصوصی مانند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دارد که مراحل تکوین انسان را از نطفه تا طفل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این دوره، جنین واجد حیات است، شایسته حمایت قانونی هست تا حقوق کودک آینده تضییع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حقوق کودک، 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حمایت ها هم در متون فقهی و هم در قوانین موضوعه ایران بازتاب یافته است؛ برای نمونه، ماده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برای سقط جنین در مراحل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 استخوان بندی و پیدایش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های مشخصی مقرر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این دوره، زمانی است که شخص بتواند در زمره بزرگ سالان قرار گیرد، از حقوق آنان</w:t>
      </w:r>
    </w:p>
    <w:p>
      <w:pPr>
        <w:pStyle w:val="BookText"/>
        <w:rPr/>
      </w:pPr>
      <w:r>
        <w:rPr>
          <w:rFonts w:ascii="IRNazanin" w:hAnsi="IRNazanin" w:eastAsia="IRNazanin"/>
          <w:color w:val="111111"/>
          <w:sz w:val="28"/>
          <w:sz w:val="28"/>
          <w:szCs w:val="28"/>
          <w:rtl w:val="true"/>
          <w:lang w:bidi="fa-IR"/>
        </w:rPr>
        <w:t>برخوردار شود و تکالیف فردی و اجتماعی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در ماده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بلوغ را نقطه پایان دوره کودکی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به تأکید است که سن بلوغ به عنوان پایان کودکی در تمامی عرصه های حقوقی یکسان تعیین نشده و قانون گذار برای موضوعات مختلف، سنین متفاوتی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دوران کودکی برای هر حوزه ای در زمانی خاص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پایان کودکی برای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شمسی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اذن ولی و رعایت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کیفری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کودکی همزمان با سن بلوغ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پسر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به کار گماردن افراد کم 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ممنوع است؛ بنابراین پایان کودکی در این حوزه برای هر دو جنس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انتخابات ریاست جمهوری، حداقل سن رأی دهی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حداقل سن برای استخدام رسمی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بند مربوطه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گذرنامه، اشخاص کم 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صغير محسوب و خروج آنان منوط به اجازه ولی یا 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حقوق کودک،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تفکیک سنین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ایران یک مفهوم مطلق و یکسان نیست، بلکه بسته به نوع حق یا تکلیف، سنین متفاوتی به عنوان مرز بین کودکی و بزرگ سالی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لزوم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مسئولیت نسبی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ویژه در مرحله ای بین بلوغ شرعی و رسیدن به سنی که فرد از رشد و درک کامل برخوردار می شود، پررنگ می سازد</w:t>
      </w:r>
      <w:r>
        <w:rPr>
          <w:rFonts w:eastAsia="IRNazanin" w:cs="IRNazanin"/>
          <w:color w:val="111111"/>
          <w:sz w:val="28"/>
          <w:szCs w:val="28"/>
          <w:rtl w:val="true"/>
          <w:lang w:bidi="fa-IR"/>
        </w:rPr>
        <w:t xml:space="preserve">. </w:t>
      </w:r>
      <w:bookmarkStart w:id="238" w:name="pg20875_781539"/>
    </w:p>
    <w:p>
      <w:pPr>
        <w:pStyle w:val="Heading4"/>
        <w:numPr>
          <w:ilvl w:val="3"/>
          <w:numId w:val="1"/>
        </w:numPr>
        <w:rPr/>
      </w:pPr>
      <w:bookmarkStart w:id="239" w:name="__RefHeading___Toc3140686_3531895371"/>
      <w:bookmarkStart w:id="240" w:name="_Toc95"/>
      <w:bookmarkEnd w:id="238"/>
      <w:bookmarkEnd w:id="239"/>
      <w:r>
        <w:rPr/>
        <w:t>3/1/1</w:t>
      </w:r>
      <w:r>
        <w:rPr>
          <w:rtl w:val="true"/>
        </w:rPr>
        <w:t xml:space="preserve">. </w:t>
      </w:r>
      <w:r>
        <w:rPr>
          <w:rtl w:val="true"/>
        </w:rPr>
        <w:t>بررسی سن مسئولیت نسبی کیفری در فقه</w:t>
      </w:r>
      <w:bookmarkEnd w:id="240"/>
    </w:p>
    <w:p>
      <w:pPr>
        <w:pStyle w:val="Heading5"/>
        <w:numPr>
          <w:ilvl w:val="4"/>
          <w:numId w:val="1"/>
        </w:numPr>
        <w:rPr/>
      </w:pPr>
      <w:bookmarkStart w:id="241" w:name="__RefHeading___Toc3140688_3531895371"/>
      <w:bookmarkStart w:id="242" w:name="_Toc9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این مبحث، روایات و دیدگاه های فقهای امامیه در خصوص مسئولیت و مجازات کودک در جرائم مختلف بررسی می شود تا مسئله سن مسئولیت نسبی کیفری و میزان مسئولیت نسبی در نظر گرفته شده برای اطفال مرتکب جرم در فقه امامیه روشن گردد</w:t>
      </w:r>
      <w:r>
        <w:rPr>
          <w:rFonts w:eastAsia="IRNazanin" w:cs="IRNazanin"/>
          <w:color w:val="111111"/>
          <w:sz w:val="28"/>
          <w:szCs w:val="28"/>
          <w:rtl w:val="true"/>
          <w:lang w:bidi="fa-IR"/>
        </w:rPr>
        <w:t>.</w:t>
      </w:r>
    </w:p>
    <w:p>
      <w:pPr>
        <w:pStyle w:val="Heading5"/>
        <w:numPr>
          <w:ilvl w:val="4"/>
          <w:numId w:val="1"/>
        </w:numPr>
        <w:rPr/>
      </w:pPr>
      <w:bookmarkStart w:id="243" w:name="__RefHeading___Toc3140690_3531895371"/>
      <w:bookmarkStart w:id="244" w:name="_Toc97"/>
      <w:bookmarkEnd w:id="243"/>
      <w:r>
        <w:rPr/>
        <w:t>3/1/1/1</w:t>
      </w:r>
      <w:r>
        <w:rPr>
          <w:rtl w:val="true"/>
        </w:rPr>
        <w:t xml:space="preserve">. </w:t>
      </w:r>
      <w:r>
        <w:rPr>
          <w:rtl w:val="true"/>
        </w:rPr>
        <w:t>حدود</w:t>
      </w:r>
      <w:bookmarkEnd w:id="244"/>
    </w:p>
    <w:p>
      <w:pPr>
        <w:pStyle w:val="Heading6"/>
        <w:numPr>
          <w:ilvl w:val="5"/>
          <w:numId w:val="1"/>
        </w:numPr>
        <w:rPr/>
      </w:pPr>
      <w:bookmarkStart w:id="245" w:name="__RefHeading___Toc3140692_3531895371"/>
      <w:bookmarkStart w:id="246" w:name="_Toc9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حدود،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منع است و در شرع به مجازات مقدر و معینی اطلاق می گردد که به سبب معصیت مشخصی از سوی مکلف، موجب ایجاد درد جسمانی بر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325/14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برای ثبوت حد بر مرتکب، سه شرط بر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بنابراین بر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پس بر مکره حدی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نتیجه بر مجنون حدی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تکمله 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اسباب تحقق حد شش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توابع آن، قذف، شرب خمر، سرقت و راهزنی؛ که شارع در همه این موارد کمیت و کیفیت مجازات را نیز به طور دقیق مشخص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به بررسی برخی از این اسباب حد در خصوص کودک می پردازیم</w:t>
      </w:r>
      <w:r>
        <w:rPr>
          <w:rFonts w:eastAsia="IRNazanin" w:cs="IRNazanin"/>
          <w:color w:val="111111"/>
          <w:sz w:val="28"/>
          <w:szCs w:val="28"/>
          <w:rtl w:val="true"/>
          <w:lang w:bidi="fa-IR"/>
        </w:rPr>
        <w:t xml:space="preserve">. </w:t>
      </w:r>
      <w:bookmarkStart w:id="247" w:name="pg20875_781540"/>
    </w:p>
    <w:p>
      <w:pPr>
        <w:pStyle w:val="Heading6"/>
        <w:numPr>
          <w:ilvl w:val="5"/>
          <w:numId w:val="1"/>
        </w:numPr>
        <w:rPr/>
      </w:pPr>
      <w:bookmarkStart w:id="248" w:name="__RefHeading___Toc3140694_3531895371"/>
      <w:bookmarkStart w:id="249" w:name="_Toc99"/>
      <w:bookmarkEnd w:id="247"/>
      <w:bookmarkEnd w:id="248"/>
      <w:r>
        <w:rPr/>
        <w:t>3/1/1/1/1</w:t>
      </w:r>
      <w:r>
        <w:rPr>
          <w:rtl w:val="true"/>
        </w:rPr>
        <w:t xml:space="preserve">. </w:t>
      </w:r>
      <w:r>
        <w:rPr>
          <w:rtl w:val="true"/>
        </w:rPr>
        <w:t>ارتکاب زنا</w:t>
      </w:r>
      <w:bookmarkEnd w:id="249"/>
    </w:p>
    <w:p>
      <w:pPr>
        <w:pStyle w:val="BookText"/>
        <w:rPr/>
      </w:pPr>
      <w:r>
        <w:rPr>
          <w:rFonts w:ascii="IRNazanin" w:hAnsi="IRNazanin" w:eastAsia="IRNazanin"/>
          <w:color w:val="111111"/>
          <w:sz w:val="28"/>
          <w:sz w:val="28"/>
          <w:szCs w:val="28"/>
          <w:rtl w:val="true"/>
          <w:lang w:bidi="fa-IR"/>
        </w:rPr>
        <w:t xml:space="preserve">زنا به این معناست که مردی، آلت تناسلی خود را در فرج زنی که بر او حرام است وارد کند، بدون آن که عقد نکاح، شبهه حلیت یا مالکیت فاعل نسبت به قابل وجود داشته باشد؛ هم چنین پنهان شدن ختنه گاه در قُبل یا دُبر زن نیز زنا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932/4</w:t>
      </w:r>
      <w:r>
        <w:rPr>
          <w:rFonts w:ascii="IRNazanin" w:hAnsi="IRNazanin" w:eastAsia="IRNazanin"/>
          <w:color w:val="111111"/>
          <w:sz w:val="28"/>
          <w:sz w:val="28"/>
          <w:szCs w:val="28"/>
          <w:rtl w:val="true"/>
          <w:lang w:bidi="fa-IR"/>
        </w:rPr>
        <w:t xml:space="preserve">؛ شهید اول، اللمعة الدمشقيه،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عمل زنا حرام است و پس از اثبات آن و اتمام حجت بر قاضی، اجرای حد بر مجرم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زنا نیز دارای اقسام گوناگونی است که این تنوع ناشی از تفاوت در شرایط و ویژگی های مرتکبین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حکم ارتکاب زنا توسط کودک غیر بالغ روایاتی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زنای صبی با زن پرسیده شد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صبی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83/28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زنای پسر بچه ای که به بلوغ جنسی نرسیده بود با زنی پرسیده شد که چه حکمی بر آن دو جاری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پسربچه کم تر از حد زده می شود و بر زن حد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که بالغ نشده باشد با مردی یافت شود که با او زنا می کند،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کم تر از حد زده می شود و بر مرد نیز حد جاری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شمار زیادی از فقها از جمله شیخ مفید در المقنعه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صلاح حلبی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ابن البراج در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در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مختلف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در صورت زنای مرد با دختر بچه ای که به سن بلوغ نرسیده، یا زنای زن با پسر بچه ای که محتلم نشده باشد، بر آن دختر یا پسر بچه تأدیب واجب می شود</w:t>
      </w:r>
      <w:r>
        <w:rPr>
          <w:rFonts w:eastAsia="IRNazanin" w:cs="IRNazanin"/>
          <w:color w:val="111111"/>
          <w:sz w:val="28"/>
          <w:szCs w:val="28"/>
          <w:rtl w:val="true"/>
          <w:lang w:bidi="fa-IR"/>
        </w:rPr>
        <w:t xml:space="preserve">. </w:t>
      </w:r>
      <w:bookmarkStart w:id="250" w:name="pg20875_781541"/>
    </w:p>
    <w:p>
      <w:pPr>
        <w:pStyle w:val="Heading6"/>
        <w:numPr>
          <w:ilvl w:val="5"/>
          <w:numId w:val="1"/>
        </w:numPr>
        <w:rPr/>
      </w:pPr>
      <w:bookmarkStart w:id="251" w:name="__RefHeading___Toc3140696_3531895371"/>
      <w:bookmarkStart w:id="252" w:name="_Toc100"/>
      <w:bookmarkEnd w:id="250"/>
      <w:bookmarkEnd w:id="251"/>
      <w:r>
        <w:rPr/>
        <w:t>3/1/1/1/2</w:t>
      </w:r>
      <w:r>
        <w:rPr>
          <w:rtl w:val="true"/>
        </w:rPr>
        <w:t xml:space="preserve">. </w:t>
      </w:r>
      <w:r>
        <w:rPr>
          <w:rtl w:val="true"/>
        </w:rPr>
        <w:t>ارتکاب لواط</w:t>
      </w:r>
      <w:bookmarkEnd w:id="252"/>
    </w:p>
    <w:p>
      <w:pPr>
        <w:pStyle w:val="BookText"/>
        <w:rPr/>
      </w:pPr>
      <w:r>
        <w:rPr>
          <w:rFonts w:ascii="IRNazanin" w:hAnsi="IRNazanin" w:eastAsia="IRNazanin"/>
          <w:color w:val="111111"/>
          <w:sz w:val="28"/>
          <w:sz w:val="28"/>
          <w:szCs w:val="28"/>
          <w:rtl w:val="true"/>
          <w:lang w:bidi="fa-IR"/>
        </w:rPr>
        <w:t>حرمت لواط از حرمت زنا شدیدتر است و در نگاه اسلام از زشت ترین اعمال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آن اعدام به یکی از روش 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 شمشیر، سوزاندن با آتش، سنگسار کردن، پرت کردن از بلندی و انداختن دیوار بر روی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انتخاب حاکم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بر هر دو طرف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فاعل باشد یا مفعول، محصن باشند یا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یکسان جاری می گردد و اجرای آن منوط به سه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اللمعه الدمشقيه،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همان،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طفلی با شخص بالغ یا با طفل دیگری مرتکب لواط شود، بر اساس روایت زیر، کودک به کم تر از حد تازیانه 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مرد با پسر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شوهر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کرده بود و شهود بر ضد او شهادت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مرد با شمشیر کشته شود و پسربچه به کم تر از حد زده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بودی، به خاطر این که در مقابل او تسلیم شده بودی، قطعاً تو را نیز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419/18</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بر پایه نظر اكثر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طوسی در النهايه، 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ابن البراج در 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 xml:space="preserve">؛ ابن حمزه در الوسیله،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ابن ادریس در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ascii="IRNazanin" w:hAnsi="IRNazanin" w:eastAsia="IRNazanin"/>
          <w:color w:val="111111"/>
          <w:sz w:val="28"/>
          <w:sz w:val="28"/>
          <w:szCs w:val="28"/>
          <w:rtl w:val="true"/>
          <w:lang w:bidi="fa-IR"/>
        </w:rPr>
        <w:t>؛ محقق حلی در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ascii="IRNazanin" w:hAnsi="IRNazanin" w:eastAsia="IRNazanin"/>
          <w:color w:val="111111"/>
          <w:sz w:val="28"/>
          <w:sz w:val="28"/>
          <w:szCs w:val="28"/>
          <w:rtl w:val="true"/>
          <w:lang w:bidi="fa-IR"/>
        </w:rPr>
        <w:t>؛ علامه حلی در قواعد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ascii="IRNazanin" w:hAnsi="IRNazanin" w:eastAsia="IRNazanin"/>
          <w:color w:val="111111"/>
          <w:sz w:val="28"/>
          <w:sz w:val="28"/>
          <w:szCs w:val="28"/>
          <w:rtl w:val="true"/>
          <w:lang w:bidi="fa-IR"/>
        </w:rPr>
        <w:t>؛ فخرالمحققین در ایضاح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بازداشتن کودک از تکرار این عمل قبیح، او تأدیب می شود</w:t>
      </w:r>
      <w:r>
        <w:rPr>
          <w:rFonts w:eastAsia="IRNazanin" w:cs="IRNazanin"/>
          <w:color w:val="111111"/>
          <w:sz w:val="28"/>
          <w:szCs w:val="28"/>
          <w:rtl w:val="true"/>
          <w:lang w:bidi="fa-IR"/>
        </w:rPr>
        <w:t xml:space="preserve">. </w:t>
      </w:r>
      <w:bookmarkStart w:id="253" w:name="pg20875_781542"/>
    </w:p>
    <w:p>
      <w:pPr>
        <w:pStyle w:val="Heading6"/>
        <w:numPr>
          <w:ilvl w:val="5"/>
          <w:numId w:val="1"/>
        </w:numPr>
        <w:rPr/>
      </w:pPr>
      <w:bookmarkStart w:id="254" w:name="__RefHeading___Toc3140698_3531895371"/>
      <w:bookmarkStart w:id="255" w:name="_Toc101"/>
      <w:bookmarkEnd w:id="253"/>
      <w:bookmarkEnd w:id="254"/>
      <w:r>
        <w:rPr/>
        <w:t>3/1/1/1/3</w:t>
      </w:r>
      <w:r>
        <w:rPr>
          <w:rtl w:val="true"/>
        </w:rPr>
        <w:t xml:space="preserve">. </w:t>
      </w:r>
      <w:r>
        <w:rPr>
          <w:rtl w:val="true"/>
        </w:rPr>
        <w:t>ارتکاب قذف</w:t>
      </w:r>
      <w:bookmarkEnd w:id="255"/>
    </w:p>
    <w:p>
      <w:pPr>
        <w:pStyle w:val="BookText"/>
        <w:rPr/>
      </w:pPr>
      <w:r>
        <w:rPr>
          <w:rFonts w:ascii="IRNazanin" w:hAnsi="IRNazanin" w:eastAsia="IRNazanin"/>
          <w:color w:val="111111"/>
          <w:sz w:val="28"/>
          <w:sz w:val="28"/>
          <w:szCs w:val="28"/>
          <w:rtl w:val="true"/>
          <w:lang w:bidi="fa-IR"/>
        </w:rPr>
        <w:t xml:space="preserve">در صورت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ناروای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طفل، در روایتی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بالغی چه مرد یا زن که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کوچک یا بزرگ، مرد یا زن، مسلمان یا کافر، آزاد یا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کند، بر او حد قذف جاری می شود و بر غیر بالغ، حد ادب جاری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گروهی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فخرالمحققين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تأدیب صبی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تعزیر را در صورت ارتکاب قذف مطرح نموده اند؛ از جمله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تعزیر صبی به میزانی که حاکم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آزار دیگر مسلمانان و ایجاد فساد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طفل ممیز را در صورتی که مؤثر واقع شود و او را از تکرار عمل بازدارد، جایز می داند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طفل را مطرح کرده، اما در تبصره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تعزیر او شده است</w:t>
      </w:r>
      <w:r>
        <w:rPr>
          <w:rFonts w:eastAsia="IRNazanin" w:cs="IRNazanin"/>
          <w:color w:val="111111"/>
          <w:sz w:val="28"/>
          <w:szCs w:val="28"/>
          <w:rtl w:val="true"/>
          <w:lang w:bidi="fa-IR"/>
        </w:rPr>
        <w:t xml:space="preserve">. </w:t>
      </w:r>
      <w:bookmarkStart w:id="256" w:name="pg20875_781543"/>
    </w:p>
    <w:p>
      <w:pPr>
        <w:pStyle w:val="Heading6"/>
        <w:numPr>
          <w:ilvl w:val="5"/>
          <w:numId w:val="1"/>
        </w:numPr>
        <w:rPr/>
      </w:pPr>
      <w:bookmarkStart w:id="257" w:name="__RefHeading___Toc3140700_3531895371"/>
      <w:bookmarkStart w:id="258" w:name="_Toc102"/>
      <w:bookmarkEnd w:id="256"/>
      <w:bookmarkEnd w:id="257"/>
      <w:r>
        <w:rPr/>
        <w:t>3/1/1/1/4</w:t>
      </w:r>
      <w:r>
        <w:rPr>
          <w:rtl w:val="true"/>
        </w:rPr>
        <w:t xml:space="preserve">. </w:t>
      </w:r>
      <w:r>
        <w:rPr>
          <w:rtl w:val="true"/>
        </w:rPr>
        <w:t>ارتکاب سرقت</w:t>
      </w:r>
      <w:bookmarkEnd w:id="258"/>
    </w:p>
    <w:p>
      <w:pPr>
        <w:pStyle w:val="Heading6"/>
        <w:numPr>
          <w:ilvl w:val="5"/>
          <w:numId w:val="1"/>
        </w:numPr>
        <w:rPr/>
      </w:pPr>
      <w:bookmarkStart w:id="259" w:name="__RefHeading___Toc3140702_3531895371"/>
      <w:bookmarkStart w:id="260" w:name="_Toc10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سرقت از جمله گناهان کبیره در اسلام است که در حقوق جزای اسلامی، با تحقق شرایط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بلوغ، عقل، اختیار سارق، عدم اضطرار، واجد بودن مال سرقت شده از شرایطی چون حدنصاب، خروج از حرز، عدم شبهه مالکیت و فقدان برخی موانع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چهار مرحله کیفر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چهار انگشت دست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اجرای 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پای چپ از پایین برآمدگی پا، به نحوی که پاشنه و بخشی از کف پا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تا زمان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در زندان یا فرار از زندان و سرقت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اللمعه الدمشقيه،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همان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Heading6"/>
        <w:numPr>
          <w:ilvl w:val="5"/>
          <w:numId w:val="1"/>
        </w:numPr>
        <w:rPr/>
      </w:pPr>
      <w:bookmarkStart w:id="261" w:name="__RefHeading___Toc3140704_3531895371"/>
      <w:bookmarkStart w:id="262" w:name="_Toc104"/>
      <w:bookmarkEnd w:id="261"/>
      <w:r>
        <w:rPr>
          <w:rtl w:val="true"/>
        </w:rPr>
        <w:t>حکم سرقت طفل غير مميز</w:t>
      </w:r>
      <w:bookmarkEnd w:id="262"/>
    </w:p>
    <w:p>
      <w:pPr>
        <w:pStyle w:val="BookText"/>
        <w:rPr/>
      </w:pPr>
      <w:r>
        <w:rPr>
          <w:rFonts w:ascii="IRNazanin" w:hAnsi="IRNazanin" w:eastAsia="IRNazanin"/>
          <w:color w:val="111111"/>
          <w:sz w:val="28"/>
          <w:sz w:val="28"/>
          <w:szCs w:val="28"/>
          <w:rtl w:val="true"/>
          <w:lang w:bidi="fa-IR"/>
        </w:rPr>
        <w:t>در این مورد، به دلیل تعدد و اختلاف روایات، میان فقها آرای گوناگونی وجود دارد که برخی از آن 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سرقت طفل، حد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نخست عفو می گردد؛ در مرتبه دوم تأدیب می شود؛ در مرتبه سوم سرانگشتانش خراش داده می شود تا خون جاری شود؛ در مرتبه چهارم سرانگشتان قطع می گردد؛ و در مرتبه پنجم مانند سارق بالغ،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النهایه، ص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ابن حمزه، محمد بن على، الوسيله،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ابن ادریس، محمد بن احمد، 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سرقت طفل، در مرتبه اول تأدیب می شود؛ در مرتبه دوم، انگشتانش بر زمین ساییده می گردد تا خون جاری شود؛ در مرتبه سوم، کناره های چهار انگشت از مفصل اول قطع می شود؛ در مرتبه چهارم، از مفصل دوم قطع می گردد؛ و در مرتبه پنجم، از ریشه انگشتان قطع می شود</w:t>
      </w:r>
      <w:r>
        <w:rPr>
          <w:rFonts w:eastAsia="IRNazanin" w:cs="IRNazanin"/>
          <w:color w:val="111111"/>
          <w:sz w:val="28"/>
          <w:szCs w:val="28"/>
          <w:rtl w:val="true"/>
          <w:lang w:bidi="fa-IR"/>
        </w:rPr>
        <w:t xml:space="preserve">. </w:t>
      </w:r>
      <w:bookmarkStart w:id="263" w:name="pg20875_781544"/>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صلاح حلبی، تقی بن نجم، الكافی في الفقه،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ابن زهره، حمزه بن علی، غنيه النزوع،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سرقت توسط طفل، مرتبه نخست عفو می شود؛ در مرتبه دوم، سرانگشتانش قطع می گردد یا آن که خراش داده می شود تا خون جاری شود؛ در مرتبه سوم، انگشتانش قطع می شود؛ و در مرتبه چهارم، از پایین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المقنع، ص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سرقت طفل، در مرتبه نخست عفو می شود؛ در مرتبه دوم تعزیر می گردد؛ در مرتبه سوم کناره های انگشتان قطع می شود؛ و در مرتبه چهارم از پایین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یحیی بن سعید، الجامع للشرايع،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طفل، دو مرتبه نخست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حاکم مخیر است میان تعزیر، قطع سرانگشتان، قطع کناره های انگشتان یا خراش دادن آن ها تا جاری شدن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هفت ساله باشد و سرقت را تکرار کند، در مرتبه چهارم از مفصل دوم و در مرتبه پنجم مانند سارق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از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 شود؛ اما اگر نه ساله باشد، احکام متفاوتی اعمال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ابوالقاسم، تكمله منهاج الصالحین،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فقط تأدیب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حاکم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تکرار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متأخران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المقنعه، ص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محقق حلی،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952/4</w:t>
      </w:r>
      <w:r>
        <w:rPr>
          <w:rFonts w:ascii="IRNazanin" w:hAnsi="IRNazanin" w:eastAsia="IRNazanin"/>
          <w:color w:val="111111"/>
          <w:sz w:val="28"/>
          <w:sz w:val="28"/>
          <w:szCs w:val="28"/>
          <w:rtl w:val="true"/>
          <w:lang w:bidi="fa-IR"/>
        </w:rPr>
        <w:t>؛ فخر المحققين، ايضاح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519/4</w:t>
      </w:r>
      <w:r>
        <w:rPr>
          <w:rFonts w:ascii="IRNazanin" w:hAnsi="IRNazanin" w:eastAsia="IRNazanin"/>
          <w:color w:val="111111"/>
          <w:sz w:val="28"/>
          <w:sz w:val="28"/>
          <w:szCs w:val="28"/>
          <w:rtl w:val="true"/>
          <w:lang w:bidi="fa-IR"/>
        </w:rPr>
        <w:t>؛ فاضل هندی، 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eastAsia="IRNazanin" w:cs="IRNazanin"/>
          <w:color w:val="111111"/>
          <w:sz w:val="28"/>
          <w:szCs w:val="28"/>
          <w:rtl w:val="true"/>
          <w:lang w:bidi="fa-IR"/>
        </w:rPr>
        <w:t>.)</w:t>
      </w:r>
    </w:p>
    <w:p>
      <w:pPr>
        <w:pStyle w:val="Heading6"/>
        <w:numPr>
          <w:ilvl w:val="5"/>
          <w:numId w:val="1"/>
        </w:numPr>
        <w:rPr/>
      </w:pPr>
      <w:bookmarkStart w:id="264" w:name="__RefHeading___Toc3140706_3531895371"/>
      <w:bookmarkStart w:id="265" w:name="_Toc105"/>
      <w:bookmarkEnd w:id="264"/>
      <w:r>
        <w:rPr>
          <w:rtl w:val="true"/>
        </w:rPr>
        <w:t>استدلال طرفداران تأديب</w:t>
      </w:r>
      <w:bookmarkEnd w:id="26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گروه، حدیث رفع قلم است که بر اساس آن، کودک تا پیش از بلوغ شرعاً مسئول شناخته نمی شود و مجازاتی بر او نیست؛ بنابراین، نه تنها حدودی چون زنا و لواط، بلکه حد سرقت نیز از او ساقط است و تأدیب صرفاً برای دفع فساد و اصلاح وی صورت می گیرد موسوی گلپایگانی، محمدرضا، تقريرات الحدود و التعزيرات</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مجمع الفائده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bookmarkStart w:id="266" w:name="pg20875_781545"/>
    </w:p>
    <w:p>
      <w:pPr>
        <w:pStyle w:val="Heading6"/>
        <w:numPr>
          <w:ilvl w:val="5"/>
          <w:numId w:val="1"/>
        </w:numPr>
        <w:rPr/>
      </w:pPr>
      <w:bookmarkStart w:id="267" w:name="__RefHeading___Toc3140708_3531895371"/>
      <w:bookmarkStart w:id="268" w:name="_Toc106"/>
      <w:bookmarkEnd w:id="266"/>
      <w:bookmarkEnd w:id="267"/>
      <w:r>
        <w:rPr>
          <w:rtl w:val="true"/>
        </w:rPr>
        <w:t>استدلال طرفداران تفصيل</w:t>
      </w:r>
      <w:bookmarkEnd w:id="26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اینان، روایات متعدد و گاه متفاوتی است که در آن ها احکام تفصیلی هرچند با جزئیات گوناگون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چگونه با وجود اختلاف مضامین روایات و اختصاص برخی احکام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فقهایی مانند شیخ طوسی قائل به تفصیل شده اند، هم چنین در قبال اشکال وارد شده مبنی بر این که تعزیر نباید به حد شرعی برسد،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انگشتان در مرتبه پنجم، نه به عنوان حد شرعی مختص مکلفان، بلکه به عنوان تعزیر تشدیدی برای از بین بردن فساد و با استناد به روایات معتبر قابل توجیه است؛ چرا که احکام شرعی تابع مصالحی است که ممکن است اقتضای تشدید تعزیر را داشته باشد و در این زمینه، قیاس عقلی جایگاهی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تقريرات الحدود و التعزيرات</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bookmarkStart w:id="269" w:name="pg20875_781546"/>
    </w:p>
    <w:p>
      <w:pPr>
        <w:pStyle w:val="Heading5"/>
        <w:numPr>
          <w:ilvl w:val="4"/>
          <w:numId w:val="1"/>
        </w:numPr>
        <w:rPr/>
      </w:pPr>
      <w:bookmarkStart w:id="270" w:name="__RefHeading___Toc3140710_3531895371"/>
      <w:bookmarkStart w:id="271" w:name="_Toc107"/>
      <w:bookmarkEnd w:id="269"/>
      <w:bookmarkEnd w:id="270"/>
      <w:r>
        <w:rPr/>
        <w:t>3/1/1/2</w:t>
      </w:r>
      <w:r>
        <w:rPr>
          <w:rtl w:val="true"/>
        </w:rPr>
        <w:t xml:space="preserve">. </w:t>
      </w:r>
      <w:r>
        <w:rPr>
          <w:rtl w:val="true"/>
        </w:rPr>
        <w:t>تعزیرات</w:t>
      </w:r>
      <w:bookmarkEnd w:id="271"/>
    </w:p>
    <w:p>
      <w:pPr>
        <w:pStyle w:val="Heading6"/>
        <w:numPr>
          <w:ilvl w:val="5"/>
          <w:numId w:val="1"/>
        </w:numPr>
        <w:rPr/>
      </w:pPr>
      <w:bookmarkStart w:id="272" w:name="__RefHeading___Toc3140712_3531895371"/>
      <w:bookmarkStart w:id="273" w:name="_Toc10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تعزیر در لغت به معنای تأدیب است و در شرع، به مجازات یا اهانتی اطلاق می شود که مقدار آن توسط شارع مشخص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325/14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بر کسی اعمال می شود که واجبی را ترک کرده یا مرتکب حرامی شده باشد که شارع برای آن حدی معین نکرده یا شرایط اجرای حد در مورد او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تعزیر توسط حاکم و بر اساس مصلحت،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تعیین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سبزواری، جامع الخلاف و الوفاق،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است که اگر کودکی مرتکب جرم تعزیری شود یا در جرائم حدی مشمول تأدیب یا تعزیر گردد، آیا به همان میزانی که برای بزرگ سالان مقرر شده مجازات می شود؟ برای پاسخ، باید دیدگاه فقها درباره میزان مجاز تأدیب و تعزیر صبی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نظرات مطرح شده در این زمینه را می توان در سه قول زیر خلاصه نمود</w:t>
      </w:r>
      <w:r>
        <w:rPr>
          <w:rFonts w:eastAsia="IRNazanin" w:cs="IRNazanin"/>
          <w:color w:val="111111"/>
          <w:sz w:val="28"/>
          <w:szCs w:val="28"/>
          <w:rtl w:val="true"/>
          <w:lang w:bidi="fa-IR"/>
        </w:rPr>
        <w:t>:</w:t>
      </w:r>
    </w:p>
    <w:p>
      <w:pPr>
        <w:pStyle w:val="Heading6"/>
        <w:numPr>
          <w:ilvl w:val="5"/>
          <w:numId w:val="1"/>
        </w:numPr>
        <w:rPr/>
      </w:pPr>
      <w:bookmarkStart w:id="274" w:name="__RefHeading___Toc3140714_3531895371"/>
      <w:bookmarkStart w:id="275" w:name="_Toc109"/>
      <w:bookmarkEnd w:id="274"/>
      <w:r>
        <w:rPr/>
        <w:t>1</w:t>
      </w:r>
      <w:r>
        <w:rPr>
          <w:rtl w:val="true"/>
        </w:rPr>
        <w:t xml:space="preserve">. </w:t>
      </w:r>
      <w:r>
        <w:rPr>
          <w:rtl w:val="true"/>
        </w:rPr>
        <w:t>پنج تا شش ضربه شلاق</w:t>
      </w:r>
      <w:bookmarkEnd w:id="275"/>
    </w:p>
    <w:p>
      <w:pPr>
        <w:pStyle w:val="BookText"/>
        <w:rPr/>
      </w:pPr>
      <w:r>
        <w:rPr>
          <w:rFonts w:ascii="IRNazanin" w:hAnsi="IRNazanin" w:eastAsia="IRNazanin"/>
          <w:color w:val="111111"/>
          <w:sz w:val="28"/>
          <w:sz w:val="28"/>
          <w:szCs w:val="28"/>
          <w:rtl w:val="true"/>
          <w:lang w:bidi="fa-IR"/>
        </w:rPr>
        <w:t xml:space="preserve">برخی فقها، 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النهايه، ص </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الشرایع،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خویی 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تکمله 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تأدیب کودک نباید از پنج ضربه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حماد بن عثمان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تأديب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 و مملوک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یا شش ضربه جایز است و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372/28</w:t>
      </w:r>
      <w:r>
        <w:rPr>
          <w:rFonts w:ascii="IRNazanin" w:hAnsi="IRNazanin" w:eastAsia="IRNazanin"/>
          <w:color w:val="111111"/>
          <w:sz w:val="28"/>
          <w:sz w:val="28"/>
          <w:szCs w:val="28"/>
          <w:rtl w:val="true"/>
          <w:lang w:bidi="fa-IR"/>
        </w:rPr>
        <w:t>؛ همان،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مشابهی از اسحاق بن عمار نیز نقل شده که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وگویی طولانی، تعداد پنج ضربه را بیان می فرمایند و تأکید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 جرم را می دانی، حد را اجرا کن و از حدود الهی تجاوز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bookmarkStart w:id="276" w:name="pg20875_781547"/>
    </w:p>
    <w:p>
      <w:pPr>
        <w:pStyle w:val="Heading6"/>
        <w:numPr>
          <w:ilvl w:val="5"/>
          <w:numId w:val="1"/>
        </w:numPr>
        <w:rPr/>
      </w:pPr>
      <w:bookmarkStart w:id="277" w:name="__RefHeading___Toc3140716_3531895371"/>
      <w:bookmarkStart w:id="278" w:name="_Toc110"/>
      <w:bookmarkEnd w:id="276"/>
      <w:bookmarkEnd w:id="277"/>
      <w:r>
        <w:rPr/>
        <w:t>2</w:t>
      </w:r>
      <w:r>
        <w:rPr>
          <w:rtl w:val="true"/>
        </w:rPr>
        <w:t xml:space="preserve">. </w:t>
      </w:r>
      <w:r>
        <w:rPr>
          <w:rtl w:val="true"/>
        </w:rPr>
        <w:t>عدم جواز بیش از ده ضربه</w:t>
      </w:r>
      <w:bookmarkEnd w:id="278"/>
    </w:p>
    <w:p>
      <w:pPr>
        <w:pStyle w:val="BookText"/>
        <w:rPr/>
      </w:pPr>
      <w:r>
        <w:rPr>
          <w:rFonts w:ascii="IRNazanin" w:hAnsi="IRNazanin" w:eastAsia="IRNazanin"/>
          <w:color w:val="111111"/>
          <w:sz w:val="28"/>
          <w:sz w:val="28"/>
          <w:szCs w:val="28"/>
          <w:rtl w:val="true"/>
          <w:lang w:bidi="fa-IR"/>
        </w:rPr>
        <w:t xml:space="preserve">گروهی دیگر از فقها، مانند ابن ادریس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هندى كشف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تأدیب کودک نباید بیش از ده ضربه شلاق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صدوق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حاکمی که به خدا و روز قیامت ایمان دارد، جایز نیست بیش از ده ضربه شلاق بزند، مگر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نوری نقل کرده، می تواند مؤید این نظر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 بین ده تا سی ونه تازیانه است و تأدیب بین سه تا ده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194/18</w:t>
      </w:r>
      <w:r>
        <w:rPr>
          <w:rFonts w:eastAsia="IRNazanin" w:cs="IRNazanin"/>
          <w:color w:val="111111"/>
          <w:sz w:val="28"/>
          <w:szCs w:val="28"/>
          <w:rtl w:val="true"/>
          <w:lang w:bidi="fa-IR"/>
        </w:rPr>
        <w:t>.)</w:t>
      </w:r>
    </w:p>
    <w:p>
      <w:pPr>
        <w:pStyle w:val="Heading6"/>
        <w:numPr>
          <w:ilvl w:val="5"/>
          <w:numId w:val="1"/>
        </w:numPr>
        <w:rPr/>
      </w:pPr>
      <w:bookmarkStart w:id="279" w:name="__RefHeading___Toc3140718_3531895371"/>
      <w:bookmarkStart w:id="280" w:name="_Toc111"/>
      <w:bookmarkEnd w:id="279"/>
      <w:r>
        <w:rPr/>
        <w:t>3</w:t>
      </w:r>
      <w:r>
        <w:rPr>
          <w:rtl w:val="true"/>
        </w:rPr>
        <w:t xml:space="preserve">. </w:t>
      </w:r>
      <w:r>
        <w:rPr>
          <w:rtl w:val="true"/>
        </w:rPr>
        <w:t xml:space="preserve">صلاحدید مودب </w:t>
      </w:r>
      <w:r>
        <w:rPr>
          <w:rtl w:val="true"/>
        </w:rPr>
        <w:t>(</w:t>
      </w:r>
      <w:r>
        <w:rPr>
          <w:rtl w:val="true"/>
        </w:rPr>
        <w:t>حاکم یا ولی</w:t>
      </w:r>
      <w:r>
        <w:rPr>
          <w:rtl w:val="true"/>
        </w:rPr>
        <w:t>)</w:t>
      </w:r>
      <w:bookmarkEnd w:id="280"/>
    </w:p>
    <w:p>
      <w:pPr>
        <w:pStyle w:val="BookText"/>
        <w:rPr/>
      </w:pPr>
      <w:r>
        <w:rPr>
          <w:rFonts w:ascii="IRNazanin" w:hAnsi="IRNazanin" w:eastAsia="IRNazanin"/>
          <w:color w:val="111111"/>
          <w:sz w:val="28"/>
          <w:sz w:val="28"/>
          <w:szCs w:val="28"/>
          <w:rtl w:val="true"/>
          <w:lang w:bidi="fa-IR"/>
        </w:rPr>
        <w:t>نظر مشهور فقها آن است که تعیین مقدار تأدیب به صلاحدید حاکم یا ولی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کلام محقق حلی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در تعیین مقدار تعزیر و تأدیب، حاکم است و فرقی بین اسباب مختلف تأديب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454/14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در نقد نظر علامه حلی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بی دلیل است؛ زیرا تعیین مقدار تأدیب وابسته به نظر مؤدب است و تنها از این طريق هدف تشريع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178/13</w:t>
      </w:r>
      <w:r>
        <w:rPr>
          <w:rFonts w:eastAsia="IRNazanin" w:cs="IRNazanin"/>
          <w:color w:val="111111"/>
          <w:sz w:val="28"/>
          <w:szCs w:val="28"/>
          <w:rtl w:val="true"/>
          <w:lang w:bidi="fa-IR"/>
        </w:rPr>
        <w:t>).</w:t>
      </w:r>
    </w:p>
    <w:p>
      <w:pPr>
        <w:pStyle w:val="Heading6"/>
        <w:numPr>
          <w:ilvl w:val="5"/>
          <w:numId w:val="1"/>
        </w:numPr>
        <w:rPr/>
      </w:pPr>
      <w:bookmarkStart w:id="281" w:name="__RefHeading___Toc3140720_3531895371"/>
      <w:bookmarkStart w:id="282" w:name="_Toc112"/>
      <w:bookmarkEnd w:id="281"/>
      <w:r>
        <w:rPr>
          <w:rtl w:val="true"/>
        </w:rPr>
        <w:t>جمع بندی نهایی</w:t>
      </w:r>
      <w:r>
        <w:rPr>
          <w:rtl w:val="true"/>
        </w:rPr>
        <w:t>:</w:t>
      </w:r>
      <w:bookmarkEnd w:id="28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دیدگاه های فقهی و استناد به حدیث </w:t>
      </w:r>
      <w:r>
        <w:rPr>
          <w:rFonts w:ascii="Amiri" w:hAnsi="Amiri" w:eastAsia="Amiri" w:cs="Amiri"/>
          <w:color w:val="111111"/>
          <w:sz w:val="28"/>
          <w:sz w:val="28"/>
          <w:szCs w:val="28"/>
          <w:rtl w:val="true"/>
          <w:lang w:bidi="ar-SA"/>
        </w:rPr>
        <w:t>رُفِعَ الْقَلَمُ عَنْ الصَّبِىِّ حَتَّى يَحْتَلِمَ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عدم مجازات تام کودک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نتیجه گرفت که مقدار تعزیر مقرر برای بزرگ سالان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افراد بالغ و دارای مسئولیت کیفری تام اعمال می شود؛ اما تعزیر و تأديب صغیر اعم از جرائم حدی یا تعزیری با مجازات بزرگ سالان متفاوت است و بر اساس روایات و نظر فقها، متناسب با مصلحت، نوع جرم، قدرت بدنی کودک و با تصمیم حاکم شرع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 فقهای متأخر، واگذاری این امر به صلاحدید حاکم با رعایت احتیاط و پرهیز از تشدید غیرضروری است</w:t>
      </w:r>
      <w:r>
        <w:rPr>
          <w:rFonts w:eastAsia="IRNazanin" w:cs="IRNazanin"/>
          <w:color w:val="111111"/>
          <w:sz w:val="28"/>
          <w:szCs w:val="28"/>
          <w:rtl w:val="true"/>
          <w:lang w:bidi="fa-IR"/>
        </w:rPr>
        <w:t xml:space="preserve">. </w:t>
      </w:r>
      <w:bookmarkStart w:id="283" w:name="pg20875_781548"/>
    </w:p>
    <w:p>
      <w:pPr>
        <w:pStyle w:val="Heading5"/>
        <w:numPr>
          <w:ilvl w:val="4"/>
          <w:numId w:val="1"/>
        </w:numPr>
        <w:rPr/>
      </w:pPr>
      <w:bookmarkStart w:id="284" w:name="__RefHeading___Toc3140722_3531895371"/>
      <w:bookmarkStart w:id="285" w:name="_Toc113"/>
      <w:bookmarkEnd w:id="283"/>
      <w:bookmarkEnd w:id="284"/>
      <w:r>
        <w:rPr/>
        <w:t>3/1/1/3</w:t>
      </w:r>
      <w:r>
        <w:rPr>
          <w:rtl w:val="true"/>
        </w:rPr>
        <w:t xml:space="preserve">. </w:t>
      </w:r>
      <w:r>
        <w:rPr>
          <w:rtl w:val="true"/>
        </w:rPr>
        <w:t>قصاص</w:t>
      </w:r>
      <w:bookmarkEnd w:id="285"/>
    </w:p>
    <w:p>
      <w:pPr>
        <w:pStyle w:val="BookText"/>
        <w:rPr/>
      </w:pPr>
      <w:r>
        <w:rPr>
          <w:rFonts w:ascii="IRNazanin" w:hAnsi="IRNazanin" w:eastAsia="IRNazanin"/>
          <w:color w:val="111111"/>
          <w:sz w:val="28"/>
          <w:sz w:val="28"/>
          <w:szCs w:val="28"/>
          <w:rtl w:val="true"/>
          <w:lang w:bidi="fa-IR"/>
        </w:rPr>
        <w:t>یکی از نهادهای کیفری اسلام،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صورت تحقق شرایط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بلوغ، برابری در آزادی، برابری در دین، نبودن پیوند پدری و پسری بین قاتل و مقتول و مهدورالدم نبودن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مسالک الافهام</w:t>
      </w:r>
      <w:r>
        <w:rPr>
          <w:rFonts w:eastAsia="IRNazanin" w:cs="IRNazanin"/>
          <w:color w:val="111111"/>
          <w:sz w:val="28"/>
          <w:szCs w:val="28"/>
          <w:rtl w:val="true"/>
          <w:lang w:bidi="fa-IR"/>
        </w:rPr>
        <w:t xml:space="preserve">: </w:t>
      </w:r>
      <w:r>
        <w:rPr>
          <w:rFonts w:eastAsia="IRNazanin" w:cs="IRNazanin"/>
          <w:color w:val="111111"/>
          <w:sz w:val="28"/>
          <w:szCs w:val="28"/>
          <w:lang w:bidi="fa-IR"/>
        </w:rPr>
        <w:t>108/14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اصلی جنایات عمدی بر نفس و اعضا است و دیه در این موارد، کیفر بدلی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ممیز یا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بالغ یا کودک دیگری را به عمد یا خطا به قتل برساند، بنا بر نظر مشهور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نمی شود، بلکه دیه قتل بر عاقله او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آن است که عمد کودک تا پیش از بلوغ، خطای محض شمرده می شود؛ چنان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کودک و خطای او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307/19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کودکان خطایی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نهاده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مورد روایات نادری که قصاص کودک ده ساله را مطرح کرده اند،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شاذ و نادر هستند و هیچ یک از فقها بدان اعتنا نکرده و بر اساس آن فتوا نداده اند؛ زیرا مخالف اصول مذهب و ظاهر قرآن و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تکلیف از کودک برداشته شده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رُفِعَ الْقَلَمُ عَنْ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کودک را تا پیش از بلوغ به سبب قتل، قصاص کرد، بلکه اگر مرتکب قتلى شود، حکم آن خطای محض است و دیه بر عاقله او واجب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ادریس، 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که از کودک سر می زند، از آن جهت که قصد کودک به منزله خطاست، حکم قتل خطا را دارد و عاقله وی موظف به پرداخت دیه به خانواده مقتول است</w:t>
      </w:r>
      <w:r>
        <w:rPr>
          <w:rFonts w:eastAsia="IRNazanin" w:cs="IRNazanin"/>
          <w:color w:val="111111"/>
          <w:sz w:val="28"/>
          <w:szCs w:val="28"/>
          <w:rtl w:val="true"/>
          <w:lang w:bidi="fa-IR"/>
        </w:rPr>
        <w:t xml:space="preserve">. </w:t>
      </w:r>
      <w:bookmarkStart w:id="286" w:name="pg20875_781549"/>
    </w:p>
    <w:p>
      <w:pPr>
        <w:pStyle w:val="Heading5"/>
        <w:numPr>
          <w:ilvl w:val="4"/>
          <w:numId w:val="1"/>
        </w:numPr>
        <w:rPr/>
      </w:pPr>
      <w:bookmarkStart w:id="287" w:name="__RefHeading___Toc3140724_3531895371"/>
      <w:bookmarkStart w:id="288" w:name="_Toc114"/>
      <w:bookmarkEnd w:id="286"/>
      <w:bookmarkEnd w:id="287"/>
      <w:r>
        <w:rPr/>
        <w:t>3/1/1/4</w:t>
      </w:r>
      <w:r>
        <w:rPr>
          <w:rtl w:val="true"/>
        </w:rPr>
        <w:t xml:space="preserve">. </w:t>
      </w:r>
      <w:r>
        <w:rPr>
          <w:rtl w:val="true"/>
        </w:rPr>
        <w:t>ديات</w:t>
      </w:r>
      <w:bookmarkEnd w:id="28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مال مقدر و معیّنی است که در موارد خطای محض، شبه عمد، یا جنایاتی که در آن ها قصاص نیست یا امکان قصاص وجود ندارد، به دلیل ایراد آسیب به نفس، عضو یا جراحت، بر عهده فاعل جرم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تكمله المنهاج الصالحين،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کودکی مرتکب جنایتی شود که مستلزم پرداخت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مورد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وی مسئول پرداخت دیه خواهد بود</w:t>
      </w:r>
      <w:r>
        <w:rPr>
          <w:rFonts w:eastAsia="IRNazanin" w:cs="IRNazanin"/>
          <w:color w:val="111111"/>
          <w:sz w:val="28"/>
          <w:szCs w:val="28"/>
          <w:rtl w:val="true"/>
          <w:lang w:bidi="fa-IR"/>
        </w:rPr>
        <w:t xml:space="preserve">. </w:t>
      </w:r>
      <w:bookmarkStart w:id="289" w:name="pg20875_781550"/>
    </w:p>
    <w:p>
      <w:pPr>
        <w:pStyle w:val="Heading3"/>
        <w:numPr>
          <w:ilvl w:val="2"/>
          <w:numId w:val="1"/>
        </w:numPr>
        <w:rPr/>
      </w:pPr>
      <w:bookmarkStart w:id="290" w:name="__RefHeading___Toc3140726_3531895371"/>
      <w:bookmarkStart w:id="291" w:name="_Toc115"/>
      <w:bookmarkEnd w:id="289"/>
      <w:bookmarkEnd w:id="290"/>
      <w:r>
        <w:rPr/>
        <w:t>3/2</w:t>
      </w:r>
      <w:r>
        <w:rPr>
          <w:rtl w:val="true"/>
        </w:rPr>
        <w:t xml:space="preserve">. </w:t>
      </w:r>
      <w:r>
        <w:rPr>
          <w:rtl w:val="true"/>
        </w:rPr>
        <w:t>سن مسئولیت کیفری در قوانین پیش از انقلاب</w:t>
      </w:r>
      <w:bookmarkEnd w:id="291"/>
    </w:p>
    <w:p>
      <w:pPr>
        <w:pStyle w:val="Heading4"/>
        <w:numPr>
          <w:ilvl w:val="3"/>
          <w:numId w:val="1"/>
        </w:numPr>
        <w:rPr/>
      </w:pPr>
      <w:bookmarkStart w:id="292" w:name="__RefHeading___Toc3140728_3531895371"/>
      <w:bookmarkStart w:id="293" w:name="_Toc11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این مبحث، مواد قانون مجازات کشور در دوران پیش از انقلاب اسلامی در خصوص تقسیم بندی سنی افراد پیش از رسیدن به سن مسئولیت کیفری تام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تدابیر مقرر شده توسط قانون گذار برای هر دسته سنی در صورت ارتکاب جرم تبیین می گردد</w:t>
      </w:r>
      <w:r>
        <w:rPr>
          <w:rFonts w:eastAsia="IRNazanin" w:cs="IRNazanin"/>
          <w:color w:val="111111"/>
          <w:sz w:val="28"/>
          <w:szCs w:val="28"/>
          <w:rtl w:val="true"/>
          <w:lang w:bidi="fa-IR"/>
        </w:rPr>
        <w:t>.</w:t>
      </w:r>
    </w:p>
    <w:p>
      <w:pPr>
        <w:pStyle w:val="Heading4"/>
        <w:numPr>
          <w:ilvl w:val="3"/>
          <w:numId w:val="1"/>
        </w:numPr>
        <w:rPr/>
      </w:pPr>
      <w:bookmarkStart w:id="294" w:name="__RefHeading___Toc3140730_3531895371"/>
      <w:bookmarkStart w:id="295" w:name="_Toc117"/>
      <w:bookmarkEnd w:id="294"/>
      <w:r>
        <w:rPr/>
        <w:t>3/2/1</w:t>
      </w:r>
      <w:r>
        <w:rPr>
          <w:rtl w:val="true"/>
        </w:rPr>
        <w:t xml:space="preserve">. </w:t>
      </w:r>
      <w:r>
        <w:rPr>
          <w:rtl w:val="true"/>
        </w:rPr>
        <w:t xml:space="preserve">قانون مجازات عمومی مصوب </w:t>
      </w:r>
      <w:r>
        <w:rPr/>
        <w:t>1304</w:t>
      </w:r>
      <w:bookmarkEnd w:id="295"/>
    </w:p>
    <w:p>
      <w:pPr>
        <w:pStyle w:val="Heading5"/>
        <w:numPr>
          <w:ilvl w:val="4"/>
          <w:numId w:val="1"/>
        </w:numPr>
        <w:rPr/>
      </w:pPr>
      <w:bookmarkStart w:id="296" w:name="__RefHeading___Toc3140732_3531895371"/>
      <w:bookmarkStart w:id="297" w:name="_Toc11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این قانون، افراد را پیش از رسیدن به سن مسئولیت کیفری تام به سه دسته سنی تقسیم نموده و در صورت ارتکاب جرم، به ترتیب زیر برای آن ها تعیین تکلیف کرده است</w:t>
      </w:r>
      <w:r>
        <w:rPr>
          <w:rFonts w:eastAsia="IRNazanin" w:cs="IRNazanin"/>
          <w:color w:val="111111"/>
          <w:sz w:val="28"/>
          <w:szCs w:val="28"/>
          <w:rtl w:val="true"/>
          <w:lang w:bidi="fa-IR"/>
        </w:rPr>
        <w:t>:</w:t>
      </w:r>
    </w:p>
    <w:p>
      <w:pPr>
        <w:pStyle w:val="Heading5"/>
        <w:numPr>
          <w:ilvl w:val="4"/>
          <w:numId w:val="1"/>
        </w:numPr>
        <w:rPr/>
      </w:pPr>
      <w:bookmarkStart w:id="298" w:name="__RefHeading___Toc3140734_3531895371"/>
      <w:bookmarkStart w:id="299" w:name="_Toc119"/>
      <w:bookmarkEnd w:id="298"/>
      <w:r>
        <w:rPr/>
        <w:t>1</w:t>
      </w:r>
      <w:r>
        <w:rPr>
          <w:rtl w:val="true"/>
        </w:rPr>
        <w:t xml:space="preserve">. </w:t>
      </w:r>
      <w:r>
        <w:rPr>
          <w:rtl w:val="true"/>
        </w:rPr>
        <w:t xml:space="preserve">اطفال کم تر از </w:t>
      </w:r>
      <w:r>
        <w:rPr/>
        <w:t>12</w:t>
      </w:r>
      <w:r>
        <w:rPr>
          <w:rtl w:val="true"/>
        </w:rPr>
        <w:t xml:space="preserve"> </w:t>
      </w:r>
      <w:r>
        <w:rPr>
          <w:rtl w:val="true"/>
        </w:rPr>
        <w:t xml:space="preserve">سال </w:t>
      </w:r>
      <w:r>
        <w:rPr>
          <w:rtl w:val="true"/>
        </w:rPr>
        <w:t>(</w:t>
      </w:r>
      <w:r>
        <w:rPr>
          <w:rtl w:val="true"/>
        </w:rPr>
        <w:t>صغار غیر ممیز</w:t>
      </w:r>
      <w:r>
        <w:rPr>
          <w:rtl w:val="true"/>
        </w:rPr>
        <w:t>)</w:t>
      </w:r>
      <w:bookmarkEnd w:id="299"/>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غیر ممیز را نمی توان جزائاً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جزایی، هر طفلی که دوازده سال تمام نداشته باشد، حکم غیر ممیز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اطفال غير مميز غیر بالغ مرتکب جرمی شوند، باید به اولیای خود تسلیم گردند با الزام به تأدیب و مواظبت در حسن اخلاق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گروه در صورت ارتکاب هرگونه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جنحه یا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معاف از مسئولیت کیفری هستند و تنها با الزام اولیا به تأدیب و تربیت، جهت اصلاح تسلیم می شوند</w:t>
      </w:r>
      <w:r>
        <w:rPr>
          <w:rFonts w:eastAsia="IRNazanin" w:cs="IRNazanin"/>
          <w:color w:val="111111"/>
          <w:sz w:val="28"/>
          <w:szCs w:val="28"/>
          <w:rtl w:val="true"/>
          <w:lang w:bidi="fa-IR"/>
        </w:rPr>
        <w:t>.</w:t>
      </w:r>
    </w:p>
    <w:p>
      <w:pPr>
        <w:pStyle w:val="Heading5"/>
        <w:numPr>
          <w:ilvl w:val="4"/>
          <w:numId w:val="1"/>
        </w:numPr>
        <w:rPr/>
      </w:pPr>
      <w:bookmarkStart w:id="300" w:name="__RefHeading___Toc3140736_3531895371"/>
      <w:bookmarkStart w:id="301" w:name="_Toc120"/>
      <w:bookmarkEnd w:id="300"/>
      <w:r>
        <w:rPr/>
        <w:t>2</w:t>
      </w:r>
      <w:r>
        <w:rPr>
          <w:rtl w:val="true"/>
        </w:rPr>
        <w:t xml:space="preserve">. </w:t>
      </w:r>
      <w:r>
        <w:rPr>
          <w:rtl w:val="true"/>
        </w:rPr>
        <w:t xml:space="preserve">اطفال بین </w:t>
      </w:r>
      <w:r>
        <w:rPr/>
        <w:t>12</w:t>
      </w:r>
      <w:r>
        <w:rPr>
          <w:rtl w:val="true"/>
        </w:rPr>
        <w:t xml:space="preserve"> </w:t>
      </w:r>
      <w:r>
        <w:rPr>
          <w:rtl w:val="true"/>
        </w:rPr>
        <w:t xml:space="preserve">تا </w:t>
      </w:r>
      <w:r>
        <w:rPr/>
        <w:t>15</w:t>
      </w:r>
      <w:r>
        <w:rPr>
          <w:rtl w:val="true"/>
        </w:rPr>
        <w:t xml:space="preserve"> </w:t>
      </w:r>
      <w:r>
        <w:rPr>
          <w:rtl w:val="true"/>
        </w:rPr>
        <w:t xml:space="preserve">سال </w:t>
      </w:r>
      <w:r>
        <w:rPr>
          <w:rtl w:val="true"/>
        </w:rPr>
        <w:t>(</w:t>
      </w:r>
      <w:r>
        <w:rPr>
          <w:rtl w:val="true"/>
        </w:rPr>
        <w:t>صغار مميز غير بالغ</w:t>
      </w:r>
      <w:r>
        <w:rPr>
          <w:rtl w:val="true"/>
        </w:rPr>
        <w:t>)</w:t>
      </w:r>
      <w:bookmarkEnd w:id="301"/>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اطفال ممیز غیر بالغ که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نرسیده اند، مرتکب جنحه یا جنایتی شوند، فقط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می شوند؛ ولی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روز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روز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نباید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قانون گذار هرچند مسئولیت کیفری کامل قائل نشده، اما به منظور بازدارندگی، مجازات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طفل مرتکب خلاف شود، مسئولیتی متوجه او نیست و سکوت قانون به نفع متهم تفسیر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شامبیاتی، هوشنگ، بزهکاری اطفال و نوجوانان،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02" w:name="pg20875_781551"/>
    </w:p>
    <w:p>
      <w:pPr>
        <w:pStyle w:val="Heading5"/>
        <w:numPr>
          <w:ilvl w:val="4"/>
          <w:numId w:val="1"/>
        </w:numPr>
        <w:rPr/>
      </w:pPr>
      <w:bookmarkStart w:id="303" w:name="__RefHeading___Toc3140738_3531895371"/>
      <w:bookmarkStart w:id="304" w:name="_Toc121"/>
      <w:bookmarkEnd w:id="302"/>
      <w:bookmarkEnd w:id="303"/>
      <w:r>
        <w:rPr/>
        <w:t>3</w:t>
      </w:r>
      <w:r>
        <w:rPr>
          <w:rtl w:val="true"/>
        </w:rPr>
        <w:t xml:space="preserve">. </w:t>
      </w:r>
      <w:r>
        <w:rPr>
          <w:rtl w:val="true"/>
        </w:rPr>
        <w:t xml:space="preserve">اطفال بین </w:t>
      </w:r>
      <w:r>
        <w:rPr/>
        <w:t>15</w:t>
      </w:r>
      <w:r>
        <w:rPr>
          <w:rtl w:val="true"/>
        </w:rPr>
        <w:t xml:space="preserve"> </w:t>
      </w:r>
      <w:r>
        <w:rPr>
          <w:rtl w:val="true"/>
        </w:rPr>
        <w:t xml:space="preserve">تا </w:t>
      </w:r>
      <w:r>
        <w:rPr/>
        <w:t>18</w:t>
      </w:r>
      <w:r>
        <w:rPr>
          <w:rtl w:val="true"/>
        </w:rPr>
        <w:t xml:space="preserve"> </w:t>
      </w:r>
      <w:r>
        <w:rPr>
          <w:rtl w:val="true"/>
        </w:rPr>
        <w:t xml:space="preserve">سال </w:t>
      </w:r>
      <w:r>
        <w:rPr>
          <w:rtl w:val="true"/>
        </w:rPr>
        <w:t>(</w:t>
      </w:r>
      <w:r>
        <w:rPr>
          <w:rtl w:val="true"/>
        </w:rPr>
        <w:t>صغار بالغ</w:t>
      </w:r>
      <w:r>
        <w:rPr>
          <w:rtl w:val="true"/>
        </w:rPr>
        <w:t>)</w:t>
      </w:r>
      <w:bookmarkEnd w:id="304"/>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 بالغ که سن آن ها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بوده ولی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نرسیده اند، هرگاه مرتکب جنایتی شوند، مجازات آن ها حبس در دار التأدیب است که مدت آن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نخواهد بود؛ و اگر مرتکب جنحه شوند، مجازات ایشان کم تر از نصف حداقل و بیش از نصف حداكثر مجازات مرتكبين همان جنحه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قرارگیری این گروه در سال های نخست بلوغ و فقدان رشد اجتماعی کافی، مجازات آن ها با تخفیف اعمال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محمد، حقوق جزای عمومی،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305" w:name="__RefHeading___Toc3140740_3531895371"/>
      <w:bookmarkStart w:id="306" w:name="_Toc122"/>
      <w:bookmarkEnd w:id="305"/>
      <w:r>
        <w:rPr>
          <w:rtl w:val="true"/>
        </w:rPr>
        <w:t>نتیجه گیری اجرایی</w:t>
      </w:r>
      <w:r>
        <w:rPr>
          <w:rtl w:val="true"/>
        </w:rPr>
        <w:t>:</w:t>
      </w:r>
      <w:bookmarkEnd w:id="306"/>
    </w:p>
    <w:p>
      <w:pPr>
        <w:pStyle w:val="BookText"/>
        <w:rPr/>
      </w:pPr>
      <w:r>
        <w:rPr>
          <w:rFonts w:ascii="IRNazanin" w:hAnsi="IRNazanin" w:eastAsia="IRNazanin"/>
          <w:color w:val="111111"/>
          <w:sz w:val="28"/>
          <w:sz w:val="28"/>
          <w:szCs w:val="28"/>
          <w:rtl w:val="true"/>
          <w:lang w:bidi="fa-IR"/>
        </w:rPr>
        <w:t xml:space="preserve">اگر طفل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مرتکب جنایت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حداكثر مجازات 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در دارالتأديب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جنحه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جرمی با مجازات حبس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مجازات طفل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شامبیاتی، هوشنگ، بزهکاری اطفال و نوجوانان،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307" w:name="__RefHeading___Toc3140742_3531895371"/>
      <w:bookmarkStart w:id="308" w:name="_Toc123"/>
      <w:bookmarkEnd w:id="307"/>
      <w:r>
        <w:rPr/>
        <w:t>3/2/2</w:t>
      </w:r>
      <w:r>
        <w:rPr>
          <w:rtl w:val="true"/>
        </w:rPr>
        <w:t xml:space="preserve">. </w:t>
      </w:r>
      <w:r>
        <w:rPr>
          <w:rtl w:val="true"/>
        </w:rPr>
        <w:t xml:space="preserve">قانون مربوط به تشکیل دادگاه اطفال مصوب </w:t>
      </w:r>
      <w:r>
        <w:rPr/>
        <w:t>1338</w:t>
      </w:r>
      <w:bookmarkEnd w:id="308"/>
    </w:p>
    <w:p>
      <w:pPr>
        <w:pStyle w:val="Heading5"/>
        <w:numPr>
          <w:ilvl w:val="4"/>
          <w:numId w:val="1"/>
        </w:numPr>
        <w:rPr/>
      </w:pPr>
      <w:bookmarkStart w:id="309" w:name="__RefHeading___Toc3140744_3531895371"/>
      <w:bookmarkStart w:id="310" w:name="_Toc12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مقنن در این قانون، برای افراد پیش از رسیدن به سن مسئولیت کیفری تام، سه مرحله سنی همراه با تدابیر خاص در صورت ارتکاب جرم در نظر گرفته است</w:t>
      </w:r>
      <w:r>
        <w:rPr>
          <w:rFonts w:eastAsia="IRNazanin" w:cs="IRNazanin"/>
          <w:color w:val="111111"/>
          <w:sz w:val="28"/>
          <w:szCs w:val="28"/>
          <w:rtl w:val="true"/>
          <w:lang w:bidi="fa-IR"/>
        </w:rPr>
        <w:t>:</w:t>
      </w:r>
    </w:p>
    <w:p>
      <w:pPr>
        <w:pStyle w:val="Heading5"/>
        <w:numPr>
          <w:ilvl w:val="4"/>
          <w:numId w:val="1"/>
        </w:numPr>
        <w:rPr/>
      </w:pPr>
      <w:bookmarkStart w:id="311" w:name="__RefHeading___Toc3140746_3531895371"/>
      <w:bookmarkStart w:id="312" w:name="_Toc125"/>
      <w:bookmarkEnd w:id="311"/>
      <w:r>
        <w:rPr>
          <w:rtl w:val="true"/>
        </w:rPr>
        <w:t>مرحله اول</w:t>
      </w:r>
      <w:r>
        <w:rPr>
          <w:rtl w:val="true"/>
        </w:rPr>
        <w:t xml:space="preserve">- </w:t>
      </w:r>
      <w:r>
        <w:rPr>
          <w:rtl w:val="true"/>
        </w:rPr>
        <w:t xml:space="preserve">تا پایان </w:t>
      </w:r>
      <w:r>
        <w:rPr/>
        <w:t>6</w:t>
      </w:r>
      <w:r>
        <w:rPr>
          <w:rtl w:val="true"/>
        </w:rPr>
        <w:t xml:space="preserve"> </w:t>
      </w:r>
      <w:r>
        <w:rPr>
          <w:rtl w:val="true"/>
        </w:rPr>
        <w:t>سالگی</w:t>
      </w:r>
      <w:bookmarkEnd w:id="31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کلیه جرائم کودکان که سن آن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 طبق این قانون در دادگاه کودکان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قابل تعقیب جزایی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حتی در صورت ارتکاب جرم، قابل تعقیب کیفری نیستند</w:t>
      </w:r>
      <w:r>
        <w:rPr>
          <w:rFonts w:eastAsia="IRNazanin" w:cs="IRNazanin"/>
          <w:color w:val="111111"/>
          <w:sz w:val="28"/>
          <w:szCs w:val="28"/>
          <w:rtl w:val="true"/>
          <w:lang w:bidi="fa-IR"/>
        </w:rPr>
        <w:t xml:space="preserve">. </w:t>
      </w:r>
      <w:bookmarkStart w:id="313" w:name="pg20875_781552"/>
    </w:p>
    <w:p>
      <w:pPr>
        <w:pStyle w:val="Heading5"/>
        <w:numPr>
          <w:ilvl w:val="4"/>
          <w:numId w:val="1"/>
        </w:numPr>
        <w:rPr/>
      </w:pPr>
      <w:bookmarkStart w:id="314" w:name="__RefHeading___Toc3140748_3531895371"/>
      <w:bookmarkStart w:id="315" w:name="_Toc126"/>
      <w:bookmarkEnd w:id="313"/>
      <w:bookmarkEnd w:id="314"/>
      <w:r>
        <w:rPr>
          <w:rtl w:val="true"/>
        </w:rPr>
        <w:t>مرحله دوم</w:t>
      </w:r>
      <w:r>
        <w:rPr>
          <w:rtl w:val="true"/>
        </w:rPr>
        <w:t xml:space="preserve">- </w:t>
      </w:r>
      <w:r>
        <w:rPr>
          <w:rtl w:val="true"/>
        </w:rPr>
        <w:t xml:space="preserve">از آغاز </w:t>
      </w:r>
      <w:r>
        <w:rPr/>
        <w:t>7</w:t>
      </w:r>
      <w:r>
        <w:rPr>
          <w:rtl w:val="true"/>
        </w:rPr>
        <w:t xml:space="preserve"> </w:t>
      </w:r>
      <w:r>
        <w:rPr>
          <w:rtl w:val="true"/>
        </w:rPr>
        <w:t xml:space="preserve">سالگی تا پایان </w:t>
      </w:r>
      <w:r>
        <w:rPr/>
        <w:t>12</w:t>
      </w:r>
      <w:r>
        <w:rPr>
          <w:rtl w:val="true"/>
        </w:rPr>
        <w:t xml:space="preserve"> </w:t>
      </w:r>
      <w:r>
        <w:rPr>
          <w:rtl w:val="true"/>
        </w:rPr>
        <w:t>سالگی</w:t>
      </w:r>
      <w:bookmarkEnd w:id="315"/>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 اطفال بزهکار، اگر طفلی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مرتکب جرم شود، تصمیمات زیر اتخاذ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اولیا یا سرپرست همراه با اخذ تعهد به تأدیب، تربیت و مواظبت در حسن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صلاحیت یا عدم امکان الزام ولی یا سرپرست، اعزام به کانون اصلاح و تربیت برای مدت یک ماه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منظور تأدیب و تربیت</w:t>
      </w:r>
      <w:r>
        <w:rPr>
          <w:rFonts w:eastAsia="IRNazanin" w:cs="IRNazanin"/>
          <w:color w:val="111111"/>
          <w:sz w:val="28"/>
          <w:szCs w:val="28"/>
          <w:rtl w:val="true"/>
          <w:lang w:bidi="fa-IR"/>
        </w:rPr>
        <w:t>.</w:t>
      </w:r>
    </w:p>
    <w:p>
      <w:pPr>
        <w:pStyle w:val="Heading5"/>
        <w:numPr>
          <w:ilvl w:val="4"/>
          <w:numId w:val="1"/>
        </w:numPr>
        <w:rPr/>
      </w:pPr>
      <w:bookmarkStart w:id="316" w:name="__RefHeading___Toc3140750_3531895371"/>
      <w:bookmarkStart w:id="317" w:name="_Toc127"/>
      <w:bookmarkEnd w:id="316"/>
      <w:r>
        <w:rPr>
          <w:rtl w:val="true"/>
        </w:rPr>
        <w:t>مرحله سوم</w:t>
      </w:r>
      <w:r>
        <w:rPr>
          <w:rtl w:val="true"/>
        </w:rPr>
        <w:t xml:space="preserve">- </w:t>
      </w:r>
      <w:r>
        <w:rPr>
          <w:rtl w:val="true"/>
        </w:rPr>
        <w:t xml:space="preserve">از آغاز </w:t>
      </w:r>
      <w:r>
        <w:rPr/>
        <w:t>13</w:t>
      </w:r>
      <w:r>
        <w:rPr>
          <w:rtl w:val="true"/>
        </w:rPr>
        <w:t xml:space="preserve"> </w:t>
      </w:r>
      <w:r>
        <w:rPr>
          <w:rtl w:val="true"/>
        </w:rPr>
        <w:t xml:space="preserve">سالگی تا پایان </w:t>
      </w:r>
      <w:r>
        <w:rPr/>
        <w:t>18</w:t>
      </w:r>
      <w:r>
        <w:rPr>
          <w:rtl w:val="true"/>
        </w:rPr>
        <w:t xml:space="preserve"> </w:t>
      </w:r>
      <w:r>
        <w:rPr>
          <w:rtl w:val="true"/>
        </w:rPr>
        <w:t>سالگی</w:t>
      </w:r>
      <w:bookmarkEnd w:id="317"/>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اطفالی که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دارند، هرگاه مرتکب جرمی شوند، برحسب مورد یکی از تصمیمات زیر اتخاذ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اولیا یا سرپرست با اخذ تعهد به تأدیب و تربیت و مواظبت در حسن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نصیحت توسط قاضی دادگاه؛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کانون اصلاح و تربیت از سه ماه تا یک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به زندان کانون اصلاح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اطفال بالای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موردی اتخاذ می شود که طفل مرتکب جنایتی شده باشد که مجازات آن اعدام یا حبس ابد است؛ در این صورت مدت زندان کم تر از دو سال نخواهد بود</w:t>
      </w:r>
      <w:r>
        <w:rPr>
          <w:rFonts w:eastAsia="IRNazanin" w:cs="IRNazanin"/>
          <w:color w:val="111111"/>
          <w:sz w:val="28"/>
          <w:szCs w:val="28"/>
          <w:rtl w:val="true"/>
          <w:lang w:bidi="fa-IR"/>
        </w:rPr>
        <w:t>.</w:t>
      </w:r>
    </w:p>
    <w:p>
      <w:pPr>
        <w:pStyle w:val="Heading4"/>
        <w:numPr>
          <w:ilvl w:val="3"/>
          <w:numId w:val="1"/>
        </w:numPr>
        <w:rPr/>
      </w:pPr>
      <w:bookmarkStart w:id="318" w:name="__RefHeading___Toc3140752_3531895371"/>
      <w:bookmarkStart w:id="319" w:name="_Toc128"/>
      <w:bookmarkEnd w:id="318"/>
      <w:r>
        <w:rPr/>
        <w:t>3/2/3</w:t>
      </w:r>
      <w:r>
        <w:rPr>
          <w:rtl w:val="true"/>
        </w:rPr>
        <w:t xml:space="preserve">. </w:t>
      </w:r>
      <w:r>
        <w:rPr>
          <w:rtl w:val="true"/>
        </w:rPr>
        <w:t xml:space="preserve">قانون مجازات عمومی اصلاحی مصوب </w:t>
      </w:r>
      <w:r>
        <w:rPr/>
        <w:t>1352</w:t>
      </w:r>
      <w:bookmarkEnd w:id="319"/>
    </w:p>
    <w:p>
      <w:pPr>
        <w:pStyle w:val="Heading5"/>
        <w:numPr>
          <w:ilvl w:val="4"/>
          <w:numId w:val="1"/>
        </w:numPr>
        <w:rPr/>
      </w:pPr>
      <w:bookmarkStart w:id="320" w:name="__RefHeading___Toc3140754_3531895371"/>
      <w:bookmarkStart w:id="321" w:name="_Toc129"/>
      <w:bookmarkEnd w:id="320"/>
      <w:r>
        <w:rPr>
          <w:rtl w:val="true"/>
        </w:rPr>
        <w:t>اشاره</w:t>
      </w:r>
      <w:bookmarkEnd w:id="32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در واقع اصلاحی بر قانون مجازات عمومی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 در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رویه دادگاه های اطفال بزهکار را در مناطق دارای کانون اصلاح و تربیت به شرح زیر تنظیم کرده و اشخاص را پیش از رسیدن به سن مسئولیت کیفری تام به دو دسته تقسیم بندی نمود</w:t>
      </w:r>
      <w:r>
        <w:rPr>
          <w:rFonts w:eastAsia="IRNazanin" w:cs="IRNazanin"/>
          <w:color w:val="111111"/>
          <w:sz w:val="28"/>
          <w:szCs w:val="28"/>
          <w:rtl w:val="true"/>
          <w:lang w:bidi="fa-IR"/>
        </w:rPr>
        <w:t xml:space="preserve">: </w:t>
      </w:r>
      <w:bookmarkStart w:id="322" w:name="pg20875_781553"/>
    </w:p>
    <w:p>
      <w:pPr>
        <w:pStyle w:val="Heading5"/>
        <w:numPr>
          <w:ilvl w:val="4"/>
          <w:numId w:val="1"/>
        </w:numPr>
        <w:rPr/>
      </w:pPr>
      <w:bookmarkStart w:id="323" w:name="__RefHeading___Toc3140756_3531895371"/>
      <w:bookmarkStart w:id="324" w:name="_Toc130"/>
      <w:bookmarkEnd w:id="322"/>
      <w:bookmarkEnd w:id="323"/>
      <w:r>
        <w:rPr/>
        <w:t>1</w:t>
      </w:r>
      <w:r>
        <w:rPr>
          <w:rtl w:val="true"/>
        </w:rPr>
        <w:t xml:space="preserve">. </w:t>
      </w:r>
      <w:r>
        <w:rPr>
          <w:rtl w:val="true"/>
        </w:rPr>
        <w:t xml:space="preserve">اطفال بیش از </w:t>
      </w:r>
      <w:r>
        <w:rPr/>
        <w:t>6</w:t>
      </w:r>
      <w:r>
        <w:rPr>
          <w:rtl w:val="true"/>
        </w:rPr>
        <w:t xml:space="preserve"> </w:t>
      </w:r>
      <w:r>
        <w:rPr>
          <w:rtl w:val="true"/>
        </w:rPr>
        <w:t xml:space="preserve">سال تا </w:t>
      </w:r>
      <w:r>
        <w:rPr/>
        <w:t>12</w:t>
      </w:r>
      <w:r>
        <w:rPr>
          <w:rtl w:val="true"/>
        </w:rPr>
        <w:t xml:space="preserve"> </w:t>
      </w:r>
      <w:r>
        <w:rPr>
          <w:rtl w:val="true"/>
        </w:rPr>
        <w:t>سال تمام</w:t>
      </w:r>
      <w:bookmarkEnd w:id="324"/>
    </w:p>
    <w:p>
      <w:pPr>
        <w:pStyle w:val="BookText"/>
        <w:rPr/>
      </w:pPr>
      <w:r>
        <w:rPr>
          <w:rFonts w:ascii="IRNazanin" w:hAnsi="IRNazanin" w:eastAsia="IRNazanin"/>
          <w:color w:val="111111"/>
          <w:sz w:val="28"/>
          <w:sz w:val="28"/>
          <w:szCs w:val="28"/>
          <w:rtl w:val="true"/>
          <w:lang w:bidi="fa-IR"/>
        </w:rPr>
        <w:t>این دسته فاقد قوه تمییز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قانون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قانون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را نیز مشمول مقررات قانونی قرارداد و اگرچه مجازات خاصی برای آنان پیش بینی نکرد، اما صِرف سپردن آنان به اولیا با اخذ تعهد به تأدیب و تربیت، نشان دهنده توجه ویژه قانون گذار به این گروه سنی بود</w:t>
      </w:r>
      <w:r>
        <w:rPr>
          <w:rFonts w:eastAsia="IRNazanin" w:cs="IRNazanin"/>
          <w:color w:val="111111"/>
          <w:sz w:val="28"/>
          <w:szCs w:val="28"/>
          <w:rtl w:val="true"/>
          <w:lang w:bidi="fa-IR"/>
        </w:rPr>
        <w:t>.</w:t>
      </w:r>
    </w:p>
    <w:p>
      <w:pPr>
        <w:pStyle w:val="Heading5"/>
        <w:numPr>
          <w:ilvl w:val="4"/>
          <w:numId w:val="1"/>
        </w:numPr>
        <w:rPr/>
      </w:pPr>
      <w:bookmarkStart w:id="325" w:name="__RefHeading___Toc3140758_3531895371"/>
      <w:bookmarkStart w:id="326" w:name="_Toc131"/>
      <w:bookmarkEnd w:id="325"/>
      <w:r>
        <w:rPr/>
        <w:t>2</w:t>
      </w:r>
      <w:r>
        <w:rPr>
          <w:rtl w:val="true"/>
        </w:rPr>
        <w:t xml:space="preserve">. </w:t>
      </w:r>
      <w:r>
        <w:rPr>
          <w:rtl w:val="true"/>
        </w:rPr>
        <w:t xml:space="preserve">اطفال بیش از </w:t>
      </w:r>
      <w:r>
        <w:rPr/>
        <w:t>12</w:t>
      </w:r>
      <w:r>
        <w:rPr>
          <w:rtl w:val="true"/>
        </w:rPr>
        <w:t xml:space="preserve"> </w:t>
      </w:r>
      <w:r>
        <w:rPr>
          <w:rtl w:val="true"/>
        </w:rPr>
        <w:t xml:space="preserve">سال تا </w:t>
      </w:r>
      <w:r>
        <w:rPr/>
        <w:t>18</w:t>
      </w:r>
      <w:r>
        <w:rPr>
          <w:rtl w:val="true"/>
        </w:rPr>
        <w:t xml:space="preserve"> </w:t>
      </w:r>
      <w:r>
        <w:rPr>
          <w:rtl w:val="true"/>
        </w:rPr>
        <w:t>سال تمام</w:t>
      </w:r>
      <w:bookmarkEnd w:id="326"/>
    </w:p>
    <w:p>
      <w:pPr>
        <w:pStyle w:val="BookText"/>
        <w:rPr/>
      </w:pPr>
      <w:r>
        <w:rPr>
          <w:rFonts w:ascii="IRNazanin" w:hAnsi="IRNazanin" w:eastAsia="IRNazanin"/>
          <w:color w:val="111111"/>
          <w:sz w:val="28"/>
          <w:sz w:val="28"/>
          <w:szCs w:val="28"/>
          <w:rtl w:val="true"/>
          <w:lang w:bidi="fa-IR"/>
        </w:rPr>
        <w:t>این گروه، ممیز غیر بالغ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 تواند برای آنان یکی از تصمیمات زیر را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اولیا یا سرپرست با اخذ تعهد به تأدیب و تربیت؛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نصیحت توسط قاضی دادگاه؛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در دارالتأدیب از سه ماه تا یک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در دارالتأدیب از شش ماه تا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طفل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جرم از درجه جنایت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آن جنایت اعدام یا حبس دائم باشد، مدت حبس در دار التأدیب دو تا هشت سال خواهد بود و در این مورد کم تر از دو سال نخواهد بود</w:t>
      </w:r>
      <w:r>
        <w:rPr>
          <w:rFonts w:eastAsia="IRNazanin" w:cs="IRNazanin"/>
          <w:color w:val="111111"/>
          <w:sz w:val="28"/>
          <w:szCs w:val="28"/>
          <w:rtl w:val="true"/>
          <w:lang w:bidi="fa-IR"/>
        </w:rPr>
        <w:t>.</w:t>
      </w:r>
    </w:p>
    <w:p>
      <w:pPr>
        <w:pStyle w:val="Heading5"/>
        <w:numPr>
          <w:ilvl w:val="4"/>
          <w:numId w:val="1"/>
        </w:numPr>
        <w:rPr/>
      </w:pPr>
      <w:bookmarkStart w:id="327" w:name="__RefHeading___Toc3140760_3531895371"/>
      <w:bookmarkStart w:id="328" w:name="_Toc132"/>
      <w:bookmarkEnd w:id="327"/>
      <w:r>
        <w:rPr>
          <w:rtl w:val="true"/>
        </w:rPr>
        <w:t>نتیجه گیری</w:t>
      </w:r>
      <w:r>
        <w:rPr>
          <w:rtl w:val="true"/>
        </w:rPr>
        <w:t>:</w:t>
      </w:r>
      <w:bookmarkEnd w:id="32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تقسیم بندی سنی در قوانین مجازات پیش از انقلاب اسلامی، می توان گفت قانون گذار علاوه بر تعیین سن مسئولیت تام کیفری، حداقل سن عدم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سن مسئولیت نسبی کیفری را مشخص کرده و متناسب با هر مرحله، مسئولیت نسبی و پاسخ 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مناسب را مقرر نموده است</w:t>
      </w:r>
      <w:r>
        <w:rPr>
          <w:rFonts w:eastAsia="IRNazanin" w:cs="IRNazanin"/>
          <w:color w:val="111111"/>
          <w:sz w:val="28"/>
          <w:szCs w:val="28"/>
          <w:rtl w:val="true"/>
          <w:lang w:bidi="fa-IR"/>
        </w:rPr>
        <w:t xml:space="preserve">. </w:t>
      </w:r>
      <w:bookmarkStart w:id="329" w:name="pg20875_781554"/>
    </w:p>
    <w:p>
      <w:pPr>
        <w:pStyle w:val="Heading3"/>
        <w:numPr>
          <w:ilvl w:val="2"/>
          <w:numId w:val="1"/>
        </w:numPr>
        <w:rPr/>
      </w:pPr>
      <w:bookmarkStart w:id="330" w:name="__RefHeading___Toc3140762_3531895371"/>
      <w:bookmarkStart w:id="331" w:name="_Toc133"/>
      <w:bookmarkEnd w:id="329"/>
      <w:bookmarkEnd w:id="330"/>
      <w:r>
        <w:rPr/>
        <w:t>3/3</w:t>
      </w:r>
      <w:r>
        <w:rPr>
          <w:rtl w:val="true"/>
        </w:rPr>
        <w:t xml:space="preserve">. </w:t>
      </w:r>
      <w:r>
        <w:rPr>
          <w:rtl w:val="true"/>
        </w:rPr>
        <w:t>سن مسئولیت نسبی کیفری در نظام تقنینی جمهوری اسلامی ایران</w:t>
      </w:r>
      <w:bookmarkEnd w:id="331"/>
    </w:p>
    <w:p>
      <w:pPr>
        <w:pStyle w:val="Heading4"/>
        <w:numPr>
          <w:ilvl w:val="3"/>
          <w:numId w:val="1"/>
        </w:numPr>
        <w:rPr/>
      </w:pPr>
      <w:bookmarkStart w:id="332" w:name="__RefHeading___Toc3140764_3531895371"/>
      <w:bookmarkStart w:id="333" w:name="_Toc13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پس از پیروزی انقلاب اسلامی، اکثر قوانین مصوب پیش از انقلاب مورد بازنگری قرار گرفت و موارد مغایر با اسلام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راجع به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های خاص خود به تصویب مجلس شورای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اصلاحاتی را تجربه کرد و تا سال ها به صورت آزمایشی در کشور اجرا گردید</w:t>
      </w:r>
      <w:r>
        <w:rPr>
          <w:rFonts w:eastAsia="IRNazanin" w:cs="IRNazanin"/>
          <w:color w:val="111111"/>
          <w:sz w:val="28"/>
          <w:szCs w:val="28"/>
          <w:rtl w:val="true"/>
          <w:lang w:bidi="fa-IR"/>
        </w:rPr>
        <w:t>.</w:t>
      </w:r>
    </w:p>
    <w:p>
      <w:pPr>
        <w:pStyle w:val="Heading4"/>
        <w:numPr>
          <w:ilvl w:val="3"/>
          <w:numId w:val="1"/>
        </w:numPr>
        <w:rPr/>
      </w:pPr>
      <w:bookmarkStart w:id="334" w:name="__RefHeading___Toc3140766_3531895371"/>
      <w:bookmarkStart w:id="335" w:name="_Toc135"/>
      <w:bookmarkEnd w:id="334"/>
      <w:r>
        <w:rPr/>
        <w:t>3/3/1</w:t>
      </w:r>
      <w:r>
        <w:rPr>
          <w:rtl w:val="true"/>
        </w:rPr>
        <w:t xml:space="preserve">. </w:t>
      </w:r>
      <w:r>
        <w:rPr>
          <w:rtl w:val="true"/>
        </w:rPr>
        <w:t xml:space="preserve">قانون مجازات اسلامی مصوب </w:t>
      </w:r>
      <w:r>
        <w:rPr/>
        <w:t>1370</w:t>
      </w:r>
      <w:bookmarkEnd w:id="335"/>
    </w:p>
    <w:p>
      <w:pPr>
        <w:pStyle w:val="BookText"/>
        <w:rPr/>
      </w:pPr>
      <w:r>
        <w:rPr>
          <w:rFonts w:ascii="IRNazanin" w:hAnsi="IRNazanin" w:eastAsia="IRNazanin"/>
          <w:color w:val="111111"/>
          <w:sz w:val="28"/>
          <w:sz w:val="28"/>
          <w:szCs w:val="28"/>
          <w:rtl w:val="true"/>
          <w:lang w:bidi="fa-IR"/>
        </w:rPr>
        <w:t xml:space="preserve">قانون مجازات اسلامی در ماده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اصل را بر عدم مسئولیت کیفری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ممیز 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تصریح کرده است که آنان را نمی توان به مجازات عمل ارتکابی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آموزش قوه قضاییه، مجموعه نشست های قضایی مسائل قانون مجازات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قانون گذار نه تنها تعریفی از تمییز ارائه نداده، بلکه معیار مشخصی برای احراز آن نیز مقرر ننموده و امر تشخیص را کاملاً به قضات واگذار کرده تا از طریق رویه قضایی، اماره قضایی در این زمینه شکل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داکانی،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اهلیت و حجر و سن رشد در قانون مدنی ایران پس از اصلاحات سال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خطاکار غیر ممیز باشد، به دلیل فقدان قوه تشخیص، هیچ تصمیم کیفری درباره وی اتخاذ نمی شود و دادگاه صرفاً وی را به سرپرست قانونی تحویل می دهد با تأکید بر لزوم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صلاحیت سرپرست یا فقدان وی، دادگاه می تواند کودک را با رعایت مصلحت، برای مدت معین به کانون اصلاح و تربیت اعزام کند</w:t>
      </w:r>
      <w:r>
        <w:rPr>
          <w:rFonts w:eastAsia="IRNazanin" w:cs="IRNazanin"/>
          <w:color w:val="111111"/>
          <w:sz w:val="28"/>
          <w:szCs w:val="28"/>
          <w:rtl w:val="true"/>
          <w:lang w:bidi="fa-IR"/>
        </w:rPr>
        <w:t>.</w:t>
      </w:r>
      <w:bookmarkStart w:id="336" w:name="pg20875_781555"/>
    </w:p>
    <w:p>
      <w:pPr>
        <w:pStyle w:val="BookText"/>
        <w:rPr/>
      </w:pPr>
      <w:bookmarkEnd w:id="3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کودک خطاکار ممیز باشد، دادگاه علاوه بر الزام سرپرست به تربیت، می تواند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تنبیه بدنی به میزان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برای وی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عبادی، شیرین، حقوق کودک،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قانون گذار در برخی موارد تعزیر را برای افراد نابالغ پیش بینی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نابالغی که بدون اکراه، مفعول لواط مرد بالغ شود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تعزیری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نابالغی که یک دیگر را وطی کنند، هرکدام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تعزیر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اکراه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 ممیزی که مرتکب قذف شود، به نظر حاکم تأدیب می گردد</w:t>
      </w:r>
      <w:r>
        <w:rPr>
          <w:rFonts w:eastAsia="IRNazanin" w:cs="IRNazanin"/>
          <w:color w:val="111111"/>
          <w:sz w:val="28"/>
          <w:szCs w:val="28"/>
          <w:rtl w:val="true"/>
          <w:lang w:bidi="fa-IR"/>
        </w:rPr>
        <w:t>.</w:t>
      </w:r>
    </w:p>
    <w:p>
      <w:pPr>
        <w:pStyle w:val="Heading4"/>
        <w:numPr>
          <w:ilvl w:val="3"/>
          <w:numId w:val="1"/>
        </w:numPr>
        <w:rPr/>
      </w:pPr>
      <w:bookmarkStart w:id="337" w:name="__RefHeading___Toc3140768_3531895371"/>
      <w:bookmarkStart w:id="338" w:name="_Toc136"/>
      <w:bookmarkEnd w:id="337"/>
      <w:r>
        <w:rPr>
          <w:rtl w:val="true"/>
        </w:rPr>
        <w:t>نتیجه گیری تحلیلی</w:t>
      </w:r>
      <w:r>
        <w:rPr>
          <w:rtl w:val="true"/>
        </w:rPr>
        <w:t>:</w:t>
      </w:r>
      <w:bookmarkEnd w:id="33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قانون مجازات اسلامی فعلی صرفاً سن مسئولیت کیفری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کرده، اما حداقل سن عدم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مسئولیت نسبی کیفری را به روشنی تفکیک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می توان گفت قانون گذار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مسئولیت و مسئولیت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سطح ادغام کرده و تشخیص آن را منوط به قضاوت دادگاه در احراز تمییز نموده است</w:t>
      </w:r>
      <w:r>
        <w:rPr>
          <w:rFonts w:eastAsia="IRNazanin" w:cs="IRNazanin"/>
          <w:color w:val="111111"/>
          <w:sz w:val="28"/>
          <w:szCs w:val="28"/>
          <w:rtl w:val="true"/>
          <w:lang w:bidi="fa-IR"/>
        </w:rPr>
        <w:t xml:space="preserve">. </w:t>
      </w:r>
      <w:bookmarkStart w:id="339" w:name="pg20875_781556"/>
    </w:p>
    <w:p>
      <w:pPr>
        <w:pStyle w:val="Heading4"/>
        <w:numPr>
          <w:ilvl w:val="3"/>
          <w:numId w:val="1"/>
        </w:numPr>
        <w:rPr/>
      </w:pPr>
      <w:bookmarkStart w:id="340" w:name="__RefHeading___Toc3140770_3531895371"/>
      <w:bookmarkStart w:id="341" w:name="_Toc137"/>
      <w:bookmarkEnd w:id="339"/>
      <w:bookmarkEnd w:id="340"/>
      <w:r>
        <w:rPr/>
        <w:t>3/3/2</w:t>
      </w:r>
      <w:r>
        <w:rPr>
          <w:rtl w:val="true"/>
        </w:rPr>
        <w:t xml:space="preserve">. </w:t>
      </w:r>
      <w:r>
        <w:rPr>
          <w:rtl w:val="true"/>
        </w:rPr>
        <w:t>لایحه جدید قانون مجازات اسلامی</w:t>
      </w:r>
      <w:bookmarkEnd w:id="341"/>
    </w:p>
    <w:p>
      <w:pPr>
        <w:pStyle w:val="Heading5"/>
        <w:numPr>
          <w:ilvl w:val="4"/>
          <w:numId w:val="1"/>
        </w:numPr>
        <w:rPr/>
      </w:pPr>
      <w:bookmarkStart w:id="342" w:name="__RefHeading___Toc3140772_3531895371"/>
      <w:bookmarkStart w:id="343" w:name="_Toc13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لایحه جدید قانون مجازات اسلامی که در تاریخ </w:t>
      </w:r>
      <w:r>
        <w:rPr>
          <w:rFonts w:eastAsia="IRNazanin" w:cs="IRNazanin"/>
          <w:color w:val="111111"/>
          <w:sz w:val="28"/>
          <w:szCs w:val="28"/>
          <w:lang w:bidi="fa-IR"/>
        </w:rPr>
        <w:t>1388/2/22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گروه قضایی مجلس رسید، در جهت رفع نقایص قانون مجازات موجود تدوین شده و نوآوری های آن در زمینۀ مسئولیت کیفری اطفال مورد تأیید فقهای شورای نگهبان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 اطفال با رویکردی به لایحه 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حقوق اسلامی،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تغییرات لایحه در حوزه سن مسئولیت کیفری</w:t>
      </w:r>
      <w:r>
        <w:rPr>
          <w:rFonts w:eastAsia="IRNazanin" w:cs="IRNazanin"/>
          <w:color w:val="111111"/>
          <w:sz w:val="28"/>
          <w:szCs w:val="28"/>
          <w:rtl w:val="true"/>
          <w:lang w:bidi="fa-IR"/>
        </w:rPr>
        <w:t>:</w:t>
      </w:r>
    </w:p>
    <w:p>
      <w:pPr>
        <w:pStyle w:val="Heading5"/>
        <w:numPr>
          <w:ilvl w:val="4"/>
          <w:numId w:val="1"/>
        </w:numPr>
        <w:rPr/>
      </w:pPr>
      <w:bookmarkStart w:id="344" w:name="__RefHeading___Toc3140774_3531895371"/>
      <w:bookmarkStart w:id="345" w:name="_Toc139"/>
      <w:bookmarkEnd w:id="344"/>
      <w:r>
        <w:rPr/>
        <w:t>1</w:t>
      </w:r>
      <w:r>
        <w:rPr>
          <w:rtl w:val="true"/>
        </w:rPr>
        <w:t xml:space="preserve">. </w:t>
      </w:r>
      <w:r>
        <w:rPr>
          <w:rtl w:val="true"/>
        </w:rPr>
        <w:t>تعيين حداقل سن عدم مسئولیت کیفری</w:t>
      </w:r>
      <w:bookmarkEnd w:id="345"/>
    </w:p>
    <w:p>
      <w:pPr>
        <w:pStyle w:val="BookText"/>
        <w:rPr/>
      </w:pPr>
      <w:r>
        <w:rPr>
          <w:rFonts w:ascii="IRNazanin" w:hAnsi="IRNazanin" w:eastAsia="IRNazanin"/>
          <w:color w:val="111111"/>
          <w:sz w:val="28"/>
          <w:sz w:val="28"/>
          <w:szCs w:val="28"/>
          <w:rtl w:val="true"/>
          <w:lang w:bidi="fa-IR"/>
        </w:rPr>
        <w:t xml:space="preserve">برخلاف قانون فعلی، لایحه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را به عنوان حداقل سن عدم مسئولیت کیفری برای کلیه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تعزیرات،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است؛ بنابراین، اطفال زیر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مطلق فاقد مسئولیت کیفری هستند و وارد سیستم کیفری نمی شوند</w:t>
      </w:r>
      <w:r>
        <w:rPr>
          <w:rFonts w:eastAsia="IRNazanin" w:cs="IRNazanin"/>
          <w:color w:val="111111"/>
          <w:sz w:val="28"/>
          <w:szCs w:val="28"/>
          <w:rtl w:val="true"/>
          <w:lang w:bidi="fa-IR"/>
        </w:rPr>
        <w:t>.</w:t>
      </w:r>
    </w:p>
    <w:p>
      <w:pPr>
        <w:pStyle w:val="Heading5"/>
        <w:numPr>
          <w:ilvl w:val="4"/>
          <w:numId w:val="1"/>
        </w:numPr>
        <w:rPr/>
      </w:pPr>
      <w:bookmarkStart w:id="346" w:name="__RefHeading___Toc3140776_3531895371"/>
      <w:bookmarkStart w:id="347" w:name="_Toc140"/>
      <w:bookmarkEnd w:id="346"/>
      <w:r>
        <w:rPr/>
        <w:t>2</w:t>
      </w:r>
      <w:r>
        <w:rPr>
          <w:rtl w:val="true"/>
        </w:rPr>
        <w:t xml:space="preserve">. </w:t>
      </w:r>
      <w:r>
        <w:rPr>
          <w:rtl w:val="true"/>
        </w:rPr>
        <w:t>تفکیک سن مسئولیت نسبی بر اساس نوع جرم</w:t>
      </w:r>
      <w:bookmarkEnd w:id="347"/>
    </w:p>
    <w:p>
      <w:pPr>
        <w:pStyle w:val="Heading6"/>
        <w:numPr>
          <w:ilvl w:val="5"/>
          <w:numId w:val="1"/>
        </w:numPr>
        <w:rPr/>
      </w:pPr>
      <w:bookmarkStart w:id="348" w:name="__RefHeading___Toc3140778_3531895371"/>
      <w:bookmarkStart w:id="349" w:name="_Toc14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لایحه سن مسئولیت نسبی کیفری را به صورت یکسان در نظر نگرفته، بلکه با توجه به نوع جرم، سنین متفاوتی مقرر کرده است</w:t>
      </w:r>
      <w:r>
        <w:rPr>
          <w:rFonts w:eastAsia="IRNazanin" w:cs="IRNazanin"/>
          <w:color w:val="111111"/>
          <w:sz w:val="28"/>
          <w:szCs w:val="28"/>
          <w:rtl w:val="true"/>
          <w:lang w:bidi="fa-IR"/>
        </w:rPr>
        <w:t>:</w:t>
      </w:r>
    </w:p>
    <w:p>
      <w:pPr>
        <w:pStyle w:val="Heading6"/>
        <w:numPr>
          <w:ilvl w:val="5"/>
          <w:numId w:val="1"/>
        </w:numPr>
        <w:rPr/>
      </w:pPr>
      <w:bookmarkStart w:id="350" w:name="__RefHeading___Toc3140780_3531895371"/>
      <w:bookmarkStart w:id="351" w:name="_Toc142"/>
      <w:bookmarkEnd w:id="350"/>
      <w:r>
        <w:rPr>
          <w:rtl w:val="true"/>
        </w:rPr>
        <w:t>در حدود و قصاص</w:t>
      </w:r>
      <w:r>
        <w:rPr>
          <w:rtl w:val="true"/>
        </w:rPr>
        <w:t>:</w:t>
      </w:r>
      <w:bookmarkEnd w:id="351"/>
    </w:p>
    <w:p>
      <w:pPr>
        <w:pStyle w:val="BookText"/>
        <w:rPr/>
      </w:pPr>
      <w:r>
        <w:rPr>
          <w:rFonts w:ascii="IRNazanin" w:hAnsi="IRNazanin" w:eastAsia="IRNazanin"/>
          <w:color w:val="111111"/>
          <w:sz w:val="28"/>
          <w:sz w:val="28"/>
          <w:szCs w:val="28"/>
          <w:rtl w:val="true"/>
          <w:lang w:bidi="fa-IR"/>
        </w:rPr>
        <w:t xml:space="preserve">افراد بالغ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صورت فقدان شرایط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درک ماهیت جرم یا شبهه در رشد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چون تسلیم به والدین، اخذ تعهد به تربیت، یا نصیحت توسط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اخذ تعهد کتبی، یا نگهداری در کانون اصلاح و تربیت از سه ماه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52" w:name="pg20875_781557"/>
    </w:p>
    <w:p>
      <w:pPr>
        <w:pStyle w:val="Heading6"/>
        <w:numPr>
          <w:ilvl w:val="5"/>
          <w:numId w:val="1"/>
        </w:numPr>
        <w:rPr/>
      </w:pPr>
      <w:bookmarkStart w:id="353" w:name="__RefHeading___Toc3140782_3531895371"/>
      <w:bookmarkStart w:id="354" w:name="_Toc143"/>
      <w:bookmarkEnd w:id="352"/>
      <w:bookmarkEnd w:id="353"/>
      <w:r>
        <w:rPr>
          <w:rtl w:val="true"/>
        </w:rPr>
        <w:t>در تعزیرات</w:t>
      </w:r>
      <w:r>
        <w:rPr>
          <w:rtl w:val="true"/>
        </w:rPr>
        <w:t>:</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مسئولیت نقصان یافته؛ مجازات بزرگ سالان اعمال نمی شود و حداکثر مجازات، یک سال حبس در کانون اصلاح و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مجازاتی مانند نگهداری در کانون اصلاح و تربیت از دو تا پنج سال برای جرائم تعزیری درجه یک تا سه، یا جزای نقدی و خدمات عمومی برای جرائم سبک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6"/>
        <w:numPr>
          <w:ilvl w:val="5"/>
          <w:numId w:val="1"/>
        </w:numPr>
        <w:rPr/>
      </w:pPr>
      <w:bookmarkStart w:id="355" w:name="__RefHeading___Toc3140784_3531895371"/>
      <w:bookmarkStart w:id="356" w:name="_Toc144"/>
      <w:bookmarkEnd w:id="355"/>
      <w:r>
        <w:rPr>
          <w:rtl w:val="true"/>
        </w:rPr>
        <w:t>تحلیل دوره های کودکی از منظر رشد مسئولیت</w:t>
      </w:r>
      <w:r>
        <w:rPr>
          <w:rtl w:val="true"/>
        </w:rPr>
        <w:t>:</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عدم تمییز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تا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فاقد شعور و تشخیص خیر از 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تمییز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توانایی نسبی در تشخیص خوب از بد و پیش بینی نتایج عمل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 جاوید، بزهکاری اطفال و نوجوانان،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 در این دوره به مثابه مجازات نیست؛ بلکه اقدام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ای است که حاکم با توجه به مصلحت کودک، نوع جرم و توان بدنی وی تعیین می کند و با حدیث رفع قلم تعارضی ندارد</w:t>
      </w:r>
      <w:r>
        <w:rPr>
          <w:rFonts w:eastAsia="IRNazanin" w:cs="IRNazanin"/>
          <w:color w:val="111111"/>
          <w:sz w:val="28"/>
          <w:szCs w:val="28"/>
          <w:rtl w:val="true"/>
          <w:lang w:bidi="fa-IR"/>
        </w:rPr>
        <w:t>.</w:t>
      </w:r>
    </w:p>
    <w:p>
      <w:pPr>
        <w:pStyle w:val="Heading6"/>
        <w:numPr>
          <w:ilvl w:val="5"/>
          <w:numId w:val="1"/>
        </w:numPr>
        <w:rPr/>
      </w:pPr>
      <w:bookmarkStart w:id="357" w:name="__RefHeading___Toc3140786_3531895371"/>
      <w:bookmarkStart w:id="358" w:name="_Toc145"/>
      <w:bookmarkEnd w:id="357"/>
      <w:r>
        <w:rPr>
          <w:rtl w:val="true"/>
        </w:rPr>
        <w:t>نتیجه گیری نهایی</w:t>
      </w:r>
      <w:r>
        <w:rPr>
          <w:rtl w:val="true"/>
        </w:rPr>
        <w:t>:</w:t>
      </w:r>
      <w:bookmarkEnd w:id="35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نسبی کیفری تنها در مرحله تمییز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کودک قادر به تشخیص ابتدایی خوب از بد و درک نسبی نتایج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یابد و با توجه به شرایط مرتکب و نوع فعل ارتکابی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جدید با تفکیک سنی و ارائه پاسخ های متنوع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گامی به سوی نظام مند کردن مسئولیت پذیری تدریجی اطفال برداشته است</w:t>
      </w:r>
      <w:r>
        <w:rPr>
          <w:rFonts w:eastAsia="IRNazanin" w:cs="IRNazanin"/>
          <w:color w:val="111111"/>
          <w:sz w:val="28"/>
          <w:szCs w:val="28"/>
          <w:rtl w:val="true"/>
          <w:lang w:bidi="fa-IR"/>
        </w:rPr>
        <w:t xml:space="preserve">. </w:t>
      </w:r>
      <w:bookmarkStart w:id="359" w:name="pg20875_781558"/>
    </w:p>
    <w:p>
      <w:pPr>
        <w:pStyle w:val="Heading3"/>
        <w:numPr>
          <w:ilvl w:val="2"/>
          <w:numId w:val="1"/>
        </w:numPr>
        <w:rPr/>
      </w:pPr>
      <w:bookmarkStart w:id="360" w:name="__RefHeading___Toc3140788_3531895371"/>
      <w:bookmarkStart w:id="361" w:name="_Toc146"/>
      <w:bookmarkEnd w:id="359"/>
      <w:bookmarkEnd w:id="360"/>
      <w:r>
        <w:rPr/>
        <w:t>3/4</w:t>
      </w:r>
      <w:r>
        <w:rPr>
          <w:rtl w:val="true"/>
        </w:rPr>
        <w:t xml:space="preserve">. </w:t>
      </w:r>
      <w:r>
        <w:rPr>
          <w:rtl w:val="true"/>
        </w:rPr>
        <w:t>بررسی سن مسئولیت تام کیفری</w:t>
      </w:r>
      <w:bookmarkEnd w:id="361"/>
    </w:p>
    <w:p>
      <w:pPr>
        <w:pStyle w:val="Heading4"/>
        <w:numPr>
          <w:ilvl w:val="3"/>
          <w:numId w:val="1"/>
        </w:numPr>
        <w:rPr/>
      </w:pPr>
      <w:bookmarkStart w:id="362" w:name="__RefHeading___Toc3140790_3531895371"/>
      <w:bookmarkStart w:id="363" w:name="_Toc14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سن مسئولیت کیفری تام، مرحله ای است که پس از آن، فرد مشمول کامل مقررات کیفری بزرگ سالان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نظام کیفری و هم در سرنوشت کودکان به ویژه اطفال مرتکب جرم، از اهمیت و حساسیت بالایی برخوردار است؛ بنابراین، لازم است در ادامه، سن مسئولیت کیفری تام و معیارهای مرتبط با آن در فقه و حقوق ایران مورد بررسی قرار گیرد</w:t>
      </w:r>
      <w:r>
        <w:rPr>
          <w:rFonts w:eastAsia="IRNazanin" w:cs="IRNazanin"/>
          <w:color w:val="111111"/>
          <w:sz w:val="28"/>
          <w:szCs w:val="28"/>
          <w:rtl w:val="true"/>
          <w:lang w:bidi="fa-IR"/>
        </w:rPr>
        <w:t>.</w:t>
      </w:r>
    </w:p>
    <w:p>
      <w:pPr>
        <w:pStyle w:val="Heading4"/>
        <w:numPr>
          <w:ilvl w:val="3"/>
          <w:numId w:val="1"/>
        </w:numPr>
        <w:rPr/>
      </w:pPr>
      <w:bookmarkStart w:id="364" w:name="__RefHeading___Toc3140792_3531895371"/>
      <w:bookmarkStart w:id="365" w:name="_Toc148"/>
      <w:bookmarkEnd w:id="364"/>
      <w:r>
        <w:rPr/>
        <w:t>3/4/1</w:t>
      </w:r>
      <w:r>
        <w:rPr>
          <w:rtl w:val="true"/>
        </w:rPr>
        <w:t xml:space="preserve">. </w:t>
      </w:r>
      <w:r>
        <w:rPr>
          <w:rtl w:val="true"/>
        </w:rPr>
        <w:t>سن مسئولیت تام کیفری در فقه</w:t>
      </w:r>
      <w:bookmarkEnd w:id="365"/>
    </w:p>
    <w:p>
      <w:pPr>
        <w:pStyle w:val="Heading5"/>
        <w:numPr>
          <w:ilvl w:val="4"/>
          <w:numId w:val="1"/>
        </w:numPr>
        <w:rPr/>
      </w:pPr>
      <w:bookmarkStart w:id="366" w:name="__RefHeading___Toc3140794_3531895371"/>
      <w:bookmarkStart w:id="367" w:name="_Toc14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فقهای امامیه به طور مستقیم به تدوین قواعد کلی حقوق جزای عمومی نپرداخته اند، بلکه احکام و شرایط مربوط به مسئولیت کیفری را عمدتاً در ضمن مباحث جرائم مستوجب حد و قصاص، به صورت موردی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بخش های مربوط به جرائم و مجازات در متون فقهی و با توجه به شرایطی که برای اجرای کامل مجازات بر مرتکب لازم است، می توان نظرات فقها درباره معیارهای مسئولیت کیفری تام را در دو دیدگاه اصلی خلاصه کرد</w:t>
      </w:r>
      <w:r>
        <w:rPr>
          <w:rFonts w:eastAsia="IRNazanin" w:cs="IRNazanin"/>
          <w:color w:val="111111"/>
          <w:sz w:val="28"/>
          <w:szCs w:val="28"/>
          <w:rtl w:val="true"/>
          <w:lang w:bidi="fa-IR"/>
        </w:rPr>
        <w:t>:</w:t>
      </w:r>
    </w:p>
    <w:p>
      <w:pPr>
        <w:pStyle w:val="Heading5"/>
        <w:numPr>
          <w:ilvl w:val="4"/>
          <w:numId w:val="1"/>
        </w:numPr>
        <w:rPr/>
      </w:pPr>
      <w:bookmarkStart w:id="368" w:name="__RefHeading___Toc3140796_3531895371"/>
      <w:bookmarkStart w:id="369" w:name="_Toc150"/>
      <w:bookmarkEnd w:id="368"/>
      <w:r>
        <w:rPr>
          <w:rtl w:val="true"/>
        </w:rPr>
        <w:t>دیدگاه اول</w:t>
      </w:r>
      <w:r>
        <w:rPr>
          <w:rtl w:val="true"/>
        </w:rPr>
        <w:t xml:space="preserve">: </w:t>
      </w:r>
      <w:r>
        <w:rPr>
          <w:rtl w:val="true"/>
        </w:rPr>
        <w:t>بلوغ به عنوان شرط کافی</w:t>
      </w:r>
      <w:bookmarkEnd w:id="369"/>
    </w:p>
    <w:p>
      <w:pPr>
        <w:pStyle w:val="Heading6"/>
        <w:numPr>
          <w:ilvl w:val="5"/>
          <w:numId w:val="1"/>
        </w:numPr>
        <w:rPr/>
      </w:pPr>
      <w:bookmarkStart w:id="370" w:name="__RefHeading___Toc3140798_3531895371"/>
      <w:bookmarkStart w:id="371" w:name="_Toc15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بر اساس این دیدگاه، آغاز مسئولیت کیفری تام بلوغ است و رشد کیفری شرط لازم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فقهای امامیه از این نظر پیروی کرده اند و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عمدتاً بر همین مبنا استوار است</w:t>
      </w:r>
      <w:r>
        <w:rPr>
          <w:rFonts w:eastAsia="IRNazanin" w:cs="IRNazanin"/>
          <w:color w:val="111111"/>
          <w:sz w:val="28"/>
          <w:szCs w:val="28"/>
          <w:rtl w:val="true"/>
          <w:lang w:bidi="fa-IR"/>
        </w:rPr>
        <w:t>.</w:t>
      </w:r>
    </w:p>
    <w:p>
      <w:pPr>
        <w:pStyle w:val="Heading6"/>
        <w:numPr>
          <w:ilvl w:val="5"/>
          <w:numId w:val="1"/>
        </w:numPr>
        <w:rPr/>
      </w:pPr>
      <w:bookmarkStart w:id="372" w:name="__RefHeading___Toc3140800_3531895371"/>
      <w:bookmarkStart w:id="373" w:name="_Toc152"/>
      <w:bookmarkEnd w:id="372"/>
      <w:r>
        <w:rPr>
          <w:rtl w:val="true"/>
        </w:rPr>
        <w:t>فقهای متقدم</w:t>
      </w:r>
      <w:r>
        <w:rPr>
          <w:rtl w:val="true"/>
        </w:rPr>
        <w:t>:</w:t>
      </w:r>
      <w:bookmarkEnd w:id="37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تمامی فقهای متقدم، اجرای مجازات در جرائم مختلف را منوط به رسیدن به سن بلوغ دانسته و احراز رشد کیفری را شرط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eastAsia="IRNazanin" w:cs="IRNazanin"/>
          <w:color w:val="111111"/>
          <w:sz w:val="28"/>
          <w:szCs w:val="28"/>
          <w:lang w:bidi="fa-IR"/>
        </w:rPr>
        <w:t>565/3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الخلاف والوفاق، ص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bookmarkStart w:id="374" w:name="pg20875_781559"/>
    </w:p>
    <w:p>
      <w:pPr>
        <w:pStyle w:val="Heading6"/>
        <w:numPr>
          <w:ilvl w:val="5"/>
          <w:numId w:val="1"/>
        </w:numPr>
        <w:rPr/>
      </w:pPr>
      <w:bookmarkStart w:id="375" w:name="__RefHeading___Toc3140802_3531895371"/>
      <w:bookmarkStart w:id="376" w:name="_Toc153"/>
      <w:bookmarkEnd w:id="374"/>
      <w:bookmarkEnd w:id="375"/>
      <w:r>
        <w:rPr>
          <w:rtl w:val="true"/>
        </w:rPr>
        <w:t>فقهای معاصر</w:t>
      </w:r>
      <w:r>
        <w:rPr>
          <w:rtl w:val="true"/>
        </w:rPr>
        <w:t>:</w:t>
      </w:r>
      <w:bookmarkEnd w:id="376"/>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کیفری را منحصراً مشروط به بلوغ دانسته و رشد را تنها در امور مالی مؤثر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استفتائات قضایی، سؤال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اجرای احکام کیفری را بلوغ می داند و عقل را ملازم بلوغ قلمداد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سؤال های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و قصاص، بلوغ و عقل را کافی دانسته و رشد را فقط در امور مالی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رشد را در مسئولیت کیفری شرط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سؤال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جواد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را تنها در امور مالی معتبر دانسته و در حدود و قصاص، بلوغ را کافی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سؤال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377" w:name="__RefHeading___Toc3140804_3531895371"/>
      <w:bookmarkStart w:id="378" w:name="_Toc154"/>
      <w:bookmarkEnd w:id="377"/>
      <w:r>
        <w:rPr>
          <w:rtl w:val="true"/>
        </w:rPr>
        <w:t>دیدگاه دوم</w:t>
      </w:r>
      <w:r>
        <w:rPr>
          <w:rtl w:val="true"/>
        </w:rPr>
        <w:t xml:space="preserve">: </w:t>
      </w:r>
      <w:r>
        <w:rPr>
          <w:rtl w:val="true"/>
        </w:rPr>
        <w:t>لزوم بلوغ همراه با رشد کیفری</w:t>
      </w:r>
      <w:bookmarkEnd w:id="378"/>
    </w:p>
    <w:p>
      <w:pPr>
        <w:pStyle w:val="Heading6"/>
        <w:numPr>
          <w:ilvl w:val="5"/>
          <w:numId w:val="1"/>
        </w:numPr>
        <w:rPr/>
      </w:pPr>
      <w:bookmarkStart w:id="379" w:name="__RefHeading___Toc3140806_3531895371"/>
      <w:bookmarkStart w:id="380" w:name="_Toc155"/>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بر اساس این دیدگاه، مسئولیت کیفری تام علاوه بر بلوغ، نیازمند رشد کیفری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فقها در ادوار مختلف این نظر را پذیرفته اند و لایحه جدید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رویکرد پیروی می کند</w:t>
      </w:r>
      <w:r>
        <w:rPr>
          <w:rFonts w:eastAsia="IRNazanin" w:cs="IRNazanin"/>
          <w:color w:val="111111"/>
          <w:sz w:val="28"/>
          <w:szCs w:val="28"/>
          <w:rtl w:val="true"/>
          <w:lang w:bidi="fa-IR"/>
        </w:rPr>
        <w:t>.</w:t>
      </w:r>
    </w:p>
    <w:p>
      <w:pPr>
        <w:pStyle w:val="Heading6"/>
        <w:numPr>
          <w:ilvl w:val="5"/>
          <w:numId w:val="1"/>
        </w:numPr>
        <w:rPr/>
      </w:pPr>
      <w:bookmarkStart w:id="381" w:name="__RefHeading___Toc3140808_3531895371"/>
      <w:bookmarkStart w:id="382" w:name="_Toc156"/>
      <w:bookmarkEnd w:id="381"/>
      <w:r>
        <w:rPr>
          <w:rtl w:val="true"/>
        </w:rPr>
        <w:t>فقهای متقدم</w:t>
      </w:r>
      <w:r>
        <w:rPr>
          <w:rtl w:val="true"/>
        </w:rPr>
        <w:t>:</w:t>
      </w:r>
      <w:bookmarkEnd w:id="382"/>
    </w:p>
    <w:p>
      <w:pPr>
        <w:pStyle w:val="BookText"/>
        <w:rPr/>
      </w:pPr>
      <w:r>
        <w:rPr>
          <w:rFonts w:ascii="IRNazanin" w:hAnsi="IRNazanin" w:eastAsia="IRNazanin"/>
          <w:color w:val="111111"/>
          <w:sz w:val="28"/>
          <w:sz w:val="28"/>
          <w:szCs w:val="28"/>
          <w:rtl w:val="true"/>
          <w:lang w:bidi="fa-IR"/>
        </w:rPr>
        <w:t>علامه حلی، برای مجازات در قتل و لواط، علاوه بر بلوغ، شرط رشد را نیز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تحرير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حد لواط، بلوغ و رشد را باهم شرط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r>
        <w:rPr>
          <w:rFonts w:eastAsia="IRNazanin" w:cs="IRNazanin"/>
          <w:color w:val="111111"/>
          <w:sz w:val="28"/>
          <w:szCs w:val="28"/>
          <w:rtl w:val="true"/>
          <w:lang w:bidi="fa-IR"/>
        </w:rPr>
        <w:t>.)</w:t>
      </w:r>
    </w:p>
    <w:p>
      <w:pPr>
        <w:pStyle w:val="Heading6"/>
        <w:numPr>
          <w:ilvl w:val="5"/>
          <w:numId w:val="1"/>
        </w:numPr>
        <w:rPr/>
      </w:pPr>
      <w:bookmarkStart w:id="383" w:name="__RefHeading___Toc3140810_3531895371"/>
      <w:bookmarkStart w:id="384" w:name="_Toc157"/>
      <w:bookmarkEnd w:id="383"/>
      <w:r>
        <w:rPr>
          <w:rtl w:val="true"/>
        </w:rPr>
        <w:t>فقهای معاصر</w:t>
      </w:r>
      <w:r>
        <w:rPr>
          <w:rtl w:val="true"/>
        </w:rPr>
        <w:t>:</w:t>
      </w:r>
      <w:bookmarkEnd w:id="38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مجازات اسلامی را علاوه بر بلوغ شرعی، منوط به احراز رشد عقلانی می دانند</w:t>
      </w:r>
      <w:r>
        <w:rPr>
          <w:rFonts w:eastAsia="IRNazanin" w:cs="IRNazanin"/>
          <w:color w:val="111111"/>
          <w:sz w:val="28"/>
          <w:szCs w:val="28"/>
          <w:rtl w:val="true"/>
          <w:lang w:bidi="fa-IR"/>
        </w:rPr>
        <w:t xml:space="preserve">. </w:t>
      </w:r>
      <w:bookmarkStart w:id="385" w:name="pg20875_781560"/>
    </w:p>
    <w:p>
      <w:pPr>
        <w:pStyle w:val="BookText"/>
        <w:rPr/>
      </w:pPr>
      <w:bookmarkEnd w:id="385"/>
      <w:r>
        <w:rPr>
          <w:rFonts w:ascii="IRNazanin" w:hAnsi="IRNazanin" w:eastAsia="IRNazanin"/>
          <w:color w:val="111111"/>
          <w:sz w:val="28"/>
          <w:sz w:val="28"/>
          <w:szCs w:val="28"/>
          <w:rtl w:val="true"/>
          <w:lang w:bidi="fa-IR"/>
        </w:rPr>
        <w:t>آیت الله موسوی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مجازات کیفری، علاوه بر بلوغ، رسیدن به سن رشد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لازم می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استفتائات قضایی، سؤال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6"/>
        <w:numPr>
          <w:ilvl w:val="5"/>
          <w:numId w:val="1"/>
        </w:numPr>
        <w:rPr/>
      </w:pPr>
      <w:bookmarkStart w:id="386" w:name="__RefHeading___Toc3140812_3531895371"/>
      <w:bookmarkStart w:id="387" w:name="_Toc158"/>
      <w:bookmarkEnd w:id="386"/>
      <w:r>
        <w:rPr>
          <w:rtl w:val="true"/>
        </w:rPr>
        <w:t>جمع بندی</w:t>
      </w:r>
      <w:r>
        <w:rPr>
          <w:rtl w:val="true"/>
        </w:rPr>
        <w:t>:</w:t>
      </w:r>
      <w:bookmarkEnd w:id="387"/>
    </w:p>
    <w:p>
      <w:pPr>
        <w:pStyle w:val="BookText"/>
        <w:rPr/>
      </w:pPr>
      <w:r>
        <w:rPr>
          <w:rFonts w:ascii="IRNazanin" w:hAnsi="IRNazanin" w:eastAsia="IRNazanin"/>
          <w:color w:val="111111"/>
          <w:sz w:val="28"/>
          <w:sz w:val="28"/>
          <w:szCs w:val="28"/>
          <w:rtl w:val="true"/>
          <w:lang w:bidi="fa-IR"/>
        </w:rPr>
        <w:t>دو دیدگاه اصلی فقهی در تعیین سن مسئولیت کیفری تام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اکثر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شرعی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برای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برای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برای مسئولیت کیفری تام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برخی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همراهی بلوغ با رشد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دیدگاه، بازتاب خود را در تفاوت بین 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لایحه جدید قانون مجازات اسلامی مصوب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bookmarkStart w:id="388" w:name="pg20875_781561"/>
    </w:p>
    <w:p>
      <w:pPr>
        <w:pStyle w:val="Heading3"/>
        <w:numPr>
          <w:ilvl w:val="2"/>
          <w:numId w:val="1"/>
        </w:numPr>
        <w:rPr/>
      </w:pPr>
      <w:bookmarkStart w:id="389" w:name="__RefHeading___Toc3140814_3531895371"/>
      <w:bookmarkStart w:id="390" w:name="_Toc159"/>
      <w:bookmarkEnd w:id="388"/>
      <w:bookmarkEnd w:id="389"/>
      <w:r>
        <w:rPr/>
        <w:t>3/5</w:t>
      </w:r>
      <w:r>
        <w:rPr>
          <w:rtl w:val="true"/>
        </w:rPr>
        <w:t xml:space="preserve">. </w:t>
      </w:r>
      <w:r>
        <w:rPr>
          <w:rtl w:val="true"/>
        </w:rPr>
        <w:t>سن مسئولیت تام کیفری در قوانین بعد از انقلاب اسلامی</w:t>
      </w:r>
      <w:bookmarkEnd w:id="390"/>
    </w:p>
    <w:p>
      <w:pPr>
        <w:pStyle w:val="Heading4"/>
        <w:numPr>
          <w:ilvl w:val="3"/>
          <w:numId w:val="1"/>
        </w:numPr>
        <w:rPr/>
      </w:pPr>
      <w:bookmarkStart w:id="391" w:name="__RefHeading___Toc3140816_3531895371"/>
      <w:bookmarkStart w:id="392" w:name="_Toc160"/>
      <w:bookmarkEnd w:id="391"/>
      <w:r>
        <w:rPr/>
        <w:t>3/5/1</w:t>
      </w:r>
      <w:r>
        <w:rPr>
          <w:rtl w:val="true"/>
        </w:rPr>
        <w:t xml:space="preserve">. </w:t>
      </w:r>
      <w:r>
        <w:rPr>
          <w:rtl w:val="true"/>
        </w:rPr>
        <w:t xml:space="preserve">قانون مجازات اسلامی مصوب </w:t>
      </w:r>
      <w:r>
        <w:rPr/>
        <w:t>1370</w:t>
      </w:r>
      <w:bookmarkEnd w:id="392"/>
    </w:p>
    <w:p>
      <w:pPr>
        <w:pStyle w:val="Heading5"/>
        <w:numPr>
          <w:ilvl w:val="4"/>
          <w:numId w:val="1"/>
        </w:numPr>
        <w:rPr/>
      </w:pPr>
      <w:bookmarkStart w:id="393" w:name="__RefHeading___Toc3140818_3531895371"/>
      <w:bookmarkStart w:id="394" w:name="_Toc161"/>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مقنن با الهام از شرع مقدس اسلام و فقه امامیه، سن مسئولیت کیفری را در قوانین مجازات اسلامی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معادل بلوغ شرعی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در صورت ارتکاب جرم مبرا از مسئولیت کیفری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طفل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حد بلوغ شرعی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قانون حد بلوغ شرعی را مشخص نکرده، ناگزیر باید به مقررات مدنی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بلوغ در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قمری و در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دوران پس از انقلاب، سن مسئولیت کیفری تام همان بلوغ شرعی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برای دختر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برای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افراد زیر این سن در زمره اطفال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به بالا و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به بالا، هم چون بزرگ سالان دارای مسئولیت کیفری تام شناخته شده و می توانند مشمول مجازات قصاص، حدود و 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اعدام، رجم، قصاص، شلاق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عظیم، قوام، تحلیلی بر سن مسئولیت کیفری تام در قانون مجازات اسلامی، فصلنامه دانش انتظامی،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مهم ترین چالش های مرتبط با سن مسئولیت کیفری در قانون مجازات کشور را می توان به شرح زیر دسته بندی کرد</w:t>
      </w:r>
      <w:r>
        <w:rPr>
          <w:rFonts w:eastAsia="IRNazanin" w:cs="IRNazanin"/>
          <w:color w:val="111111"/>
          <w:sz w:val="28"/>
          <w:szCs w:val="28"/>
          <w:rtl w:val="true"/>
          <w:lang w:bidi="fa-IR"/>
        </w:rPr>
        <w:t>:</w:t>
      </w:r>
    </w:p>
    <w:p>
      <w:pPr>
        <w:pStyle w:val="Heading5"/>
        <w:numPr>
          <w:ilvl w:val="4"/>
          <w:numId w:val="1"/>
        </w:numPr>
        <w:rPr/>
      </w:pPr>
      <w:bookmarkStart w:id="395" w:name="__RefHeading___Toc3140820_3531895371"/>
      <w:bookmarkStart w:id="396" w:name="_Toc162"/>
      <w:bookmarkEnd w:id="395"/>
      <w:r>
        <w:rPr/>
        <w:t>1</w:t>
      </w:r>
      <w:r>
        <w:rPr>
          <w:rtl w:val="true"/>
        </w:rPr>
        <w:t xml:space="preserve">. </w:t>
      </w:r>
      <w:r>
        <w:rPr>
          <w:rtl w:val="true"/>
        </w:rPr>
        <w:t xml:space="preserve">تعیین نشدن محدوده دقیق </w:t>
      </w:r>
      <w:r>
        <w:rPr>
          <w:rtl w:val="true"/>
        </w:rPr>
        <w:t>«</w:t>
      </w:r>
      <w:r>
        <w:rPr>
          <w:rtl w:val="true"/>
        </w:rPr>
        <w:t>بلوغ شرعی</w:t>
      </w:r>
      <w:r>
        <w:rPr>
          <w:rtl w:val="true"/>
        </w:rPr>
        <w:t xml:space="preserve">» </w:t>
      </w:r>
      <w:r>
        <w:rPr>
          <w:rtl w:val="true"/>
        </w:rPr>
        <w:t>و ابهام در تعریف آن</w:t>
      </w:r>
      <w:bookmarkEnd w:id="39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کیفری،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در حالی که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bookmarkStart w:id="397" w:name="pg20875_781562"/>
    </w:p>
    <w:p>
      <w:pPr>
        <w:pStyle w:val="BookText"/>
        <w:rPr/>
      </w:pPr>
      <w:bookmarkEnd w:id="397"/>
      <w:r>
        <w:rPr>
          <w:rFonts w:ascii="IRNazanin" w:hAnsi="IRNazanin" w:eastAsia="IRNazanin"/>
          <w:color w:val="111111"/>
          <w:sz w:val="28"/>
          <w:sz w:val="28"/>
          <w:szCs w:val="28"/>
          <w:rtl w:val="true"/>
          <w:lang w:bidi="fa-IR"/>
        </w:rPr>
        <w:t xml:space="preserve">این تفاوت ظاهری می تواند این برداشت را ایجاد کند که بلوغ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بلوغ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مشروط به رشد جسمی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شرعی مجموعه ای از شرایط است که پس از آن فرد توانایی تشخیص و تمییز مسائل فردی و اجتماعی را می یابد، در حالی که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نشان دهنده ظهور علائم بلوغ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انطباق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قانون مدنی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کیفری، فاقد توجیه دقیق حقوقی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توانا، علی، سن مسئولیت کیفری اطفال در مقررات حقوق داخلی و بین المللی،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398" w:name="__RefHeading___Toc3140822_3531895371"/>
      <w:bookmarkStart w:id="399" w:name="_Toc163"/>
      <w:bookmarkEnd w:id="398"/>
      <w:r>
        <w:rPr/>
        <w:t>2</w:t>
      </w:r>
      <w:r>
        <w:rPr>
          <w:rtl w:val="true"/>
        </w:rPr>
        <w:t xml:space="preserve">. </w:t>
      </w:r>
      <w:r>
        <w:rPr>
          <w:rtl w:val="true"/>
        </w:rPr>
        <w:t>عدم پیشبینی حداقل سن عدم مسئولیت کیفری</w:t>
      </w:r>
      <w:bookmarkEnd w:id="399"/>
    </w:p>
    <w:p>
      <w:pPr>
        <w:pStyle w:val="BookText"/>
        <w:rPr/>
      </w:pPr>
      <w:r>
        <w:rPr>
          <w:rFonts w:ascii="IRNazanin" w:hAnsi="IRNazanin" w:eastAsia="IRNazanin"/>
          <w:color w:val="111111"/>
          <w:sz w:val="28"/>
          <w:sz w:val="28"/>
          <w:szCs w:val="28"/>
          <w:rtl w:val="true"/>
          <w:lang w:bidi="fa-IR"/>
        </w:rPr>
        <w:t xml:space="preserve">در قوانین فعلی، حداقل سنی که در آن کودک به کلی از تعقیب و مجازات معاف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عدم مسئولیت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مقنن، سن مسئولیت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تدریجی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مسئولیت تام را یکسان انگاشته و کودک را بلافاصله پس از رسیدن به سن بلوغ جنسی، در معرض مسئولیت کیفری کامل قرار داده است</w:t>
      </w:r>
      <w:r>
        <w:rPr>
          <w:rFonts w:eastAsia="IRNazanin" w:cs="IRNazanin"/>
          <w:color w:val="111111"/>
          <w:sz w:val="28"/>
          <w:szCs w:val="28"/>
          <w:rtl w:val="true"/>
          <w:lang w:bidi="fa-IR"/>
        </w:rPr>
        <w:t>.</w:t>
      </w:r>
    </w:p>
    <w:p>
      <w:pPr>
        <w:pStyle w:val="Heading5"/>
        <w:numPr>
          <w:ilvl w:val="4"/>
          <w:numId w:val="1"/>
        </w:numPr>
        <w:rPr/>
      </w:pPr>
      <w:bookmarkStart w:id="400" w:name="__RefHeading___Toc3140824_3531895371"/>
      <w:bookmarkStart w:id="401" w:name="_Toc164"/>
      <w:bookmarkEnd w:id="400"/>
      <w:r>
        <w:rPr/>
        <w:t>3</w:t>
      </w:r>
      <w:r>
        <w:rPr>
          <w:rtl w:val="true"/>
        </w:rPr>
        <w:t xml:space="preserve">. </w:t>
      </w:r>
      <w:r>
        <w:rPr>
          <w:rtl w:val="true"/>
        </w:rPr>
        <w:t>تعيين سن بلوغ جنسی به عنوان ملاک مسئولیت کیفری تام</w:t>
      </w:r>
      <w:bookmarkEnd w:id="40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لزوماً به معنای برخورداری از رشد عقلی و قضایی لازم برای درک کامل آثار مجرمانه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زمینه 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معاملات یا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عنوان سن رشد و برخورداری از حقوق کامل اجتماعی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امور کیفری، صرف بلوغ جنسی به عنوان شرط کافی برای تحمیل مسئولیت تام تلقی شده است</w:t>
      </w:r>
      <w:r>
        <w:rPr>
          <w:rFonts w:eastAsia="IRNazanin" w:cs="IRNazanin"/>
          <w:color w:val="111111"/>
          <w:sz w:val="28"/>
          <w:szCs w:val="28"/>
          <w:rtl w:val="true"/>
          <w:lang w:bidi="fa-IR"/>
        </w:rPr>
        <w:t xml:space="preserve">. </w:t>
      </w:r>
      <w:bookmarkStart w:id="402" w:name="pg20875_781563"/>
    </w:p>
    <w:p>
      <w:pPr>
        <w:pStyle w:val="Heading5"/>
        <w:numPr>
          <w:ilvl w:val="4"/>
          <w:numId w:val="1"/>
        </w:numPr>
        <w:rPr/>
      </w:pPr>
      <w:bookmarkStart w:id="403" w:name="__RefHeading___Toc3140826_3531895371"/>
      <w:bookmarkStart w:id="404" w:name="_Toc165"/>
      <w:bookmarkEnd w:id="402"/>
      <w:bookmarkEnd w:id="403"/>
      <w:r>
        <w:rPr/>
        <w:t>4</w:t>
      </w:r>
      <w:r>
        <w:rPr>
          <w:rtl w:val="true"/>
        </w:rPr>
        <w:t xml:space="preserve">. </w:t>
      </w:r>
      <w:r>
        <w:rPr>
          <w:rtl w:val="true"/>
        </w:rPr>
        <w:t xml:space="preserve">تضاد در مفاد ماده </w:t>
      </w:r>
      <w:r>
        <w:rPr/>
        <w:t>49</w:t>
      </w:r>
      <w:r>
        <w:rPr>
          <w:rtl w:val="true"/>
        </w:rPr>
        <w:t xml:space="preserve"> </w:t>
      </w:r>
      <w:r>
        <w:rPr>
          <w:rtl w:val="true"/>
        </w:rPr>
        <w:t>ق</w:t>
      </w:r>
      <w:r>
        <w:rPr>
          <w:rtl w:val="true"/>
        </w:rPr>
        <w:t>.</w:t>
      </w:r>
      <w:r>
        <w:rPr>
          <w:rtl w:val="true"/>
        </w:rPr>
        <w:t>م</w:t>
      </w:r>
      <w:r>
        <w:rPr>
          <w:rtl w:val="true"/>
        </w:rPr>
        <w:t>.</w:t>
      </w:r>
      <w:r>
        <w:rPr>
          <w:rtl w:val="true"/>
        </w:rPr>
        <w:t>ا</w:t>
      </w:r>
      <w:r>
        <w:rPr>
          <w:rtl w:val="true"/>
        </w:rPr>
        <w:t>.</w:t>
      </w:r>
      <w:bookmarkEnd w:id="404"/>
    </w:p>
    <w:p>
      <w:pPr>
        <w:pStyle w:val="BookText"/>
        <w:rPr/>
      </w:pPr>
      <w:r>
        <w:rPr>
          <w:rFonts w:ascii="IRNazanin" w:hAnsi="IRNazanin" w:eastAsia="IRNazanin"/>
          <w:color w:val="111111"/>
          <w:sz w:val="28"/>
          <w:sz w:val="28"/>
          <w:szCs w:val="28"/>
          <w:rtl w:val="true"/>
          <w:lang w:bidi="fa-IR"/>
        </w:rPr>
        <w:t xml:space="preserve">صدر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را مبرا از مسئولیت کیفری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مداخله قضایی، تسلیم طفل به کانون اصلاح و تربیت و حتی تنبیه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نوعی تعقیب و محدودسازی را برای طفل غیر مسئول به دنبال دارد که با اصل عدم مسئولیت کیفری در ظاهر در تناقض است</w:t>
      </w:r>
      <w:r>
        <w:rPr>
          <w:rFonts w:eastAsia="IRNazanin" w:cs="IRNazanin"/>
          <w:color w:val="111111"/>
          <w:sz w:val="28"/>
          <w:szCs w:val="28"/>
          <w:rtl w:val="true"/>
          <w:lang w:bidi="fa-IR"/>
        </w:rPr>
        <w:t>.</w:t>
      </w:r>
    </w:p>
    <w:p>
      <w:pPr>
        <w:pStyle w:val="Heading5"/>
        <w:numPr>
          <w:ilvl w:val="4"/>
          <w:numId w:val="1"/>
        </w:numPr>
        <w:rPr/>
      </w:pPr>
      <w:bookmarkStart w:id="405" w:name="__RefHeading___Toc3140828_3531895371"/>
      <w:bookmarkStart w:id="406" w:name="_Toc166"/>
      <w:bookmarkEnd w:id="405"/>
      <w:r>
        <w:rPr/>
        <w:t>5</w:t>
      </w:r>
      <w:r>
        <w:rPr>
          <w:rtl w:val="true"/>
        </w:rPr>
        <w:t xml:space="preserve">. </w:t>
      </w:r>
      <w:r>
        <w:rPr>
          <w:rtl w:val="true"/>
        </w:rPr>
        <w:t>تعارض اصل عدم مسئولیت با مجازات پیش بینی شده برای نابالغان</w:t>
      </w:r>
      <w:bookmarkEnd w:id="406"/>
    </w:p>
    <w:p>
      <w:pPr>
        <w:pStyle w:val="BookText"/>
        <w:rPr/>
      </w:pPr>
      <w:r>
        <w:rPr>
          <w:rFonts w:ascii="IRNazanin" w:hAnsi="IRNazanin" w:eastAsia="IRNazanin"/>
          <w:color w:val="111111"/>
          <w:sz w:val="28"/>
          <w:sz w:val="28"/>
          <w:szCs w:val="28"/>
          <w:rtl w:val="true"/>
          <w:lang w:bidi="fa-IR"/>
        </w:rPr>
        <w:t xml:space="preserve">مقنن در مواردی مانند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افراد نابالغ نیز مجازات تعزیری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تأدیب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می دهد که عدم مسئولیت کیفری اطفال تا پیش از بلوغ، امری مطلق نیست و قانون در پارهای موارد از آن عدول کرده است</w:t>
      </w:r>
      <w:r>
        <w:rPr>
          <w:rFonts w:eastAsia="IRNazanin" w:cs="IRNazanin"/>
          <w:color w:val="111111"/>
          <w:sz w:val="28"/>
          <w:szCs w:val="28"/>
          <w:rtl w:val="true"/>
          <w:lang w:bidi="fa-IR"/>
        </w:rPr>
        <w:t>.</w:t>
      </w:r>
    </w:p>
    <w:p>
      <w:pPr>
        <w:pStyle w:val="Heading5"/>
        <w:numPr>
          <w:ilvl w:val="4"/>
          <w:numId w:val="1"/>
        </w:numPr>
        <w:rPr/>
      </w:pPr>
      <w:bookmarkStart w:id="407" w:name="__RefHeading___Toc3140830_3531895371"/>
      <w:bookmarkStart w:id="408" w:name="_Toc167"/>
      <w:bookmarkEnd w:id="407"/>
      <w:r>
        <w:rPr>
          <w:rtl w:val="true"/>
        </w:rPr>
        <w:t>جمع بندی</w:t>
      </w:r>
      <w:r>
        <w:rPr>
          <w:rtl w:val="true"/>
        </w:rPr>
        <w:t>:</w:t>
      </w:r>
      <w:bookmarkEnd w:id="40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مجازات اسلامی فعلی با تعیین سن بلوغ جنسی به عنوان سن مسئولیت کیفری تام، چالش های مهمی در زمینۀ عدالت کیفری، حمایت از اطفال و انطباق با معیارهای رشد عقلی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 ها لزوم بازنگری در قانون، تفکیک سن مسئولیت نسبی از سن مسئولیت تام و تعریف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معیارهای رشد فکری و روانی را پررنگ می سازد</w:t>
      </w:r>
      <w:r>
        <w:rPr>
          <w:rFonts w:eastAsia="IRNazanin" w:cs="IRNazanin"/>
          <w:color w:val="111111"/>
          <w:sz w:val="28"/>
          <w:szCs w:val="28"/>
          <w:rtl w:val="true"/>
          <w:lang w:bidi="fa-IR"/>
        </w:rPr>
        <w:t xml:space="preserve">. </w:t>
      </w:r>
      <w:bookmarkStart w:id="409" w:name="pg20875_781564"/>
    </w:p>
    <w:p>
      <w:pPr>
        <w:pStyle w:val="Heading4"/>
        <w:numPr>
          <w:ilvl w:val="3"/>
          <w:numId w:val="1"/>
        </w:numPr>
        <w:rPr/>
      </w:pPr>
      <w:bookmarkStart w:id="410" w:name="__RefHeading___Toc3140832_3531895371"/>
      <w:bookmarkStart w:id="411" w:name="_Toc168"/>
      <w:bookmarkEnd w:id="409"/>
      <w:bookmarkEnd w:id="410"/>
      <w:r>
        <w:rPr/>
        <w:t>3/5/2</w:t>
      </w:r>
      <w:r>
        <w:rPr>
          <w:rtl w:val="true"/>
        </w:rPr>
        <w:t xml:space="preserve">. </w:t>
      </w:r>
      <w:r>
        <w:rPr>
          <w:rtl w:val="true"/>
        </w:rPr>
        <w:t>لایحه جدید قانون مجازات اسلامی</w:t>
      </w:r>
      <w:bookmarkEnd w:id="411"/>
    </w:p>
    <w:p>
      <w:pPr>
        <w:pStyle w:val="Heading5"/>
        <w:numPr>
          <w:ilvl w:val="4"/>
          <w:numId w:val="1"/>
        </w:numPr>
        <w:rPr/>
      </w:pPr>
      <w:bookmarkStart w:id="412" w:name="__RefHeading___Toc3140834_3531895371"/>
      <w:bookmarkStart w:id="413" w:name="_Toc16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هر چند در خصوص سن بلوغ، لایحه جدید قانون مجازات اسلامی تغییری ایجاد نکرده و همان سنین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برای دختران،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برای پسران را مطابق نظر مشهور فقهی و قانون مدنی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زمینۀ سن مسئولیت تام کیفری تحولات چشمگیری صورت گرفته است</w:t>
      </w:r>
      <w:r>
        <w:rPr>
          <w:rFonts w:eastAsia="IRNazanin" w:cs="IRNazanin"/>
          <w:color w:val="111111"/>
          <w:sz w:val="28"/>
          <w:szCs w:val="28"/>
          <w:rtl w:val="true"/>
          <w:lang w:bidi="fa-IR"/>
        </w:rPr>
        <w:t>.</w:t>
      </w:r>
    </w:p>
    <w:p>
      <w:pPr>
        <w:pStyle w:val="Heading5"/>
        <w:numPr>
          <w:ilvl w:val="4"/>
          <w:numId w:val="1"/>
        </w:numPr>
        <w:rPr/>
      </w:pPr>
      <w:bookmarkStart w:id="414" w:name="__RefHeading___Toc3140836_3531895371"/>
      <w:bookmarkStart w:id="415" w:name="_Toc170"/>
      <w:bookmarkEnd w:id="414"/>
      <w:r>
        <w:rPr>
          <w:rtl w:val="true"/>
        </w:rPr>
        <w:t>تحولات لایحه در سن مسئولیت تام کیفری</w:t>
      </w:r>
      <w:r>
        <w:rPr>
          <w:rtl w:val="true"/>
        </w:rPr>
        <w:t>:</w:t>
      </w:r>
      <w:bookmarkEnd w:id="415"/>
    </w:p>
    <w:p>
      <w:pPr>
        <w:pStyle w:val="Heading6"/>
        <w:numPr>
          <w:ilvl w:val="5"/>
          <w:numId w:val="1"/>
        </w:numPr>
        <w:rPr/>
      </w:pPr>
      <w:bookmarkStart w:id="416" w:name="__RefHeading___Toc3140838_3531895371"/>
      <w:bookmarkStart w:id="417" w:name="_Toc171"/>
      <w:bookmarkEnd w:id="416"/>
      <w:r>
        <w:rPr/>
        <w:t>1</w:t>
      </w:r>
      <w:r>
        <w:rPr>
          <w:rtl w:val="true"/>
        </w:rPr>
        <w:t xml:space="preserve">. </w:t>
      </w:r>
      <w:r>
        <w:rPr>
          <w:rtl w:val="true"/>
        </w:rPr>
        <w:t>در جرائم تعزیری</w:t>
      </w:r>
      <w:r>
        <w:rPr>
          <w:rtl w:val="true"/>
        </w:rPr>
        <w:t>:</w:t>
      </w:r>
      <w:bookmarkEnd w:id="417"/>
    </w:p>
    <w:p>
      <w:pPr>
        <w:pStyle w:val="BookText"/>
        <w:rPr/>
      </w:pPr>
      <w:r>
        <w:rPr>
          <w:rFonts w:ascii="IRNazanin" w:hAnsi="IRNazanin" w:eastAsia="IRNazanin"/>
          <w:color w:val="111111"/>
          <w:sz w:val="28"/>
          <w:sz w:val="28"/>
          <w:szCs w:val="28"/>
          <w:rtl w:val="true"/>
          <w:lang w:bidi="fa-IR"/>
        </w:rPr>
        <w:t xml:space="preserve">سن مسئولیت کامل کیفری از بلوغ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افراد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صورت ارتکاب جرائم تعزیری، مشمول مجازات کامل بزرگ سالان می شوند</w:t>
      </w:r>
      <w:r>
        <w:rPr>
          <w:rFonts w:eastAsia="IRNazanin" w:cs="IRNazanin"/>
          <w:color w:val="111111"/>
          <w:sz w:val="28"/>
          <w:szCs w:val="28"/>
          <w:rtl w:val="true"/>
          <w:lang w:bidi="fa-IR"/>
        </w:rPr>
        <w:t>.</w:t>
      </w:r>
    </w:p>
    <w:p>
      <w:pPr>
        <w:pStyle w:val="Heading6"/>
        <w:numPr>
          <w:ilvl w:val="5"/>
          <w:numId w:val="1"/>
        </w:numPr>
        <w:rPr/>
      </w:pPr>
      <w:bookmarkStart w:id="418" w:name="__RefHeading___Toc3140840_3531895371"/>
      <w:bookmarkStart w:id="419" w:name="_Toc172"/>
      <w:bookmarkEnd w:id="418"/>
      <w:r>
        <w:rPr/>
        <w:t>2</w:t>
      </w:r>
      <w:r>
        <w:rPr>
          <w:rtl w:val="true"/>
        </w:rPr>
        <w:t xml:space="preserve">. </w:t>
      </w:r>
      <w:r>
        <w:rPr>
          <w:rtl w:val="true"/>
        </w:rPr>
        <w:t>در حدود و قصاص</w:t>
      </w:r>
      <w:r>
        <w:rPr>
          <w:rtl w:val="true"/>
        </w:rPr>
        <w:t>:</w:t>
      </w:r>
      <w:bookmarkEnd w:id="419"/>
    </w:p>
    <w:p>
      <w:pPr>
        <w:pStyle w:val="BookText"/>
        <w:rPr/>
      </w:pPr>
      <w:r>
        <w:rPr>
          <w:rFonts w:ascii="IRNazanin" w:hAnsi="IRNazanin" w:eastAsia="IRNazanin"/>
          <w:color w:val="111111"/>
          <w:sz w:val="28"/>
          <w:sz w:val="28"/>
          <w:szCs w:val="28"/>
          <w:rtl w:val="true"/>
          <w:lang w:bidi="fa-IR"/>
        </w:rPr>
        <w:t>برای اعمال مسئولیت کامل کیفری، علاوه بر بلوغ، رشد کیفری نیز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 مسئولیت تام کیفری در این جرائم، رسیدن به سن بلوغ همراه با احراز رشد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تصریح شده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جرائم موجب حد یا قصاص، هرگاه افراد بالغ کم تر از هجده سال، ماهیت جرم انجام شده یا حرمت آن را درک نکنند و یا در رشد و کمال عقل آنان شبهه وجود داشته باشد، حسب مورد با توجه به سن آن ها به مجازات پیش بینی شده در این فصل محکوم خواهند شد</w:t>
      </w:r>
      <w:r>
        <w:rPr>
          <w:rFonts w:eastAsia="IRNazanin" w:cs="IRNazanin"/>
          <w:color w:val="111111"/>
          <w:sz w:val="28"/>
          <w:szCs w:val="28"/>
          <w:rtl w:val="true"/>
          <w:lang w:bidi="fa-IR"/>
        </w:rPr>
        <w:t xml:space="preserve">.» </w:t>
      </w:r>
      <w:bookmarkStart w:id="420" w:name="pg20875_781565"/>
    </w:p>
    <w:p>
      <w:pPr>
        <w:pStyle w:val="Heading3"/>
        <w:numPr>
          <w:ilvl w:val="2"/>
          <w:numId w:val="1"/>
        </w:numPr>
        <w:rPr/>
      </w:pPr>
      <w:bookmarkStart w:id="421" w:name="__RefHeading___Toc3140842_3531895371"/>
      <w:bookmarkStart w:id="422" w:name="_Toc173"/>
      <w:bookmarkEnd w:id="420"/>
      <w:bookmarkEnd w:id="421"/>
      <w:r>
        <w:rPr/>
        <w:t>3/6</w:t>
      </w:r>
      <w:r>
        <w:rPr>
          <w:rtl w:val="true"/>
        </w:rPr>
        <w:t xml:space="preserve">. </w:t>
      </w:r>
      <w:r>
        <w:rPr>
          <w:rtl w:val="true"/>
        </w:rPr>
        <w:t>سن مسئولیت کیفری در قرآن</w:t>
      </w:r>
      <w:bookmarkEnd w:id="422"/>
    </w:p>
    <w:p>
      <w:pPr>
        <w:pStyle w:val="Heading4"/>
        <w:numPr>
          <w:ilvl w:val="3"/>
          <w:numId w:val="1"/>
        </w:numPr>
        <w:rPr/>
      </w:pPr>
      <w:bookmarkStart w:id="423" w:name="__RefHeading___Toc3140844_3531895371"/>
      <w:bookmarkStart w:id="424" w:name="_Toc17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احکام اسلامی از منابع چهارگانه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عقل و اجماع استخراج می شوند که قرآن از اساسی ترین آن هاست؛ زیرا علاوه بر آن که خود منبع مستقل احکام است، اعتبار برخی دیگر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منوط به عدم تعارض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مربوط به بلوغ، نتایج زیر به دست می آید</w:t>
      </w:r>
      <w:r>
        <w:rPr>
          <w:rFonts w:eastAsia="IRNazanin" w:cs="IRNazanin"/>
          <w:color w:val="111111"/>
          <w:sz w:val="28"/>
          <w:szCs w:val="28"/>
          <w:rtl w:val="true"/>
          <w:lang w:bidi="fa-IR"/>
        </w:rPr>
        <w:t>:</w:t>
      </w:r>
    </w:p>
    <w:p>
      <w:pPr>
        <w:pStyle w:val="Heading4"/>
        <w:numPr>
          <w:ilvl w:val="3"/>
          <w:numId w:val="1"/>
        </w:numPr>
        <w:rPr/>
      </w:pPr>
      <w:bookmarkStart w:id="425" w:name="__RefHeading___Toc3140846_3531895371"/>
      <w:bookmarkStart w:id="426" w:name="_Toc175"/>
      <w:bookmarkEnd w:id="425"/>
      <w:r>
        <w:rPr/>
        <w:t>1</w:t>
      </w:r>
      <w:r>
        <w:rPr>
          <w:rtl w:val="true"/>
        </w:rPr>
        <w:t xml:space="preserve">. </w:t>
      </w:r>
      <w:r>
        <w:rPr>
          <w:rtl w:val="true"/>
        </w:rPr>
        <w:t>بلوغ به مثابه امری طبیعی و تکوینی</w:t>
      </w:r>
      <w:bookmarkEnd w:id="426"/>
    </w:p>
    <w:p>
      <w:pPr>
        <w:pStyle w:val="BookText"/>
        <w:rPr/>
      </w:pPr>
      <w:r>
        <w:rPr>
          <w:rFonts w:ascii="IRNazanin" w:hAnsi="IRNazanin" w:eastAsia="IRNazanin"/>
          <w:color w:val="111111"/>
          <w:sz w:val="28"/>
          <w:sz w:val="28"/>
          <w:szCs w:val="28"/>
          <w:rtl w:val="true"/>
          <w:lang w:bidi="fa-IR"/>
        </w:rPr>
        <w:t xml:space="preserve">بررسی واژه های بیانگر بلوغ در قرآن نشان می دهد که بلوغ و رسیدن کودک به مرحله تکلیف، پدیده ای طبیعی، تکوینی و جنسی است که در فرهنگ قرآنی با تعابیری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بَلَغَ الْأَطْفَالُ مِنكُمُ الْحُلُمَ فَلْيَسْتَأْذِنُوا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140848_3531895371"/>
      <w:bookmarkStart w:id="428" w:name="_Toc176"/>
      <w:bookmarkEnd w:id="427"/>
      <w:r>
        <w:rPr/>
        <w:t>2</w:t>
      </w:r>
      <w:r>
        <w:rPr>
          <w:rtl w:val="true"/>
        </w:rPr>
        <w:t xml:space="preserve">. </w:t>
      </w:r>
      <w:r>
        <w:rPr>
          <w:rtl w:val="true"/>
        </w:rPr>
        <w:t>معیار اصلی بلوغ توانایی جنسی و فکری</w:t>
      </w:r>
      <w:bookmarkEnd w:id="42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اصلی عبور از دوره کودکی و ورود به بزرگ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مردانگی و زنانگی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احتلام، قدرت بر عمل زناشویی و تحقق بلوغ 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جنسی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امور تکوینی و طبیعی هستند، تشخیص آن ها با عرف است، نه شرع؛ بنابراین تعیین سن خاص برای بلوغ در امور تکوینی خارج از وظیفه شارع است؛ از این رو در قرآن هیچ اشاره ای به سن مشخص برای بلوغ دختر و پسر نشده و به جای آن معیارهای کلی ارائه شده است</w:t>
      </w:r>
      <w:r>
        <w:rPr>
          <w:rFonts w:eastAsia="IRNazanin" w:cs="IRNazanin"/>
          <w:color w:val="111111"/>
          <w:sz w:val="28"/>
          <w:szCs w:val="28"/>
          <w:rtl w:val="true"/>
          <w:lang w:bidi="fa-IR"/>
        </w:rPr>
        <w:t xml:space="preserve">. </w:t>
      </w:r>
      <w:bookmarkStart w:id="429" w:name="pg20875_781566"/>
    </w:p>
    <w:p>
      <w:pPr>
        <w:pStyle w:val="Heading4"/>
        <w:numPr>
          <w:ilvl w:val="3"/>
          <w:numId w:val="1"/>
        </w:numPr>
        <w:rPr/>
      </w:pPr>
      <w:bookmarkStart w:id="430" w:name="__RefHeading___Toc3140850_3531895371"/>
      <w:bookmarkStart w:id="431" w:name="_Toc177"/>
      <w:bookmarkEnd w:id="429"/>
      <w:bookmarkEnd w:id="430"/>
      <w:r>
        <w:rPr/>
        <w:t>3</w:t>
      </w:r>
      <w:r>
        <w:rPr>
          <w:rtl w:val="true"/>
        </w:rPr>
        <w:t xml:space="preserve">. </w:t>
      </w:r>
      <w:r>
        <w:rPr>
          <w:rtl w:val="true"/>
        </w:rPr>
        <w:t>شرط دوگانه مسئولیت کیفری</w:t>
      </w:r>
      <w:bookmarkEnd w:id="431"/>
    </w:p>
    <w:p>
      <w:pPr>
        <w:pStyle w:val="BookText"/>
        <w:rPr/>
      </w:pP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سن مسئولیت کیفری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پسر به حد احتلام و دختر به حد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تأکید می شود که برای تحقق مسئولیت کیفری، علاوه بر بلوغ جنسی، بلوغ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 بنابراین دو شرط لازم برای مسئولیت کیفری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حد بلوغ جنسی؛</w:t>
      </w:r>
    </w:p>
    <w:p>
      <w:pPr>
        <w:pStyle w:val="BookText"/>
        <w:rPr/>
      </w:pPr>
      <w:r>
        <w:rPr>
          <w:rFonts w:ascii="IRNazanin" w:hAnsi="IRNazanin" w:eastAsia="IRNazanin"/>
          <w:color w:val="111111"/>
          <w:sz w:val="28"/>
          <w:sz w:val="28"/>
          <w:szCs w:val="28"/>
          <w:rtl w:val="true"/>
          <w:lang w:bidi="fa-IR"/>
        </w:rPr>
        <w:t>رسیدن به رشد و بلوغ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شخص فاقد مسئولیت کیفری بوده و نمی توان او را مجازات نمود</w:t>
      </w:r>
      <w:r>
        <w:rPr>
          <w:rFonts w:eastAsia="IRNazanin" w:cs="IRNazanin"/>
          <w:color w:val="111111"/>
          <w:sz w:val="28"/>
          <w:szCs w:val="28"/>
          <w:rtl w:val="true"/>
          <w:lang w:bidi="fa-IR"/>
        </w:rPr>
        <w:t>.</w:t>
      </w:r>
    </w:p>
    <w:p>
      <w:pPr>
        <w:pStyle w:val="Heading4"/>
        <w:numPr>
          <w:ilvl w:val="3"/>
          <w:numId w:val="1"/>
        </w:numPr>
        <w:rPr/>
      </w:pPr>
      <w:bookmarkStart w:id="432" w:name="__RefHeading___Toc3140852_3531895371"/>
      <w:bookmarkStart w:id="433" w:name="_Toc178"/>
      <w:bookmarkEnd w:id="432"/>
      <w:r>
        <w:rPr/>
        <w:t>4</w:t>
      </w:r>
      <w:r>
        <w:rPr>
          <w:rtl w:val="true"/>
        </w:rPr>
        <w:t xml:space="preserve">. </w:t>
      </w:r>
      <w:r>
        <w:rPr>
          <w:rtl w:val="true"/>
        </w:rPr>
        <w:t>عدم موضوعیت سن در تحقق بلوغ</w:t>
      </w:r>
      <w:bookmarkEnd w:id="43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سن در تحقق بلوغ نه موضوعیت دارد و نه به عنوان اماره ای از امارات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ظهور علائم طبیعی و تکوینی بلوغ است</w:t>
      </w:r>
      <w:r>
        <w:rPr>
          <w:rFonts w:eastAsia="IRNazanin" w:cs="IRNazanin"/>
          <w:color w:val="111111"/>
          <w:sz w:val="28"/>
          <w:szCs w:val="28"/>
          <w:rtl w:val="true"/>
          <w:lang w:bidi="fa-IR"/>
        </w:rPr>
        <w:t xml:space="preserve">. </w:t>
      </w:r>
      <w:bookmarkStart w:id="434" w:name="pg20875_781567"/>
    </w:p>
    <w:p>
      <w:pPr>
        <w:pStyle w:val="Heading3"/>
        <w:numPr>
          <w:ilvl w:val="2"/>
          <w:numId w:val="1"/>
        </w:numPr>
        <w:rPr/>
      </w:pPr>
      <w:bookmarkStart w:id="435" w:name="__RefHeading___Toc3140854_3531895371"/>
      <w:bookmarkStart w:id="436" w:name="_Toc179"/>
      <w:bookmarkEnd w:id="434"/>
      <w:bookmarkEnd w:id="435"/>
      <w:r>
        <w:rPr/>
        <w:t>3/7</w:t>
      </w:r>
      <w:r>
        <w:rPr>
          <w:rtl w:val="true"/>
        </w:rPr>
        <w:t xml:space="preserve">. </w:t>
      </w:r>
      <w:r>
        <w:rPr>
          <w:rtl w:val="true"/>
        </w:rPr>
        <w:t>سن مسئولیت کیفری در سُنّت</w:t>
      </w:r>
      <w:bookmarkEnd w:id="436"/>
    </w:p>
    <w:p>
      <w:pPr>
        <w:pStyle w:val="Heading4"/>
        <w:numPr>
          <w:ilvl w:val="3"/>
          <w:numId w:val="1"/>
        </w:numPr>
        <w:rPr/>
      </w:pPr>
      <w:bookmarkStart w:id="437" w:name="__RefHeading___Toc3140856_3531895371"/>
      <w:bookmarkStart w:id="438" w:name="_Toc18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پس از قرآن که کلام وحی است، سخنان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عدل کلام وحی و یکی از منابع تقنین در اسلام،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احادیث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مفسران وحی، از منابع مهم تشریع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منبع در موضوع مسئولیت کیفری، اهمیت ویژه ای دارد</w:t>
      </w:r>
      <w:r>
        <w:rPr>
          <w:rFonts w:eastAsia="IRNazanin" w:cs="IRNazanin"/>
          <w:color w:val="111111"/>
          <w:sz w:val="28"/>
          <w:szCs w:val="28"/>
          <w:rtl w:val="true"/>
          <w:lang w:bidi="fa-IR"/>
        </w:rPr>
        <w:t>.</w:t>
      </w:r>
    </w:p>
    <w:p>
      <w:pPr>
        <w:pStyle w:val="Heading4"/>
        <w:numPr>
          <w:ilvl w:val="3"/>
          <w:numId w:val="1"/>
        </w:numPr>
        <w:rPr/>
      </w:pPr>
      <w:bookmarkStart w:id="439" w:name="__RefHeading___Toc3140858_3531895371"/>
      <w:bookmarkStart w:id="440" w:name="_Toc181"/>
      <w:bookmarkEnd w:id="439"/>
      <w:r>
        <w:rPr/>
        <w:t>3/7/1</w:t>
      </w:r>
      <w:r>
        <w:rPr>
          <w:rtl w:val="true"/>
        </w:rPr>
        <w:t xml:space="preserve">. </w:t>
      </w:r>
      <w:r>
        <w:rPr>
          <w:rtl w:val="true"/>
        </w:rPr>
        <w:t xml:space="preserve">سن مسئولیت کیفری در روایات پیامبر اکرم </w:t>
      </w:r>
      <w:r>
        <w:rPr>
          <w:rtl w:val="true"/>
        </w:rPr>
        <w:t>(</w:t>
      </w:r>
      <w:r>
        <w:rPr>
          <w:rtl w:val="true"/>
        </w:rPr>
        <w:t>صلی الله علیه و آله</w:t>
      </w:r>
      <w:r>
        <w:rPr>
          <w:rtl w:val="true"/>
        </w:rPr>
        <w:t>)</w:t>
      </w:r>
      <w:bookmarkEnd w:id="440"/>
    </w:p>
    <w:p>
      <w:pPr>
        <w:pStyle w:val="Heading5"/>
        <w:numPr>
          <w:ilvl w:val="4"/>
          <w:numId w:val="1"/>
        </w:numPr>
        <w:rPr/>
      </w:pPr>
      <w:bookmarkStart w:id="441" w:name="__RefHeading___Toc3140860_3531895371"/>
      <w:bookmarkStart w:id="442" w:name="_Toc18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با تأمل در روایات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نتایج زیر را استنباط کرد</w:t>
      </w:r>
      <w:r>
        <w:rPr>
          <w:rFonts w:eastAsia="IRNazanin" w:cs="IRNazanin"/>
          <w:color w:val="111111"/>
          <w:sz w:val="28"/>
          <w:szCs w:val="28"/>
          <w:rtl w:val="true"/>
          <w:lang w:bidi="fa-IR"/>
        </w:rPr>
        <w:t>:</w:t>
      </w:r>
    </w:p>
    <w:p>
      <w:pPr>
        <w:pStyle w:val="Heading5"/>
        <w:numPr>
          <w:ilvl w:val="4"/>
          <w:numId w:val="1"/>
        </w:numPr>
        <w:rPr/>
      </w:pPr>
      <w:bookmarkStart w:id="443" w:name="__RefHeading___Toc3140862_3531895371"/>
      <w:bookmarkStart w:id="444" w:name="_Toc183"/>
      <w:bookmarkEnd w:id="443"/>
      <w:r>
        <w:rPr/>
        <w:t>1</w:t>
      </w:r>
      <w:r>
        <w:rPr>
          <w:rtl w:val="true"/>
        </w:rPr>
        <w:t xml:space="preserve">. </w:t>
      </w:r>
      <w:r>
        <w:rPr>
          <w:rtl w:val="true"/>
        </w:rPr>
        <w:t>انسجام با آیات قرآن</w:t>
      </w:r>
      <w:bookmarkEnd w:id="444"/>
    </w:p>
    <w:p>
      <w:pPr>
        <w:pStyle w:val="BookText"/>
        <w:rPr/>
      </w:pPr>
      <w:r>
        <w:rPr>
          <w:rFonts w:ascii="IRNazanin" w:hAnsi="IRNazanin" w:eastAsia="IRNazanin"/>
          <w:color w:val="111111"/>
          <w:sz w:val="28"/>
          <w:sz w:val="28"/>
          <w:szCs w:val="28"/>
          <w:rtl w:val="true"/>
          <w:lang w:bidi="fa-IR"/>
        </w:rPr>
        <w:t xml:space="preserve">در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کامل با آیات قرآن درباره بلوغ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وَعَنِ النَّائِمِ حَتَّى يَسْتَيْقِظَ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دوران کودکی تا پیش از احتلام ادامه دارد و در این مدت، قلم تکلیف از کودک برداشته شده است؛ بنابراین، کودک تا رسیدن به احتلام فاقد تکلیف و در نتیجه معاف از مسئولیت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پایان 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احتلام، است و به محض احتلام فرد دیگر کودک محسوب نمی شود</w:t>
      </w:r>
      <w:r>
        <w:rPr>
          <w:rFonts w:eastAsia="IRNazanin" w:cs="IRNazanin"/>
          <w:color w:val="111111"/>
          <w:sz w:val="28"/>
          <w:szCs w:val="28"/>
          <w:rtl w:val="true"/>
          <w:lang w:bidi="fa-IR"/>
        </w:rPr>
        <w:t>.</w:t>
      </w:r>
    </w:p>
    <w:p>
      <w:pPr>
        <w:pStyle w:val="Heading5"/>
        <w:numPr>
          <w:ilvl w:val="4"/>
          <w:numId w:val="1"/>
        </w:numPr>
        <w:rPr/>
      </w:pPr>
      <w:bookmarkStart w:id="445" w:name="__RefHeading___Toc3140864_3531895371"/>
      <w:bookmarkStart w:id="446" w:name="_Toc184"/>
      <w:bookmarkEnd w:id="445"/>
      <w:r>
        <w:rPr/>
        <w:t>2</w:t>
      </w:r>
      <w:r>
        <w:rPr>
          <w:rtl w:val="true"/>
        </w:rPr>
        <w:t xml:space="preserve">. </w:t>
      </w:r>
      <w:r>
        <w:rPr>
          <w:rtl w:val="true"/>
        </w:rPr>
        <w:t>احتلام به عنوان معیار اصلی بلوغ</w:t>
      </w:r>
      <w:bookmarkEnd w:id="446"/>
    </w:p>
    <w:p>
      <w:pPr>
        <w:pStyle w:val="BookText"/>
        <w:rPr/>
      </w:pPr>
      <w:r>
        <w:rPr>
          <w:rFonts w:ascii="IRNazanin" w:hAnsi="IRNazanin" w:eastAsia="IRNazanin"/>
          <w:color w:val="111111"/>
          <w:sz w:val="28"/>
          <w:sz w:val="28"/>
          <w:szCs w:val="28"/>
          <w:rtl w:val="true"/>
          <w:lang w:bidi="fa-IR"/>
        </w:rPr>
        <w:t xml:space="preserve">در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احتلام به عنوان ملاک اصلی رسیدن به حد بلوغ تعیین شده و هیچ اشاره ای به سن مشخص برای تحقق بلوغ نشده است</w:t>
      </w:r>
      <w:r>
        <w:rPr>
          <w:rFonts w:eastAsia="IRNazanin" w:cs="IRNazanin"/>
          <w:color w:val="111111"/>
          <w:sz w:val="28"/>
          <w:szCs w:val="28"/>
          <w:rtl w:val="true"/>
          <w:lang w:bidi="fa-IR"/>
        </w:rPr>
        <w:t>.</w:t>
      </w:r>
    </w:p>
    <w:p>
      <w:pPr>
        <w:pStyle w:val="Heading5"/>
        <w:numPr>
          <w:ilvl w:val="4"/>
          <w:numId w:val="1"/>
        </w:numPr>
        <w:rPr/>
      </w:pPr>
      <w:bookmarkStart w:id="447" w:name="__RefHeading___Toc3140866_3531895371"/>
      <w:bookmarkStart w:id="448" w:name="_Toc185"/>
      <w:bookmarkEnd w:id="447"/>
      <w:r>
        <w:rPr/>
        <w:t>3</w:t>
      </w:r>
      <w:r>
        <w:rPr>
          <w:rtl w:val="true"/>
        </w:rPr>
        <w:t xml:space="preserve">. </w:t>
      </w:r>
      <w:r>
        <w:rPr>
          <w:rtl w:val="true"/>
        </w:rPr>
        <w:t>معيار واحد بلوغ برای پسران و دختران</w:t>
      </w:r>
      <w:bookmarkEnd w:id="44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وحیانی و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خروج از کودکی برای پسران احتلام و برای دختران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449" w:name="pg20875_781568"/>
    </w:p>
    <w:p>
      <w:pPr>
        <w:pStyle w:val="Heading5"/>
        <w:numPr>
          <w:ilvl w:val="4"/>
          <w:numId w:val="1"/>
        </w:numPr>
        <w:rPr/>
      </w:pPr>
      <w:bookmarkStart w:id="450" w:name="__RefHeading___Toc3140868_3531895371"/>
      <w:bookmarkStart w:id="451" w:name="_Toc186"/>
      <w:bookmarkEnd w:id="449"/>
      <w:bookmarkEnd w:id="450"/>
      <w:r>
        <w:rPr/>
        <w:t>4</w:t>
      </w:r>
      <w:r>
        <w:rPr>
          <w:rtl w:val="true"/>
        </w:rPr>
        <w:t xml:space="preserve">. </w:t>
      </w:r>
      <w:r>
        <w:rPr>
          <w:rtl w:val="true"/>
        </w:rPr>
        <w:t>شرط دوگانه برای مسئولیت کیفری</w:t>
      </w:r>
      <w:bookmarkEnd w:id="451"/>
    </w:p>
    <w:p>
      <w:pPr>
        <w:pStyle w:val="BookText"/>
        <w:rPr/>
      </w:pPr>
      <w:r>
        <w:rPr>
          <w:rFonts w:ascii="IRNazanin" w:hAnsi="IRNazanin" w:eastAsia="IRNazanin"/>
          <w:color w:val="111111"/>
          <w:sz w:val="28"/>
          <w:sz w:val="28"/>
          <w:szCs w:val="28"/>
          <w:rtl w:val="true"/>
          <w:lang w:bidi="fa-IR"/>
        </w:rPr>
        <w:t xml:space="preserve">با این حال، برای تحقق مسئولیت کیفری کودکان، علاوه بر شرط بلوغ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یا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رسیدن به مرحله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بنابراین، صرف تحقق بلوغ جنسی به تنهایی برای بارگذاری مسئولیت کیفری تام کافی نیست</w:t>
      </w:r>
      <w:r>
        <w:rPr>
          <w:rFonts w:eastAsia="IRNazanin" w:cs="IRNazanin"/>
          <w:color w:val="111111"/>
          <w:sz w:val="28"/>
          <w:szCs w:val="28"/>
          <w:rtl w:val="true"/>
          <w:lang w:bidi="fa-IR"/>
        </w:rPr>
        <w:t>.</w:t>
      </w:r>
    </w:p>
    <w:p>
      <w:pPr>
        <w:pStyle w:val="Heading5"/>
        <w:numPr>
          <w:ilvl w:val="4"/>
          <w:numId w:val="1"/>
        </w:numPr>
        <w:rPr/>
      </w:pPr>
      <w:bookmarkStart w:id="452" w:name="__RefHeading___Toc3140870_3531895371"/>
      <w:bookmarkStart w:id="453" w:name="_Toc187"/>
      <w:bookmarkEnd w:id="452"/>
      <w:r>
        <w:rPr>
          <w:rtl w:val="true"/>
        </w:rPr>
        <w:t>نتیجه گیری</w:t>
      </w:r>
      <w:r>
        <w:rPr>
          <w:rtl w:val="true"/>
        </w:rPr>
        <w:t>:</w:t>
      </w:r>
      <w:bookmarkEnd w:id="453"/>
    </w:p>
    <w:p>
      <w:pPr>
        <w:pStyle w:val="BookText"/>
        <w:rPr/>
      </w:pPr>
      <w:r>
        <w:rPr>
          <w:rFonts w:ascii="IRNazanin" w:hAnsi="IRNazanin" w:eastAsia="IRNazanin"/>
          <w:color w:val="111111"/>
          <w:sz w:val="28"/>
          <w:sz w:val="28"/>
          <w:szCs w:val="28"/>
          <w:rtl w:val="true"/>
          <w:lang w:bidi="fa-IR"/>
        </w:rPr>
        <w:t xml:space="preserve">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طبیعی و تکوینی بودن بلوغ تأکید داشته و سن را به عنوان معیار مستقل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آیات قرآن همسو است و مسئولیت کیفری را منوط به دو شرط بلوغ جنسی و رشد عقلی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می تواند پشتوانه ای برای نظام مند کردن سن مسئولیت کیفری در قوانین موضوعه، با در نظر گرفتن ظرفیت های روانی و فکری افراد باشد</w:t>
      </w:r>
      <w:r>
        <w:rPr>
          <w:rFonts w:eastAsia="IRNazanin" w:cs="IRNazanin"/>
          <w:color w:val="111111"/>
          <w:sz w:val="28"/>
          <w:szCs w:val="28"/>
          <w:rtl w:val="true"/>
          <w:lang w:bidi="fa-IR"/>
        </w:rPr>
        <w:t>.</w:t>
      </w:r>
    </w:p>
    <w:p>
      <w:pPr>
        <w:pStyle w:val="Heading4"/>
        <w:numPr>
          <w:ilvl w:val="3"/>
          <w:numId w:val="1"/>
        </w:numPr>
        <w:rPr/>
      </w:pPr>
      <w:bookmarkStart w:id="454" w:name="__RefHeading___Toc3140872_3531895371"/>
      <w:bookmarkStart w:id="455" w:name="_Toc188"/>
      <w:bookmarkEnd w:id="454"/>
      <w:r>
        <w:rPr/>
        <w:t>3/7/2</w:t>
      </w:r>
      <w:r>
        <w:rPr>
          <w:rtl w:val="true"/>
        </w:rPr>
        <w:t xml:space="preserve">. </w:t>
      </w:r>
      <w:r>
        <w:rPr>
          <w:rtl w:val="true"/>
        </w:rPr>
        <w:t>سن مسئولیت کیفری در احادیث امامان معصوم علیهم السلام</w:t>
      </w:r>
      <w:bookmarkEnd w:id="455"/>
    </w:p>
    <w:p>
      <w:pPr>
        <w:pStyle w:val="Heading5"/>
        <w:numPr>
          <w:ilvl w:val="4"/>
          <w:numId w:val="1"/>
        </w:numPr>
        <w:rPr/>
      </w:pPr>
      <w:bookmarkStart w:id="456" w:name="__RefHeading___Toc3140874_3531895371"/>
      <w:bookmarkStart w:id="457" w:name="_Toc189"/>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روایات نقل شده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بلوغ و مسئولیت کیفری کودکان را می توان به سه دسته کلی تقسیم بندی کرد</w:t>
      </w:r>
      <w:r>
        <w:rPr>
          <w:rFonts w:eastAsia="IRNazanin" w:cs="IRNazanin"/>
          <w:color w:val="111111"/>
          <w:sz w:val="28"/>
          <w:szCs w:val="28"/>
          <w:rtl w:val="true"/>
          <w:lang w:bidi="fa-IR"/>
        </w:rPr>
        <w:t>:</w:t>
      </w:r>
    </w:p>
    <w:p>
      <w:pPr>
        <w:pStyle w:val="Heading5"/>
        <w:numPr>
          <w:ilvl w:val="4"/>
          <w:numId w:val="1"/>
        </w:numPr>
        <w:rPr/>
      </w:pPr>
      <w:bookmarkStart w:id="458" w:name="__RefHeading___Toc3140876_3531895371"/>
      <w:bookmarkStart w:id="459" w:name="_Toc190"/>
      <w:bookmarkEnd w:id="458"/>
      <w:r>
        <w:rPr/>
        <w:t>1</w:t>
      </w:r>
      <w:r>
        <w:rPr>
          <w:rtl w:val="true"/>
        </w:rPr>
        <w:t xml:space="preserve">. </w:t>
      </w:r>
      <w:r>
        <w:rPr>
          <w:rtl w:val="true"/>
        </w:rPr>
        <w:t xml:space="preserve">روایاتی که بلوغ را منحصراً با نشانه های طبیعی </w:t>
      </w:r>
      <w:r>
        <w:rPr>
          <w:rtl w:val="true"/>
        </w:rPr>
        <w:t>(</w:t>
      </w:r>
      <w:r>
        <w:rPr>
          <w:rtl w:val="true"/>
        </w:rPr>
        <w:t>تکوینی</w:t>
      </w:r>
      <w:r>
        <w:rPr>
          <w:rtl w:val="true"/>
        </w:rPr>
        <w:t xml:space="preserve">) </w:t>
      </w:r>
      <w:r>
        <w:rPr>
          <w:rtl w:val="true"/>
        </w:rPr>
        <w:t>بیان می کنند</w:t>
      </w:r>
      <w:bookmarkEnd w:id="459"/>
    </w:p>
    <w:p>
      <w:pPr>
        <w:pStyle w:val="BookText"/>
        <w:rPr/>
      </w:pPr>
      <w:r>
        <w:rPr>
          <w:rFonts w:ascii="IRNazanin" w:hAnsi="IRNazanin" w:eastAsia="IRNazanin"/>
          <w:color w:val="111111"/>
          <w:sz w:val="28"/>
          <w:sz w:val="28"/>
          <w:szCs w:val="28"/>
          <w:rtl w:val="true"/>
          <w:lang w:bidi="fa-IR"/>
        </w:rPr>
        <w:t>در این دسته از روایات، احتلام در پسران و حیض در دختران به عنوان نشانه های بلوغ ذکر شده و هیچ اشاره ای به سن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بر جنبه طبیعی و تکوینی بلوغ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چه زمانی یتیم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محتلم گردد و به گرفتن و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حد احتلام و بلوغ جنسی،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460" w:name="pg20875_781569"/>
    </w:p>
    <w:p>
      <w:pPr>
        <w:pStyle w:val="Heading5"/>
        <w:numPr>
          <w:ilvl w:val="4"/>
          <w:numId w:val="1"/>
        </w:numPr>
        <w:rPr/>
      </w:pPr>
      <w:bookmarkStart w:id="461" w:name="__RefHeading___Toc3140878_3531895371"/>
      <w:bookmarkStart w:id="462" w:name="_Toc191"/>
      <w:bookmarkEnd w:id="460"/>
      <w:bookmarkEnd w:id="461"/>
      <w:r>
        <w:rPr/>
        <w:t>2</w:t>
      </w:r>
      <w:r>
        <w:rPr>
          <w:rtl w:val="true"/>
        </w:rPr>
        <w:t xml:space="preserve">. </w:t>
      </w:r>
      <w:r>
        <w:rPr>
          <w:rtl w:val="true"/>
        </w:rPr>
        <w:t>روایاتی که سن را همراه با نشانه های طبیعی ذکر کرده اند</w:t>
      </w:r>
      <w:bookmarkEnd w:id="462"/>
    </w:p>
    <w:p>
      <w:pPr>
        <w:pStyle w:val="BookText"/>
        <w:rPr/>
      </w:pPr>
      <w:r>
        <w:rPr>
          <w:rFonts w:ascii="IRNazanin" w:hAnsi="IRNazanin" w:eastAsia="IRNazanin"/>
          <w:color w:val="111111"/>
          <w:sz w:val="28"/>
          <w:sz w:val="28"/>
          <w:szCs w:val="28"/>
          <w:rtl w:val="true"/>
          <w:lang w:bidi="fa-IR"/>
        </w:rPr>
        <w:t xml:space="preserve">این دسته از روایات، سن را در کنار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های بلوغ بیان نموده اند</w:t>
      </w:r>
      <w:r>
        <w:rPr>
          <w:rFonts w:eastAsia="IRNazanin" w:cs="IRNazanin"/>
          <w:color w:val="111111"/>
          <w:sz w:val="28"/>
          <w:szCs w:val="28"/>
          <w:rtl w:val="true"/>
          <w:lang w:bidi="fa-IR"/>
        </w:rPr>
        <w:t>.</w:t>
      </w:r>
    </w:p>
    <w:p>
      <w:pPr>
        <w:pStyle w:val="Heading5"/>
        <w:numPr>
          <w:ilvl w:val="4"/>
          <w:numId w:val="1"/>
        </w:numPr>
        <w:rPr/>
      </w:pPr>
      <w:bookmarkStart w:id="463" w:name="__RefHeading___Toc3140880_3531895371"/>
      <w:bookmarkStart w:id="464" w:name="_Toc192"/>
      <w:bookmarkEnd w:id="463"/>
      <w:r>
        <w:rPr/>
        <w:t>3</w:t>
      </w:r>
      <w:r>
        <w:rPr>
          <w:rtl w:val="true"/>
        </w:rPr>
        <w:t xml:space="preserve">. </w:t>
      </w:r>
      <w:r>
        <w:rPr>
          <w:rtl w:val="true"/>
        </w:rPr>
        <w:t>روایاتی که صرفاً سن را به عنوان علامت بلوغ معرفی می کنند</w:t>
      </w:r>
      <w:bookmarkEnd w:id="464"/>
    </w:p>
    <w:p>
      <w:pPr>
        <w:pStyle w:val="BookText"/>
        <w:rPr/>
      </w:pPr>
      <w:r>
        <w:rPr>
          <w:rFonts w:ascii="IRNazanin" w:hAnsi="IRNazanin" w:eastAsia="IRNazanin"/>
          <w:color w:val="111111"/>
          <w:sz w:val="28"/>
          <w:sz w:val="28"/>
          <w:szCs w:val="28"/>
          <w:rtl w:val="true"/>
          <w:lang w:bidi="fa-IR"/>
        </w:rPr>
        <w:t>در این احادیث، تنها رسیدن به سن خاص به عنوان معیار بلوغ ذکر شده و از دیگر نشانه های طبیعی نامی برده نشده است</w:t>
      </w:r>
      <w:r>
        <w:rPr>
          <w:rFonts w:eastAsia="IRNazanin" w:cs="IRNazanin"/>
          <w:color w:val="111111"/>
          <w:sz w:val="28"/>
          <w:szCs w:val="28"/>
          <w:rtl w:val="true"/>
          <w:lang w:bidi="fa-IR"/>
        </w:rPr>
        <w:t>.</w:t>
      </w:r>
    </w:p>
    <w:p>
      <w:pPr>
        <w:pStyle w:val="Heading5"/>
        <w:numPr>
          <w:ilvl w:val="4"/>
          <w:numId w:val="1"/>
        </w:numPr>
        <w:rPr/>
      </w:pPr>
      <w:bookmarkStart w:id="465" w:name="__RefHeading___Toc3140882_3531895371"/>
      <w:bookmarkStart w:id="466" w:name="_Toc193"/>
      <w:bookmarkEnd w:id="465"/>
      <w:r>
        <w:rPr>
          <w:rtl w:val="true"/>
        </w:rPr>
        <w:t>تحلیل دسته نخست</w:t>
      </w:r>
      <w:r>
        <w:rPr>
          <w:rtl w:val="true"/>
        </w:rPr>
        <w:t xml:space="preserve">: </w:t>
      </w:r>
      <w:r>
        <w:rPr>
          <w:rtl w:val="true"/>
        </w:rPr>
        <w:t>تأکید بر جنبه تکوینی بلوغ</w:t>
      </w:r>
      <w:bookmarkEnd w:id="466"/>
    </w:p>
    <w:p>
      <w:pPr>
        <w:pStyle w:val="BookText"/>
        <w:rPr/>
      </w:pPr>
      <w:r>
        <w:rPr>
          <w:rFonts w:ascii="IRNazanin" w:hAnsi="IRNazanin" w:eastAsia="IRNazanin"/>
          <w:color w:val="111111"/>
          <w:sz w:val="28"/>
          <w:sz w:val="28"/>
          <w:szCs w:val="28"/>
          <w:rtl w:val="true"/>
          <w:lang w:bidi="fa-IR"/>
        </w:rPr>
        <w:t>با تأمل در 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احتلام و حیض به عنوان ملاک های اصلی بلوغ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که بلوغ جنسی به مثابه یک پدیده طبیعی و تکوینی، محور اصلی خروج از دوره کودکی و ورود به مرحله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دهد که موضوعیت بلوغ درگر و تحقق این علائم طبیعی است و سن، به تنهایی نمی تواند جایگزین آن گردد</w:t>
      </w:r>
      <w:r>
        <w:rPr>
          <w:rFonts w:eastAsia="IRNazanin" w:cs="IRNazanin"/>
          <w:color w:val="111111"/>
          <w:sz w:val="28"/>
          <w:szCs w:val="28"/>
          <w:rtl w:val="true"/>
          <w:lang w:bidi="fa-IR"/>
        </w:rPr>
        <w:t>.</w:t>
      </w:r>
    </w:p>
    <w:p>
      <w:pPr>
        <w:pStyle w:val="Heading5"/>
        <w:numPr>
          <w:ilvl w:val="4"/>
          <w:numId w:val="1"/>
        </w:numPr>
        <w:rPr/>
      </w:pPr>
      <w:bookmarkStart w:id="467" w:name="__RefHeading___Toc3140884_3531895371"/>
      <w:bookmarkStart w:id="468" w:name="_Toc194"/>
      <w:bookmarkEnd w:id="467"/>
      <w:r>
        <w:rPr>
          <w:rtl w:val="true"/>
        </w:rPr>
        <w:t>نتیجه گیری کلی</w:t>
      </w:r>
      <w:r>
        <w:rPr>
          <w:rtl w:val="true"/>
        </w:rPr>
        <w:t>:</w:t>
      </w:r>
      <w:bookmarkEnd w:id="46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روایات بیانگر آن است که در منظومه فقه امامیه، بلوغ پیش از هر چیز یک واقعیت طبیعی شناخته می شود که تحقق آن با نشانه 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کنار این نگاه تکوینی، سن نیز در برخی متون به عنوان اماره یا معیار فرعی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منابع روایی، زمینه ساز اختلاف نظر فقها در تعیین سن دقیق مسئولیت کیفری و نیز لزوم توجه به رشد عقلی در کنار بلوغ جنسی شده است</w:t>
      </w:r>
      <w:r>
        <w:rPr>
          <w:rFonts w:eastAsia="IRNazanin" w:cs="IRNazanin"/>
          <w:color w:val="111111"/>
          <w:sz w:val="28"/>
          <w:szCs w:val="28"/>
          <w:rtl w:val="true"/>
          <w:lang w:bidi="fa-IR"/>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20875_781572"/>
      <w:bookmarkStart w:id="470" w:name="pg20875_781572"/>
      <w:bookmarkEnd w:id="470"/>
    </w:p>
    <w:p>
      <w:pPr>
        <w:pStyle w:val="Heading2"/>
        <w:numPr>
          <w:ilvl w:val="1"/>
          <w:numId w:val="1"/>
        </w:numPr>
        <w:rPr/>
      </w:pPr>
      <w:bookmarkStart w:id="471" w:name="pg20875_781572"/>
      <w:bookmarkStart w:id="472" w:name="__RefHeading___Toc3140886_3531895371"/>
      <w:bookmarkStart w:id="473" w:name="_Toc195"/>
      <w:bookmarkEnd w:id="471"/>
      <w:bookmarkEnd w:id="472"/>
      <w:r>
        <w:rPr>
          <w:rtl w:val="true"/>
        </w:rPr>
        <w:t>فصل چهارم</w:t>
      </w:r>
      <w:r>
        <w:rPr>
          <w:rtl w:val="true"/>
        </w:rPr>
        <w:t xml:space="preserve">: </w:t>
      </w:r>
      <w:r>
        <w:rPr>
          <w:rtl w:val="true"/>
        </w:rPr>
        <w:t>منابع و مأخذ</w:t>
      </w:r>
      <w:bookmarkEnd w:id="47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3140888_3531895371"/>
      <w:bookmarkStart w:id="475" w:name="_Toc196"/>
      <w:bookmarkEnd w:id="474"/>
      <w:r>
        <w:rPr>
          <w:rtl w:val="true"/>
        </w:rPr>
        <w:t>اشاره</w:t>
      </w:r>
      <w:bookmarkStart w:id="476" w:name="pg20875_781573"/>
      <w:bookmarkEnd w:id="475"/>
    </w:p>
    <w:p>
      <w:pPr>
        <w:pStyle w:val="Heading3"/>
        <w:numPr>
          <w:ilvl w:val="2"/>
          <w:numId w:val="1"/>
        </w:numPr>
        <w:rPr/>
      </w:pPr>
      <w:bookmarkStart w:id="477" w:name="__RefHeading___Toc3140890_3531895371"/>
      <w:bookmarkStart w:id="478" w:name="_Toc197"/>
      <w:bookmarkEnd w:id="476"/>
      <w:bookmarkEnd w:id="477"/>
      <w:r>
        <w:rPr>
          <w:rtl w:val="true"/>
        </w:rPr>
        <w:t>کتاب ها</w:t>
      </w:r>
      <w:bookmarkEnd w:id="478"/>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محمد بن احمد، السرائر الحاوى لتحرير الفتاوى،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التحقيق، قم، جامعه المدرسين،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البراج، عبدالعزيز، المهذب،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سبحانی، قم، جامعه المدرسین،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حمزه، محمد بن على، الوسيله الى نيل الفضيله،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قم، مكتبه السيد المرعشى،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زهره، حمزه بن على، غنيه النزوع الى علمى الاصول و الفروع،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شیخ سبحانی، قم، 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احمد بن محمد، المهذب البارع فى شرح المختصر النافع،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عراقی، قم، موسسه النشر الاسلامى التابعه لجماعه المدرسين،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حلبی، تقی بن نجم، الكافى فى الفقه،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اصفهان، مکتبه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محمدعلی حقوق جزای عمومی، تهران، انتشارات میزان،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باهری، محمد، حقوق جزای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فرید، تهران، انتشارات دانشکده حقوق و علوم سیاسی و اقتصادی،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یوسف بن احمد، الحدائق الناضره فى الاحكام العترة الطاهره،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 قم، موسسه النشر الاسلامى لجماعه المدرسین،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لنگرودی، محمد جعفر، ترمینولوژی حقوق، تهران، انتشارات کتابخانه گنج دانش،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جهانگیر، منصور، قانون اساسی جمهوری اسلامی، تهران، نشر دوران،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الشيعه في تحصيل احكام الشرعيه،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روحانی، سید محمد صادق، فقه الصادق في شرح التبصره لعلامه الحلى، قم، موسسه دارالکتاب،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روحانی، محمد، منهاج الصالحین، کویت، مکتبه اللفين،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روحانی، المسائل المنتخبه، بيروت، مكتبه الایمان،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سیستانی، علی، منهاج الصالحين، قم، مكتبه آیت الله العظمی علی حسینی سیستانی،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حلى، يحيى بن سعيد، الجامع للشرائع،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التحقيق باشراف الشيخ السبحانی تبریزی، قم، موسسه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داور، علی اکبر، نگرشی بر حقوق جزای عمومی، مقارنه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شکری، تهران، انتشارات مجد،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ابوالقاسم، تكمله المنهاج الصالحين فى احكام القضاء و الشهادت و الحدود و القصاص و الديات، قم، مدينه العلم،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تاج زمان، دادرسی اطفال بزهکار در حقوق تطبیقی، تهران، نشر میزان و دادگستر،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دلفانی، علی اشرف، مبانی مسئولیت کیفری در حقوق اسلام و فرانسه، تهیه و تحقیق مرکز</w:t>
      </w:r>
    </w:p>
    <w:p>
      <w:pPr>
        <w:pStyle w:val="BookText"/>
        <w:rPr/>
      </w:pPr>
      <w:r>
        <w:rPr>
          <w:rFonts w:ascii="IRNazanin" w:hAnsi="IRNazanin" w:eastAsia="IRNazanin"/>
          <w:color w:val="111111"/>
          <w:sz w:val="28"/>
          <w:sz w:val="28"/>
          <w:szCs w:val="28"/>
          <w:rtl w:val="true"/>
          <w:lang w:bidi="fa-IR"/>
        </w:rPr>
        <w:t xml:space="preserve">مطالعات اسلامی پژوهشکده فقه و حقوق، قم، انتشارات موسسه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انتشارات دانشگاه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البیان فی احکام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تهران مکتبه المرتضويه لاحياء الآثار الجعفريه،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ساکی، محمدرضا، حقوق جزای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لحاظ لایحه جدید 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جنگل، جاودانه،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شامبیاتی، هوشنگ، بزهکاری اطفال و نوجوانان، تهران، انتشارات ژوبین،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شامبیاتی، حقوق جزای عمومی، تهران، انتشارات ژوبین،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اول، محمد بن مكى، اللمعه الدمشقيه، تحقيق على الكورانی، قم، دار 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زین الدین بن علی، مسالك الافهام الى تنقیح شرایع الاسلام،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ثانى، الروضه البهيه في شرح اللمعه الدمشقيه، قم، انتشارات داوری،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المدرسين في الحوزه العلميه،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المقنع والهدايه، تحقيق، لجنه التحقيق التابعه لموسسه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علل الشرايع، نجف، مكتبه الحیدریه،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النهايه في مجرد الفقه والفتاوى، قم، انتشارات قدس، محمدی،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الاستبصار في ما اختلف من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تهران، دارالکتب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التبيان في تفسير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حبيب قصير العاملی، مكتب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الخلاف،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خراسانی، سید جواد شهرستانی، شیخ محمد مهدی نجف، قم، موسسه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المبسوط في فقه الاماميه، تحقیق محمد تقی کشفی، تهران، المكتبه المرتضويه،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طوسى، تهذيب الاحكام في شرح المقنعه الشيخ المفيد،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حسین، حقوق مدنی اشخاص و محجورین، قاسم زاده، مرتضی، تهران، انتشارات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صلاحی، جاوید، بزهکاری اطفال و نوجوانان، تهران، نشر میزان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حکیم، محمد سعید، منهاج الصالحين، بيروت، دار الصفوه،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طباطبایی، محمد حسین، الميزان في تفسير القرآن، بیروت، لبنان، موسسه الاعلمى المطبوعات،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حسن بن فضل، مجمع البيان في التفسير 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من اطفاء و المحققين و الاخصائيين، بيروت، موسسه الاغمى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فخرالدین بن محمد، مجمع البحرين،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مکتب نشر الثقافه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عبادی، شیرین، حقوق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مسایل حقوقی کودکان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روشنگران و مطالعات زنان،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حسن بن يوسف، مختلف الشيعه في احكام الشرعيه،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قم، موسسه النشر الاسلامى التابعه لجماعه المدرسين،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ارشاد الاذهان الى احكام الايمان،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فارس الحسون، قم، جامعه المدرسين،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تبصره المتعلمين فى احكام الدين،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هادی یوسفی، تهران، انتشارات فقیه،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تحرير الاحكام الشرعيه على مذهب الاماميه، مشهد،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تذكره الفقها، تحقيق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قم،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عوده، عبد القادر، حقوق جزای اسلامی،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قربان نیا، سید مهدی منصوری، نعمت الله الفت، تحقیق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شیری، تهران، انتشارات میزان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آبی، حسن بن ابی طالب، کشف الرموز في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 یزدی، قم، موسسه النشر الاسلامى التابعه لجماعه المدرسين،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هندی، محمد بن حسن، كشف اللثام من قواعد الاحكام، مكتبه آیت الله العظمی 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فاضل هندی، فخر المحققين، محمد بن حسن، ايضاح الفوائد فی شرح مشكلات القواعد،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علی پناه اشتهاردی و عبدالرحیم بروجردی، قم طبع بامر آیت الله السيد محمد شاهرودى على نفقه الحاج محمد کوشانپور،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عليرضا، مقارنه و تطبیق در حقوق جزای عمومی اسلام، تهران، انتشارات 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آیین دادگاه های عمومی و انقلاب در امور کیفری، تهران، نشر دیدار،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تهران، نشر دیدار،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تهران، نشر دیدار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ای خویی، خلیل 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 و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سازمان مطالعه و تدوین علوم انسانی دانشگاه ها،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تهران، دارالکتب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سبزواری، علی بن محمد، جامع الخلاف والوفاق بين الاماميه و بين ائمه الحجاز و العراق،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قم، انشارات زمینه 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قیاسی، جلال الدین، مطالعه تطبیقی حقوق جزای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حقوق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دهقان، حمید، خسروشاهی، قدرت الله، قم انتشارات پژوهشگاه حوزه و دانشگاه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الاصول من الكافى،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گلدوزیان، ایرج بایسته های حقوق جزای عمومی، تهران، نشر میزان و دادگستر،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گلدوزیان، حقوق جزای عمومی، تهران، انتشارات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گلدوزیان، محشای قانون مجازات اسلامی، تهران، مجد،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حلى،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قمی، تهران، موسسه البعثه،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مرتضی، دوره حقوق جزای عمومی، تهران، انتشارات کتابخانه گنج دانش،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جعفر بن حسن، شرایع الاسلام في مسائل الحلال والحرام،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شیرازی، تهران، انتشارات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سبزواری، محمدباقر بن محمد مومن، کفایه الاحكام، اصفهان، مدرسه صدر مهدوی،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علی بن حسین، جامع المقاصد في شرح الفواعد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زبیدی، محمد بن محمد، تاج العروس من جواهر القاموس،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المكتبه الحياء،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محمدرضا، اصول الفقه، قم، مركز انتشارات دفتر تبلیغات اسلامی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معلوف، لويس، المنجد في اللغه،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دارالمشرق،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انتشارات ساحل،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محمد بن محمد، المقنعه،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قم، موسسه النشر الاسلامی التابعه لجامعه المدرسين،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احمد بن محمد، مجمع الفائده و البرهان فی شرح ارشاد الاذهان،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علی پناه اشتهاردی، حسن یزدی اصفهانی، قم، جامعه المدرسين في حوزه العميع،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موسوی خوانساری، احمد، جامع المدارک فی شرح المختصر النافع،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مکتبه</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گلپایگانی، محمدرضا، تقريرات الحدود و التعزیرات،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رضا، فرهنگ ابجدی،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ترجمه المنجد الابجدی، تهران، انتشارات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 عابدین، حقوق جزای اختصاصی اسلام، تهران، نشر خط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79" w:name="pg20875_781579"/>
    </w:p>
    <w:p>
      <w:pPr>
        <w:pStyle w:val="BookText"/>
        <w:rPr/>
      </w:pPr>
      <w:bookmarkEnd w:id="479"/>
      <w:r>
        <w:rPr>
          <w:rFonts w:ascii="IRNazanin" w:hAnsi="IRNazanin" w:eastAsia="IRNazanin"/>
          <w:color w:val="111111"/>
          <w:sz w:val="28"/>
          <w:sz w:val="28"/>
          <w:szCs w:val="28"/>
          <w:rtl w:val="true"/>
          <w:lang w:bidi="fa-IR"/>
        </w:rPr>
        <w:t xml:space="preserve">میرسعیدی، منصور،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میزان،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ابرند آبادی، علی حسین، دانشنامه جرم شناسی، هاشم بیگی، حمید، تهران، انتشارات دانشگاه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کنج دانش،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محمدحسن، جواهر الکلام فی شرح شرایع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تهران، دارالكتب السلامیه،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نوربها، رضا، زمینه حقوق جزای عمومی، تهران، انتشارات کتابخانه گنج دانش و نشر دادآفرین،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حسین بن محمد تقی، مستدرک الوسایل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الاحياء التراث،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ولیدی، محمد صالح، بایسته های حقوق جزای عمومی، تهران، انتشارات خورشید،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ولیدی، حقوق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 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80" w:name="__RefHeading___Toc3140892_3531895371"/>
      <w:bookmarkStart w:id="481" w:name="_Toc198"/>
      <w:bookmarkEnd w:id="480"/>
      <w:r>
        <w:rPr>
          <w:rtl w:val="true"/>
        </w:rPr>
        <w:t>مقالات</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متین،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 اطفال در ایران در تطبیق با مصوبات هفدهمین کنگره بین المللی حقوق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کانون وکلا،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بلوغ و رشد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فقه و تاریخ تمدن،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حقوق ایران در زمان 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کانون،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اردیبهشت و 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ارسطا،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بازنگری در سن بلوغ و آثار فقهی قبل از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و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ازدواج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کاوشی نو در فقه اسلامی،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جناتی،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قیاس در منابع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کیهان اندیشه،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مسئولیت کیفری اطفال در حقوق ایران و جمهوری آذربایجان و تطبیق با اسناد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رعیتی،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مسئولیت کیفری و عوامل رافع آن هم سو با قانون مجازات عمومی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رهنمون،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رهامی،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و علوم سیاسی دانشگاه تهران،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داکانی،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و حجر و سن رشد در قانون مدنی ایران پس از اصلاحات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مجله کانون،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فتحی،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کیفری اطفال با رویکرد به لایحه 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حقوق اسلامی،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زاده،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عتصر روانی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دیدگاه های حقوق،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سن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حقوقی و قضایی دادگستری،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کنی،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و مجازات های 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ندای صادق،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توانا،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مسئولیت کیفری اطفال در مقررات داخلی و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مدرس علوم انسانی،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23637</Words>
  <Characters>93868</Characters>
  <CharactersWithSpaces>116545</CharactersWithSpaces>
  <Paragraphs>1253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2026-09-30T12:55:07Z</dcterms:created>
  <dc:creator>ghaemiyeh.com</dc:creator>
  <dc:description/>
  <dc:language>en-US</dc:language>
  <cp:lastModifiedBy/>
  <dcterms:modified xsi:type="dcterms:W3CDTF">2026-09-30T16:25:11Z</dcterms:modified>
  <cp:revision>1</cp:revision>
  <dc:subject/>
  <dc:title>از فطرت تا قانون انسان در آیینه مسئولیت</dc:title>
</cp:coreProperties>
</file>

<file path=docProps/custom.xml><?xml version="1.0" encoding="utf-8"?>
<Properties xmlns="http://schemas.openxmlformats.org/officeDocument/2006/custom-properties" xmlns:vt="http://schemas.openxmlformats.org/officeDocument/2006/docPropsVTypes"/>
</file>