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9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596.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641.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42.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7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الشهید الثانی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5185_1067777946">
            <w:r>
              <w:rPr>
                <w:webHidden/>
                <w:rStyle w:val="IndexLink"/>
                <w:rtl w:val="true"/>
              </w:rPr>
              <w:t>هویة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375187_1067777946">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75189_1067777946">
            <w:r>
              <w:rPr>
                <w:webHidden/>
                <w:rStyle w:val="IndexLink"/>
                <w:rtl w:val="true"/>
              </w:rPr>
              <w:t>فهرس الموضوعات</w:t>
            </w:r>
            <w:r>
              <w:rPr>
                <w:rStyle w:val="IndexLink"/>
                <w:rtl w:val="true"/>
              </w:rPr>
              <w:tab/>
            </w:r>
            <w:r>
              <w:rPr>
                <w:rStyle w:val="IndexLink"/>
              </w:rPr>
              <w:t>16</w:t>
            </w:r>
          </w:hyperlink>
        </w:p>
        <w:p>
          <w:pPr>
            <w:pStyle w:val="Contents2"/>
            <w:tabs>
              <w:tab w:val="clear" w:pos="8743"/>
              <w:tab w:val="right" w:pos="9026" w:leader="dot"/>
            </w:tabs>
            <w:rPr/>
          </w:pPr>
          <w:hyperlink w:anchor="__RefHeading___Toc375191_1067777946">
            <w:r>
              <w:rPr>
                <w:webHidden/>
                <w:rStyle w:val="IndexLink"/>
                <w:rtl w:val="true"/>
              </w:rPr>
              <w:t>مقدّمة التحقيق</w:t>
            </w:r>
            <w:r>
              <w:rPr>
                <w:rStyle w:val="IndexLink"/>
                <w:rtl w:val="true"/>
              </w:rPr>
              <w:tab/>
            </w:r>
            <w:r>
              <w:rPr>
                <w:rStyle w:val="IndexLink"/>
              </w:rPr>
              <w:t>30</w:t>
            </w:r>
          </w:hyperlink>
        </w:p>
        <w:p>
          <w:pPr>
            <w:pStyle w:val="Contents2"/>
            <w:tabs>
              <w:tab w:val="clear" w:pos="8743"/>
              <w:tab w:val="right" w:pos="9026" w:leader="dot"/>
            </w:tabs>
            <w:rPr/>
          </w:pPr>
          <w:hyperlink w:anchor="__RefHeading___Toc375193_1067777946">
            <w:r>
              <w:rPr>
                <w:webHidden/>
                <w:rStyle w:val="IndexLink"/>
                <w:rtl w:val="true"/>
              </w:rPr>
              <w:t>نماذج من مصوّرات النسخ الخطّیّة المعتمدة في التحقیق</w:t>
            </w:r>
            <w:r>
              <w:rPr>
                <w:rStyle w:val="IndexLink"/>
                <w:rtl w:val="true"/>
              </w:rPr>
              <w:tab/>
            </w:r>
            <w:r>
              <w:rPr>
                <w:rStyle w:val="IndexLink"/>
              </w:rPr>
              <w:t>34</w:t>
            </w:r>
          </w:hyperlink>
        </w:p>
        <w:p>
          <w:pPr>
            <w:pStyle w:val="Contents2"/>
            <w:tabs>
              <w:tab w:val="clear" w:pos="8743"/>
              <w:tab w:val="right" w:pos="9026" w:leader="dot"/>
            </w:tabs>
            <w:rPr/>
          </w:pPr>
          <w:hyperlink w:anchor="__RefHeading___Toc375195_1067777946">
            <w:r>
              <w:rPr>
                <w:webHidden/>
                <w:rStyle w:val="IndexLink"/>
                <w:rtl w:val="true"/>
              </w:rPr>
              <w:t>القسم الأوّل</w:t>
            </w:r>
            <w:r>
              <w:rPr>
                <w:rStyle w:val="IndexLink"/>
                <w:rtl w:val="true"/>
              </w:rPr>
              <w:t xml:space="preserve">: </w:t>
            </w:r>
            <w:r>
              <w:rPr>
                <w:rStyle w:val="IndexLink"/>
                <w:rtl w:val="true"/>
              </w:rPr>
              <w:t>الاجتهاد والتقليد</w:t>
            </w:r>
            <w:r>
              <w:rPr>
                <w:rStyle w:val="IndexLink"/>
                <w:rtl w:val="true"/>
              </w:rPr>
              <w:tab/>
            </w:r>
            <w:r>
              <w:rPr>
                <w:rStyle w:val="IndexLink"/>
              </w:rPr>
              <w:t>40</w:t>
            </w:r>
          </w:hyperlink>
        </w:p>
        <w:p>
          <w:pPr>
            <w:pStyle w:val="Contents3"/>
            <w:tabs>
              <w:tab w:val="clear" w:pos="8459"/>
              <w:tab w:val="right" w:pos="9026" w:leader="dot"/>
            </w:tabs>
            <w:rPr/>
          </w:pPr>
          <w:hyperlink w:anchor="__RefHeading___Toc375197_1067777946">
            <w:r>
              <w:rPr>
                <w:webHidden/>
                <w:rStyle w:val="IndexLink"/>
                <w:rtl w:val="true"/>
              </w:rPr>
              <w:t>إشارة</w:t>
            </w:r>
            <w:r>
              <w:rPr>
                <w:rStyle w:val="IndexLink"/>
                <w:rtl w:val="true"/>
              </w:rPr>
              <w:t>:</w:t>
              <w:tab/>
            </w:r>
            <w:r>
              <w:rPr>
                <w:rStyle w:val="IndexLink"/>
              </w:rPr>
              <w:t>40</w:t>
            </w:r>
          </w:hyperlink>
        </w:p>
        <w:p>
          <w:pPr>
            <w:pStyle w:val="Contents3"/>
            <w:tabs>
              <w:tab w:val="clear" w:pos="8459"/>
              <w:tab w:val="right" w:pos="9026" w:leader="dot"/>
            </w:tabs>
            <w:rPr/>
          </w:pPr>
          <w:hyperlink w:anchor="__RefHeading___Toc375199_1067777946">
            <w:r>
              <w:rPr>
                <w:webHidden/>
                <w:rStyle w:val="IndexLink"/>
              </w:rPr>
              <w:t>7</w:t>
            </w:r>
            <w:r>
              <w:rPr>
                <w:rStyle w:val="IndexLink"/>
                <w:rtl w:val="true"/>
              </w:rPr>
              <w:t xml:space="preserve">. </w:t>
            </w:r>
            <w:r>
              <w:rPr>
                <w:rStyle w:val="IndexLink"/>
                <w:rtl w:val="true"/>
              </w:rPr>
              <w:t>تخفيفُ العِباد في بيانِ أحوال الاجتهاد</w:t>
            </w:r>
            <w:r>
              <w:rPr>
                <w:rStyle w:val="IndexLink"/>
                <w:rtl w:val="true"/>
              </w:rPr>
              <w:tab/>
            </w:r>
            <w:r>
              <w:rPr>
                <w:rStyle w:val="IndexLink"/>
              </w:rPr>
              <w:t>42</w:t>
            </w:r>
          </w:hyperlink>
        </w:p>
        <w:p>
          <w:pPr>
            <w:pStyle w:val="Contents4"/>
            <w:tabs>
              <w:tab w:val="clear" w:pos="8176"/>
              <w:tab w:val="right" w:pos="9026" w:leader="dot"/>
            </w:tabs>
            <w:rPr/>
          </w:pPr>
          <w:hyperlink w:anchor="__RefHeading___Toc375201_1067777946">
            <w:r>
              <w:rPr>
                <w:webHidden/>
                <w:rStyle w:val="IndexLink"/>
                <w:rtl w:val="true"/>
              </w:rPr>
              <w:t>إشارة</w:t>
            </w:r>
            <w:r>
              <w:rPr>
                <w:rStyle w:val="IndexLink"/>
                <w:rtl w:val="true"/>
              </w:rPr>
              <w:t>:</w:t>
              <w:tab/>
            </w:r>
            <w:r>
              <w:rPr>
                <w:rStyle w:val="IndexLink"/>
              </w:rPr>
              <w:t>42</w:t>
            </w:r>
          </w:hyperlink>
        </w:p>
        <w:p>
          <w:pPr>
            <w:pStyle w:val="Contents4"/>
            <w:tabs>
              <w:tab w:val="clear" w:pos="8176"/>
              <w:tab w:val="right" w:pos="9026" w:leader="dot"/>
            </w:tabs>
            <w:rPr/>
          </w:pPr>
          <w:hyperlink w:anchor="__RefHeading___Toc375203_1067777946">
            <w:r>
              <w:rPr>
                <w:webHidden/>
                <w:rStyle w:val="IndexLink"/>
                <w:rtl w:val="true"/>
              </w:rPr>
              <w:t>قول المتأخّرین بالوجوب العیني للاجتهاد عند خلوّ العصر من المجتهد</w:t>
            </w:r>
            <w:r>
              <w:rPr>
                <w:rStyle w:val="IndexLink"/>
                <w:rtl w:val="true"/>
              </w:rPr>
              <w:tab/>
            </w:r>
            <w:r>
              <w:rPr>
                <w:rStyle w:val="IndexLink"/>
              </w:rPr>
              <w:t>45</w:t>
            </w:r>
          </w:hyperlink>
        </w:p>
        <w:p>
          <w:pPr>
            <w:pStyle w:val="Contents4"/>
            <w:tabs>
              <w:tab w:val="clear" w:pos="8176"/>
              <w:tab w:val="right" w:pos="9026" w:leader="dot"/>
            </w:tabs>
            <w:rPr/>
          </w:pPr>
          <w:hyperlink w:anchor="__RefHeading___Toc375205_1067777946">
            <w:r>
              <w:rPr>
                <w:webHidden/>
                <w:rStyle w:val="IndexLink"/>
                <w:rtl w:val="true"/>
              </w:rPr>
              <w:t>مناقشة القول السابق في تعمیمه الوجوب</w:t>
            </w:r>
            <w:r>
              <w:rPr>
                <w:rStyle w:val="IndexLink"/>
                <w:rtl w:val="true"/>
              </w:rPr>
              <w:tab/>
            </w:r>
            <w:r>
              <w:rPr>
                <w:rStyle w:val="IndexLink"/>
              </w:rPr>
              <w:t>46</w:t>
            </w:r>
          </w:hyperlink>
        </w:p>
        <w:p>
          <w:pPr>
            <w:pStyle w:val="Contents4"/>
            <w:tabs>
              <w:tab w:val="clear" w:pos="8176"/>
              <w:tab w:val="right" w:pos="9026" w:leader="dot"/>
            </w:tabs>
            <w:rPr/>
          </w:pPr>
          <w:hyperlink w:anchor="__RefHeading___Toc375207_1067777946">
            <w:r>
              <w:rPr>
                <w:webHidden/>
                <w:rStyle w:val="IndexLink"/>
                <w:rtl w:val="true"/>
              </w:rPr>
              <w:t>مناقشة القول بسقوط قول المجتهد المیّت عن الاعتبار</w:t>
            </w:r>
            <w:r>
              <w:rPr>
                <w:rStyle w:val="IndexLink"/>
                <w:rtl w:val="true"/>
              </w:rPr>
              <w:tab/>
            </w:r>
            <w:r>
              <w:rPr>
                <w:rStyle w:val="IndexLink"/>
              </w:rPr>
              <w:t>49</w:t>
            </w:r>
          </w:hyperlink>
        </w:p>
        <w:p>
          <w:pPr>
            <w:pStyle w:val="Contents4"/>
            <w:tabs>
              <w:tab w:val="clear" w:pos="8176"/>
              <w:tab w:val="right" w:pos="9026" w:leader="dot"/>
            </w:tabs>
            <w:rPr/>
          </w:pPr>
          <w:hyperlink w:anchor="__RefHeading___Toc375209_1067777946">
            <w:r>
              <w:rPr>
                <w:webHidden/>
                <w:rStyle w:val="IndexLink"/>
                <w:rtl w:val="true"/>
              </w:rPr>
              <w:t>خلوّ الزمان عن مجتهد بین المثبتین والنافین</w:t>
            </w:r>
            <w:r>
              <w:rPr>
                <w:rStyle w:val="IndexLink"/>
                <w:rtl w:val="true"/>
              </w:rPr>
              <w:tab/>
            </w:r>
            <w:r>
              <w:rPr>
                <w:rStyle w:val="IndexLink"/>
              </w:rPr>
              <w:t>53</w:t>
            </w:r>
          </w:hyperlink>
        </w:p>
        <w:p>
          <w:pPr>
            <w:pStyle w:val="Contents4"/>
            <w:tabs>
              <w:tab w:val="clear" w:pos="8176"/>
              <w:tab w:val="right" w:pos="9026" w:leader="dot"/>
            </w:tabs>
            <w:rPr/>
          </w:pPr>
          <w:hyperlink w:anchor="__RefHeading___Toc375211_1067777946">
            <w:r>
              <w:rPr>
                <w:webHidden/>
                <w:rStyle w:val="IndexLink"/>
                <w:rtl w:val="true"/>
              </w:rPr>
              <w:t>اطّلاع أهل العصر علی الأعلم الأورع بین النفي و الإثبات</w:t>
            </w:r>
            <w:r>
              <w:rPr>
                <w:rStyle w:val="IndexLink"/>
                <w:rtl w:val="true"/>
              </w:rPr>
              <w:tab/>
            </w:r>
            <w:r>
              <w:rPr>
                <w:rStyle w:val="IndexLink"/>
              </w:rPr>
              <w:t>56</w:t>
            </w:r>
          </w:hyperlink>
        </w:p>
        <w:p>
          <w:pPr>
            <w:pStyle w:val="Contents3"/>
            <w:tabs>
              <w:tab w:val="clear" w:pos="8459"/>
              <w:tab w:val="right" w:pos="9026" w:leader="dot"/>
            </w:tabs>
            <w:rPr/>
          </w:pPr>
          <w:hyperlink w:anchor="__RefHeading___Toc375213_1067777946">
            <w:r>
              <w:rPr>
                <w:webHidden/>
                <w:rStyle w:val="IndexLink"/>
              </w:rPr>
              <w:t>8</w:t>
            </w:r>
            <w:r>
              <w:rPr>
                <w:rStyle w:val="IndexLink"/>
                <w:rtl w:val="true"/>
              </w:rPr>
              <w:t xml:space="preserve">. </w:t>
            </w:r>
            <w:r>
              <w:rPr>
                <w:rStyle w:val="IndexLink"/>
                <w:rtl w:val="true"/>
              </w:rPr>
              <w:t>تقليد الميّت</w:t>
            </w:r>
            <w:r>
              <w:rPr>
                <w:rStyle w:val="IndexLink"/>
                <w:rtl w:val="true"/>
              </w:rPr>
              <w:tab/>
            </w:r>
            <w:r>
              <w:rPr>
                <w:rStyle w:val="IndexLink"/>
              </w:rPr>
              <w:t>58</w:t>
            </w:r>
          </w:hyperlink>
        </w:p>
        <w:p>
          <w:pPr>
            <w:pStyle w:val="Contents4"/>
            <w:tabs>
              <w:tab w:val="clear" w:pos="8176"/>
              <w:tab w:val="right" w:pos="9026" w:leader="dot"/>
            </w:tabs>
            <w:rPr/>
          </w:pPr>
          <w:hyperlink w:anchor="__RefHeading___Toc375215_1067777946">
            <w:r>
              <w:rPr>
                <w:webHidden/>
                <w:rStyle w:val="IndexLink"/>
                <w:rtl w:val="true"/>
              </w:rPr>
              <w:t>إشارة</w:t>
            </w:r>
            <w:r>
              <w:rPr>
                <w:rStyle w:val="IndexLink"/>
                <w:rtl w:val="true"/>
              </w:rPr>
              <w:t>:</w:t>
              <w:tab/>
            </w:r>
            <w:r>
              <w:rPr>
                <w:rStyle w:val="IndexLink"/>
              </w:rPr>
              <w:t>58</w:t>
            </w:r>
          </w:hyperlink>
        </w:p>
        <w:p>
          <w:pPr>
            <w:pStyle w:val="Contents4"/>
            <w:tabs>
              <w:tab w:val="clear" w:pos="8176"/>
              <w:tab w:val="right" w:pos="9026" w:leader="dot"/>
            </w:tabs>
            <w:rPr/>
          </w:pPr>
          <w:hyperlink w:anchor="__RefHeading___Toc375217_1067777946">
            <w:r>
              <w:rPr>
                <w:webHidden/>
                <w:rStyle w:val="IndexLink"/>
                <w:rtl w:val="true"/>
              </w:rPr>
              <w:t>ردّ المؤلّف علی أهل زمانه في کیفیة التفقّه</w:t>
            </w:r>
            <w:r>
              <w:rPr>
                <w:rStyle w:val="IndexLink"/>
                <w:rtl w:val="true"/>
              </w:rPr>
              <w:tab/>
            </w:r>
            <w:r>
              <w:rPr>
                <w:rStyle w:val="IndexLink"/>
              </w:rPr>
              <w:t>62</w:t>
            </w:r>
          </w:hyperlink>
        </w:p>
        <w:p>
          <w:pPr>
            <w:pStyle w:val="Contents4"/>
            <w:tabs>
              <w:tab w:val="clear" w:pos="8176"/>
              <w:tab w:val="right" w:pos="9026" w:leader="dot"/>
            </w:tabs>
            <w:rPr/>
          </w:pPr>
          <w:hyperlink w:anchor="__RefHeading___Toc375219_1067777946">
            <w:r>
              <w:rPr>
                <w:webHidden/>
                <w:rStyle w:val="IndexLink"/>
                <w:rtl w:val="true"/>
              </w:rPr>
              <w:t>الفرق بین نقل الروایة و نقل الفتوی</w:t>
            </w:r>
            <w:r>
              <w:rPr>
                <w:rStyle w:val="IndexLink"/>
                <w:rtl w:val="true"/>
              </w:rPr>
              <w:tab/>
            </w:r>
            <w:r>
              <w:rPr>
                <w:rStyle w:val="IndexLink"/>
              </w:rPr>
              <w:t>64</w:t>
            </w:r>
          </w:hyperlink>
        </w:p>
        <w:p>
          <w:pPr>
            <w:pStyle w:val="Contents4"/>
            <w:tabs>
              <w:tab w:val="clear" w:pos="8176"/>
              <w:tab w:val="right" w:pos="9026" w:leader="dot"/>
            </w:tabs>
            <w:rPr/>
          </w:pPr>
          <w:hyperlink w:anchor="__RefHeading___Toc375221_1067777946">
            <w:r>
              <w:rPr>
                <w:webHidden/>
                <w:rStyle w:val="IndexLink"/>
                <w:rtl w:val="true"/>
              </w:rPr>
              <w:t>عدم إمکان اتّصال الوسائط في نقل الفتوی عن القدماء</w:t>
            </w:r>
            <w:r>
              <w:rPr>
                <w:rStyle w:val="IndexLink"/>
                <w:rtl w:val="true"/>
              </w:rPr>
              <w:tab/>
            </w:r>
            <w:r>
              <w:rPr>
                <w:rStyle w:val="IndexLink"/>
              </w:rPr>
              <w:t>66</w:t>
            </w:r>
          </w:hyperlink>
        </w:p>
        <w:p>
          <w:pPr>
            <w:pStyle w:val="Contents4"/>
            <w:tabs>
              <w:tab w:val="clear" w:pos="8176"/>
              <w:tab w:val="right" w:pos="9026" w:leader="dot"/>
            </w:tabs>
            <w:rPr/>
          </w:pPr>
          <w:hyperlink w:anchor="__RefHeading___Toc375223_1067777946">
            <w:r>
              <w:rPr>
                <w:webHidden/>
                <w:rStyle w:val="IndexLink"/>
                <w:rtl w:val="true"/>
              </w:rPr>
              <w:t>لابدّ من تحصیل العدالة في فردٍ فردٍ من الوسائط</w:t>
            </w:r>
            <w:r>
              <w:rPr>
                <w:rStyle w:val="IndexLink"/>
                <w:rtl w:val="true"/>
              </w:rPr>
              <w:tab/>
            </w:r>
            <w:r>
              <w:rPr>
                <w:rStyle w:val="IndexLink"/>
              </w:rPr>
              <w:t>68</w:t>
            </w:r>
          </w:hyperlink>
        </w:p>
        <w:p>
          <w:pPr>
            <w:pStyle w:val="Contents4"/>
            <w:tabs>
              <w:tab w:val="clear" w:pos="8176"/>
              <w:tab w:val="right" w:pos="9026" w:leader="dot"/>
            </w:tabs>
            <w:rPr/>
          </w:pPr>
          <w:hyperlink w:anchor="__RefHeading___Toc375225_1067777946">
            <w:r>
              <w:rPr>
                <w:webHidden/>
                <w:rStyle w:val="IndexLink"/>
                <w:rtl w:val="true"/>
              </w:rPr>
              <w:t>عدم الاجتهاد لأسباب</w:t>
            </w:r>
            <w:r>
              <w:rPr>
                <w:rStyle w:val="IndexLink"/>
                <w:rtl w:val="true"/>
              </w:rPr>
              <w:t xml:space="preserve">: </w:t>
            </w:r>
            <w:r>
              <w:rPr>
                <w:rStyle w:val="IndexLink"/>
                <w:rtl w:val="true"/>
              </w:rPr>
              <w:t>منها ضعف الهمم</w:t>
            </w:r>
            <w:r>
              <w:rPr>
                <w:rStyle w:val="IndexLink"/>
                <w:rtl w:val="true"/>
              </w:rPr>
              <w:tab/>
            </w:r>
            <w:r>
              <w:rPr>
                <w:rStyle w:val="IndexLink"/>
              </w:rPr>
              <w:t>70</w:t>
            </w:r>
          </w:hyperlink>
        </w:p>
        <w:p>
          <w:pPr>
            <w:pStyle w:val="Contents4"/>
            <w:tabs>
              <w:tab w:val="clear" w:pos="8176"/>
              <w:tab w:val="right" w:pos="9026" w:leader="dot"/>
            </w:tabs>
            <w:rPr/>
          </w:pPr>
          <w:hyperlink w:anchor="__RefHeading___Toc375227_1067777946">
            <w:r>
              <w:rPr>
                <w:webHidden/>
                <w:rStyle w:val="IndexLink"/>
                <w:rtl w:val="true"/>
              </w:rPr>
              <w:t>الردّ علی القول بمساواة المجتهد المیّت للحيّ في العمل بفتواه</w:t>
            </w:r>
            <w:r>
              <w:rPr>
                <w:rStyle w:val="IndexLink"/>
                <w:rtl w:val="true"/>
              </w:rPr>
              <w:tab/>
            </w:r>
            <w:r>
              <w:rPr>
                <w:rStyle w:val="IndexLink"/>
              </w:rPr>
              <w:t>74</w:t>
            </w:r>
          </w:hyperlink>
        </w:p>
        <w:p>
          <w:pPr>
            <w:pStyle w:val="Contents4"/>
            <w:tabs>
              <w:tab w:val="clear" w:pos="8176"/>
              <w:tab w:val="right" w:pos="9026" w:leader="dot"/>
            </w:tabs>
            <w:rPr/>
          </w:pPr>
          <w:hyperlink w:anchor="__RefHeading___Toc375229_1067777946">
            <w:r>
              <w:rPr>
                <w:webHidden/>
                <w:rStyle w:val="IndexLink"/>
                <w:rtl w:val="true"/>
              </w:rPr>
              <w:t>مناقشة القول بجواز العمل بفتوی المیّت</w:t>
            </w:r>
            <w:r>
              <w:rPr>
                <w:rStyle w:val="IndexLink"/>
                <w:rtl w:val="true"/>
              </w:rPr>
              <w:tab/>
            </w:r>
            <w:r>
              <w:rPr>
                <w:rStyle w:val="IndexLink"/>
              </w:rPr>
              <w:t>77</w:t>
            </w:r>
          </w:hyperlink>
        </w:p>
        <w:p>
          <w:pPr>
            <w:pStyle w:val="Contents4"/>
            <w:tabs>
              <w:tab w:val="clear" w:pos="8176"/>
              <w:tab w:val="right" w:pos="9026" w:leader="dot"/>
            </w:tabs>
            <w:rPr/>
          </w:pPr>
          <w:hyperlink w:anchor="__RefHeading___Toc375231_1067777946">
            <w:r>
              <w:rPr>
                <w:webHidden/>
                <w:rStyle w:val="IndexLink"/>
                <w:rtl w:val="true"/>
              </w:rPr>
              <w:t>جواز القضاء للقاصر عن الاجتهاد والردّ علیه</w:t>
            </w:r>
            <w:r>
              <w:rPr>
                <w:rStyle w:val="IndexLink"/>
                <w:rtl w:val="true"/>
              </w:rPr>
              <w:tab/>
            </w:r>
            <w:r>
              <w:rPr>
                <w:rStyle w:val="IndexLink"/>
              </w:rPr>
              <w:t>81</w:t>
            </w:r>
          </w:hyperlink>
        </w:p>
        <w:p>
          <w:pPr>
            <w:pStyle w:val="Contents4"/>
            <w:tabs>
              <w:tab w:val="clear" w:pos="8176"/>
              <w:tab w:val="right" w:pos="9026" w:leader="dot"/>
            </w:tabs>
            <w:rPr/>
          </w:pPr>
          <w:hyperlink w:anchor="__RefHeading___Toc375233_1067777946">
            <w:r>
              <w:rPr>
                <w:webHidden/>
                <w:rStyle w:val="IndexLink"/>
                <w:rtl w:val="true"/>
              </w:rPr>
              <w:t>فتوی صریحة في بطلان الصلاة مع الإخلال بالتقلید</w:t>
            </w:r>
            <w:r>
              <w:rPr>
                <w:rStyle w:val="IndexLink"/>
                <w:rtl w:val="true"/>
              </w:rPr>
              <w:tab/>
            </w:r>
            <w:r>
              <w:rPr>
                <w:rStyle w:val="IndexLink"/>
              </w:rPr>
              <w:t>84</w:t>
            </w:r>
          </w:hyperlink>
        </w:p>
        <w:p>
          <w:pPr>
            <w:pStyle w:val="Contents4"/>
            <w:tabs>
              <w:tab w:val="clear" w:pos="8176"/>
              <w:tab w:val="right" w:pos="9026" w:leader="dot"/>
            </w:tabs>
            <w:rPr/>
          </w:pPr>
          <w:hyperlink w:anchor="__RefHeading___Toc375235_1067777946">
            <w:r>
              <w:rPr>
                <w:webHidden/>
                <w:rStyle w:val="IndexLink"/>
                <w:rtl w:val="true"/>
              </w:rPr>
              <w:t>نصیحة الشهید لطلبة زمانه و غیرهم</w:t>
            </w:r>
            <w:r>
              <w:rPr>
                <w:rStyle w:val="IndexLink"/>
                <w:rtl w:val="true"/>
              </w:rPr>
              <w:tab/>
            </w:r>
            <w:r>
              <w:rPr>
                <w:rStyle w:val="IndexLink"/>
              </w:rPr>
              <w:t>87</w:t>
            </w:r>
          </w:hyperlink>
        </w:p>
        <w:p>
          <w:pPr>
            <w:pStyle w:val="Contents3"/>
            <w:tabs>
              <w:tab w:val="clear" w:pos="8459"/>
              <w:tab w:val="right" w:pos="9026" w:leader="dot"/>
            </w:tabs>
            <w:rPr/>
          </w:pPr>
          <w:hyperlink w:anchor="__RefHeading___Toc375237_1067777946">
            <w:r>
              <w:rPr>
                <w:webHidden/>
                <w:rStyle w:val="IndexLink"/>
              </w:rPr>
              <w:t>9</w:t>
            </w:r>
            <w:r>
              <w:rPr>
                <w:rStyle w:val="IndexLink"/>
                <w:rtl w:val="true"/>
              </w:rPr>
              <w:t xml:space="preserve">. </w:t>
            </w:r>
            <w:r>
              <w:rPr>
                <w:rStyle w:val="IndexLink"/>
                <w:rtl w:val="true"/>
              </w:rPr>
              <w:t>العدالة</w:t>
            </w:r>
            <w:r>
              <w:rPr>
                <w:rStyle w:val="IndexLink"/>
                <w:rtl w:val="true"/>
              </w:rPr>
              <w:tab/>
            </w:r>
            <w:r>
              <w:rPr>
                <w:rStyle w:val="IndexLink"/>
              </w:rPr>
              <w:t>90</w:t>
            </w:r>
          </w:hyperlink>
        </w:p>
        <w:p>
          <w:pPr>
            <w:pStyle w:val="Contents4"/>
            <w:tabs>
              <w:tab w:val="clear" w:pos="8176"/>
              <w:tab w:val="right" w:pos="9026" w:leader="dot"/>
            </w:tabs>
            <w:rPr/>
          </w:pPr>
          <w:hyperlink w:anchor="__RefHeading___Toc375239_1067777946">
            <w:r>
              <w:rPr>
                <w:webHidden/>
                <w:rStyle w:val="IndexLink"/>
                <w:rtl w:val="true"/>
              </w:rPr>
              <w:t>إشارة</w:t>
            </w:r>
            <w:r>
              <w:rPr>
                <w:rStyle w:val="IndexLink"/>
                <w:rtl w:val="true"/>
              </w:rPr>
              <w:t>:</w:t>
              <w:tab/>
            </w:r>
            <w:r>
              <w:rPr>
                <w:rStyle w:val="IndexLink"/>
              </w:rPr>
              <w:t>90</w:t>
            </w:r>
          </w:hyperlink>
        </w:p>
        <w:p>
          <w:pPr>
            <w:pStyle w:val="Contents4"/>
            <w:tabs>
              <w:tab w:val="clear" w:pos="8176"/>
              <w:tab w:val="right" w:pos="9026" w:leader="dot"/>
            </w:tabs>
            <w:rPr/>
          </w:pPr>
          <w:hyperlink w:anchor="__RefHeading___Toc375241_1067777946">
            <w:r>
              <w:rPr>
                <w:webHidden/>
                <w:rStyle w:val="IndexLink"/>
                <w:rtl w:val="true"/>
              </w:rPr>
              <w:t>تعریف العدالة</w:t>
            </w:r>
            <w:r>
              <w:rPr>
                <w:rStyle w:val="IndexLink"/>
                <w:rtl w:val="true"/>
              </w:rPr>
              <w:tab/>
            </w:r>
            <w:r>
              <w:rPr>
                <w:rStyle w:val="IndexLink"/>
              </w:rPr>
              <w:t>93</w:t>
            </w:r>
          </w:hyperlink>
        </w:p>
        <w:p>
          <w:pPr>
            <w:pStyle w:val="Contents4"/>
            <w:tabs>
              <w:tab w:val="clear" w:pos="8176"/>
              <w:tab w:val="right" w:pos="9026" w:leader="dot"/>
            </w:tabs>
            <w:rPr/>
          </w:pPr>
          <w:hyperlink w:anchor="__RefHeading___Toc375243_1067777946">
            <w:r>
              <w:rPr>
                <w:webHidden/>
                <w:rStyle w:val="IndexLink"/>
                <w:rtl w:val="true"/>
              </w:rPr>
              <w:t>تعریف التقوی</w:t>
            </w:r>
            <w:r>
              <w:rPr>
                <w:rStyle w:val="IndexLink"/>
                <w:rtl w:val="true"/>
              </w:rPr>
              <w:tab/>
            </w:r>
            <w:r>
              <w:rPr>
                <w:rStyle w:val="IndexLink"/>
              </w:rPr>
              <w:t>94</w:t>
            </w:r>
          </w:hyperlink>
        </w:p>
        <w:p>
          <w:pPr>
            <w:pStyle w:val="Contents4"/>
            <w:tabs>
              <w:tab w:val="clear" w:pos="8176"/>
              <w:tab w:val="right" w:pos="9026" w:leader="dot"/>
            </w:tabs>
            <w:rPr/>
          </w:pPr>
          <w:hyperlink w:anchor="__RefHeading___Toc375245_1067777946">
            <w:r>
              <w:rPr>
                <w:webHidden/>
                <w:rStyle w:val="IndexLink"/>
                <w:rtl w:val="true"/>
              </w:rPr>
              <w:t>تعریف المروءة</w:t>
            </w:r>
            <w:r>
              <w:rPr>
                <w:rStyle w:val="IndexLink"/>
                <w:rtl w:val="true"/>
              </w:rPr>
              <w:tab/>
            </w:r>
            <w:r>
              <w:rPr>
                <w:rStyle w:val="IndexLink"/>
              </w:rPr>
              <w:t>98</w:t>
            </w:r>
          </w:hyperlink>
        </w:p>
        <w:p>
          <w:pPr>
            <w:pStyle w:val="Contents2"/>
            <w:tabs>
              <w:tab w:val="clear" w:pos="8743"/>
              <w:tab w:val="right" w:pos="9026" w:leader="dot"/>
            </w:tabs>
            <w:rPr/>
          </w:pPr>
          <w:hyperlink w:anchor="__RefHeading___Toc375247_1067777946">
            <w:r>
              <w:rPr>
                <w:webHidden/>
                <w:rStyle w:val="IndexLink"/>
                <w:rtl w:val="true"/>
              </w:rPr>
              <w:t>القسم الثاني</w:t>
            </w:r>
            <w:r>
              <w:rPr>
                <w:rStyle w:val="IndexLink"/>
                <w:rtl w:val="true"/>
              </w:rPr>
              <w:t xml:space="preserve">: </w:t>
            </w:r>
            <w:r>
              <w:rPr>
                <w:rStyle w:val="IndexLink"/>
                <w:rtl w:val="true"/>
              </w:rPr>
              <w:t>الطهارة</w:t>
            </w:r>
            <w:r>
              <w:rPr>
                <w:rStyle w:val="IndexLink"/>
                <w:rtl w:val="true"/>
              </w:rPr>
              <w:tab/>
            </w:r>
            <w:r>
              <w:rPr>
                <w:rStyle w:val="IndexLink"/>
              </w:rPr>
              <w:t>100</w:t>
            </w:r>
          </w:hyperlink>
        </w:p>
        <w:p>
          <w:pPr>
            <w:pStyle w:val="Contents3"/>
            <w:tabs>
              <w:tab w:val="clear" w:pos="8459"/>
              <w:tab w:val="right" w:pos="9026" w:leader="dot"/>
            </w:tabs>
            <w:rPr/>
          </w:pPr>
          <w:hyperlink w:anchor="__RefHeading___Toc375249_1067777946">
            <w:r>
              <w:rPr>
                <w:webHidden/>
                <w:rStyle w:val="IndexLink"/>
                <w:rtl w:val="true"/>
              </w:rPr>
              <w:t>إشارة</w:t>
            </w:r>
            <w:r>
              <w:rPr>
                <w:rStyle w:val="IndexLink"/>
                <w:rtl w:val="true"/>
              </w:rPr>
              <w:t>:</w:t>
              <w:tab/>
            </w:r>
            <w:r>
              <w:rPr>
                <w:rStyle w:val="IndexLink"/>
              </w:rPr>
              <w:t>100</w:t>
            </w:r>
          </w:hyperlink>
        </w:p>
        <w:p>
          <w:pPr>
            <w:pStyle w:val="Contents3"/>
            <w:tabs>
              <w:tab w:val="clear" w:pos="8459"/>
              <w:tab w:val="right" w:pos="9026" w:leader="dot"/>
            </w:tabs>
            <w:rPr/>
          </w:pPr>
          <w:hyperlink w:anchor="__RefHeading___Toc375251_1067777946">
            <w:r>
              <w:rPr>
                <w:webHidden/>
                <w:rStyle w:val="IndexLink"/>
              </w:rPr>
              <w:t>10</w:t>
            </w:r>
            <w:r>
              <w:rPr>
                <w:rStyle w:val="IndexLink"/>
                <w:rtl w:val="true"/>
              </w:rPr>
              <w:t xml:space="preserve">. </w:t>
            </w:r>
            <w:r>
              <w:rPr>
                <w:rStyle w:val="IndexLink"/>
                <w:rtl w:val="true"/>
              </w:rPr>
              <w:t>ماء البئر</w:t>
            </w:r>
            <w:r>
              <w:rPr>
                <w:rStyle w:val="IndexLink"/>
                <w:rtl w:val="true"/>
              </w:rPr>
              <w:tab/>
            </w:r>
            <w:r>
              <w:rPr>
                <w:rStyle w:val="IndexLink"/>
              </w:rPr>
              <w:t>102</w:t>
            </w:r>
          </w:hyperlink>
        </w:p>
        <w:p>
          <w:pPr>
            <w:pStyle w:val="Contents4"/>
            <w:tabs>
              <w:tab w:val="clear" w:pos="8176"/>
              <w:tab w:val="right" w:pos="9026" w:leader="dot"/>
            </w:tabs>
            <w:rPr/>
          </w:pPr>
          <w:hyperlink w:anchor="__RefHeading___Toc375253_1067777946">
            <w:r>
              <w:rPr>
                <w:webHidden/>
                <w:rStyle w:val="IndexLink"/>
                <w:rtl w:val="true"/>
              </w:rPr>
              <w:t>إشارة</w:t>
            </w:r>
            <w:r>
              <w:rPr>
                <w:rStyle w:val="IndexLink"/>
                <w:rtl w:val="true"/>
              </w:rPr>
              <w:t>:</w:t>
              <w:tab/>
            </w:r>
            <w:r>
              <w:rPr>
                <w:rStyle w:val="IndexLink"/>
              </w:rPr>
              <w:t>102</w:t>
            </w:r>
          </w:hyperlink>
        </w:p>
        <w:p>
          <w:pPr>
            <w:pStyle w:val="Contents4"/>
            <w:tabs>
              <w:tab w:val="clear" w:pos="8176"/>
              <w:tab w:val="right" w:pos="9026" w:leader="dot"/>
            </w:tabs>
            <w:rPr/>
          </w:pPr>
          <w:hyperlink w:anchor="__RefHeading___Toc375255_1067777946">
            <w:r>
              <w:rPr>
                <w:webHidden/>
                <w:rStyle w:val="IndexLink"/>
                <w:rtl w:val="true"/>
              </w:rPr>
              <w:t>اختلاف أصحابنا في نجاسة البئر بمجرّد الملاقاة</w:t>
            </w:r>
            <w:r>
              <w:rPr>
                <w:rStyle w:val="IndexLink"/>
                <w:rtl w:val="true"/>
              </w:rPr>
              <w:tab/>
            </w:r>
            <w:r>
              <w:rPr>
                <w:rStyle w:val="IndexLink"/>
              </w:rPr>
              <w:t>104</w:t>
            </w:r>
          </w:hyperlink>
        </w:p>
        <w:p>
          <w:pPr>
            <w:pStyle w:val="Contents4"/>
            <w:tabs>
              <w:tab w:val="clear" w:pos="8176"/>
              <w:tab w:val="right" w:pos="9026" w:leader="dot"/>
            </w:tabs>
            <w:rPr/>
          </w:pPr>
          <w:hyperlink w:anchor="__RefHeading___Toc375257_1067777946">
            <w:r>
              <w:rPr>
                <w:webHidden/>
                <w:rStyle w:val="IndexLink"/>
                <w:rtl w:val="true"/>
              </w:rPr>
              <w:t>الأخبارُ الدالّة على النجاسة</w:t>
            </w:r>
            <w:r>
              <w:rPr>
                <w:rStyle w:val="IndexLink"/>
                <w:rtl w:val="true"/>
              </w:rPr>
              <w:tab/>
            </w:r>
            <w:r>
              <w:rPr>
                <w:rStyle w:val="IndexLink"/>
              </w:rPr>
              <w:t>105</w:t>
            </w:r>
          </w:hyperlink>
        </w:p>
        <w:p>
          <w:pPr>
            <w:pStyle w:val="Contents4"/>
            <w:tabs>
              <w:tab w:val="clear" w:pos="8176"/>
              <w:tab w:val="right" w:pos="9026" w:leader="dot"/>
            </w:tabs>
            <w:rPr/>
          </w:pPr>
          <w:hyperlink w:anchor="__RefHeading___Toc375259_1067777946">
            <w:r>
              <w:rPr>
                <w:webHidden/>
                <w:rStyle w:val="IndexLink"/>
                <w:rtl w:val="true"/>
              </w:rPr>
              <w:t>الأخبارُ الدالّة على عدم النجاسة</w:t>
            </w:r>
            <w:r>
              <w:rPr>
                <w:rStyle w:val="IndexLink"/>
                <w:rtl w:val="true"/>
              </w:rPr>
              <w:tab/>
            </w:r>
            <w:r>
              <w:rPr>
                <w:rStyle w:val="IndexLink"/>
              </w:rPr>
              <w:t>106</w:t>
            </w:r>
          </w:hyperlink>
        </w:p>
        <w:p>
          <w:pPr>
            <w:pStyle w:val="Contents4"/>
            <w:tabs>
              <w:tab w:val="clear" w:pos="8176"/>
              <w:tab w:val="right" w:pos="9026" w:leader="dot"/>
            </w:tabs>
            <w:rPr/>
          </w:pPr>
          <w:hyperlink w:anchor="__RefHeading___Toc375261_1067777946">
            <w:r>
              <w:rPr>
                <w:webHidden/>
                <w:rStyle w:val="IndexLink"/>
                <w:rtl w:val="true"/>
              </w:rPr>
              <w:t>مناقشة أدلّة القائلین بعدم النجاسة</w:t>
            </w:r>
            <w:r>
              <w:rPr>
                <w:rStyle w:val="IndexLink"/>
                <w:rtl w:val="true"/>
              </w:rPr>
              <w:tab/>
            </w:r>
            <w:r>
              <w:rPr>
                <w:rStyle w:val="IndexLink"/>
              </w:rPr>
              <w:t>110</w:t>
            </w:r>
          </w:hyperlink>
        </w:p>
        <w:p>
          <w:pPr>
            <w:pStyle w:val="Contents4"/>
            <w:tabs>
              <w:tab w:val="clear" w:pos="8176"/>
              <w:tab w:val="right" w:pos="9026" w:leader="dot"/>
            </w:tabs>
            <w:rPr/>
          </w:pPr>
          <w:hyperlink w:anchor="__RefHeading___Toc375263_1067777946">
            <w:r>
              <w:rPr>
                <w:webHidden/>
                <w:rStyle w:val="IndexLink"/>
                <w:rtl w:val="true"/>
              </w:rPr>
              <w:t>للقائلين بالطهارة اعتبارات ظنّية على قولهم</w:t>
            </w:r>
            <w:r>
              <w:rPr>
                <w:rStyle w:val="IndexLink"/>
                <w:rtl w:val="true"/>
              </w:rPr>
              <w:tab/>
            </w:r>
            <w:r>
              <w:rPr>
                <w:rStyle w:val="IndexLink"/>
              </w:rPr>
              <w:t>116</w:t>
            </w:r>
          </w:hyperlink>
        </w:p>
        <w:p>
          <w:pPr>
            <w:pStyle w:val="Contents4"/>
            <w:tabs>
              <w:tab w:val="clear" w:pos="8176"/>
              <w:tab w:val="right" w:pos="9026" w:leader="dot"/>
            </w:tabs>
            <w:rPr/>
          </w:pPr>
          <w:hyperlink w:anchor="__RefHeading___Toc375265_1067777946">
            <w:r>
              <w:rPr>
                <w:webHidden/>
                <w:rStyle w:val="IndexLink"/>
                <w:rtl w:val="true"/>
              </w:rPr>
              <w:t>مناقشة أدلّة القائلين بالنّجاسَةِ</w:t>
            </w:r>
            <w:r>
              <w:rPr>
                <w:rStyle w:val="IndexLink"/>
                <w:rtl w:val="true"/>
              </w:rPr>
              <w:tab/>
            </w:r>
            <w:r>
              <w:rPr>
                <w:rStyle w:val="IndexLink"/>
              </w:rPr>
              <w:t>119</w:t>
            </w:r>
          </w:hyperlink>
        </w:p>
        <w:p>
          <w:pPr>
            <w:pStyle w:val="Contents4"/>
            <w:tabs>
              <w:tab w:val="clear" w:pos="8176"/>
              <w:tab w:val="right" w:pos="9026" w:leader="dot"/>
            </w:tabs>
            <w:rPr/>
          </w:pPr>
          <w:hyperlink w:anchor="__RefHeading___Toc375267_1067777946">
            <w:r>
              <w:rPr>
                <w:webHidden/>
                <w:rStyle w:val="IndexLink"/>
                <w:rtl w:val="true"/>
              </w:rPr>
              <w:t>الأقوال في نزح البئر</w:t>
            </w:r>
            <w:r>
              <w:rPr>
                <w:rStyle w:val="IndexLink"/>
                <w:rtl w:val="true"/>
              </w:rPr>
              <w:tab/>
            </w:r>
            <w:r>
              <w:rPr>
                <w:rStyle w:val="IndexLink"/>
              </w:rPr>
              <w:t>122</w:t>
            </w:r>
          </w:hyperlink>
        </w:p>
        <w:p>
          <w:pPr>
            <w:pStyle w:val="Contents3"/>
            <w:tabs>
              <w:tab w:val="clear" w:pos="8459"/>
              <w:tab w:val="right" w:pos="9026" w:leader="dot"/>
            </w:tabs>
            <w:rPr/>
          </w:pPr>
          <w:hyperlink w:anchor="__RefHeading___Toc375269_1067777946">
            <w:r>
              <w:rPr>
                <w:webHidden/>
                <w:rStyle w:val="IndexLink"/>
              </w:rPr>
              <w:t>11</w:t>
            </w:r>
            <w:r>
              <w:rPr>
                <w:rStyle w:val="IndexLink"/>
                <w:rtl w:val="true"/>
              </w:rPr>
              <w:t xml:space="preserve">. </w:t>
            </w:r>
            <w:r>
              <w:rPr>
                <w:rStyle w:val="IndexLink"/>
                <w:rtl w:val="true"/>
              </w:rPr>
              <w:t>تَيَقُنُ الطهارة والحدث والشكّ في السابق منهما</w:t>
            </w:r>
            <w:r>
              <w:rPr>
                <w:rStyle w:val="IndexLink"/>
                <w:rtl w:val="true"/>
              </w:rPr>
              <w:tab/>
            </w:r>
            <w:r>
              <w:rPr>
                <w:rStyle w:val="IndexLink"/>
              </w:rPr>
              <w:t>138</w:t>
            </w:r>
          </w:hyperlink>
        </w:p>
        <w:p>
          <w:pPr>
            <w:pStyle w:val="Contents4"/>
            <w:tabs>
              <w:tab w:val="clear" w:pos="8176"/>
              <w:tab w:val="right" w:pos="9026" w:leader="dot"/>
            </w:tabs>
            <w:rPr/>
          </w:pPr>
          <w:hyperlink w:anchor="__RefHeading___Toc375271_1067777946">
            <w:r>
              <w:rPr>
                <w:webHidden/>
                <w:rStyle w:val="IndexLink"/>
                <w:rtl w:val="true"/>
              </w:rPr>
              <w:t>إشارة</w:t>
            </w:r>
            <w:r>
              <w:rPr>
                <w:rStyle w:val="IndexLink"/>
                <w:rtl w:val="true"/>
              </w:rPr>
              <w:t>:</w:t>
              <w:tab/>
            </w:r>
            <w:r>
              <w:rPr>
                <w:rStyle w:val="IndexLink"/>
              </w:rPr>
              <w:t>138</w:t>
            </w:r>
          </w:hyperlink>
        </w:p>
        <w:p>
          <w:pPr>
            <w:pStyle w:val="Contents4"/>
            <w:tabs>
              <w:tab w:val="clear" w:pos="8176"/>
              <w:tab w:val="right" w:pos="9026" w:leader="dot"/>
            </w:tabs>
            <w:rPr/>
          </w:pPr>
          <w:hyperlink w:anchor="__RefHeading___Toc375273_1067777946">
            <w:r>
              <w:rPr>
                <w:webHidden/>
                <w:rStyle w:val="IndexLink"/>
                <w:rtl w:val="true"/>
              </w:rPr>
              <w:t>مناقشة قول الأکثر في وجوب الطهارة</w:t>
            </w:r>
            <w:r>
              <w:rPr>
                <w:rStyle w:val="IndexLink"/>
                <w:rtl w:val="true"/>
              </w:rPr>
              <w:tab/>
            </w:r>
            <w:r>
              <w:rPr>
                <w:rStyle w:val="IndexLink"/>
              </w:rPr>
              <w:t>140</w:t>
            </w:r>
          </w:hyperlink>
        </w:p>
        <w:p>
          <w:pPr>
            <w:pStyle w:val="Contents4"/>
            <w:tabs>
              <w:tab w:val="clear" w:pos="8176"/>
              <w:tab w:val="right" w:pos="9026" w:leader="dot"/>
            </w:tabs>
            <w:rPr/>
          </w:pPr>
          <w:hyperlink w:anchor="__RefHeading___Toc375275_1067777946">
            <w:r>
              <w:rPr>
                <w:webHidden/>
                <w:rStyle w:val="IndexLink"/>
                <w:rtl w:val="true"/>
              </w:rPr>
              <w:t>قولان آخران في المسألة</w:t>
            </w:r>
            <w:r>
              <w:rPr>
                <w:rStyle w:val="IndexLink"/>
                <w:rtl w:val="true"/>
              </w:rPr>
              <w:tab/>
            </w:r>
            <w:r>
              <w:rPr>
                <w:rStyle w:val="IndexLink"/>
              </w:rPr>
              <w:t>144</w:t>
            </w:r>
          </w:hyperlink>
        </w:p>
        <w:p>
          <w:pPr>
            <w:pStyle w:val="Contents4"/>
            <w:tabs>
              <w:tab w:val="clear" w:pos="8176"/>
              <w:tab w:val="right" w:pos="9026" w:leader="dot"/>
            </w:tabs>
            <w:rPr/>
          </w:pPr>
          <w:hyperlink w:anchor="__RefHeading___Toc375277_1067777946">
            <w:r>
              <w:rPr>
                <w:webHidden/>
                <w:rStyle w:val="IndexLink"/>
                <w:rtl w:val="true"/>
              </w:rPr>
              <w:t>معنی الحدث في عرف الفقهاء</w:t>
            </w:r>
            <w:r>
              <w:rPr>
                <w:rStyle w:val="IndexLink"/>
                <w:rtl w:val="true"/>
              </w:rPr>
              <w:tab/>
            </w:r>
            <w:r>
              <w:rPr>
                <w:rStyle w:val="IndexLink"/>
              </w:rPr>
              <w:t>147</w:t>
            </w:r>
          </w:hyperlink>
        </w:p>
        <w:p>
          <w:pPr>
            <w:pStyle w:val="Contents4"/>
            <w:tabs>
              <w:tab w:val="clear" w:pos="8176"/>
              <w:tab w:val="right" w:pos="9026" w:leader="dot"/>
            </w:tabs>
            <w:rPr/>
          </w:pPr>
          <w:hyperlink w:anchor="__RefHeading___Toc375279_1067777946">
            <w:r>
              <w:rPr>
                <w:webHidden/>
                <w:rStyle w:val="IndexLink"/>
                <w:rtl w:val="true"/>
              </w:rPr>
              <w:t>ردّ علی أحد قولي التفصیل</w:t>
            </w:r>
            <w:r>
              <w:rPr>
                <w:rStyle w:val="IndexLink"/>
                <w:rtl w:val="true"/>
              </w:rPr>
              <w:tab/>
            </w:r>
            <w:r>
              <w:rPr>
                <w:rStyle w:val="IndexLink"/>
              </w:rPr>
              <w:t>149</w:t>
            </w:r>
          </w:hyperlink>
        </w:p>
        <w:p>
          <w:pPr>
            <w:pStyle w:val="Contents3"/>
            <w:tabs>
              <w:tab w:val="clear" w:pos="8459"/>
              <w:tab w:val="right" w:pos="9026" w:leader="dot"/>
            </w:tabs>
            <w:rPr/>
          </w:pPr>
          <w:hyperlink w:anchor="__RefHeading___Toc375281_1067777946">
            <w:r>
              <w:rPr>
                <w:webHidden/>
                <w:rStyle w:val="IndexLink"/>
              </w:rPr>
              <w:t>12</w:t>
            </w:r>
            <w:r>
              <w:rPr>
                <w:rStyle w:val="IndexLink"/>
                <w:rtl w:val="true"/>
              </w:rPr>
              <w:t xml:space="preserve">. </w:t>
            </w:r>
            <w:r>
              <w:rPr>
                <w:rStyle w:val="IndexLink"/>
                <w:rtl w:val="true"/>
              </w:rPr>
              <w:t>الحَدَثُ الأصغرُ أثناء غُسل الجنابة</w:t>
            </w:r>
            <w:r>
              <w:rPr>
                <w:rStyle w:val="IndexLink"/>
                <w:rtl w:val="true"/>
              </w:rPr>
              <w:tab/>
            </w:r>
            <w:r>
              <w:rPr>
                <w:rStyle w:val="IndexLink"/>
              </w:rPr>
              <w:t>154</w:t>
            </w:r>
          </w:hyperlink>
        </w:p>
        <w:p>
          <w:pPr>
            <w:pStyle w:val="Contents4"/>
            <w:tabs>
              <w:tab w:val="clear" w:pos="8176"/>
              <w:tab w:val="right" w:pos="9026" w:leader="dot"/>
            </w:tabs>
            <w:rPr/>
          </w:pPr>
          <w:hyperlink w:anchor="__RefHeading___Toc375283_1067777946">
            <w:r>
              <w:rPr>
                <w:webHidden/>
                <w:rStyle w:val="IndexLink"/>
                <w:rtl w:val="true"/>
              </w:rPr>
              <w:t>إشارة</w:t>
            </w:r>
            <w:r>
              <w:rPr>
                <w:rStyle w:val="IndexLink"/>
                <w:rtl w:val="true"/>
              </w:rPr>
              <w:t>:</w:t>
              <w:tab/>
            </w:r>
            <w:r>
              <w:rPr>
                <w:rStyle w:val="IndexLink"/>
              </w:rPr>
              <w:t>154</w:t>
            </w:r>
          </w:hyperlink>
        </w:p>
        <w:p>
          <w:pPr>
            <w:pStyle w:val="Contents4"/>
            <w:tabs>
              <w:tab w:val="clear" w:pos="8176"/>
              <w:tab w:val="right" w:pos="9026" w:leader="dot"/>
            </w:tabs>
            <w:rPr/>
          </w:pPr>
          <w:hyperlink w:anchor="__RefHeading___Toc375285_1067777946">
            <w:r>
              <w:rPr>
                <w:webHidden/>
                <w:rStyle w:val="IndexLink"/>
                <w:rtl w:val="true"/>
              </w:rPr>
              <w:t>في المسألة ثلاثة أقوال</w:t>
            </w:r>
            <w:r>
              <w:rPr>
                <w:rStyle w:val="IndexLink"/>
                <w:rtl w:val="true"/>
              </w:rPr>
              <w:tab/>
            </w:r>
            <w:r>
              <w:rPr>
                <w:rStyle w:val="IndexLink"/>
              </w:rPr>
              <w:t>156</w:t>
            </w:r>
          </w:hyperlink>
        </w:p>
        <w:p>
          <w:pPr>
            <w:pStyle w:val="Contents4"/>
            <w:tabs>
              <w:tab w:val="clear" w:pos="8176"/>
              <w:tab w:val="right" w:pos="9026" w:leader="dot"/>
            </w:tabs>
            <w:rPr/>
          </w:pPr>
          <w:hyperlink w:anchor="__RefHeading___Toc375287_1067777946">
            <w:r>
              <w:rPr>
                <w:webHidden/>
                <w:rStyle w:val="IndexLink"/>
                <w:rtl w:val="true"/>
              </w:rPr>
              <w:t>أدلّة الأقوال الثلاثة</w:t>
            </w:r>
            <w:r>
              <w:rPr>
                <w:rStyle w:val="IndexLink"/>
                <w:rtl w:val="true"/>
              </w:rPr>
              <w:tab/>
            </w:r>
            <w:r>
              <w:rPr>
                <w:rStyle w:val="IndexLink"/>
              </w:rPr>
              <w:t>157</w:t>
            </w:r>
          </w:hyperlink>
        </w:p>
        <w:p>
          <w:pPr>
            <w:pStyle w:val="Contents4"/>
            <w:tabs>
              <w:tab w:val="clear" w:pos="8176"/>
              <w:tab w:val="right" w:pos="9026" w:leader="dot"/>
            </w:tabs>
            <w:rPr/>
          </w:pPr>
          <w:hyperlink w:anchor="__RefHeading___Toc375289_1067777946">
            <w:r>
              <w:rPr>
                <w:webHidden/>
                <w:rStyle w:val="IndexLink"/>
                <w:rtl w:val="true"/>
              </w:rPr>
              <w:t>مناقشة أدلة القول الأوّل</w:t>
            </w:r>
            <w:r>
              <w:rPr>
                <w:rStyle w:val="IndexLink"/>
                <w:rtl w:val="true"/>
              </w:rPr>
              <w:tab/>
            </w:r>
            <w:r>
              <w:rPr>
                <w:rStyle w:val="IndexLink"/>
              </w:rPr>
              <w:t>160</w:t>
            </w:r>
          </w:hyperlink>
        </w:p>
        <w:p>
          <w:pPr>
            <w:pStyle w:val="Contents4"/>
            <w:tabs>
              <w:tab w:val="clear" w:pos="8176"/>
              <w:tab w:val="right" w:pos="9026" w:leader="dot"/>
            </w:tabs>
            <w:rPr/>
          </w:pPr>
          <w:hyperlink w:anchor="__RefHeading___Toc375291_1067777946">
            <w:r>
              <w:rPr>
                <w:webHidden/>
                <w:rStyle w:val="IndexLink"/>
                <w:rtl w:val="true"/>
              </w:rPr>
              <w:t>مناقشة أدلة القول الثاني</w:t>
            </w:r>
            <w:r>
              <w:rPr>
                <w:rStyle w:val="IndexLink"/>
                <w:rtl w:val="true"/>
              </w:rPr>
              <w:tab/>
            </w:r>
            <w:r>
              <w:rPr>
                <w:rStyle w:val="IndexLink"/>
              </w:rPr>
              <w:t>164</w:t>
            </w:r>
          </w:hyperlink>
        </w:p>
        <w:p>
          <w:pPr>
            <w:pStyle w:val="Contents4"/>
            <w:tabs>
              <w:tab w:val="clear" w:pos="8176"/>
              <w:tab w:val="right" w:pos="9026" w:leader="dot"/>
            </w:tabs>
            <w:rPr/>
          </w:pPr>
          <w:hyperlink w:anchor="__RefHeading___Toc375293_1067777946">
            <w:r>
              <w:rPr>
                <w:webHidden/>
                <w:rStyle w:val="IndexLink"/>
                <w:rtl w:val="true"/>
              </w:rPr>
              <w:t>الحدث الأصغر أثناء غسل الارتماس</w:t>
            </w:r>
            <w:r>
              <w:rPr>
                <w:rStyle w:val="IndexLink"/>
                <w:rtl w:val="true"/>
              </w:rPr>
              <w:tab/>
            </w:r>
            <w:r>
              <w:rPr>
                <w:rStyle w:val="IndexLink"/>
              </w:rPr>
              <w:t>169</w:t>
            </w:r>
          </w:hyperlink>
        </w:p>
        <w:p>
          <w:pPr>
            <w:pStyle w:val="Contents4"/>
            <w:tabs>
              <w:tab w:val="clear" w:pos="8176"/>
              <w:tab w:val="right" w:pos="9026" w:leader="dot"/>
            </w:tabs>
            <w:rPr/>
          </w:pPr>
          <w:hyperlink w:anchor="__RefHeading___Toc375295_1067777946">
            <w:r>
              <w:rPr>
                <w:webHidden/>
                <w:rStyle w:val="IndexLink"/>
                <w:rtl w:val="true"/>
              </w:rPr>
              <w:t>حدث واحد أکبر أم حدثان أصغر وأکبر؟</w:t>
            </w:r>
            <w:r>
              <w:rPr>
                <w:rStyle w:val="IndexLink"/>
                <w:rtl w:val="true"/>
              </w:rPr>
              <w:tab/>
            </w:r>
            <w:r>
              <w:rPr>
                <w:rStyle w:val="IndexLink"/>
              </w:rPr>
              <w:t>173</w:t>
            </w:r>
          </w:hyperlink>
        </w:p>
        <w:p>
          <w:pPr>
            <w:pStyle w:val="Contents4"/>
            <w:tabs>
              <w:tab w:val="clear" w:pos="8176"/>
              <w:tab w:val="right" w:pos="9026" w:leader="dot"/>
            </w:tabs>
            <w:rPr/>
          </w:pPr>
          <w:hyperlink w:anchor="__RefHeading___Toc375297_1067777946">
            <w:r>
              <w:rPr>
                <w:webHidden/>
                <w:rStyle w:val="IndexLink"/>
                <w:rtl w:val="true"/>
              </w:rPr>
              <w:t>اختیار المؤلّف</w:t>
            </w:r>
            <w:r>
              <w:rPr>
                <w:rStyle w:val="IndexLink"/>
                <w:rtl w:val="true"/>
              </w:rPr>
              <w:tab/>
            </w:r>
            <w:r>
              <w:rPr>
                <w:rStyle w:val="IndexLink"/>
              </w:rPr>
              <w:t>176</w:t>
            </w:r>
          </w:hyperlink>
        </w:p>
        <w:p>
          <w:pPr>
            <w:pStyle w:val="Contents2"/>
            <w:tabs>
              <w:tab w:val="clear" w:pos="8743"/>
              <w:tab w:val="right" w:pos="9026" w:leader="dot"/>
            </w:tabs>
            <w:rPr/>
          </w:pPr>
          <w:hyperlink w:anchor="__RefHeading___Toc375299_1067777946">
            <w:r>
              <w:rPr>
                <w:webHidden/>
                <w:rStyle w:val="IndexLink"/>
                <w:rtl w:val="true"/>
              </w:rPr>
              <w:t>القسم الثالث</w:t>
            </w:r>
            <w:r>
              <w:rPr>
                <w:rStyle w:val="IndexLink"/>
                <w:rtl w:val="true"/>
              </w:rPr>
              <w:t xml:space="preserve">: </w:t>
            </w:r>
            <w:r>
              <w:rPr>
                <w:rStyle w:val="IndexLink"/>
                <w:rtl w:val="true"/>
              </w:rPr>
              <w:t>الصلاة</w:t>
            </w:r>
            <w:r>
              <w:rPr>
                <w:rStyle w:val="IndexLink"/>
                <w:rtl w:val="true"/>
              </w:rPr>
              <w:tab/>
            </w:r>
            <w:r>
              <w:rPr>
                <w:rStyle w:val="IndexLink"/>
              </w:rPr>
              <w:t>180</w:t>
            </w:r>
          </w:hyperlink>
        </w:p>
        <w:p>
          <w:pPr>
            <w:pStyle w:val="Contents3"/>
            <w:tabs>
              <w:tab w:val="clear" w:pos="8459"/>
              <w:tab w:val="right" w:pos="9026" w:leader="dot"/>
            </w:tabs>
            <w:rPr/>
          </w:pPr>
          <w:hyperlink w:anchor="__RefHeading___Toc375301_1067777946">
            <w:r>
              <w:rPr>
                <w:webHidden/>
                <w:rStyle w:val="IndexLink"/>
                <w:rtl w:val="true"/>
              </w:rPr>
              <w:t>إشارة</w:t>
            </w:r>
            <w:r>
              <w:rPr>
                <w:rStyle w:val="IndexLink"/>
                <w:rtl w:val="true"/>
              </w:rPr>
              <w:t>:</w:t>
              <w:tab/>
            </w:r>
            <w:r>
              <w:rPr>
                <w:rStyle w:val="IndexLink"/>
              </w:rPr>
              <w:t>180</w:t>
            </w:r>
          </w:hyperlink>
        </w:p>
        <w:p>
          <w:pPr>
            <w:pStyle w:val="Contents3"/>
            <w:tabs>
              <w:tab w:val="clear" w:pos="8459"/>
              <w:tab w:val="right" w:pos="9026" w:leader="dot"/>
            </w:tabs>
            <w:rPr/>
          </w:pPr>
          <w:hyperlink w:anchor="__RefHeading___Toc375303_1067777946">
            <w:r>
              <w:rPr>
                <w:webHidden/>
                <w:rStyle w:val="IndexLink"/>
              </w:rPr>
              <w:t>13</w:t>
            </w:r>
            <w:r>
              <w:rPr>
                <w:rStyle w:val="IndexLink"/>
                <w:rtl w:val="true"/>
              </w:rPr>
              <w:t xml:space="preserve">. </w:t>
            </w:r>
            <w:r>
              <w:rPr>
                <w:rStyle w:val="IndexLink"/>
                <w:rtl w:val="true"/>
              </w:rPr>
              <w:t>النيّة</w:t>
            </w:r>
            <w:r>
              <w:rPr>
                <w:rStyle w:val="IndexLink"/>
                <w:rtl w:val="true"/>
              </w:rPr>
              <w:tab/>
            </w:r>
            <w:r>
              <w:rPr>
                <w:rStyle w:val="IndexLink"/>
              </w:rPr>
              <w:t>182</w:t>
            </w:r>
          </w:hyperlink>
        </w:p>
        <w:p>
          <w:pPr>
            <w:pStyle w:val="Contents4"/>
            <w:tabs>
              <w:tab w:val="clear" w:pos="8176"/>
              <w:tab w:val="right" w:pos="9026" w:leader="dot"/>
            </w:tabs>
            <w:rPr/>
          </w:pPr>
          <w:hyperlink w:anchor="__RefHeading___Toc375305_1067777946">
            <w:r>
              <w:rPr>
                <w:webHidden/>
                <w:rStyle w:val="IndexLink"/>
                <w:rtl w:val="true"/>
              </w:rPr>
              <w:t>إشارة</w:t>
            </w:r>
            <w:r>
              <w:rPr>
                <w:rStyle w:val="IndexLink"/>
                <w:rtl w:val="true"/>
              </w:rPr>
              <w:t>:</w:t>
              <w:tab/>
            </w:r>
            <w:r>
              <w:rPr>
                <w:rStyle w:val="IndexLink"/>
              </w:rPr>
              <w:t>182</w:t>
            </w:r>
          </w:hyperlink>
        </w:p>
        <w:p>
          <w:pPr>
            <w:pStyle w:val="Contents4"/>
            <w:tabs>
              <w:tab w:val="clear" w:pos="8176"/>
              <w:tab w:val="right" w:pos="9026" w:leader="dot"/>
            </w:tabs>
            <w:rPr/>
          </w:pPr>
          <w:hyperlink w:anchor="__RefHeading___Toc375307_1067777946">
            <w:r>
              <w:rPr>
                <w:webHidden/>
                <w:rStyle w:val="IndexLink"/>
                <w:rtl w:val="true"/>
              </w:rPr>
              <w:t>الأصل في النيّة واعتبارها</w:t>
            </w:r>
            <w:r>
              <w:rPr>
                <w:rStyle w:val="IndexLink"/>
                <w:rtl w:val="true"/>
              </w:rPr>
              <w:tab/>
            </w:r>
            <w:r>
              <w:rPr>
                <w:rStyle w:val="IndexLink"/>
              </w:rPr>
              <w:t>184</w:t>
            </w:r>
          </w:hyperlink>
        </w:p>
        <w:p>
          <w:pPr>
            <w:pStyle w:val="Contents4"/>
            <w:tabs>
              <w:tab w:val="clear" w:pos="8176"/>
              <w:tab w:val="right" w:pos="9026" w:leader="dot"/>
            </w:tabs>
            <w:rPr/>
          </w:pPr>
          <w:hyperlink w:anchor="__RefHeading___Toc375309_1067777946">
            <w:r>
              <w:rPr>
                <w:webHidden/>
                <w:rStyle w:val="IndexLink"/>
                <w:rtl w:val="true"/>
              </w:rPr>
              <w:t>التحذیر من إغواء الشیطان في النیّة</w:t>
            </w:r>
            <w:r>
              <w:rPr>
                <w:rStyle w:val="IndexLink"/>
                <w:rtl w:val="true"/>
              </w:rPr>
              <w:tab/>
            </w:r>
            <w:r>
              <w:rPr>
                <w:rStyle w:val="IndexLink"/>
              </w:rPr>
              <w:t>187</w:t>
            </w:r>
          </w:hyperlink>
        </w:p>
        <w:p>
          <w:pPr>
            <w:pStyle w:val="Contents3"/>
            <w:tabs>
              <w:tab w:val="clear" w:pos="8459"/>
              <w:tab w:val="right" w:pos="9026" w:leader="dot"/>
            </w:tabs>
            <w:rPr/>
          </w:pPr>
          <w:hyperlink w:anchor="__RefHeading___Toc375311_1067777946">
            <w:r>
              <w:rPr>
                <w:webHidden/>
                <w:rStyle w:val="IndexLink"/>
              </w:rPr>
              <w:t>14</w:t>
            </w:r>
            <w:r>
              <w:rPr>
                <w:rStyle w:val="IndexLink"/>
                <w:rtl w:val="true"/>
              </w:rPr>
              <w:t>.</w:t>
            </w:r>
            <w:r>
              <w:rPr>
                <w:rStyle w:val="IndexLink"/>
                <w:rtl w:val="true"/>
              </w:rPr>
              <w:t>صلاة الجمعة</w:t>
            </w:r>
            <w:r>
              <w:rPr>
                <w:rStyle w:val="IndexLink"/>
                <w:rtl w:val="true"/>
              </w:rPr>
              <w:tab/>
            </w:r>
            <w:r>
              <w:rPr>
                <w:rStyle w:val="IndexLink"/>
              </w:rPr>
              <w:t>190</w:t>
            </w:r>
          </w:hyperlink>
        </w:p>
        <w:p>
          <w:pPr>
            <w:pStyle w:val="Contents4"/>
            <w:tabs>
              <w:tab w:val="clear" w:pos="8176"/>
              <w:tab w:val="right" w:pos="9026" w:leader="dot"/>
            </w:tabs>
            <w:rPr/>
          </w:pPr>
          <w:hyperlink w:anchor="__RefHeading___Toc375313_1067777946">
            <w:r>
              <w:rPr>
                <w:webHidden/>
                <w:rStyle w:val="IndexLink"/>
                <w:rtl w:val="true"/>
              </w:rPr>
              <w:t>إشارة</w:t>
            </w:r>
            <w:r>
              <w:rPr>
                <w:rStyle w:val="IndexLink"/>
                <w:rtl w:val="true"/>
              </w:rPr>
              <w:t>:</w:t>
              <w:tab/>
            </w:r>
            <w:r>
              <w:rPr>
                <w:rStyle w:val="IndexLink"/>
              </w:rPr>
              <w:t>190</w:t>
            </w:r>
          </w:hyperlink>
        </w:p>
        <w:p>
          <w:pPr>
            <w:pStyle w:val="Contents4"/>
            <w:tabs>
              <w:tab w:val="clear" w:pos="8176"/>
              <w:tab w:val="right" w:pos="9026" w:leader="dot"/>
            </w:tabs>
            <w:rPr/>
          </w:pPr>
          <w:hyperlink w:anchor="__RefHeading___Toc375315_1067777946">
            <w:r>
              <w:rPr>
                <w:webHidden/>
                <w:rStyle w:val="IndexLink"/>
                <w:rtl w:val="true"/>
              </w:rPr>
              <w:t>اتّفاق علماء الإسلام علی وجوب الجمعة واختلافهم في شروطها</w:t>
            </w:r>
            <w:r>
              <w:rPr>
                <w:rStyle w:val="IndexLink"/>
                <w:rtl w:val="true"/>
              </w:rPr>
              <w:tab/>
            </w:r>
            <w:r>
              <w:rPr>
                <w:rStyle w:val="IndexLink"/>
              </w:rPr>
              <w:t>192</w:t>
            </w:r>
          </w:hyperlink>
        </w:p>
        <w:p>
          <w:pPr>
            <w:pStyle w:val="Contents4"/>
            <w:tabs>
              <w:tab w:val="clear" w:pos="8176"/>
              <w:tab w:val="right" w:pos="9026" w:leader="dot"/>
            </w:tabs>
            <w:rPr/>
          </w:pPr>
          <w:hyperlink w:anchor="__RefHeading___Toc375317_1067777946">
            <w:r>
              <w:rPr>
                <w:webHidden/>
                <w:rStyle w:val="IndexLink"/>
                <w:rtl w:val="true"/>
              </w:rPr>
              <w:t>لأصحابنا قولان فیها في حال الغیبة</w:t>
            </w:r>
            <w:r>
              <w:rPr>
                <w:rStyle w:val="IndexLink"/>
                <w:rtl w:val="true"/>
              </w:rPr>
              <w:t xml:space="preserve">: </w:t>
            </w:r>
            <w:r>
              <w:rPr>
                <w:rStyle w:val="IndexLink"/>
                <w:rtl w:val="true"/>
              </w:rPr>
              <w:t>الوجول والعدم</w:t>
            </w:r>
            <w:r>
              <w:rPr>
                <w:rStyle w:val="IndexLink"/>
                <w:rtl w:val="true"/>
              </w:rPr>
              <w:tab/>
            </w:r>
            <w:r>
              <w:rPr>
                <w:rStyle w:val="IndexLink"/>
              </w:rPr>
              <w:t>193</w:t>
            </w:r>
          </w:hyperlink>
        </w:p>
        <w:p>
          <w:pPr>
            <w:pStyle w:val="Contents4"/>
            <w:tabs>
              <w:tab w:val="clear" w:pos="8176"/>
              <w:tab w:val="right" w:pos="9026" w:leader="dot"/>
            </w:tabs>
            <w:rPr/>
          </w:pPr>
          <w:hyperlink w:anchor="__RefHeading___Toc375319_1067777946">
            <w:r>
              <w:rPr>
                <w:webHidden/>
                <w:rStyle w:val="IndexLink"/>
                <w:rtl w:val="true"/>
              </w:rPr>
              <w:t>أدلّة القائلين بالوجوب</w:t>
            </w:r>
            <w:r>
              <w:rPr>
                <w:rStyle w:val="IndexLink"/>
                <w:rtl w:val="true"/>
              </w:rPr>
              <w:tab/>
            </w:r>
            <w:r>
              <w:rPr>
                <w:rStyle w:val="IndexLink"/>
              </w:rPr>
              <w:t>194</w:t>
            </w:r>
          </w:hyperlink>
        </w:p>
        <w:p>
          <w:pPr>
            <w:pStyle w:val="Contents5"/>
            <w:tabs>
              <w:tab w:val="clear" w:pos="7892"/>
              <w:tab w:val="right" w:pos="9026" w:leader="dot"/>
            </w:tabs>
            <w:rPr/>
          </w:pPr>
          <w:hyperlink w:anchor="__RefHeading___Toc375321_1067777946">
            <w:r>
              <w:rPr>
                <w:webHidden/>
                <w:rStyle w:val="IndexLink"/>
                <w:rtl w:val="true"/>
              </w:rPr>
              <w:t>الدليل الأوّل</w:t>
            </w:r>
            <w:r>
              <w:rPr>
                <w:rStyle w:val="IndexLink"/>
                <w:rtl w:val="true"/>
              </w:rPr>
              <w:t xml:space="preserve">: </w:t>
            </w:r>
            <w:r>
              <w:rPr>
                <w:rStyle w:val="IndexLink"/>
                <w:rtl w:val="true"/>
              </w:rPr>
              <w:t>الآية الكريمة</w:t>
            </w:r>
            <w:r>
              <w:rPr>
                <w:rStyle w:val="IndexLink"/>
                <w:rtl w:val="true"/>
              </w:rPr>
              <w:tab/>
            </w:r>
            <w:r>
              <w:rPr>
                <w:rStyle w:val="IndexLink"/>
              </w:rPr>
              <w:t>194</w:t>
            </w:r>
          </w:hyperlink>
        </w:p>
        <w:p>
          <w:pPr>
            <w:pStyle w:val="Contents5"/>
            <w:tabs>
              <w:tab w:val="clear" w:pos="7892"/>
              <w:tab w:val="right" w:pos="9026" w:leader="dot"/>
            </w:tabs>
            <w:rPr/>
          </w:pPr>
          <w:hyperlink w:anchor="__RefHeading___Toc375323_1067777946">
            <w:r>
              <w:rPr>
                <w:webHidden/>
                <w:rStyle w:val="IndexLink"/>
                <w:rtl w:val="true"/>
              </w:rPr>
              <w:t>الدليل الثاني</w:t>
            </w:r>
            <w:r>
              <w:rPr>
                <w:rStyle w:val="IndexLink"/>
                <w:rtl w:val="true"/>
              </w:rPr>
              <w:t xml:space="preserve">: </w:t>
            </w:r>
            <w:r>
              <w:rPr>
                <w:rStyle w:val="IndexLink"/>
                <w:rtl w:val="true"/>
              </w:rPr>
              <w:t>الأخبار الشريفة</w:t>
            </w:r>
            <w:r>
              <w:rPr>
                <w:rStyle w:val="IndexLink"/>
                <w:rtl w:val="true"/>
              </w:rPr>
              <w:tab/>
            </w:r>
            <w:r>
              <w:rPr>
                <w:rStyle w:val="IndexLink"/>
              </w:rPr>
              <w:t>197</w:t>
            </w:r>
          </w:hyperlink>
        </w:p>
        <w:p>
          <w:pPr>
            <w:pStyle w:val="Contents6"/>
            <w:tabs>
              <w:tab w:val="clear" w:pos="7609"/>
              <w:tab w:val="right" w:pos="9026" w:leader="dot"/>
            </w:tabs>
            <w:rPr/>
          </w:pPr>
          <w:hyperlink w:anchor="__RefHeading___Toc375325_1067777946">
            <w:r>
              <w:rPr>
                <w:webHidden/>
                <w:rStyle w:val="IndexLink"/>
                <w:rtl w:val="true"/>
              </w:rPr>
              <w:t>إشارة</w:t>
            </w:r>
            <w:r>
              <w:rPr>
                <w:rStyle w:val="IndexLink"/>
                <w:rtl w:val="true"/>
              </w:rPr>
              <w:t>:</w:t>
              <w:tab/>
            </w:r>
            <w:r>
              <w:rPr>
                <w:rStyle w:val="IndexLink"/>
              </w:rPr>
              <w:t>197</w:t>
            </w:r>
          </w:hyperlink>
        </w:p>
        <w:p>
          <w:pPr>
            <w:pStyle w:val="Contents6"/>
            <w:tabs>
              <w:tab w:val="clear" w:pos="7609"/>
              <w:tab w:val="right" w:pos="9026" w:leader="dot"/>
            </w:tabs>
            <w:rPr/>
          </w:pPr>
          <w:hyperlink w:anchor="__RefHeading___Toc375327_1067777946">
            <w:r>
              <w:rPr>
                <w:webHidden/>
                <w:rStyle w:val="IndexLink"/>
                <w:rtl w:val="true"/>
              </w:rPr>
              <w:t>مناقشة أحد الأخبار الموهمة</w:t>
            </w:r>
            <w:r>
              <w:rPr>
                <w:rStyle w:val="IndexLink"/>
                <w:rtl w:val="true"/>
              </w:rPr>
              <w:tab/>
            </w:r>
            <w:r>
              <w:rPr>
                <w:rStyle w:val="IndexLink"/>
              </w:rPr>
              <w:t>201</w:t>
            </w:r>
          </w:hyperlink>
        </w:p>
        <w:p>
          <w:pPr>
            <w:pStyle w:val="Contents5"/>
            <w:tabs>
              <w:tab w:val="clear" w:pos="7892"/>
              <w:tab w:val="right" w:pos="9026" w:leader="dot"/>
            </w:tabs>
            <w:rPr/>
          </w:pPr>
          <w:hyperlink w:anchor="__RefHeading___Toc375329_1067777946">
            <w:r>
              <w:rPr>
                <w:webHidden/>
                <w:rStyle w:val="IndexLink"/>
                <w:rtl w:val="true"/>
              </w:rPr>
              <w:t>الدليل الثالث</w:t>
            </w:r>
            <w:r>
              <w:rPr>
                <w:rStyle w:val="IndexLink"/>
                <w:rtl w:val="true"/>
              </w:rPr>
              <w:t xml:space="preserve">: </w:t>
            </w:r>
            <w:r>
              <w:rPr>
                <w:rStyle w:val="IndexLink"/>
                <w:rtl w:val="true"/>
              </w:rPr>
              <w:t xml:space="preserve">استصحاب وجوبها السابق أيّام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 xml:space="preserve">والأئمّة </w:t>
            </w:r>
            <w:r>
              <w:rPr>
                <w:rStyle w:val="IndexLink"/>
                <w:rtl w:val="true"/>
              </w:rPr>
              <w:t>(</w:t>
            </w:r>
            <w:r>
              <w:rPr>
                <w:rStyle w:val="IndexLink"/>
                <w:rtl w:val="true"/>
              </w:rPr>
              <w:t>عَلَيهِم السَّلَامُ</w:t>
            </w:r>
            <w:r>
              <w:rPr>
                <w:rStyle w:val="IndexLink"/>
                <w:rtl w:val="true"/>
              </w:rPr>
              <w:t>)</w:t>
              <w:tab/>
            </w:r>
            <w:r>
              <w:rPr>
                <w:rStyle w:val="IndexLink"/>
              </w:rPr>
              <w:t>202</w:t>
            </w:r>
          </w:hyperlink>
        </w:p>
        <w:p>
          <w:pPr>
            <w:pStyle w:val="Contents6"/>
            <w:tabs>
              <w:tab w:val="clear" w:pos="7609"/>
              <w:tab w:val="right" w:pos="9026" w:leader="dot"/>
            </w:tabs>
            <w:rPr/>
          </w:pPr>
          <w:hyperlink w:anchor="__RefHeading___Toc375331_1067777946">
            <w:r>
              <w:rPr>
                <w:webHidden/>
                <w:rStyle w:val="IndexLink"/>
                <w:rtl w:val="true"/>
              </w:rPr>
              <w:t>إشارة</w:t>
            </w:r>
            <w:r>
              <w:rPr>
                <w:rStyle w:val="IndexLink"/>
                <w:rtl w:val="true"/>
              </w:rPr>
              <w:t>:</w:t>
              <w:tab/>
            </w:r>
            <w:r>
              <w:rPr>
                <w:rStyle w:val="IndexLink"/>
              </w:rPr>
              <w:t>202</w:t>
            </w:r>
          </w:hyperlink>
        </w:p>
        <w:p>
          <w:pPr>
            <w:pStyle w:val="Contents6"/>
            <w:tabs>
              <w:tab w:val="clear" w:pos="7609"/>
              <w:tab w:val="right" w:pos="9026" w:leader="dot"/>
            </w:tabs>
            <w:rPr/>
          </w:pPr>
          <w:hyperlink w:anchor="__RefHeading___Toc375333_1067777946">
            <w:r>
              <w:rPr>
                <w:webHidden/>
                <w:rStyle w:val="IndexLink"/>
                <w:rtl w:val="true"/>
              </w:rPr>
              <w:t>الأدلّة الثلاثة السابقة تدلّ على الوجوب العيني</w:t>
            </w:r>
            <w:r>
              <w:rPr>
                <w:rStyle w:val="IndexLink"/>
                <w:rtl w:val="true"/>
              </w:rPr>
              <w:tab/>
            </w:r>
            <w:r>
              <w:rPr>
                <w:rStyle w:val="IndexLink"/>
              </w:rPr>
              <w:t>203</w:t>
            </w:r>
          </w:hyperlink>
        </w:p>
        <w:p>
          <w:pPr>
            <w:pStyle w:val="Contents6"/>
            <w:tabs>
              <w:tab w:val="clear" w:pos="7609"/>
              <w:tab w:val="right" w:pos="9026" w:leader="dot"/>
            </w:tabs>
            <w:rPr/>
          </w:pPr>
          <w:hyperlink w:anchor="__RefHeading___Toc375335_1067777946">
            <w:r>
              <w:rPr>
                <w:webHidden/>
                <w:rStyle w:val="IndexLink"/>
                <w:rtl w:val="true"/>
              </w:rPr>
              <w:t>السرّ في تهاون الأصحاب بصلاة الجمعة</w:t>
            </w:r>
            <w:r>
              <w:rPr>
                <w:rStyle w:val="IndexLink"/>
                <w:rtl w:val="true"/>
              </w:rPr>
              <w:tab/>
            </w:r>
            <w:r>
              <w:rPr>
                <w:rStyle w:val="IndexLink"/>
              </w:rPr>
              <w:t>205</w:t>
            </w:r>
          </w:hyperlink>
        </w:p>
        <w:p>
          <w:pPr>
            <w:pStyle w:val="Contents5"/>
            <w:tabs>
              <w:tab w:val="clear" w:pos="7892"/>
              <w:tab w:val="right" w:pos="9026" w:leader="dot"/>
            </w:tabs>
            <w:rPr/>
          </w:pPr>
          <w:hyperlink w:anchor="__RefHeading___Toc375337_1067777946">
            <w:r>
              <w:rPr>
                <w:webHidden/>
                <w:rStyle w:val="IndexLink"/>
                <w:rtl w:val="true"/>
              </w:rPr>
              <w:t>الدليل الرابع</w:t>
            </w:r>
            <w:r>
              <w:rPr>
                <w:rStyle w:val="IndexLink"/>
                <w:rtl w:val="true"/>
              </w:rPr>
              <w:t xml:space="preserve">: </w:t>
            </w:r>
            <w:r>
              <w:rPr>
                <w:rStyle w:val="IndexLink"/>
                <w:rtl w:val="true"/>
              </w:rPr>
              <w:t>التمسّك بأصالة الجواز</w:t>
            </w:r>
            <w:r>
              <w:rPr>
                <w:rStyle w:val="IndexLink"/>
                <w:rtl w:val="true"/>
              </w:rPr>
              <w:tab/>
            </w:r>
            <w:r>
              <w:rPr>
                <w:rStyle w:val="IndexLink"/>
              </w:rPr>
              <w:t>207</w:t>
            </w:r>
          </w:hyperlink>
        </w:p>
        <w:p>
          <w:pPr>
            <w:pStyle w:val="Contents5"/>
            <w:tabs>
              <w:tab w:val="clear" w:pos="7892"/>
              <w:tab w:val="right" w:pos="9026" w:leader="dot"/>
            </w:tabs>
            <w:rPr/>
          </w:pPr>
          <w:hyperlink w:anchor="__RefHeading___Toc375339_1067777946">
            <w:r>
              <w:rPr>
                <w:webHidden/>
                <w:rStyle w:val="IndexLink"/>
                <w:rtl w:val="true"/>
              </w:rPr>
              <w:t>الدليل الخامس</w:t>
            </w:r>
            <w:r>
              <w:rPr>
                <w:rStyle w:val="IndexLink"/>
                <w:rtl w:val="true"/>
              </w:rPr>
              <w:t xml:space="preserve">: </w:t>
            </w:r>
            <w:r>
              <w:rPr>
                <w:rStyle w:val="IndexLink"/>
                <w:rtl w:val="true"/>
              </w:rPr>
              <w:t>القول بالوجوب قول أكثر المسلمين لا يخرج منه إلّا الشاذ</w:t>
            </w:r>
            <w:r>
              <w:rPr>
                <w:rStyle w:val="IndexLink"/>
                <w:rtl w:val="true"/>
              </w:rPr>
              <w:tab/>
            </w:r>
            <w:r>
              <w:rPr>
                <w:rStyle w:val="IndexLink"/>
              </w:rPr>
              <w:t>209</w:t>
            </w:r>
          </w:hyperlink>
        </w:p>
        <w:p>
          <w:pPr>
            <w:pStyle w:val="Contents6"/>
            <w:tabs>
              <w:tab w:val="clear" w:pos="7609"/>
              <w:tab w:val="right" w:pos="9026" w:leader="dot"/>
            </w:tabs>
            <w:rPr/>
          </w:pPr>
          <w:hyperlink w:anchor="__RefHeading___Toc375341_1067777946">
            <w:r>
              <w:rPr>
                <w:webHidden/>
                <w:rStyle w:val="IndexLink"/>
                <w:rtl w:val="true"/>
              </w:rPr>
              <w:t>إشارة</w:t>
            </w:r>
            <w:r>
              <w:rPr>
                <w:rStyle w:val="IndexLink"/>
                <w:rtl w:val="true"/>
              </w:rPr>
              <w:t>:</w:t>
              <w:tab/>
            </w:r>
            <w:r>
              <w:rPr>
                <w:rStyle w:val="IndexLink"/>
              </w:rPr>
              <w:t>209</w:t>
            </w:r>
          </w:hyperlink>
        </w:p>
        <w:p>
          <w:pPr>
            <w:pStyle w:val="Contents6"/>
            <w:tabs>
              <w:tab w:val="clear" w:pos="7609"/>
              <w:tab w:val="right" w:pos="9026" w:leader="dot"/>
            </w:tabs>
            <w:rPr/>
          </w:pPr>
          <w:hyperlink w:anchor="__RefHeading___Toc375343_1067777946">
            <w:r>
              <w:rPr>
                <w:webHidden/>
                <w:rStyle w:val="IndexLink"/>
                <w:rtl w:val="true"/>
              </w:rPr>
              <w:t xml:space="preserve">وجوب صلاة الجمعة </w:t>
            </w:r>
            <w:r>
              <w:rPr>
                <w:rStyle w:val="IndexLink"/>
                <w:rtl w:val="true"/>
              </w:rPr>
              <w:t xml:space="preserve">- </w:t>
            </w:r>
            <w:r>
              <w:rPr>
                <w:rStyle w:val="IndexLink"/>
                <w:rtl w:val="true"/>
              </w:rPr>
              <w:t xml:space="preserve">حال الغيبة </w:t>
            </w:r>
            <w:r>
              <w:rPr>
                <w:rStyle w:val="IndexLink"/>
                <w:rtl w:val="true"/>
              </w:rPr>
              <w:t xml:space="preserve">- </w:t>
            </w:r>
            <w:r>
              <w:rPr>
                <w:rStyle w:val="IndexLink"/>
                <w:rtl w:val="true"/>
              </w:rPr>
              <w:t>بشرط حضور الفقيه</w:t>
            </w:r>
            <w:r>
              <w:rPr>
                <w:rStyle w:val="IndexLink"/>
                <w:rtl w:val="true"/>
              </w:rPr>
              <w:tab/>
            </w:r>
            <w:r>
              <w:rPr>
                <w:rStyle w:val="IndexLink"/>
              </w:rPr>
              <w:t>212</w:t>
            </w:r>
          </w:hyperlink>
        </w:p>
        <w:p>
          <w:pPr>
            <w:pStyle w:val="Contents4"/>
            <w:tabs>
              <w:tab w:val="clear" w:pos="8176"/>
              <w:tab w:val="right" w:pos="9026" w:leader="dot"/>
            </w:tabs>
            <w:rPr/>
          </w:pPr>
          <w:hyperlink w:anchor="__RefHeading___Toc375345_1067777946">
            <w:r>
              <w:rPr>
                <w:webHidden/>
                <w:rStyle w:val="IndexLink"/>
                <w:rtl w:val="true"/>
              </w:rPr>
              <w:t>مناقشة أوّل أدلّة هذا القول</w:t>
            </w:r>
            <w:r>
              <w:rPr>
                <w:rStyle w:val="IndexLink"/>
                <w:rtl w:val="true"/>
              </w:rPr>
              <w:tab/>
            </w:r>
            <w:r>
              <w:rPr>
                <w:rStyle w:val="IndexLink"/>
              </w:rPr>
              <w:t>213</w:t>
            </w:r>
          </w:hyperlink>
        </w:p>
        <w:p>
          <w:pPr>
            <w:pStyle w:val="Contents4"/>
            <w:tabs>
              <w:tab w:val="clear" w:pos="8176"/>
              <w:tab w:val="right" w:pos="9026" w:leader="dot"/>
            </w:tabs>
            <w:rPr/>
          </w:pPr>
          <w:hyperlink w:anchor="__RefHeading___Toc375347_1067777946">
            <w:r>
              <w:rPr>
                <w:webHidden/>
                <w:rStyle w:val="IndexLink"/>
                <w:rtl w:val="true"/>
              </w:rPr>
              <w:t>مناقشة الدليل الثاني وهو الرواية</w:t>
            </w:r>
            <w:r>
              <w:rPr>
                <w:rStyle w:val="IndexLink"/>
                <w:rtl w:val="true"/>
              </w:rPr>
              <w:tab/>
            </w:r>
            <w:r>
              <w:rPr>
                <w:rStyle w:val="IndexLink"/>
              </w:rPr>
              <w:t>214</w:t>
            </w:r>
          </w:hyperlink>
        </w:p>
        <w:p>
          <w:pPr>
            <w:pStyle w:val="Contents4"/>
            <w:tabs>
              <w:tab w:val="clear" w:pos="8176"/>
              <w:tab w:val="right" w:pos="9026" w:leader="dot"/>
            </w:tabs>
            <w:rPr/>
          </w:pPr>
          <w:hyperlink w:anchor="__RefHeading___Toc375349_1067777946">
            <w:r>
              <w:rPr>
                <w:webHidden/>
                <w:rStyle w:val="IndexLink"/>
                <w:rtl w:val="true"/>
              </w:rPr>
              <w:t>مناقشة الدليل الثالث وهو الإجماع</w:t>
            </w:r>
            <w:r>
              <w:rPr>
                <w:rStyle w:val="IndexLink"/>
                <w:rtl w:val="true"/>
              </w:rPr>
              <w:tab/>
            </w:r>
            <w:r>
              <w:rPr>
                <w:rStyle w:val="IndexLink"/>
              </w:rPr>
              <w:t>218</w:t>
            </w:r>
          </w:hyperlink>
        </w:p>
        <w:p>
          <w:pPr>
            <w:pStyle w:val="Contents4"/>
            <w:tabs>
              <w:tab w:val="clear" w:pos="8176"/>
              <w:tab w:val="right" w:pos="9026" w:leader="dot"/>
            </w:tabs>
            <w:rPr/>
          </w:pPr>
          <w:hyperlink w:anchor="__RefHeading___Toc375351_1067777946">
            <w:r>
              <w:rPr>
                <w:webHidden/>
                <w:rStyle w:val="IndexLink"/>
                <w:rtl w:val="true"/>
              </w:rPr>
              <w:t xml:space="preserve">مناقشة عبارة العلّامة </w:t>
            </w:r>
            <w:r>
              <w:rPr>
                <w:rStyle w:val="IndexLink"/>
                <w:rtl w:val="true"/>
              </w:rPr>
              <w:t>(</w:t>
            </w:r>
            <w:r>
              <w:rPr>
                <w:rStyle w:val="IndexLink"/>
                <w:rtl w:val="true"/>
              </w:rPr>
              <w:t>رحمه اللّه</w:t>
            </w:r>
            <w:r>
              <w:rPr>
                <w:rStyle w:val="IndexLink"/>
                <w:rtl w:val="true"/>
              </w:rPr>
              <w:t>)</w:t>
              <w:tab/>
            </w:r>
            <w:r>
              <w:rPr>
                <w:rStyle w:val="IndexLink"/>
              </w:rPr>
              <w:t>221</w:t>
            </w:r>
          </w:hyperlink>
        </w:p>
        <w:p>
          <w:pPr>
            <w:pStyle w:val="Contents4"/>
            <w:tabs>
              <w:tab w:val="clear" w:pos="8176"/>
              <w:tab w:val="right" w:pos="9026" w:leader="dot"/>
            </w:tabs>
            <w:rPr/>
          </w:pPr>
          <w:hyperlink w:anchor="__RefHeading___Toc375353_1067777946">
            <w:r>
              <w:rPr>
                <w:webHidden/>
                <w:rStyle w:val="IndexLink"/>
                <w:rtl w:val="true"/>
              </w:rPr>
              <w:t xml:space="preserve">مناقشة عبارة الشهيد الأوّل </w:t>
            </w:r>
            <w:r>
              <w:rPr>
                <w:rStyle w:val="IndexLink"/>
                <w:rtl w:val="true"/>
              </w:rPr>
              <w:t>(</w:t>
            </w:r>
            <w:r>
              <w:rPr>
                <w:rStyle w:val="IndexLink"/>
                <w:rtl w:val="true"/>
              </w:rPr>
              <w:t>رحمه اللّه</w:t>
            </w:r>
            <w:r>
              <w:rPr>
                <w:rStyle w:val="IndexLink"/>
                <w:rtl w:val="true"/>
              </w:rPr>
              <w:t>)</w:t>
              <w:tab/>
            </w:r>
            <w:r>
              <w:rPr>
                <w:rStyle w:val="IndexLink"/>
              </w:rPr>
              <w:t>224</w:t>
            </w:r>
          </w:hyperlink>
        </w:p>
        <w:p>
          <w:pPr>
            <w:pStyle w:val="Contents4"/>
            <w:tabs>
              <w:tab w:val="clear" w:pos="8176"/>
              <w:tab w:val="right" w:pos="9026" w:leader="dot"/>
            </w:tabs>
            <w:rPr/>
          </w:pPr>
          <w:hyperlink w:anchor="__RefHeading___Toc375355_1067777946">
            <w:r>
              <w:rPr>
                <w:webHidden/>
                <w:rStyle w:val="IndexLink"/>
                <w:rtl w:val="true"/>
              </w:rPr>
              <w:t xml:space="preserve">قول المفيد </w:t>
            </w:r>
            <w:r>
              <w:rPr>
                <w:rStyle w:val="IndexLink"/>
                <w:rtl w:val="true"/>
              </w:rPr>
              <w:t>(</w:t>
            </w:r>
            <w:r>
              <w:rPr>
                <w:rStyle w:val="IndexLink"/>
                <w:rtl w:val="true"/>
              </w:rPr>
              <w:t>رحمه اللّه</w:t>
            </w:r>
            <w:r>
              <w:rPr>
                <w:rStyle w:val="IndexLink"/>
                <w:rtl w:val="true"/>
              </w:rPr>
              <w:t xml:space="preserve">) </w:t>
            </w:r>
            <w:r>
              <w:rPr>
                <w:rStyle w:val="IndexLink"/>
                <w:rtl w:val="true"/>
              </w:rPr>
              <w:t>في المسألة بوجوبها مطلقاً</w:t>
            </w:r>
            <w:r>
              <w:rPr>
                <w:rStyle w:val="IndexLink"/>
                <w:rtl w:val="true"/>
              </w:rPr>
              <w:tab/>
            </w:r>
            <w:r>
              <w:rPr>
                <w:rStyle w:val="IndexLink"/>
              </w:rPr>
              <w:t>228</w:t>
            </w:r>
          </w:hyperlink>
        </w:p>
        <w:p>
          <w:pPr>
            <w:pStyle w:val="Contents4"/>
            <w:tabs>
              <w:tab w:val="clear" w:pos="8176"/>
              <w:tab w:val="right" w:pos="9026" w:leader="dot"/>
            </w:tabs>
            <w:rPr/>
          </w:pPr>
          <w:hyperlink w:anchor="__RefHeading___Toc375357_1067777946">
            <w:r>
              <w:rPr>
                <w:webHidden/>
                <w:rStyle w:val="IndexLink"/>
                <w:rtl w:val="true"/>
              </w:rPr>
              <w:t xml:space="preserve">قول الصدوق </w:t>
            </w:r>
            <w:r>
              <w:rPr>
                <w:rStyle w:val="IndexLink"/>
                <w:rtl w:val="true"/>
              </w:rPr>
              <w:t>(</w:t>
            </w:r>
            <w:r>
              <w:rPr>
                <w:rStyle w:val="IndexLink"/>
                <w:rtl w:val="true"/>
              </w:rPr>
              <w:t>رحمه اللّه</w:t>
            </w:r>
            <w:r>
              <w:rPr>
                <w:rStyle w:val="IndexLink"/>
                <w:rtl w:val="true"/>
              </w:rPr>
              <w:t xml:space="preserve">) </w:t>
            </w:r>
            <w:r>
              <w:rPr>
                <w:rStyle w:val="IndexLink"/>
                <w:rtl w:val="true"/>
              </w:rPr>
              <w:t>بوجوبها مطلقاً</w:t>
            </w:r>
            <w:r>
              <w:rPr>
                <w:rStyle w:val="IndexLink"/>
                <w:rtl w:val="true"/>
              </w:rPr>
              <w:tab/>
            </w:r>
            <w:r>
              <w:rPr>
                <w:rStyle w:val="IndexLink"/>
              </w:rPr>
              <w:t>230</w:t>
            </w:r>
          </w:hyperlink>
        </w:p>
        <w:p>
          <w:pPr>
            <w:pStyle w:val="Contents4"/>
            <w:tabs>
              <w:tab w:val="clear" w:pos="8176"/>
              <w:tab w:val="right" w:pos="9026" w:leader="dot"/>
            </w:tabs>
            <w:rPr/>
          </w:pPr>
          <w:hyperlink w:anchor="__RefHeading___Toc375359_1067777946">
            <w:r>
              <w:rPr>
                <w:webHidden/>
                <w:rStyle w:val="IndexLink"/>
                <w:rtl w:val="true"/>
              </w:rPr>
              <w:t xml:space="preserve">قول أبي الصلاح الحلبي </w:t>
            </w:r>
            <w:r>
              <w:rPr>
                <w:rStyle w:val="IndexLink"/>
                <w:rtl w:val="true"/>
              </w:rPr>
              <w:t>(</w:t>
            </w:r>
            <w:r>
              <w:rPr>
                <w:rStyle w:val="IndexLink"/>
                <w:rtl w:val="true"/>
              </w:rPr>
              <w:t>رحمه اللّه</w:t>
            </w:r>
            <w:r>
              <w:rPr>
                <w:rStyle w:val="IndexLink"/>
                <w:rtl w:val="true"/>
              </w:rPr>
              <w:t xml:space="preserve">) </w:t>
            </w:r>
            <w:r>
              <w:rPr>
                <w:rStyle w:val="IndexLink"/>
                <w:rtl w:val="true"/>
              </w:rPr>
              <w:t>بوجوبها مطلقاً</w:t>
            </w:r>
            <w:r>
              <w:rPr>
                <w:rStyle w:val="IndexLink"/>
                <w:rtl w:val="true"/>
              </w:rPr>
              <w:tab/>
            </w:r>
            <w:r>
              <w:rPr>
                <w:rStyle w:val="IndexLink"/>
              </w:rPr>
              <w:t>231</w:t>
            </w:r>
          </w:hyperlink>
        </w:p>
        <w:p>
          <w:pPr>
            <w:pStyle w:val="Contents4"/>
            <w:tabs>
              <w:tab w:val="clear" w:pos="8176"/>
              <w:tab w:val="right" w:pos="9026" w:leader="dot"/>
            </w:tabs>
            <w:rPr/>
          </w:pPr>
          <w:hyperlink w:anchor="__RefHeading___Toc375361_1067777946">
            <w:r>
              <w:rPr>
                <w:webHidden/>
                <w:rStyle w:val="IndexLink"/>
                <w:rtl w:val="true"/>
              </w:rPr>
              <w:t xml:space="preserve">قول القاضي الكراجكي </w:t>
            </w:r>
            <w:r>
              <w:rPr>
                <w:rStyle w:val="IndexLink"/>
                <w:rtl w:val="true"/>
              </w:rPr>
              <w:t>(</w:t>
            </w:r>
            <w:r>
              <w:rPr>
                <w:rStyle w:val="IndexLink"/>
                <w:rtl w:val="true"/>
              </w:rPr>
              <w:t>رحمه اللّه</w:t>
            </w:r>
            <w:r>
              <w:rPr>
                <w:rStyle w:val="IndexLink"/>
                <w:rtl w:val="true"/>
              </w:rPr>
              <w:t xml:space="preserve">) </w:t>
            </w:r>
            <w:r>
              <w:rPr>
                <w:rStyle w:val="IndexLink"/>
                <w:rtl w:val="true"/>
              </w:rPr>
              <w:t>بوجوبها مطلقاً</w:t>
            </w:r>
            <w:r>
              <w:rPr>
                <w:rStyle w:val="IndexLink"/>
                <w:rtl w:val="true"/>
              </w:rPr>
              <w:tab/>
            </w:r>
            <w:r>
              <w:rPr>
                <w:rStyle w:val="IndexLink"/>
              </w:rPr>
              <w:t>233</w:t>
            </w:r>
          </w:hyperlink>
        </w:p>
        <w:p>
          <w:pPr>
            <w:pStyle w:val="Contents4"/>
            <w:tabs>
              <w:tab w:val="clear" w:pos="8176"/>
              <w:tab w:val="right" w:pos="9026" w:leader="dot"/>
            </w:tabs>
            <w:rPr/>
          </w:pPr>
          <w:hyperlink w:anchor="__RefHeading___Toc375363_1067777946">
            <w:r>
              <w:rPr>
                <w:webHidden/>
                <w:rStyle w:val="IndexLink"/>
                <w:rtl w:val="true"/>
              </w:rPr>
              <w:t>أقوال المتأخّرين</w:t>
            </w:r>
            <w:r>
              <w:rPr>
                <w:rStyle w:val="IndexLink"/>
                <w:rtl w:val="true"/>
              </w:rPr>
              <w:tab/>
            </w:r>
            <w:r>
              <w:rPr>
                <w:rStyle w:val="IndexLink"/>
              </w:rPr>
              <w:t>236</w:t>
            </w:r>
          </w:hyperlink>
        </w:p>
        <w:p>
          <w:pPr>
            <w:pStyle w:val="Contents4"/>
            <w:tabs>
              <w:tab w:val="clear" w:pos="8176"/>
              <w:tab w:val="right" w:pos="9026" w:leader="dot"/>
            </w:tabs>
            <w:rPr/>
          </w:pPr>
          <w:hyperlink w:anchor="__RefHeading___Toc375365_1067777946">
            <w:r>
              <w:rPr>
                <w:webHidden/>
                <w:rStyle w:val="IndexLink"/>
                <w:rtl w:val="true"/>
              </w:rPr>
              <w:t>ردّ شبهة</w:t>
            </w:r>
            <w:r>
              <w:rPr>
                <w:rStyle w:val="IndexLink"/>
                <w:rtl w:val="true"/>
              </w:rPr>
              <w:tab/>
            </w:r>
            <w:r>
              <w:rPr>
                <w:rStyle w:val="IndexLink"/>
              </w:rPr>
              <w:t>238</w:t>
            </w:r>
          </w:hyperlink>
        </w:p>
        <w:p>
          <w:pPr>
            <w:pStyle w:val="Contents4"/>
            <w:tabs>
              <w:tab w:val="clear" w:pos="8176"/>
              <w:tab w:val="right" w:pos="9026" w:leader="dot"/>
            </w:tabs>
            <w:rPr/>
          </w:pPr>
          <w:hyperlink w:anchor="__RefHeading___Toc375367_1067777946">
            <w:r>
              <w:rPr>
                <w:webHidden/>
                <w:rStyle w:val="IndexLink"/>
                <w:rtl w:val="true"/>
              </w:rPr>
              <w:t>القول بعدم شرعيّة الجمعة في الغيبة</w:t>
            </w:r>
            <w:r>
              <w:rPr>
                <w:rStyle w:val="IndexLink"/>
                <w:rtl w:val="true"/>
              </w:rPr>
              <w:tab/>
            </w:r>
            <w:r>
              <w:rPr>
                <w:rStyle w:val="IndexLink"/>
              </w:rPr>
              <w:t>241</w:t>
            </w:r>
          </w:hyperlink>
        </w:p>
        <w:p>
          <w:pPr>
            <w:pStyle w:val="Contents4"/>
            <w:tabs>
              <w:tab w:val="clear" w:pos="8176"/>
              <w:tab w:val="right" w:pos="9026" w:leader="dot"/>
            </w:tabs>
            <w:rPr/>
          </w:pPr>
          <w:hyperlink w:anchor="__RefHeading___Toc375369_1067777946">
            <w:r>
              <w:rPr>
                <w:webHidden/>
                <w:rStyle w:val="IndexLink"/>
                <w:rtl w:val="true"/>
              </w:rPr>
              <w:t>ردّ الشبهة الأولى لهذا القول</w:t>
            </w:r>
            <w:r>
              <w:rPr>
                <w:rStyle w:val="IndexLink"/>
                <w:rtl w:val="true"/>
              </w:rPr>
              <w:t xml:space="preserve">: </w:t>
            </w:r>
            <w:r>
              <w:rPr>
                <w:rStyle w:val="IndexLink"/>
                <w:rtl w:val="true"/>
              </w:rPr>
              <w:t>الإجماع</w:t>
            </w:r>
            <w:r>
              <w:rPr>
                <w:rStyle w:val="IndexLink"/>
                <w:rtl w:val="true"/>
              </w:rPr>
              <w:tab/>
            </w:r>
            <w:r>
              <w:rPr>
                <w:rStyle w:val="IndexLink"/>
              </w:rPr>
              <w:t>242</w:t>
            </w:r>
          </w:hyperlink>
        </w:p>
        <w:p>
          <w:pPr>
            <w:pStyle w:val="Contents4"/>
            <w:tabs>
              <w:tab w:val="clear" w:pos="8176"/>
              <w:tab w:val="right" w:pos="9026" w:leader="dot"/>
            </w:tabs>
            <w:rPr/>
          </w:pPr>
          <w:hyperlink w:anchor="__RefHeading___Toc375371_1067777946">
            <w:r>
              <w:rPr>
                <w:webHidden/>
                <w:rStyle w:val="IndexLink"/>
                <w:rtl w:val="true"/>
              </w:rPr>
              <w:t>ردّ الشبهة الثانية</w:t>
            </w:r>
            <w:r>
              <w:rPr>
                <w:rStyle w:val="IndexLink"/>
                <w:rtl w:val="true"/>
              </w:rPr>
              <w:t xml:space="preserve">: </w:t>
            </w:r>
            <w:r>
              <w:rPr>
                <w:rStyle w:val="IndexLink"/>
                <w:rtl w:val="true"/>
              </w:rPr>
              <w:t>صلاة الظهر ثابتة في الذمّة</w:t>
            </w:r>
            <w:r>
              <w:rPr>
                <w:rStyle w:val="IndexLink"/>
                <w:rtl w:val="true"/>
              </w:rPr>
              <w:tab/>
            </w:r>
            <w:r>
              <w:rPr>
                <w:rStyle w:val="IndexLink"/>
              </w:rPr>
              <w:t>246</w:t>
            </w:r>
          </w:hyperlink>
        </w:p>
        <w:p>
          <w:pPr>
            <w:pStyle w:val="Contents4"/>
            <w:tabs>
              <w:tab w:val="clear" w:pos="8176"/>
              <w:tab w:val="right" w:pos="9026" w:leader="dot"/>
            </w:tabs>
            <w:rPr/>
          </w:pPr>
          <w:hyperlink w:anchor="__RefHeading___Toc375373_1067777946">
            <w:r>
              <w:rPr>
                <w:webHidden/>
                <w:rStyle w:val="IndexLink"/>
                <w:rtl w:val="true"/>
              </w:rPr>
              <w:t>ردّ الشبهة الثالثة</w:t>
            </w:r>
            <w:r>
              <w:rPr>
                <w:rStyle w:val="IndexLink"/>
                <w:rtl w:val="true"/>
              </w:rPr>
              <w:t xml:space="preserve">: </w:t>
            </w:r>
            <w:r>
              <w:rPr>
                <w:rStyle w:val="IndexLink"/>
                <w:rtl w:val="true"/>
              </w:rPr>
              <w:t>انتفاء الوجوب العيني</w:t>
            </w:r>
            <w:r>
              <w:rPr>
                <w:rStyle w:val="IndexLink"/>
                <w:rtl w:val="true"/>
              </w:rPr>
              <w:tab/>
            </w:r>
            <w:r>
              <w:rPr>
                <w:rStyle w:val="IndexLink"/>
              </w:rPr>
              <w:t>247</w:t>
            </w:r>
          </w:hyperlink>
        </w:p>
        <w:p>
          <w:pPr>
            <w:pStyle w:val="Contents4"/>
            <w:tabs>
              <w:tab w:val="clear" w:pos="8176"/>
              <w:tab w:val="right" w:pos="9026" w:leader="dot"/>
            </w:tabs>
            <w:rPr/>
          </w:pPr>
          <w:hyperlink w:anchor="__RefHeading___Toc375375_1067777946">
            <w:r>
              <w:rPr>
                <w:webHidden/>
                <w:rStyle w:val="IndexLink"/>
                <w:rtl w:val="true"/>
              </w:rPr>
              <w:t>ترغيب المؤلّف وحثّه على صلاة الجمعة</w:t>
            </w:r>
            <w:r>
              <w:rPr>
                <w:rStyle w:val="IndexLink"/>
                <w:rtl w:val="true"/>
              </w:rPr>
              <w:tab/>
            </w:r>
            <w:r>
              <w:rPr>
                <w:rStyle w:val="IndexLink"/>
              </w:rPr>
              <w:t>251</w:t>
            </w:r>
          </w:hyperlink>
        </w:p>
        <w:p>
          <w:pPr>
            <w:pStyle w:val="Contents4"/>
            <w:tabs>
              <w:tab w:val="clear" w:pos="8176"/>
              <w:tab w:val="right" w:pos="9026" w:leader="dot"/>
            </w:tabs>
            <w:rPr/>
          </w:pPr>
          <w:hyperlink w:anchor="__RefHeading___Toc375377_1067777946">
            <w:r>
              <w:rPr>
                <w:webHidden/>
                <w:rStyle w:val="IndexLink"/>
                <w:rtl w:val="true"/>
              </w:rPr>
              <w:t>الأحاديث المرغبة في صلاة الجمعة</w:t>
            </w:r>
            <w:r>
              <w:rPr>
                <w:rStyle w:val="IndexLink"/>
                <w:rtl w:val="true"/>
              </w:rPr>
              <w:tab/>
            </w:r>
            <w:r>
              <w:rPr>
                <w:rStyle w:val="IndexLink"/>
              </w:rPr>
              <w:t>252</w:t>
            </w:r>
          </w:hyperlink>
        </w:p>
        <w:p>
          <w:pPr>
            <w:pStyle w:val="Contents4"/>
            <w:tabs>
              <w:tab w:val="clear" w:pos="8176"/>
              <w:tab w:val="right" w:pos="9026" w:leader="dot"/>
            </w:tabs>
            <w:rPr/>
          </w:pPr>
          <w:hyperlink w:anchor="__RefHeading___Toc375379_1067777946">
            <w:r>
              <w:rPr>
                <w:webHidden/>
                <w:rStyle w:val="IndexLink"/>
                <w:rtl w:val="true"/>
              </w:rPr>
              <w:t>الصلاة الوسطى أفضل فرديها الجمعة</w:t>
            </w:r>
            <w:r>
              <w:rPr>
                <w:rStyle w:val="IndexLink"/>
                <w:rtl w:val="true"/>
              </w:rPr>
              <w:tab/>
            </w:r>
            <w:r>
              <w:rPr>
                <w:rStyle w:val="IndexLink"/>
              </w:rPr>
              <w:t>255</w:t>
            </w:r>
          </w:hyperlink>
        </w:p>
        <w:p>
          <w:pPr>
            <w:pStyle w:val="Contents4"/>
            <w:tabs>
              <w:tab w:val="clear" w:pos="8176"/>
              <w:tab w:val="right" w:pos="9026" w:leader="dot"/>
            </w:tabs>
            <w:rPr/>
          </w:pPr>
          <w:hyperlink w:anchor="__RefHeading___Toc375381_1067777946">
            <w:r>
              <w:rPr>
                <w:webHidden/>
                <w:rStyle w:val="IndexLink"/>
                <w:rtl w:val="true"/>
              </w:rPr>
              <w:t>رؤوس المطالب في بحث صلاة الجمعة</w:t>
            </w:r>
            <w:r>
              <w:rPr>
                <w:rStyle w:val="IndexLink"/>
                <w:rtl w:val="true"/>
              </w:rPr>
              <w:tab/>
            </w:r>
            <w:r>
              <w:rPr>
                <w:rStyle w:val="IndexLink"/>
              </w:rPr>
              <w:t>257</w:t>
            </w:r>
          </w:hyperlink>
        </w:p>
        <w:p>
          <w:pPr>
            <w:pStyle w:val="Contents3"/>
            <w:tabs>
              <w:tab w:val="clear" w:pos="8459"/>
              <w:tab w:val="right" w:pos="9026" w:leader="dot"/>
            </w:tabs>
            <w:rPr/>
          </w:pPr>
          <w:hyperlink w:anchor="__RefHeading___Toc375383_1067777946">
            <w:r>
              <w:rPr>
                <w:webHidden/>
                <w:rStyle w:val="IndexLink"/>
              </w:rPr>
              <w:t>15</w:t>
            </w:r>
            <w:r>
              <w:rPr>
                <w:rStyle w:val="IndexLink"/>
                <w:rtl w:val="true"/>
              </w:rPr>
              <w:t xml:space="preserve">. </w:t>
            </w:r>
            <w:r>
              <w:rPr>
                <w:rStyle w:val="IndexLink"/>
                <w:rtl w:val="true"/>
              </w:rPr>
              <w:t>الحثّ على صلاة الجمعة</w:t>
            </w:r>
            <w:r>
              <w:rPr>
                <w:rStyle w:val="IndexLink"/>
                <w:rtl w:val="true"/>
              </w:rPr>
              <w:tab/>
            </w:r>
            <w:r>
              <w:rPr>
                <w:rStyle w:val="IndexLink"/>
              </w:rPr>
              <w:t>258</w:t>
            </w:r>
          </w:hyperlink>
        </w:p>
        <w:p>
          <w:pPr>
            <w:pStyle w:val="Contents4"/>
            <w:tabs>
              <w:tab w:val="clear" w:pos="8176"/>
              <w:tab w:val="right" w:pos="9026" w:leader="dot"/>
            </w:tabs>
            <w:rPr/>
          </w:pPr>
          <w:hyperlink w:anchor="__RefHeading___Toc375385_1067777946">
            <w:r>
              <w:rPr>
                <w:webHidden/>
                <w:rStyle w:val="IndexLink"/>
                <w:rtl w:val="true"/>
              </w:rPr>
              <w:t>إشارة</w:t>
            </w:r>
            <w:r>
              <w:rPr>
                <w:rStyle w:val="IndexLink"/>
                <w:rtl w:val="true"/>
              </w:rPr>
              <w:t>:</w:t>
              <w:tab/>
            </w:r>
            <w:r>
              <w:rPr>
                <w:rStyle w:val="IndexLink"/>
              </w:rPr>
              <w:t>258</w:t>
            </w:r>
          </w:hyperlink>
        </w:p>
        <w:p>
          <w:pPr>
            <w:pStyle w:val="Contents4"/>
            <w:tabs>
              <w:tab w:val="clear" w:pos="8176"/>
              <w:tab w:val="right" w:pos="9026" w:leader="dot"/>
            </w:tabs>
            <w:rPr/>
          </w:pPr>
          <w:hyperlink w:anchor="__RefHeading___Toc375387_1067777946">
            <w:r>
              <w:rPr>
                <w:webHidden/>
                <w:rStyle w:val="IndexLink"/>
                <w:rtl w:val="true"/>
              </w:rPr>
              <w:t>أمر القرآن الكريم بصلاة الجمعة</w:t>
            </w:r>
            <w:r>
              <w:rPr>
                <w:rStyle w:val="IndexLink"/>
                <w:rtl w:val="true"/>
              </w:rPr>
              <w:tab/>
            </w:r>
            <w:r>
              <w:rPr>
                <w:rStyle w:val="IndexLink"/>
              </w:rPr>
              <w:t>260</w:t>
            </w:r>
          </w:hyperlink>
        </w:p>
        <w:p>
          <w:pPr>
            <w:pStyle w:val="Contents4"/>
            <w:tabs>
              <w:tab w:val="clear" w:pos="8176"/>
              <w:tab w:val="right" w:pos="9026" w:leader="dot"/>
            </w:tabs>
            <w:rPr/>
          </w:pPr>
          <w:hyperlink w:anchor="__RefHeading___Toc375389_1067777946">
            <w:r>
              <w:rPr>
                <w:webHidden/>
                <w:rStyle w:val="IndexLink"/>
                <w:rtl w:val="true"/>
              </w:rPr>
              <w:t>الأحاديث الشريفة وصلاة الجمعة</w:t>
            </w:r>
            <w:r>
              <w:rPr>
                <w:rStyle w:val="IndexLink"/>
                <w:rtl w:val="true"/>
              </w:rPr>
              <w:tab/>
            </w:r>
            <w:r>
              <w:rPr>
                <w:rStyle w:val="IndexLink"/>
              </w:rPr>
              <w:t>261</w:t>
            </w:r>
          </w:hyperlink>
        </w:p>
        <w:p>
          <w:pPr>
            <w:pStyle w:val="Contents3"/>
            <w:tabs>
              <w:tab w:val="clear" w:pos="8459"/>
              <w:tab w:val="right" w:pos="9026" w:leader="dot"/>
            </w:tabs>
            <w:rPr/>
          </w:pPr>
          <w:hyperlink w:anchor="__RefHeading___Toc375391_1067777946">
            <w:r>
              <w:rPr>
                <w:webHidden/>
                <w:rStyle w:val="IndexLink"/>
              </w:rPr>
              <w:t>16</w:t>
            </w:r>
            <w:r>
              <w:rPr>
                <w:rStyle w:val="IndexLink"/>
                <w:rtl w:val="true"/>
              </w:rPr>
              <w:t xml:space="preserve">. </w:t>
            </w:r>
            <w:r>
              <w:rPr>
                <w:rStyle w:val="IndexLink"/>
                <w:rtl w:val="true"/>
              </w:rPr>
              <w:t>خصائص يوم الجمعة</w:t>
            </w:r>
            <w:r>
              <w:rPr>
                <w:rStyle w:val="IndexLink"/>
                <w:rtl w:val="true"/>
              </w:rPr>
              <w:tab/>
            </w:r>
            <w:r>
              <w:rPr>
                <w:rStyle w:val="IndexLink"/>
              </w:rPr>
              <w:t>266</w:t>
            </w:r>
          </w:hyperlink>
        </w:p>
        <w:p>
          <w:pPr>
            <w:pStyle w:val="Contents4"/>
            <w:tabs>
              <w:tab w:val="clear" w:pos="8176"/>
              <w:tab w:val="right" w:pos="9026" w:leader="dot"/>
            </w:tabs>
            <w:rPr/>
          </w:pPr>
          <w:hyperlink w:anchor="__RefHeading___Toc375393_1067777946">
            <w:r>
              <w:rPr>
                <w:webHidden/>
                <w:rStyle w:val="IndexLink"/>
                <w:rtl w:val="true"/>
              </w:rPr>
              <w:t>إشارة</w:t>
            </w:r>
            <w:r>
              <w:rPr>
                <w:rStyle w:val="IndexLink"/>
                <w:rtl w:val="true"/>
              </w:rPr>
              <w:t>:</w:t>
              <w:tab/>
            </w:r>
            <w:r>
              <w:rPr>
                <w:rStyle w:val="IndexLink"/>
              </w:rPr>
              <w:t>266</w:t>
            </w:r>
          </w:hyperlink>
        </w:p>
        <w:p>
          <w:pPr>
            <w:pStyle w:val="Contents4"/>
            <w:tabs>
              <w:tab w:val="clear" w:pos="8176"/>
              <w:tab w:val="right" w:pos="9026" w:leader="dot"/>
            </w:tabs>
            <w:rPr/>
          </w:pPr>
          <w:hyperlink w:anchor="__RefHeading___Toc375395_1067777946">
            <w:r>
              <w:rPr>
                <w:webHidden/>
                <w:rStyle w:val="IndexLink"/>
              </w:rPr>
              <w:t>1</w:t>
            </w:r>
            <w:r>
              <w:rPr>
                <w:rStyle w:val="IndexLink"/>
                <w:rtl w:val="true"/>
              </w:rPr>
              <w:t xml:space="preserve"> - </w:t>
            </w:r>
            <w:r>
              <w:rPr>
                <w:rStyle w:val="IndexLink"/>
                <w:rtl w:val="true"/>
              </w:rPr>
              <w:t>أفضل الأيّام</w:t>
            </w:r>
            <w:r>
              <w:rPr>
                <w:rStyle w:val="IndexLink"/>
                <w:rtl w:val="true"/>
              </w:rPr>
              <w:tab/>
            </w:r>
            <w:r>
              <w:rPr>
                <w:rStyle w:val="IndexLink"/>
              </w:rPr>
              <w:t>269</w:t>
            </w:r>
          </w:hyperlink>
        </w:p>
        <w:p>
          <w:pPr>
            <w:pStyle w:val="Contents4"/>
            <w:tabs>
              <w:tab w:val="clear" w:pos="8176"/>
              <w:tab w:val="right" w:pos="9026" w:leader="dot"/>
            </w:tabs>
            <w:rPr/>
          </w:pPr>
          <w:hyperlink w:anchor="__RefHeading___Toc375397_1067777946">
            <w:r>
              <w:rPr>
                <w:webHidden/>
                <w:rStyle w:val="IndexLink"/>
              </w:rPr>
              <w:t>2</w:t>
            </w:r>
            <w:r>
              <w:rPr>
                <w:rStyle w:val="IndexLink"/>
                <w:rtl w:val="true"/>
              </w:rPr>
              <w:t xml:space="preserve"> - </w:t>
            </w:r>
            <w:r>
              <w:rPr>
                <w:rStyle w:val="IndexLink"/>
                <w:rtl w:val="true"/>
              </w:rPr>
              <w:t>سيد الأيّام</w:t>
            </w:r>
            <w:r>
              <w:rPr>
                <w:rStyle w:val="IndexLink"/>
                <w:rtl w:val="true"/>
              </w:rPr>
              <w:tab/>
            </w:r>
            <w:r>
              <w:rPr>
                <w:rStyle w:val="IndexLink"/>
              </w:rPr>
              <w:t>269</w:t>
            </w:r>
          </w:hyperlink>
        </w:p>
        <w:p>
          <w:pPr>
            <w:pStyle w:val="Contents4"/>
            <w:tabs>
              <w:tab w:val="clear" w:pos="8176"/>
              <w:tab w:val="right" w:pos="9026" w:leader="dot"/>
            </w:tabs>
            <w:rPr/>
          </w:pPr>
          <w:hyperlink w:anchor="__RefHeading___Toc375399_1067777946">
            <w:r>
              <w:rPr>
                <w:webHidden/>
                <w:rStyle w:val="IndexLink"/>
              </w:rPr>
              <w:t>3</w:t>
            </w:r>
            <w:r>
              <w:rPr>
                <w:rStyle w:val="IndexLink"/>
                <w:rtl w:val="true"/>
              </w:rPr>
              <w:t xml:space="preserve"> - </w:t>
            </w:r>
            <w:r>
              <w:rPr>
                <w:rStyle w:val="IndexLink"/>
                <w:rtl w:val="true"/>
              </w:rPr>
              <w:t>عيد هذه الأمّة</w:t>
            </w:r>
            <w:r>
              <w:rPr>
                <w:rStyle w:val="IndexLink"/>
                <w:rtl w:val="true"/>
              </w:rPr>
              <w:tab/>
            </w:r>
            <w:r>
              <w:rPr>
                <w:rStyle w:val="IndexLink"/>
              </w:rPr>
              <w:t>270</w:t>
            </w:r>
          </w:hyperlink>
        </w:p>
        <w:p>
          <w:pPr>
            <w:pStyle w:val="Contents4"/>
            <w:tabs>
              <w:tab w:val="clear" w:pos="8176"/>
              <w:tab w:val="right" w:pos="9026" w:leader="dot"/>
            </w:tabs>
            <w:rPr/>
          </w:pPr>
          <w:hyperlink w:anchor="__RefHeading___Toc375401_1067777946">
            <w:r>
              <w:rPr>
                <w:webHidden/>
                <w:rStyle w:val="IndexLink"/>
              </w:rPr>
              <w:t>4</w:t>
            </w:r>
            <w:r>
              <w:rPr>
                <w:rStyle w:val="IndexLink"/>
                <w:rtl w:val="true"/>
              </w:rPr>
              <w:t xml:space="preserve"> - </w:t>
            </w:r>
            <w:r>
              <w:rPr>
                <w:rStyle w:val="IndexLink"/>
                <w:rtl w:val="true"/>
              </w:rPr>
              <w:t>صلاة الجمعة فيه</w:t>
            </w:r>
            <w:r>
              <w:rPr>
                <w:rStyle w:val="IndexLink"/>
                <w:rtl w:val="true"/>
              </w:rPr>
              <w:tab/>
            </w:r>
            <w:r>
              <w:rPr>
                <w:rStyle w:val="IndexLink"/>
              </w:rPr>
              <w:t>270</w:t>
            </w:r>
          </w:hyperlink>
        </w:p>
        <w:p>
          <w:pPr>
            <w:pStyle w:val="Contents4"/>
            <w:tabs>
              <w:tab w:val="clear" w:pos="8176"/>
              <w:tab w:val="right" w:pos="9026" w:leader="dot"/>
            </w:tabs>
            <w:rPr/>
          </w:pPr>
          <w:hyperlink w:anchor="__RefHeading___Toc375403_1067777946">
            <w:r>
              <w:rPr>
                <w:webHidden/>
                <w:rStyle w:val="IndexLink"/>
              </w:rPr>
              <w:t>5</w:t>
            </w:r>
            <w:r>
              <w:rPr>
                <w:rStyle w:val="IndexLink"/>
                <w:rtl w:val="true"/>
              </w:rPr>
              <w:t xml:space="preserve"> - </w:t>
            </w:r>
            <w:r>
              <w:rPr>
                <w:rStyle w:val="IndexLink"/>
                <w:rtl w:val="true"/>
              </w:rPr>
              <w:t>صلاة الجمعة تعدل حجّة</w:t>
            </w:r>
            <w:r>
              <w:rPr>
                <w:rStyle w:val="IndexLink"/>
                <w:rtl w:val="true"/>
              </w:rPr>
              <w:tab/>
            </w:r>
            <w:r>
              <w:rPr>
                <w:rStyle w:val="IndexLink"/>
              </w:rPr>
              <w:t>271</w:t>
            </w:r>
          </w:hyperlink>
        </w:p>
        <w:p>
          <w:pPr>
            <w:pStyle w:val="Contents4"/>
            <w:tabs>
              <w:tab w:val="clear" w:pos="8176"/>
              <w:tab w:val="right" w:pos="9026" w:leader="dot"/>
            </w:tabs>
            <w:rPr/>
          </w:pPr>
          <w:hyperlink w:anchor="__RefHeading___Toc375405_1067777946">
            <w:r>
              <w:rPr>
                <w:webHidden/>
                <w:rStyle w:val="IndexLink"/>
              </w:rPr>
              <w:t>6</w:t>
            </w:r>
            <w:r>
              <w:rPr>
                <w:rStyle w:val="IndexLink"/>
                <w:rtl w:val="true"/>
              </w:rPr>
              <w:t xml:space="preserve"> - </w:t>
            </w:r>
            <w:r>
              <w:rPr>
                <w:rStyle w:val="IndexLink"/>
                <w:rtl w:val="true"/>
              </w:rPr>
              <w:t>صلاتها جهريّة مع أنّ صلاة النهار سرّيّة</w:t>
            </w:r>
            <w:r>
              <w:rPr>
                <w:rStyle w:val="IndexLink"/>
                <w:rtl w:val="true"/>
              </w:rPr>
              <w:tab/>
            </w:r>
            <w:r>
              <w:rPr>
                <w:rStyle w:val="IndexLink"/>
              </w:rPr>
              <w:t>272</w:t>
            </w:r>
          </w:hyperlink>
        </w:p>
        <w:p>
          <w:pPr>
            <w:pStyle w:val="Contents4"/>
            <w:tabs>
              <w:tab w:val="clear" w:pos="8176"/>
              <w:tab w:val="right" w:pos="9026" w:leader="dot"/>
            </w:tabs>
            <w:rPr/>
          </w:pPr>
          <w:hyperlink w:anchor="__RefHeading___Toc375407_1067777946">
            <w:r>
              <w:rPr>
                <w:webHidden/>
                <w:rStyle w:val="IndexLink"/>
              </w:rPr>
              <w:t>7</w:t>
            </w:r>
            <w:r>
              <w:rPr>
                <w:rStyle w:val="IndexLink"/>
                <w:rtl w:val="true"/>
              </w:rPr>
              <w:t xml:space="preserve"> - </w:t>
            </w:r>
            <w:r>
              <w:rPr>
                <w:rStyle w:val="IndexLink"/>
                <w:rtl w:val="true"/>
              </w:rPr>
              <w:t>قراءة سورة الجمعة والمنافقون في صلاة الجمعة</w:t>
            </w:r>
            <w:r>
              <w:rPr>
                <w:rStyle w:val="IndexLink"/>
                <w:rtl w:val="true"/>
              </w:rPr>
              <w:tab/>
            </w:r>
            <w:r>
              <w:rPr>
                <w:rStyle w:val="IndexLink"/>
              </w:rPr>
              <w:t>272</w:t>
            </w:r>
          </w:hyperlink>
        </w:p>
        <w:p>
          <w:pPr>
            <w:pStyle w:val="Contents4"/>
            <w:tabs>
              <w:tab w:val="clear" w:pos="8176"/>
              <w:tab w:val="right" w:pos="9026" w:leader="dot"/>
            </w:tabs>
            <w:rPr/>
          </w:pPr>
          <w:hyperlink w:anchor="__RefHeading___Toc375409_1067777946">
            <w:r>
              <w:rPr>
                <w:webHidden/>
                <w:rStyle w:val="IndexLink"/>
              </w:rPr>
              <w:t>8</w:t>
            </w:r>
            <w:r>
              <w:rPr>
                <w:rStyle w:val="IndexLink"/>
                <w:rtl w:val="true"/>
              </w:rPr>
              <w:t xml:space="preserve"> - </w:t>
            </w:r>
            <w:r>
              <w:rPr>
                <w:rStyle w:val="IndexLink"/>
                <w:rtl w:val="true"/>
              </w:rPr>
              <w:t>اختصاصها بالجماعة بشرائط خاصة</w:t>
            </w:r>
            <w:r>
              <w:rPr>
                <w:rStyle w:val="IndexLink"/>
                <w:rtl w:val="true"/>
              </w:rPr>
              <w:tab/>
            </w:r>
            <w:r>
              <w:rPr>
                <w:rStyle w:val="IndexLink"/>
              </w:rPr>
              <w:t>273</w:t>
            </w:r>
          </w:hyperlink>
        </w:p>
        <w:p>
          <w:pPr>
            <w:pStyle w:val="Contents4"/>
            <w:tabs>
              <w:tab w:val="clear" w:pos="8176"/>
              <w:tab w:val="right" w:pos="9026" w:leader="dot"/>
            </w:tabs>
            <w:rPr/>
          </w:pPr>
          <w:hyperlink w:anchor="__RefHeading___Toc375411_1067777946">
            <w:r>
              <w:rPr>
                <w:webHidden/>
                <w:rStyle w:val="IndexLink"/>
              </w:rPr>
              <w:t>9</w:t>
            </w:r>
            <w:r>
              <w:rPr>
                <w:rStyle w:val="IndexLink"/>
                <w:rtl w:val="true"/>
              </w:rPr>
              <w:t xml:space="preserve"> - </w:t>
            </w:r>
            <w:r>
              <w:rPr>
                <w:rStyle w:val="IndexLink"/>
                <w:rtl w:val="true"/>
              </w:rPr>
              <w:t>الطبع على قلب من تركها</w:t>
            </w:r>
            <w:r>
              <w:rPr>
                <w:rStyle w:val="IndexLink"/>
                <w:rtl w:val="true"/>
              </w:rPr>
              <w:tab/>
            </w:r>
            <w:r>
              <w:rPr>
                <w:rStyle w:val="IndexLink"/>
              </w:rPr>
              <w:t>274</w:t>
            </w:r>
          </w:hyperlink>
        </w:p>
        <w:p>
          <w:pPr>
            <w:pStyle w:val="Contents4"/>
            <w:tabs>
              <w:tab w:val="clear" w:pos="8176"/>
              <w:tab w:val="right" w:pos="9026" w:leader="dot"/>
            </w:tabs>
            <w:rPr/>
          </w:pPr>
          <w:hyperlink w:anchor="__RefHeading___Toc375413_1067777946">
            <w:r>
              <w:rPr>
                <w:webHidden/>
                <w:rStyle w:val="IndexLink"/>
              </w:rPr>
              <w:t>10</w:t>
            </w:r>
            <w:r>
              <w:rPr>
                <w:rStyle w:val="IndexLink"/>
                <w:rtl w:val="true"/>
              </w:rPr>
              <w:t xml:space="preserve"> - </w:t>
            </w:r>
            <w:r>
              <w:rPr>
                <w:rStyle w:val="IndexLink"/>
                <w:rtl w:val="true"/>
              </w:rPr>
              <w:t>شرعيّة الكفّارة لها لو تركها</w:t>
            </w:r>
            <w:r>
              <w:rPr>
                <w:rStyle w:val="IndexLink"/>
                <w:rtl w:val="true"/>
              </w:rPr>
              <w:tab/>
            </w:r>
            <w:r>
              <w:rPr>
                <w:rStyle w:val="IndexLink"/>
              </w:rPr>
              <w:t>275</w:t>
            </w:r>
          </w:hyperlink>
        </w:p>
        <w:p>
          <w:pPr>
            <w:pStyle w:val="Contents4"/>
            <w:tabs>
              <w:tab w:val="clear" w:pos="8176"/>
              <w:tab w:val="right" w:pos="9026" w:leader="dot"/>
            </w:tabs>
            <w:rPr/>
          </w:pPr>
          <w:hyperlink w:anchor="__RefHeading___Toc375415_1067777946">
            <w:r>
              <w:rPr>
                <w:webHidden/>
                <w:rStyle w:val="IndexLink"/>
              </w:rPr>
              <w:t>11</w:t>
            </w:r>
            <w:r>
              <w:rPr>
                <w:rStyle w:val="IndexLink"/>
                <w:rtl w:val="true"/>
              </w:rPr>
              <w:t xml:space="preserve"> - </w:t>
            </w:r>
            <w:r>
              <w:rPr>
                <w:rStyle w:val="IndexLink"/>
                <w:rtl w:val="true"/>
              </w:rPr>
              <w:t>الخطبة قبلها</w:t>
            </w:r>
            <w:r>
              <w:rPr>
                <w:rStyle w:val="IndexLink"/>
                <w:rtl w:val="true"/>
              </w:rPr>
              <w:tab/>
            </w:r>
            <w:r>
              <w:rPr>
                <w:rStyle w:val="IndexLink"/>
              </w:rPr>
              <w:t>275</w:t>
            </w:r>
          </w:hyperlink>
        </w:p>
        <w:p>
          <w:pPr>
            <w:pStyle w:val="Contents4"/>
            <w:tabs>
              <w:tab w:val="clear" w:pos="8176"/>
              <w:tab w:val="right" w:pos="9026" w:leader="dot"/>
            </w:tabs>
            <w:rPr/>
          </w:pPr>
          <w:hyperlink w:anchor="__RefHeading___Toc375417_1067777946">
            <w:r>
              <w:rPr>
                <w:webHidden/>
                <w:rStyle w:val="IndexLink"/>
              </w:rPr>
              <w:t>12</w:t>
            </w:r>
            <w:r>
              <w:rPr>
                <w:rStyle w:val="IndexLink"/>
                <w:rtl w:val="true"/>
              </w:rPr>
              <w:t xml:space="preserve"> - </w:t>
            </w:r>
            <w:r>
              <w:rPr>
                <w:rStyle w:val="IndexLink"/>
                <w:rtl w:val="true"/>
              </w:rPr>
              <w:t>استحباب الغسل لها</w:t>
            </w:r>
            <w:r>
              <w:rPr>
                <w:rStyle w:val="IndexLink"/>
                <w:rtl w:val="true"/>
              </w:rPr>
              <w:tab/>
            </w:r>
            <w:r>
              <w:rPr>
                <w:rStyle w:val="IndexLink"/>
              </w:rPr>
              <w:t>276</w:t>
            </w:r>
          </w:hyperlink>
        </w:p>
        <w:p>
          <w:pPr>
            <w:pStyle w:val="Contents4"/>
            <w:tabs>
              <w:tab w:val="clear" w:pos="8176"/>
              <w:tab w:val="right" w:pos="9026" w:leader="dot"/>
            </w:tabs>
            <w:rPr/>
          </w:pPr>
          <w:hyperlink w:anchor="__RefHeading___Toc375419_1067777946">
            <w:r>
              <w:rPr>
                <w:webHidden/>
                <w:rStyle w:val="IndexLink"/>
              </w:rPr>
              <w:t>13</w:t>
            </w:r>
            <w:r>
              <w:rPr>
                <w:rStyle w:val="IndexLink"/>
                <w:rtl w:val="true"/>
              </w:rPr>
              <w:t xml:space="preserve"> - </w:t>
            </w:r>
            <w:r>
              <w:rPr>
                <w:rStyle w:val="IndexLink"/>
                <w:rtl w:val="true"/>
              </w:rPr>
              <w:t>استحباب التعطّر والتزيّن و</w:t>
            </w:r>
            <w:r>
              <w:rPr>
                <w:rStyle w:val="IndexLink"/>
                <w:rtl w:val="true"/>
              </w:rPr>
              <w:t xml:space="preserve">... </w:t>
            </w:r>
            <w:r>
              <w:rPr>
                <w:rStyle w:val="IndexLink"/>
                <w:rtl w:val="true"/>
              </w:rPr>
              <w:t>لصلاة الجمعة</w:t>
            </w:r>
            <w:r>
              <w:rPr>
                <w:rStyle w:val="IndexLink"/>
                <w:rtl w:val="true"/>
              </w:rPr>
              <w:tab/>
            </w:r>
            <w:r>
              <w:rPr>
                <w:rStyle w:val="IndexLink"/>
              </w:rPr>
              <w:t>276</w:t>
            </w:r>
          </w:hyperlink>
        </w:p>
        <w:p>
          <w:pPr>
            <w:pStyle w:val="Contents4"/>
            <w:tabs>
              <w:tab w:val="clear" w:pos="8176"/>
              <w:tab w:val="right" w:pos="9026" w:leader="dot"/>
            </w:tabs>
            <w:rPr/>
          </w:pPr>
          <w:hyperlink w:anchor="__RefHeading___Toc375421_1067777946">
            <w:r>
              <w:rPr>
                <w:webHidden/>
                <w:rStyle w:val="IndexLink"/>
              </w:rPr>
              <w:t>14</w:t>
            </w:r>
            <w:r>
              <w:rPr>
                <w:rStyle w:val="IndexLink"/>
                <w:rtl w:val="true"/>
              </w:rPr>
              <w:t xml:space="preserve"> - </w:t>
            </w:r>
            <w:r>
              <w:rPr>
                <w:rStyle w:val="IndexLink"/>
                <w:rtl w:val="true"/>
              </w:rPr>
              <w:t>لبس أحسن الثياب</w:t>
            </w:r>
            <w:r>
              <w:rPr>
                <w:rStyle w:val="IndexLink"/>
                <w:rtl w:val="true"/>
              </w:rPr>
              <w:tab/>
            </w:r>
            <w:r>
              <w:rPr>
                <w:rStyle w:val="IndexLink"/>
              </w:rPr>
              <w:t>277</w:t>
            </w:r>
          </w:hyperlink>
        </w:p>
        <w:p>
          <w:pPr>
            <w:pStyle w:val="Contents4"/>
            <w:tabs>
              <w:tab w:val="clear" w:pos="8176"/>
              <w:tab w:val="right" w:pos="9026" w:leader="dot"/>
            </w:tabs>
            <w:rPr/>
          </w:pPr>
          <w:hyperlink w:anchor="__RefHeading___Toc375423_1067777946">
            <w:r>
              <w:rPr>
                <w:webHidden/>
                <w:rStyle w:val="IndexLink"/>
              </w:rPr>
              <w:t>15</w:t>
            </w:r>
            <w:r>
              <w:rPr>
                <w:rStyle w:val="IndexLink"/>
                <w:rtl w:val="true"/>
              </w:rPr>
              <w:t xml:space="preserve"> - </w:t>
            </w:r>
            <w:r>
              <w:rPr>
                <w:rStyle w:val="IndexLink"/>
                <w:rtl w:val="true"/>
              </w:rPr>
              <w:t>التبكير إلى المسجد</w:t>
            </w:r>
            <w:r>
              <w:rPr>
                <w:rStyle w:val="IndexLink"/>
                <w:rtl w:val="true"/>
              </w:rPr>
              <w:tab/>
            </w:r>
            <w:r>
              <w:rPr>
                <w:rStyle w:val="IndexLink"/>
              </w:rPr>
              <w:t>278</w:t>
            </w:r>
          </w:hyperlink>
        </w:p>
        <w:p>
          <w:pPr>
            <w:pStyle w:val="Contents4"/>
            <w:tabs>
              <w:tab w:val="clear" w:pos="8176"/>
              <w:tab w:val="right" w:pos="9026" w:leader="dot"/>
            </w:tabs>
            <w:rPr/>
          </w:pPr>
          <w:hyperlink w:anchor="__RefHeading___Toc375425_1067777946">
            <w:r>
              <w:rPr>
                <w:webHidden/>
                <w:rStyle w:val="IndexLink"/>
              </w:rPr>
              <w:t>16</w:t>
            </w:r>
            <w:r>
              <w:rPr>
                <w:rStyle w:val="IndexLink"/>
                <w:rtl w:val="true"/>
              </w:rPr>
              <w:t xml:space="preserve"> - </w:t>
            </w:r>
            <w:r>
              <w:rPr>
                <w:rStyle w:val="IndexLink"/>
                <w:rtl w:val="true"/>
              </w:rPr>
              <w:t xml:space="preserve">الإكثار من الصلاة على النبيّ </w:t>
            </w:r>
            <w:r>
              <w:rPr>
                <w:rStyle w:val="IndexLink"/>
                <w:rtl w:val="true"/>
              </w:rPr>
              <w:t>(</w:t>
            </w:r>
            <w:r>
              <w:rPr>
                <w:rStyle w:val="IndexLink"/>
                <w:rtl w:val="true"/>
              </w:rPr>
              <w:t>صَلَّى اللّه عَلَيْهِ وَ آلِهِ وَسَلَّمَ‏</w:t>
            </w:r>
            <w:r>
              <w:rPr>
                <w:rStyle w:val="IndexLink"/>
                <w:rtl w:val="true"/>
              </w:rPr>
              <w:t>)</w:t>
              <w:tab/>
            </w:r>
            <w:r>
              <w:rPr>
                <w:rStyle w:val="IndexLink"/>
              </w:rPr>
              <w:t>279</w:t>
            </w:r>
          </w:hyperlink>
        </w:p>
        <w:p>
          <w:pPr>
            <w:pStyle w:val="Contents4"/>
            <w:tabs>
              <w:tab w:val="clear" w:pos="8176"/>
              <w:tab w:val="right" w:pos="9026" w:leader="dot"/>
            </w:tabs>
            <w:rPr/>
          </w:pPr>
          <w:hyperlink w:anchor="__RefHeading___Toc375427_1067777946">
            <w:r>
              <w:rPr>
                <w:webHidden/>
                <w:rStyle w:val="IndexLink"/>
              </w:rPr>
              <w:t>17</w:t>
            </w:r>
            <w:r>
              <w:rPr>
                <w:rStyle w:val="IndexLink"/>
                <w:rtl w:val="true"/>
              </w:rPr>
              <w:t xml:space="preserve"> - </w:t>
            </w:r>
            <w:r>
              <w:rPr>
                <w:rStyle w:val="IndexLink"/>
                <w:rtl w:val="true"/>
              </w:rPr>
              <w:t>مضاعفة أجر الذاهب إلى الجمعة</w:t>
            </w:r>
            <w:r>
              <w:rPr>
                <w:rStyle w:val="IndexLink"/>
                <w:rtl w:val="true"/>
              </w:rPr>
              <w:tab/>
            </w:r>
            <w:r>
              <w:rPr>
                <w:rStyle w:val="IndexLink"/>
              </w:rPr>
              <w:t>280</w:t>
            </w:r>
          </w:hyperlink>
        </w:p>
        <w:p>
          <w:pPr>
            <w:pStyle w:val="Contents4"/>
            <w:tabs>
              <w:tab w:val="clear" w:pos="8176"/>
              <w:tab w:val="right" w:pos="9026" w:leader="dot"/>
            </w:tabs>
            <w:rPr/>
          </w:pPr>
          <w:hyperlink w:anchor="__RefHeading___Toc375429_1067777946">
            <w:r>
              <w:rPr>
                <w:webHidden/>
                <w:rStyle w:val="IndexLink"/>
              </w:rPr>
              <w:t>18</w:t>
            </w:r>
            <w:r>
              <w:rPr>
                <w:rStyle w:val="IndexLink"/>
                <w:rtl w:val="true"/>
              </w:rPr>
              <w:t xml:space="preserve"> - </w:t>
            </w:r>
            <w:r>
              <w:rPr>
                <w:rStyle w:val="IndexLink"/>
                <w:rtl w:val="true"/>
              </w:rPr>
              <w:t>استحباب صلاة عشرين ركعة في يومها</w:t>
            </w:r>
            <w:r>
              <w:rPr>
                <w:rStyle w:val="IndexLink"/>
                <w:rtl w:val="true"/>
              </w:rPr>
              <w:tab/>
            </w:r>
            <w:r>
              <w:rPr>
                <w:rStyle w:val="IndexLink"/>
              </w:rPr>
              <w:t>281</w:t>
            </w:r>
          </w:hyperlink>
        </w:p>
        <w:p>
          <w:pPr>
            <w:pStyle w:val="Contents4"/>
            <w:tabs>
              <w:tab w:val="clear" w:pos="8176"/>
              <w:tab w:val="right" w:pos="9026" w:leader="dot"/>
            </w:tabs>
            <w:rPr/>
          </w:pPr>
          <w:hyperlink w:anchor="__RefHeading___Toc375431_1067777946">
            <w:r>
              <w:rPr>
                <w:webHidden/>
                <w:rStyle w:val="IndexLink"/>
              </w:rPr>
              <w:t>19</w:t>
            </w:r>
            <w:r>
              <w:rPr>
                <w:rStyle w:val="IndexLink"/>
                <w:rtl w:val="true"/>
              </w:rPr>
              <w:t xml:space="preserve"> - </w:t>
            </w:r>
            <w:r>
              <w:rPr>
                <w:rStyle w:val="IndexLink"/>
                <w:rtl w:val="true"/>
              </w:rPr>
              <w:t>نفي كراهية النافلة وقت الاستواء</w:t>
            </w:r>
            <w:r>
              <w:rPr>
                <w:rStyle w:val="IndexLink"/>
                <w:rtl w:val="true"/>
              </w:rPr>
              <w:tab/>
            </w:r>
            <w:r>
              <w:rPr>
                <w:rStyle w:val="IndexLink"/>
              </w:rPr>
              <w:t>281</w:t>
            </w:r>
          </w:hyperlink>
        </w:p>
        <w:p>
          <w:pPr>
            <w:pStyle w:val="Contents4"/>
            <w:tabs>
              <w:tab w:val="clear" w:pos="8176"/>
              <w:tab w:val="right" w:pos="9026" w:leader="dot"/>
            </w:tabs>
            <w:rPr/>
          </w:pPr>
          <w:hyperlink w:anchor="__RefHeading___Toc375433_1067777946">
            <w:r>
              <w:rPr>
                <w:webHidden/>
                <w:rStyle w:val="IndexLink"/>
              </w:rPr>
              <w:t>20</w:t>
            </w:r>
            <w:r>
              <w:rPr>
                <w:rStyle w:val="IndexLink"/>
                <w:rtl w:val="true"/>
              </w:rPr>
              <w:t xml:space="preserve"> - </w:t>
            </w:r>
            <w:r>
              <w:rPr>
                <w:rStyle w:val="IndexLink"/>
                <w:rtl w:val="true"/>
              </w:rPr>
              <w:t>لا يستحبّ الإبراد بصلاتها في شدّة الحرّ</w:t>
            </w:r>
            <w:r>
              <w:rPr>
                <w:rStyle w:val="IndexLink"/>
                <w:rtl w:val="true"/>
              </w:rPr>
              <w:tab/>
            </w:r>
            <w:r>
              <w:rPr>
                <w:rStyle w:val="IndexLink"/>
              </w:rPr>
              <w:t>282</w:t>
            </w:r>
          </w:hyperlink>
        </w:p>
        <w:p>
          <w:pPr>
            <w:pStyle w:val="Contents4"/>
            <w:tabs>
              <w:tab w:val="clear" w:pos="8176"/>
              <w:tab w:val="right" w:pos="9026" w:leader="dot"/>
            </w:tabs>
            <w:rPr/>
          </w:pPr>
          <w:hyperlink w:anchor="__RefHeading___Toc375435_1067777946">
            <w:r>
              <w:rPr>
                <w:webHidden/>
                <w:rStyle w:val="IndexLink"/>
              </w:rPr>
              <w:t>21</w:t>
            </w:r>
            <w:r>
              <w:rPr>
                <w:rStyle w:val="IndexLink"/>
                <w:rtl w:val="true"/>
              </w:rPr>
              <w:t xml:space="preserve"> - </w:t>
            </w:r>
            <w:r>
              <w:rPr>
                <w:rStyle w:val="IndexLink"/>
                <w:rtl w:val="true"/>
              </w:rPr>
              <w:t>تأخير الغداء والقيلولة عن صلاة الجمعة</w:t>
            </w:r>
            <w:r>
              <w:rPr>
                <w:rStyle w:val="IndexLink"/>
                <w:rtl w:val="true"/>
              </w:rPr>
              <w:tab/>
            </w:r>
            <w:r>
              <w:rPr>
                <w:rStyle w:val="IndexLink"/>
              </w:rPr>
              <w:t>282</w:t>
            </w:r>
          </w:hyperlink>
        </w:p>
        <w:p>
          <w:pPr>
            <w:pStyle w:val="Contents4"/>
            <w:tabs>
              <w:tab w:val="clear" w:pos="8176"/>
              <w:tab w:val="right" w:pos="9026" w:leader="dot"/>
            </w:tabs>
            <w:rPr/>
          </w:pPr>
          <w:hyperlink w:anchor="__RefHeading___Toc375437_1067777946">
            <w:r>
              <w:rPr>
                <w:webHidden/>
                <w:rStyle w:val="IndexLink"/>
              </w:rPr>
              <w:t>22</w:t>
            </w:r>
            <w:r>
              <w:rPr>
                <w:rStyle w:val="IndexLink"/>
                <w:rtl w:val="true"/>
              </w:rPr>
              <w:t xml:space="preserve"> - </w:t>
            </w:r>
            <w:r>
              <w:rPr>
                <w:rStyle w:val="IndexLink"/>
                <w:rtl w:val="true"/>
              </w:rPr>
              <w:t>قراءة الفاتحة والإخلاص والمعوّذتين سبعاً سبعاً</w:t>
            </w:r>
            <w:r>
              <w:rPr>
                <w:rStyle w:val="IndexLink"/>
                <w:rtl w:val="true"/>
              </w:rPr>
              <w:tab/>
            </w:r>
            <w:r>
              <w:rPr>
                <w:rStyle w:val="IndexLink"/>
              </w:rPr>
              <w:t>282</w:t>
            </w:r>
          </w:hyperlink>
        </w:p>
        <w:p>
          <w:pPr>
            <w:pStyle w:val="Contents4"/>
            <w:tabs>
              <w:tab w:val="clear" w:pos="8176"/>
              <w:tab w:val="right" w:pos="9026" w:leader="dot"/>
            </w:tabs>
            <w:rPr/>
          </w:pPr>
          <w:hyperlink w:anchor="__RefHeading___Toc375439_1067777946">
            <w:r>
              <w:rPr>
                <w:webHidden/>
                <w:rStyle w:val="IndexLink"/>
              </w:rPr>
              <w:t>23</w:t>
            </w:r>
            <w:r>
              <w:rPr>
                <w:rStyle w:val="IndexLink"/>
                <w:rtl w:val="true"/>
              </w:rPr>
              <w:t xml:space="preserve"> - </w:t>
            </w:r>
            <w:r>
              <w:rPr>
                <w:rStyle w:val="IndexLink"/>
                <w:rtl w:val="true"/>
              </w:rPr>
              <w:t>فيها ساعة الإجابة</w:t>
            </w:r>
            <w:r>
              <w:rPr>
                <w:rStyle w:val="IndexLink"/>
                <w:rtl w:val="true"/>
              </w:rPr>
              <w:tab/>
            </w:r>
            <w:r>
              <w:rPr>
                <w:rStyle w:val="IndexLink"/>
              </w:rPr>
              <w:t>283</w:t>
            </w:r>
          </w:hyperlink>
        </w:p>
        <w:p>
          <w:pPr>
            <w:pStyle w:val="Contents4"/>
            <w:tabs>
              <w:tab w:val="clear" w:pos="8176"/>
              <w:tab w:val="right" w:pos="9026" w:leader="dot"/>
            </w:tabs>
            <w:rPr/>
          </w:pPr>
          <w:hyperlink w:anchor="__RefHeading___Toc375441_1067777946">
            <w:r>
              <w:rPr>
                <w:webHidden/>
                <w:rStyle w:val="IndexLink"/>
              </w:rPr>
              <w:t>24</w:t>
            </w:r>
            <w:r>
              <w:rPr>
                <w:rStyle w:val="IndexLink"/>
                <w:rtl w:val="true"/>
              </w:rPr>
              <w:t xml:space="preserve"> - </w:t>
            </w:r>
            <w:r>
              <w:rPr>
                <w:rStyle w:val="IndexLink"/>
                <w:rtl w:val="true"/>
              </w:rPr>
              <w:t>تحريم السفر قبل صلاة الجمعة</w:t>
            </w:r>
            <w:r>
              <w:rPr>
                <w:rStyle w:val="IndexLink"/>
                <w:rtl w:val="true"/>
              </w:rPr>
              <w:tab/>
            </w:r>
            <w:r>
              <w:rPr>
                <w:rStyle w:val="IndexLink"/>
              </w:rPr>
              <w:t>284</w:t>
            </w:r>
          </w:hyperlink>
        </w:p>
        <w:p>
          <w:pPr>
            <w:pStyle w:val="Contents4"/>
            <w:tabs>
              <w:tab w:val="clear" w:pos="8176"/>
              <w:tab w:val="right" w:pos="9026" w:leader="dot"/>
            </w:tabs>
            <w:rPr/>
          </w:pPr>
          <w:hyperlink w:anchor="__RefHeading___Toc375443_1067777946">
            <w:r>
              <w:rPr>
                <w:webHidden/>
                <w:rStyle w:val="IndexLink"/>
              </w:rPr>
              <w:t>25</w:t>
            </w:r>
            <w:r>
              <w:rPr>
                <w:rStyle w:val="IndexLink"/>
                <w:rtl w:val="true"/>
              </w:rPr>
              <w:t xml:space="preserve"> - </w:t>
            </w:r>
            <w:r>
              <w:rPr>
                <w:rStyle w:val="IndexLink"/>
                <w:rtl w:val="true"/>
              </w:rPr>
              <w:t>قراءة سور مخصوصة في نهارها منها سورة الكهف</w:t>
            </w:r>
            <w:r>
              <w:rPr>
                <w:rStyle w:val="IndexLink"/>
                <w:rtl w:val="true"/>
              </w:rPr>
              <w:tab/>
            </w:r>
            <w:r>
              <w:rPr>
                <w:rStyle w:val="IndexLink"/>
              </w:rPr>
              <w:t>284</w:t>
            </w:r>
          </w:hyperlink>
        </w:p>
        <w:p>
          <w:pPr>
            <w:pStyle w:val="Contents4"/>
            <w:tabs>
              <w:tab w:val="clear" w:pos="8176"/>
              <w:tab w:val="right" w:pos="9026" w:leader="dot"/>
            </w:tabs>
            <w:rPr/>
          </w:pPr>
          <w:hyperlink w:anchor="__RefHeading___Toc375445_1067777946">
            <w:r>
              <w:rPr>
                <w:webHidden/>
                <w:rStyle w:val="IndexLink"/>
              </w:rPr>
              <w:t>26</w:t>
            </w:r>
            <w:r>
              <w:rPr>
                <w:rStyle w:val="IndexLink"/>
                <w:rtl w:val="true"/>
              </w:rPr>
              <w:t xml:space="preserve"> - </w:t>
            </w:r>
            <w:r>
              <w:rPr>
                <w:rStyle w:val="IndexLink"/>
                <w:rtl w:val="true"/>
              </w:rPr>
              <w:t>تكفير الآثام</w:t>
            </w:r>
            <w:r>
              <w:rPr>
                <w:rStyle w:val="IndexLink"/>
                <w:rtl w:val="true"/>
              </w:rPr>
              <w:tab/>
            </w:r>
            <w:r>
              <w:rPr>
                <w:rStyle w:val="IndexLink"/>
              </w:rPr>
              <w:t>286</w:t>
            </w:r>
          </w:hyperlink>
        </w:p>
        <w:p>
          <w:pPr>
            <w:pStyle w:val="Contents4"/>
            <w:tabs>
              <w:tab w:val="clear" w:pos="8176"/>
              <w:tab w:val="right" w:pos="9026" w:leader="dot"/>
            </w:tabs>
            <w:rPr/>
          </w:pPr>
          <w:hyperlink w:anchor="__RefHeading___Toc375447_1067777946">
            <w:r>
              <w:rPr>
                <w:webHidden/>
                <w:rStyle w:val="IndexLink"/>
              </w:rPr>
              <w:t>27</w:t>
            </w:r>
            <w:r>
              <w:rPr>
                <w:rStyle w:val="IndexLink"/>
                <w:rtl w:val="true"/>
              </w:rPr>
              <w:t xml:space="preserve"> - </w:t>
            </w:r>
            <w:r>
              <w:rPr>
                <w:rStyle w:val="IndexLink"/>
                <w:rtl w:val="true"/>
              </w:rPr>
              <w:t>أمان من عذاب القبر لمن مات في يومها أو ليلتها</w:t>
            </w:r>
            <w:r>
              <w:rPr>
                <w:rStyle w:val="IndexLink"/>
                <w:rtl w:val="true"/>
              </w:rPr>
              <w:tab/>
            </w:r>
            <w:r>
              <w:rPr>
                <w:rStyle w:val="IndexLink"/>
              </w:rPr>
              <w:t>286</w:t>
            </w:r>
          </w:hyperlink>
        </w:p>
        <w:p>
          <w:pPr>
            <w:pStyle w:val="Contents4"/>
            <w:tabs>
              <w:tab w:val="clear" w:pos="8176"/>
              <w:tab w:val="right" w:pos="9026" w:leader="dot"/>
            </w:tabs>
            <w:rPr/>
          </w:pPr>
          <w:hyperlink w:anchor="__RefHeading___Toc375449_1067777946">
            <w:r>
              <w:rPr>
                <w:webHidden/>
                <w:rStyle w:val="IndexLink"/>
              </w:rPr>
              <w:t>28</w:t>
            </w:r>
            <w:r>
              <w:rPr>
                <w:rStyle w:val="IndexLink"/>
                <w:rtl w:val="true"/>
              </w:rPr>
              <w:t xml:space="preserve"> - </w:t>
            </w:r>
            <w:r>
              <w:rPr>
                <w:rStyle w:val="IndexLink"/>
                <w:rtl w:val="true"/>
              </w:rPr>
              <w:t>الأمان من فتنة لمن مات في يومها أو ليلتها</w:t>
            </w:r>
            <w:r>
              <w:rPr>
                <w:rStyle w:val="IndexLink"/>
                <w:rtl w:val="true"/>
              </w:rPr>
              <w:tab/>
            </w:r>
            <w:r>
              <w:rPr>
                <w:rStyle w:val="IndexLink"/>
              </w:rPr>
              <w:t>286</w:t>
            </w:r>
          </w:hyperlink>
        </w:p>
        <w:p>
          <w:pPr>
            <w:pStyle w:val="Contents4"/>
            <w:tabs>
              <w:tab w:val="clear" w:pos="8176"/>
              <w:tab w:val="right" w:pos="9026" w:leader="dot"/>
            </w:tabs>
            <w:rPr/>
          </w:pPr>
          <w:hyperlink w:anchor="__RefHeading___Toc375451_1067777946">
            <w:r>
              <w:rPr>
                <w:webHidden/>
                <w:rStyle w:val="IndexLink"/>
              </w:rPr>
              <w:t>29</w:t>
            </w:r>
            <w:r>
              <w:rPr>
                <w:rStyle w:val="IndexLink"/>
                <w:rtl w:val="true"/>
              </w:rPr>
              <w:t xml:space="preserve"> - </w:t>
            </w:r>
            <w:r>
              <w:rPr>
                <w:rStyle w:val="IndexLink"/>
                <w:rtl w:val="true"/>
              </w:rPr>
              <w:t>الحكم لمن مات في يوم أو ليلتها بالشهادة</w:t>
            </w:r>
            <w:r>
              <w:rPr>
                <w:rStyle w:val="IndexLink"/>
                <w:rtl w:val="true"/>
              </w:rPr>
              <w:tab/>
            </w:r>
            <w:r>
              <w:rPr>
                <w:rStyle w:val="IndexLink"/>
              </w:rPr>
              <w:t>287</w:t>
            </w:r>
          </w:hyperlink>
        </w:p>
        <w:p>
          <w:pPr>
            <w:pStyle w:val="Contents4"/>
            <w:tabs>
              <w:tab w:val="clear" w:pos="8176"/>
              <w:tab w:val="right" w:pos="9026" w:leader="dot"/>
            </w:tabs>
            <w:rPr/>
          </w:pPr>
          <w:hyperlink w:anchor="__RefHeading___Toc375453_1067777946">
            <w:r>
              <w:rPr>
                <w:webHidden/>
                <w:rStyle w:val="IndexLink"/>
              </w:rPr>
              <w:t>30</w:t>
            </w:r>
            <w:r>
              <w:rPr>
                <w:rStyle w:val="IndexLink"/>
                <w:rtl w:val="true"/>
              </w:rPr>
              <w:t xml:space="preserve"> - </w:t>
            </w:r>
            <w:r>
              <w:rPr>
                <w:rStyle w:val="IndexLink"/>
                <w:rtl w:val="true"/>
              </w:rPr>
              <w:t>مات فيها مؤمناً كتبت له براءة من النار</w:t>
            </w:r>
            <w:r>
              <w:rPr>
                <w:rStyle w:val="IndexLink"/>
                <w:rtl w:val="true"/>
              </w:rPr>
              <w:tab/>
            </w:r>
            <w:r>
              <w:rPr>
                <w:rStyle w:val="IndexLink"/>
              </w:rPr>
              <w:t>287</w:t>
            </w:r>
          </w:hyperlink>
        </w:p>
        <w:p>
          <w:pPr>
            <w:pStyle w:val="Contents4"/>
            <w:tabs>
              <w:tab w:val="clear" w:pos="8176"/>
              <w:tab w:val="right" w:pos="9026" w:leader="dot"/>
            </w:tabs>
            <w:rPr/>
          </w:pPr>
          <w:hyperlink w:anchor="__RefHeading___Toc375455_1067777946">
            <w:r>
              <w:rPr>
                <w:webHidden/>
                <w:rStyle w:val="IndexLink"/>
              </w:rPr>
              <w:t>31</w:t>
            </w:r>
            <w:r>
              <w:rPr>
                <w:rStyle w:val="IndexLink"/>
                <w:rtl w:val="true"/>
              </w:rPr>
              <w:t xml:space="preserve"> - </w:t>
            </w:r>
            <w:r>
              <w:rPr>
                <w:rStyle w:val="IndexLink"/>
                <w:rtl w:val="true"/>
              </w:rPr>
              <w:t>يوم المزيد</w:t>
            </w:r>
            <w:r>
              <w:rPr>
                <w:rStyle w:val="IndexLink"/>
                <w:rtl w:val="true"/>
              </w:rPr>
              <w:tab/>
            </w:r>
            <w:r>
              <w:rPr>
                <w:rStyle w:val="IndexLink"/>
              </w:rPr>
              <w:t>287</w:t>
            </w:r>
          </w:hyperlink>
        </w:p>
        <w:p>
          <w:pPr>
            <w:pStyle w:val="Contents4"/>
            <w:tabs>
              <w:tab w:val="clear" w:pos="8176"/>
              <w:tab w:val="right" w:pos="9026" w:leader="dot"/>
            </w:tabs>
            <w:rPr/>
          </w:pPr>
          <w:hyperlink w:anchor="__RefHeading___Toc375457_1067777946">
            <w:r>
              <w:rPr>
                <w:webHidden/>
                <w:rStyle w:val="IndexLink"/>
              </w:rPr>
              <w:t>32</w:t>
            </w:r>
            <w:r>
              <w:rPr>
                <w:rStyle w:val="IndexLink"/>
                <w:rtl w:val="true"/>
              </w:rPr>
              <w:t xml:space="preserve"> - </w:t>
            </w:r>
            <w:r>
              <w:rPr>
                <w:rStyle w:val="IndexLink"/>
                <w:rtl w:val="true"/>
              </w:rPr>
              <w:t>اليوم المدّخر لهذه الأُمّة</w:t>
            </w:r>
            <w:r>
              <w:rPr>
                <w:rStyle w:val="IndexLink"/>
                <w:rtl w:val="true"/>
              </w:rPr>
              <w:tab/>
            </w:r>
            <w:r>
              <w:rPr>
                <w:rStyle w:val="IndexLink"/>
              </w:rPr>
              <w:t>288</w:t>
            </w:r>
          </w:hyperlink>
        </w:p>
        <w:p>
          <w:pPr>
            <w:pStyle w:val="Contents4"/>
            <w:tabs>
              <w:tab w:val="clear" w:pos="8176"/>
              <w:tab w:val="right" w:pos="9026" w:leader="dot"/>
            </w:tabs>
            <w:rPr/>
          </w:pPr>
          <w:hyperlink w:anchor="__RefHeading___Toc375459_1067777946">
            <w:r>
              <w:rPr>
                <w:webHidden/>
                <w:rStyle w:val="IndexLink"/>
              </w:rPr>
              <w:t>33</w:t>
            </w:r>
            <w:r>
              <w:rPr>
                <w:rStyle w:val="IndexLink"/>
                <w:rtl w:val="true"/>
              </w:rPr>
              <w:t xml:space="preserve"> - </w:t>
            </w:r>
            <w:r>
              <w:rPr>
                <w:rStyle w:val="IndexLink"/>
                <w:rtl w:val="true"/>
              </w:rPr>
              <w:t>يوم العتق من النار</w:t>
            </w:r>
            <w:r>
              <w:rPr>
                <w:rStyle w:val="IndexLink"/>
                <w:rtl w:val="true"/>
              </w:rPr>
              <w:tab/>
            </w:r>
            <w:r>
              <w:rPr>
                <w:rStyle w:val="IndexLink"/>
              </w:rPr>
              <w:t>288</w:t>
            </w:r>
          </w:hyperlink>
        </w:p>
        <w:p>
          <w:pPr>
            <w:pStyle w:val="Contents4"/>
            <w:tabs>
              <w:tab w:val="clear" w:pos="8176"/>
              <w:tab w:val="right" w:pos="9026" w:leader="dot"/>
            </w:tabs>
            <w:rPr/>
          </w:pPr>
          <w:hyperlink w:anchor="__RefHeading___Toc375461_1067777946">
            <w:r>
              <w:rPr>
                <w:webHidden/>
                <w:rStyle w:val="IndexLink"/>
              </w:rPr>
              <w:t>34</w:t>
            </w:r>
            <w:r>
              <w:rPr>
                <w:rStyle w:val="IndexLink"/>
                <w:rtl w:val="true"/>
              </w:rPr>
              <w:t xml:space="preserve"> - </w:t>
            </w:r>
            <w:r>
              <w:rPr>
                <w:rStyle w:val="IndexLink"/>
                <w:rtl w:val="true"/>
              </w:rPr>
              <w:t>الحسنة والسيّئة والصدقة فيه تتضاعف</w:t>
            </w:r>
            <w:r>
              <w:rPr>
                <w:rStyle w:val="IndexLink"/>
                <w:rtl w:val="true"/>
              </w:rPr>
              <w:tab/>
            </w:r>
            <w:r>
              <w:rPr>
                <w:rStyle w:val="IndexLink"/>
              </w:rPr>
              <w:t>288</w:t>
            </w:r>
          </w:hyperlink>
        </w:p>
        <w:p>
          <w:pPr>
            <w:pStyle w:val="Contents4"/>
            <w:tabs>
              <w:tab w:val="clear" w:pos="8176"/>
              <w:tab w:val="right" w:pos="9026" w:leader="dot"/>
            </w:tabs>
            <w:rPr/>
          </w:pPr>
          <w:hyperlink w:anchor="__RefHeading___Toc375463_1067777946">
            <w:r>
              <w:rPr>
                <w:webHidden/>
                <w:rStyle w:val="IndexLink"/>
              </w:rPr>
              <w:t>35</w:t>
            </w:r>
            <w:r>
              <w:rPr>
                <w:rStyle w:val="IndexLink"/>
                <w:rtl w:val="true"/>
              </w:rPr>
              <w:t xml:space="preserve"> - </w:t>
            </w:r>
            <w:r>
              <w:rPr>
                <w:rStyle w:val="IndexLink"/>
                <w:rtl w:val="true"/>
              </w:rPr>
              <w:t>كراهية الحجامة فيه</w:t>
            </w:r>
            <w:r>
              <w:rPr>
                <w:rStyle w:val="IndexLink"/>
                <w:rtl w:val="true"/>
              </w:rPr>
              <w:tab/>
            </w:r>
            <w:r>
              <w:rPr>
                <w:rStyle w:val="IndexLink"/>
              </w:rPr>
              <w:t>289</w:t>
            </w:r>
          </w:hyperlink>
        </w:p>
        <w:p>
          <w:pPr>
            <w:pStyle w:val="Contents4"/>
            <w:tabs>
              <w:tab w:val="clear" w:pos="8176"/>
              <w:tab w:val="right" w:pos="9026" w:leader="dot"/>
            </w:tabs>
            <w:rPr/>
          </w:pPr>
          <w:hyperlink w:anchor="__RefHeading___Toc375465_1067777946">
            <w:r>
              <w:rPr>
                <w:webHidden/>
                <w:rStyle w:val="IndexLink"/>
              </w:rPr>
              <w:t>36</w:t>
            </w:r>
            <w:r>
              <w:rPr>
                <w:rStyle w:val="IndexLink"/>
                <w:rtl w:val="true"/>
              </w:rPr>
              <w:t xml:space="preserve"> - </w:t>
            </w:r>
            <w:r>
              <w:rPr>
                <w:rStyle w:val="IndexLink"/>
                <w:rtl w:val="true"/>
              </w:rPr>
              <w:t>تبخير المسجد</w:t>
            </w:r>
            <w:r>
              <w:rPr>
                <w:rStyle w:val="IndexLink"/>
                <w:rtl w:val="true"/>
              </w:rPr>
              <w:tab/>
            </w:r>
            <w:r>
              <w:rPr>
                <w:rStyle w:val="IndexLink"/>
              </w:rPr>
              <w:t>289</w:t>
            </w:r>
          </w:hyperlink>
        </w:p>
        <w:p>
          <w:pPr>
            <w:pStyle w:val="Contents4"/>
            <w:tabs>
              <w:tab w:val="clear" w:pos="8176"/>
              <w:tab w:val="right" w:pos="9026" w:leader="dot"/>
            </w:tabs>
            <w:rPr/>
          </w:pPr>
          <w:hyperlink w:anchor="__RefHeading___Toc375467_1067777946">
            <w:r>
              <w:rPr>
                <w:webHidden/>
                <w:rStyle w:val="IndexLink"/>
              </w:rPr>
              <w:t>37</w:t>
            </w:r>
            <w:r>
              <w:rPr>
                <w:rStyle w:val="IndexLink"/>
                <w:rtl w:val="true"/>
              </w:rPr>
              <w:t xml:space="preserve"> - </w:t>
            </w:r>
            <w:r>
              <w:rPr>
                <w:rStyle w:val="IndexLink"/>
                <w:rtl w:val="true"/>
              </w:rPr>
              <w:t>النهي عن الاحتباء وقت الخطبة</w:t>
            </w:r>
            <w:r>
              <w:rPr>
                <w:rStyle w:val="IndexLink"/>
                <w:rtl w:val="true"/>
              </w:rPr>
              <w:tab/>
            </w:r>
            <w:r>
              <w:rPr>
                <w:rStyle w:val="IndexLink"/>
              </w:rPr>
              <w:t>289</w:t>
            </w:r>
          </w:hyperlink>
        </w:p>
        <w:p>
          <w:pPr>
            <w:pStyle w:val="Contents4"/>
            <w:tabs>
              <w:tab w:val="clear" w:pos="8176"/>
              <w:tab w:val="right" w:pos="9026" w:leader="dot"/>
            </w:tabs>
            <w:rPr/>
          </w:pPr>
          <w:hyperlink w:anchor="__RefHeading___Toc375469_1067777946">
            <w:r>
              <w:rPr>
                <w:webHidden/>
                <w:rStyle w:val="IndexLink"/>
              </w:rPr>
              <w:t>38</w:t>
            </w:r>
            <w:r>
              <w:rPr>
                <w:rStyle w:val="IndexLink"/>
                <w:rtl w:val="true"/>
              </w:rPr>
              <w:t xml:space="preserve"> - </w:t>
            </w:r>
            <w:r>
              <w:rPr>
                <w:rStyle w:val="IndexLink"/>
                <w:rtl w:val="true"/>
              </w:rPr>
              <w:t>اختصاصه في دار الدنيا بزخرفة الجنان لمن أتى صلاة الجمعه</w:t>
            </w:r>
            <w:r>
              <w:rPr>
                <w:rStyle w:val="IndexLink"/>
                <w:rtl w:val="true"/>
              </w:rPr>
              <w:tab/>
            </w:r>
            <w:r>
              <w:rPr>
                <w:rStyle w:val="IndexLink"/>
              </w:rPr>
              <w:t>289</w:t>
            </w:r>
          </w:hyperlink>
        </w:p>
        <w:p>
          <w:pPr>
            <w:pStyle w:val="Contents4"/>
            <w:tabs>
              <w:tab w:val="clear" w:pos="8176"/>
              <w:tab w:val="right" w:pos="9026" w:leader="dot"/>
            </w:tabs>
            <w:rPr/>
          </w:pPr>
          <w:hyperlink w:anchor="__RefHeading___Toc375471_1067777946">
            <w:r>
              <w:rPr>
                <w:webHidden/>
                <w:rStyle w:val="IndexLink"/>
              </w:rPr>
              <w:t>39</w:t>
            </w:r>
            <w:r>
              <w:rPr>
                <w:rStyle w:val="IndexLink"/>
                <w:rtl w:val="true"/>
              </w:rPr>
              <w:t xml:space="preserve"> - </w:t>
            </w:r>
            <w:r>
              <w:rPr>
                <w:rStyle w:val="IndexLink"/>
                <w:rtl w:val="true"/>
              </w:rPr>
              <w:t>للمجامع فيه أجران</w:t>
            </w:r>
            <w:r>
              <w:rPr>
                <w:rStyle w:val="IndexLink"/>
                <w:rtl w:val="true"/>
              </w:rPr>
              <w:tab/>
            </w:r>
            <w:r>
              <w:rPr>
                <w:rStyle w:val="IndexLink"/>
              </w:rPr>
              <w:t>290</w:t>
            </w:r>
          </w:hyperlink>
        </w:p>
        <w:p>
          <w:pPr>
            <w:pStyle w:val="Contents4"/>
            <w:tabs>
              <w:tab w:val="clear" w:pos="8176"/>
              <w:tab w:val="right" w:pos="9026" w:leader="dot"/>
            </w:tabs>
            <w:rPr/>
          </w:pPr>
          <w:hyperlink w:anchor="__RefHeading___Toc375473_1067777946">
            <w:r>
              <w:rPr>
                <w:webHidden/>
                <w:rStyle w:val="IndexLink"/>
              </w:rPr>
              <w:t>40</w:t>
            </w:r>
            <w:r>
              <w:rPr>
                <w:rStyle w:val="IndexLink"/>
                <w:rtl w:val="true"/>
              </w:rPr>
              <w:t xml:space="preserve"> - </w:t>
            </w:r>
            <w:r>
              <w:rPr>
                <w:rStyle w:val="IndexLink"/>
                <w:rtl w:val="true"/>
              </w:rPr>
              <w:t>عبادات كثيرة وأدعية خاصة بهذا اليوم</w:t>
            </w:r>
            <w:r>
              <w:rPr>
                <w:rStyle w:val="IndexLink"/>
                <w:rtl w:val="true"/>
              </w:rPr>
              <w:tab/>
            </w:r>
            <w:r>
              <w:rPr>
                <w:rStyle w:val="IndexLink"/>
              </w:rPr>
              <w:t>290</w:t>
            </w:r>
          </w:hyperlink>
        </w:p>
        <w:p>
          <w:pPr>
            <w:pStyle w:val="Contents3"/>
            <w:tabs>
              <w:tab w:val="clear" w:pos="8459"/>
              <w:tab w:val="right" w:pos="9026" w:leader="dot"/>
            </w:tabs>
            <w:rPr/>
          </w:pPr>
          <w:hyperlink w:anchor="__RefHeading___Toc375475_1067777946">
            <w:r>
              <w:rPr>
                <w:webHidden/>
                <w:rStyle w:val="IndexLink"/>
              </w:rPr>
              <w:t>17</w:t>
            </w:r>
            <w:r>
              <w:rPr>
                <w:rStyle w:val="IndexLink"/>
                <w:rtl w:val="true"/>
              </w:rPr>
              <w:t xml:space="preserve">. </w:t>
            </w:r>
            <w:r>
              <w:rPr>
                <w:rStyle w:val="IndexLink"/>
                <w:rtl w:val="true"/>
              </w:rPr>
              <w:t>نتائج الأفكار في بيان حكم المقيمين في الأسفار</w:t>
            </w:r>
            <w:r>
              <w:rPr>
                <w:rStyle w:val="IndexLink"/>
                <w:rtl w:val="true"/>
              </w:rPr>
              <w:tab/>
            </w:r>
            <w:r>
              <w:rPr>
                <w:rStyle w:val="IndexLink"/>
              </w:rPr>
              <w:t>294</w:t>
            </w:r>
          </w:hyperlink>
        </w:p>
        <w:p>
          <w:pPr>
            <w:pStyle w:val="Contents4"/>
            <w:tabs>
              <w:tab w:val="clear" w:pos="8176"/>
              <w:tab w:val="right" w:pos="9026" w:leader="dot"/>
            </w:tabs>
            <w:rPr/>
          </w:pPr>
          <w:hyperlink w:anchor="__RefHeading___Toc375477_1067777946">
            <w:r>
              <w:rPr>
                <w:webHidden/>
                <w:rStyle w:val="IndexLink"/>
                <w:rtl w:val="true"/>
              </w:rPr>
              <w:t>إشارة</w:t>
            </w:r>
            <w:r>
              <w:rPr>
                <w:rStyle w:val="IndexLink"/>
                <w:rtl w:val="true"/>
              </w:rPr>
              <w:t>:</w:t>
              <w:tab/>
            </w:r>
            <w:r>
              <w:rPr>
                <w:rStyle w:val="IndexLink"/>
              </w:rPr>
              <w:t>294</w:t>
            </w:r>
          </w:hyperlink>
        </w:p>
        <w:p>
          <w:pPr>
            <w:pStyle w:val="Contents4"/>
            <w:tabs>
              <w:tab w:val="clear" w:pos="8176"/>
              <w:tab w:val="right" w:pos="9026" w:leader="dot"/>
            </w:tabs>
            <w:rPr/>
          </w:pPr>
          <w:hyperlink w:anchor="__RefHeading___Toc375479_1067777946">
            <w:r>
              <w:rPr>
                <w:webHidden/>
                <w:rStyle w:val="IndexLink"/>
                <w:rtl w:val="true"/>
              </w:rPr>
              <w:t>أقوال الفقهاء في المسألة</w:t>
            </w:r>
            <w:r>
              <w:rPr>
                <w:rStyle w:val="IndexLink"/>
                <w:rtl w:val="true"/>
              </w:rPr>
              <w:tab/>
            </w:r>
            <w:r>
              <w:rPr>
                <w:rStyle w:val="IndexLink"/>
              </w:rPr>
              <w:t>296</w:t>
            </w:r>
          </w:hyperlink>
        </w:p>
        <w:p>
          <w:pPr>
            <w:pStyle w:val="Contents4"/>
            <w:tabs>
              <w:tab w:val="clear" w:pos="8176"/>
              <w:tab w:val="right" w:pos="9026" w:leader="dot"/>
            </w:tabs>
            <w:rPr/>
          </w:pPr>
          <w:hyperlink w:anchor="__RefHeading___Toc375481_1067777946">
            <w:r>
              <w:rPr>
                <w:webHidden/>
                <w:rStyle w:val="IndexLink"/>
                <w:rtl w:val="true"/>
              </w:rPr>
              <w:t>خروج ناوي المقام في البلد منه ناوياً مفارقته</w:t>
            </w:r>
            <w:r>
              <w:rPr>
                <w:rStyle w:val="IndexLink"/>
                <w:rtl w:val="true"/>
              </w:rPr>
              <w:tab/>
            </w:r>
            <w:r>
              <w:rPr>
                <w:rStyle w:val="IndexLink"/>
              </w:rPr>
              <w:t>299</w:t>
            </w:r>
          </w:hyperlink>
        </w:p>
        <w:p>
          <w:pPr>
            <w:pStyle w:val="Contents4"/>
            <w:tabs>
              <w:tab w:val="clear" w:pos="8176"/>
              <w:tab w:val="right" w:pos="9026" w:leader="dot"/>
            </w:tabs>
            <w:rPr/>
          </w:pPr>
          <w:hyperlink w:anchor="__RefHeading___Toc375483_1067777946">
            <w:r>
              <w:rPr>
                <w:webHidden/>
                <w:rStyle w:val="IndexLink"/>
                <w:rtl w:val="true"/>
              </w:rPr>
              <w:t>نيّة قصد المسافة</w:t>
            </w:r>
            <w:r>
              <w:rPr>
                <w:rStyle w:val="IndexLink"/>
                <w:rtl w:val="true"/>
              </w:rPr>
              <w:tab/>
            </w:r>
            <w:r>
              <w:rPr>
                <w:rStyle w:val="IndexLink"/>
              </w:rPr>
              <w:t>300</w:t>
            </w:r>
          </w:hyperlink>
        </w:p>
        <w:p>
          <w:pPr>
            <w:pStyle w:val="Contents4"/>
            <w:tabs>
              <w:tab w:val="clear" w:pos="8176"/>
              <w:tab w:val="right" w:pos="9026" w:leader="dot"/>
            </w:tabs>
            <w:rPr/>
          </w:pPr>
          <w:hyperlink w:anchor="__RefHeading___Toc375485_1067777946">
            <w:r>
              <w:rPr>
                <w:webHidden/>
                <w:rStyle w:val="IndexLink"/>
                <w:rtl w:val="true"/>
              </w:rPr>
              <w:t>العزم على العود إلى موضع الإقامة مع عدم إقامة عشرة</w:t>
            </w:r>
            <w:r>
              <w:rPr>
                <w:rStyle w:val="IndexLink"/>
                <w:rtl w:val="true"/>
              </w:rPr>
              <w:tab/>
            </w:r>
            <w:r>
              <w:rPr>
                <w:rStyle w:val="IndexLink"/>
              </w:rPr>
              <w:t>302</w:t>
            </w:r>
          </w:hyperlink>
        </w:p>
        <w:p>
          <w:pPr>
            <w:pStyle w:val="Contents4"/>
            <w:tabs>
              <w:tab w:val="clear" w:pos="8176"/>
              <w:tab w:val="right" w:pos="9026" w:leader="dot"/>
            </w:tabs>
            <w:rPr/>
          </w:pPr>
          <w:hyperlink w:anchor="__RefHeading___Toc375487_1067777946">
            <w:r>
              <w:rPr>
                <w:webHidden/>
                <w:rStyle w:val="IndexLink"/>
                <w:rtl w:val="true"/>
              </w:rPr>
              <w:t>لو كان طريق المقصد مستديراً</w:t>
            </w:r>
            <w:r>
              <w:rPr>
                <w:rStyle w:val="IndexLink"/>
                <w:rtl w:val="true"/>
              </w:rPr>
              <w:tab/>
            </w:r>
            <w:r>
              <w:rPr>
                <w:rStyle w:val="IndexLink"/>
              </w:rPr>
              <w:t>305</w:t>
            </w:r>
          </w:hyperlink>
        </w:p>
        <w:p>
          <w:pPr>
            <w:pStyle w:val="Contents4"/>
            <w:tabs>
              <w:tab w:val="clear" w:pos="8176"/>
              <w:tab w:val="right" w:pos="9026" w:leader="dot"/>
            </w:tabs>
            <w:rPr/>
          </w:pPr>
          <w:hyperlink w:anchor="__RefHeading___Toc375489_1067777946">
            <w:r>
              <w:rPr>
                <w:webHidden/>
                <w:rStyle w:val="IndexLink"/>
                <w:rtl w:val="true"/>
              </w:rPr>
              <w:t>الفتوى في المسألة</w:t>
            </w:r>
            <w:r>
              <w:rPr>
                <w:rStyle w:val="IndexLink"/>
                <w:rtl w:val="true"/>
              </w:rPr>
              <w:tab/>
            </w:r>
            <w:r>
              <w:rPr>
                <w:rStyle w:val="IndexLink"/>
              </w:rPr>
              <w:t>307</w:t>
            </w:r>
          </w:hyperlink>
        </w:p>
        <w:p>
          <w:pPr>
            <w:pStyle w:val="Contents4"/>
            <w:tabs>
              <w:tab w:val="clear" w:pos="8176"/>
              <w:tab w:val="right" w:pos="9026" w:leader="dot"/>
            </w:tabs>
            <w:rPr/>
          </w:pPr>
          <w:hyperlink w:anchor="__RefHeading___Toc375491_1067777946">
            <w:r>
              <w:rPr>
                <w:webHidden/>
                <w:rStyle w:val="IndexLink"/>
                <w:rtl w:val="true"/>
              </w:rPr>
              <w:t>تقرير المؤلّف للمسألتين</w:t>
            </w:r>
            <w:r>
              <w:rPr>
                <w:rStyle w:val="IndexLink"/>
                <w:rtl w:val="true"/>
              </w:rPr>
              <w:tab/>
            </w:r>
            <w:r>
              <w:rPr>
                <w:rStyle w:val="IndexLink"/>
              </w:rPr>
              <w:t>313</w:t>
            </w:r>
          </w:hyperlink>
        </w:p>
        <w:p>
          <w:pPr>
            <w:pStyle w:val="Contents4"/>
            <w:tabs>
              <w:tab w:val="clear" w:pos="8176"/>
              <w:tab w:val="right" w:pos="9026" w:leader="dot"/>
            </w:tabs>
            <w:rPr/>
          </w:pPr>
          <w:hyperlink w:anchor="__RefHeading___Toc375493_1067777946">
            <w:r>
              <w:rPr>
                <w:webHidden/>
                <w:rStyle w:val="IndexLink"/>
                <w:rtl w:val="true"/>
              </w:rPr>
              <w:t>صور المسألة سبع صور</w:t>
            </w:r>
            <w:r>
              <w:rPr>
                <w:rStyle w:val="IndexLink"/>
                <w:rtl w:val="true"/>
              </w:rPr>
              <w:tab/>
            </w:r>
            <w:r>
              <w:rPr>
                <w:rStyle w:val="IndexLink"/>
              </w:rPr>
              <w:t>318</w:t>
            </w:r>
          </w:hyperlink>
        </w:p>
        <w:p>
          <w:pPr>
            <w:pStyle w:val="Contents4"/>
            <w:tabs>
              <w:tab w:val="clear" w:pos="8176"/>
              <w:tab w:val="right" w:pos="9026" w:leader="dot"/>
            </w:tabs>
            <w:rPr/>
          </w:pPr>
          <w:hyperlink w:anchor="__RefHeading___Toc375495_1067777946">
            <w:r>
              <w:rPr>
                <w:webHidden/>
                <w:rStyle w:val="IndexLink"/>
                <w:rtl w:val="true"/>
              </w:rPr>
              <w:t>اثنا عشر تنبيهاً للمؤلّف</w:t>
            </w:r>
            <w:r>
              <w:rPr>
                <w:rStyle w:val="IndexLink"/>
                <w:rtl w:val="true"/>
              </w:rPr>
              <w:tab/>
            </w:r>
            <w:r>
              <w:rPr>
                <w:rStyle w:val="IndexLink"/>
              </w:rPr>
              <w:t>323</w:t>
            </w:r>
          </w:hyperlink>
        </w:p>
        <w:p>
          <w:pPr>
            <w:pStyle w:val="Contents2"/>
            <w:tabs>
              <w:tab w:val="clear" w:pos="8743"/>
              <w:tab w:val="right" w:pos="9026" w:leader="dot"/>
            </w:tabs>
            <w:rPr/>
          </w:pPr>
          <w:hyperlink w:anchor="__RefHeading___Toc375497_1067777946">
            <w:r>
              <w:rPr>
                <w:webHidden/>
                <w:rStyle w:val="IndexLink"/>
                <w:rtl w:val="true"/>
              </w:rPr>
              <w:t>القسم الرابع</w:t>
            </w:r>
            <w:r>
              <w:rPr>
                <w:rStyle w:val="IndexLink"/>
                <w:rtl w:val="true"/>
              </w:rPr>
              <w:t xml:space="preserve">: </w:t>
            </w:r>
            <w:r>
              <w:rPr>
                <w:rStyle w:val="IndexLink"/>
                <w:rtl w:val="true"/>
              </w:rPr>
              <w:t>الحج</w:t>
            </w:r>
            <w:r>
              <w:rPr>
                <w:rStyle w:val="IndexLink"/>
                <w:rtl w:val="true"/>
              </w:rPr>
              <w:tab/>
            </w:r>
            <w:r>
              <w:rPr>
                <w:rStyle w:val="IndexLink"/>
              </w:rPr>
              <w:t>332</w:t>
            </w:r>
          </w:hyperlink>
        </w:p>
        <w:p>
          <w:pPr>
            <w:pStyle w:val="Contents3"/>
            <w:tabs>
              <w:tab w:val="clear" w:pos="8459"/>
              <w:tab w:val="right" w:pos="9026" w:leader="dot"/>
            </w:tabs>
            <w:rPr/>
          </w:pPr>
          <w:hyperlink w:anchor="__RefHeading___Toc375499_1067777946">
            <w:r>
              <w:rPr>
                <w:webHidden/>
                <w:rStyle w:val="IndexLink"/>
                <w:rtl w:val="true"/>
              </w:rPr>
              <w:t>إشارة</w:t>
            </w:r>
            <w:r>
              <w:rPr>
                <w:rStyle w:val="IndexLink"/>
                <w:rtl w:val="true"/>
              </w:rPr>
              <w:t>:</w:t>
              <w:tab/>
            </w:r>
            <w:r>
              <w:rPr>
                <w:rStyle w:val="IndexLink"/>
              </w:rPr>
              <w:t>332</w:t>
            </w:r>
          </w:hyperlink>
        </w:p>
        <w:p>
          <w:pPr>
            <w:pStyle w:val="Contents3"/>
            <w:tabs>
              <w:tab w:val="clear" w:pos="8459"/>
              <w:tab w:val="right" w:pos="9026" w:leader="dot"/>
            </w:tabs>
            <w:rPr/>
          </w:pPr>
          <w:hyperlink w:anchor="__RefHeading___Toc375501_1067777946">
            <w:r>
              <w:rPr>
                <w:webHidden/>
                <w:rStyle w:val="IndexLink"/>
              </w:rPr>
              <w:t>18</w:t>
            </w:r>
            <w:r>
              <w:rPr>
                <w:rStyle w:val="IndexLink"/>
                <w:rtl w:val="true"/>
              </w:rPr>
              <w:t xml:space="preserve">. </w:t>
            </w:r>
            <w:r>
              <w:rPr>
                <w:rStyle w:val="IndexLink"/>
                <w:rtl w:val="true"/>
              </w:rPr>
              <w:t>أقلّ ما يجب معرفتُه من أحكام الحجّ والعمرة</w:t>
            </w:r>
            <w:r>
              <w:rPr>
                <w:rStyle w:val="IndexLink"/>
                <w:rtl w:val="true"/>
              </w:rPr>
              <w:tab/>
            </w:r>
            <w:r>
              <w:rPr>
                <w:rStyle w:val="IndexLink"/>
              </w:rPr>
              <w:t>334</w:t>
            </w:r>
          </w:hyperlink>
        </w:p>
        <w:p>
          <w:pPr>
            <w:pStyle w:val="Contents4"/>
            <w:tabs>
              <w:tab w:val="clear" w:pos="8176"/>
              <w:tab w:val="right" w:pos="9026" w:leader="dot"/>
            </w:tabs>
            <w:rPr/>
          </w:pPr>
          <w:hyperlink w:anchor="__RefHeading___Toc375503_1067777946">
            <w:r>
              <w:rPr>
                <w:webHidden/>
                <w:rStyle w:val="IndexLink"/>
                <w:rtl w:val="true"/>
              </w:rPr>
              <w:t>إشارة</w:t>
            </w:r>
            <w:r>
              <w:rPr>
                <w:rStyle w:val="IndexLink"/>
                <w:rtl w:val="true"/>
              </w:rPr>
              <w:t>:</w:t>
              <w:tab/>
            </w:r>
            <w:r>
              <w:rPr>
                <w:rStyle w:val="IndexLink"/>
              </w:rPr>
              <w:t>334</w:t>
            </w:r>
          </w:hyperlink>
        </w:p>
        <w:p>
          <w:pPr>
            <w:pStyle w:val="Contents4"/>
            <w:tabs>
              <w:tab w:val="clear" w:pos="8176"/>
              <w:tab w:val="right" w:pos="9026" w:leader="dot"/>
            </w:tabs>
            <w:rPr/>
          </w:pPr>
          <w:hyperlink w:anchor="__RefHeading___Toc375505_1067777946">
            <w:r>
              <w:rPr>
                <w:webHidden/>
                <w:rStyle w:val="IndexLink"/>
                <w:rtl w:val="true"/>
              </w:rPr>
              <w:t>صفة عمرة التمتّع</w:t>
            </w:r>
            <w:r>
              <w:rPr>
                <w:rStyle w:val="IndexLink"/>
                <w:rtl w:val="true"/>
              </w:rPr>
              <w:tab/>
            </w:r>
            <w:r>
              <w:rPr>
                <w:rStyle w:val="IndexLink"/>
              </w:rPr>
              <w:t>336</w:t>
            </w:r>
          </w:hyperlink>
        </w:p>
        <w:p>
          <w:pPr>
            <w:pStyle w:val="Contents4"/>
            <w:tabs>
              <w:tab w:val="clear" w:pos="8176"/>
              <w:tab w:val="right" w:pos="9026" w:leader="dot"/>
            </w:tabs>
            <w:rPr/>
          </w:pPr>
          <w:hyperlink w:anchor="__RefHeading___Toc375507_1067777946">
            <w:r>
              <w:rPr>
                <w:webHidden/>
                <w:rStyle w:val="IndexLink"/>
                <w:rtl w:val="true"/>
              </w:rPr>
              <w:t>عقد الإحرام</w:t>
            </w:r>
            <w:r>
              <w:rPr>
                <w:rStyle w:val="IndexLink"/>
                <w:rtl w:val="true"/>
              </w:rPr>
              <w:tab/>
            </w:r>
            <w:r>
              <w:rPr>
                <w:rStyle w:val="IndexLink"/>
              </w:rPr>
              <w:t>337</w:t>
            </w:r>
          </w:hyperlink>
        </w:p>
        <w:p>
          <w:pPr>
            <w:pStyle w:val="Contents4"/>
            <w:tabs>
              <w:tab w:val="clear" w:pos="8176"/>
              <w:tab w:val="right" w:pos="9026" w:leader="dot"/>
            </w:tabs>
            <w:rPr/>
          </w:pPr>
          <w:hyperlink w:anchor="__RefHeading___Toc375509_1067777946">
            <w:r>
              <w:rPr>
                <w:webHidden/>
                <w:rStyle w:val="IndexLink"/>
                <w:rtl w:val="true"/>
              </w:rPr>
              <w:t>التحلّل من عمرة التمتّع</w:t>
            </w:r>
            <w:r>
              <w:rPr>
                <w:rStyle w:val="IndexLink"/>
                <w:rtl w:val="true"/>
              </w:rPr>
              <w:tab/>
            </w:r>
            <w:r>
              <w:rPr>
                <w:rStyle w:val="IndexLink"/>
              </w:rPr>
              <w:t>338</w:t>
            </w:r>
          </w:hyperlink>
        </w:p>
        <w:p>
          <w:pPr>
            <w:pStyle w:val="Contents4"/>
            <w:tabs>
              <w:tab w:val="clear" w:pos="8176"/>
              <w:tab w:val="right" w:pos="9026" w:leader="dot"/>
            </w:tabs>
            <w:rPr/>
          </w:pPr>
          <w:hyperlink w:anchor="__RefHeading___Toc375511_1067777946">
            <w:r>
              <w:rPr>
                <w:webHidden/>
                <w:rStyle w:val="IndexLink"/>
                <w:rtl w:val="true"/>
              </w:rPr>
              <w:t>صفة حجّ التمتّع</w:t>
            </w:r>
            <w:r>
              <w:rPr>
                <w:rStyle w:val="IndexLink"/>
                <w:rtl w:val="true"/>
              </w:rPr>
              <w:tab/>
            </w:r>
            <w:r>
              <w:rPr>
                <w:rStyle w:val="IndexLink"/>
              </w:rPr>
              <w:t>339</w:t>
            </w:r>
          </w:hyperlink>
        </w:p>
        <w:p>
          <w:pPr>
            <w:pStyle w:val="Contents3"/>
            <w:tabs>
              <w:tab w:val="clear" w:pos="8459"/>
              <w:tab w:val="right" w:pos="9026" w:leader="dot"/>
            </w:tabs>
            <w:rPr/>
          </w:pPr>
          <w:hyperlink w:anchor="__RefHeading___Toc375513_1067777946">
            <w:r>
              <w:rPr>
                <w:webHidden/>
                <w:rStyle w:val="IndexLink"/>
              </w:rPr>
              <w:t>19</w:t>
            </w:r>
            <w:r>
              <w:rPr>
                <w:rStyle w:val="IndexLink"/>
                <w:rtl w:val="true"/>
              </w:rPr>
              <w:t xml:space="preserve">. </w:t>
            </w:r>
            <w:r>
              <w:rPr>
                <w:rStyle w:val="IndexLink"/>
                <w:rtl w:val="true"/>
              </w:rPr>
              <w:t>نيّات الحجّ والعمرة</w:t>
            </w:r>
            <w:r>
              <w:rPr>
                <w:rStyle w:val="IndexLink"/>
                <w:rtl w:val="true"/>
              </w:rPr>
              <w:tab/>
            </w:r>
            <w:r>
              <w:rPr>
                <w:rStyle w:val="IndexLink"/>
              </w:rPr>
              <w:t>342</w:t>
            </w:r>
          </w:hyperlink>
        </w:p>
        <w:p>
          <w:pPr>
            <w:pStyle w:val="Contents4"/>
            <w:tabs>
              <w:tab w:val="clear" w:pos="8176"/>
              <w:tab w:val="right" w:pos="9026" w:leader="dot"/>
            </w:tabs>
            <w:rPr/>
          </w:pPr>
          <w:hyperlink w:anchor="__RefHeading___Toc375515_1067777946">
            <w:r>
              <w:rPr>
                <w:webHidden/>
                <w:rStyle w:val="IndexLink"/>
                <w:rtl w:val="true"/>
              </w:rPr>
              <w:t>إشارة</w:t>
            </w:r>
            <w:r>
              <w:rPr>
                <w:rStyle w:val="IndexLink"/>
                <w:rtl w:val="true"/>
              </w:rPr>
              <w:t>:</w:t>
              <w:tab/>
            </w:r>
            <w:r>
              <w:rPr>
                <w:rStyle w:val="IndexLink"/>
              </w:rPr>
              <w:t>342</w:t>
            </w:r>
          </w:hyperlink>
        </w:p>
        <w:p>
          <w:pPr>
            <w:pStyle w:val="Contents4"/>
            <w:tabs>
              <w:tab w:val="clear" w:pos="8176"/>
              <w:tab w:val="right" w:pos="9026" w:leader="dot"/>
            </w:tabs>
            <w:rPr/>
          </w:pPr>
          <w:hyperlink w:anchor="__RefHeading___Toc375517_1067777946">
            <w:r>
              <w:rPr>
                <w:webHidden/>
                <w:rStyle w:val="IndexLink"/>
                <w:rtl w:val="true"/>
              </w:rPr>
              <w:t>نيّة غسل الإحرام والإحرام</w:t>
            </w:r>
            <w:r>
              <w:rPr>
                <w:rStyle w:val="IndexLink"/>
                <w:rtl w:val="true"/>
              </w:rPr>
              <w:tab/>
            </w:r>
            <w:r>
              <w:rPr>
                <w:rStyle w:val="IndexLink"/>
              </w:rPr>
              <w:t>344</w:t>
            </w:r>
          </w:hyperlink>
        </w:p>
        <w:p>
          <w:pPr>
            <w:pStyle w:val="Contents4"/>
            <w:tabs>
              <w:tab w:val="clear" w:pos="8176"/>
              <w:tab w:val="right" w:pos="9026" w:leader="dot"/>
            </w:tabs>
            <w:rPr/>
          </w:pPr>
          <w:hyperlink w:anchor="__RefHeading___Toc375519_1067777946">
            <w:r>
              <w:rPr>
                <w:webHidden/>
                <w:rStyle w:val="IndexLink"/>
                <w:rtl w:val="true"/>
              </w:rPr>
              <w:t>نيّة السعي</w:t>
            </w:r>
            <w:r>
              <w:rPr>
                <w:rStyle w:val="IndexLink"/>
                <w:rtl w:val="true"/>
              </w:rPr>
              <w:tab/>
            </w:r>
            <w:r>
              <w:rPr>
                <w:rStyle w:val="IndexLink"/>
              </w:rPr>
              <w:t>345</w:t>
            </w:r>
          </w:hyperlink>
        </w:p>
        <w:p>
          <w:pPr>
            <w:pStyle w:val="Contents4"/>
            <w:tabs>
              <w:tab w:val="clear" w:pos="8176"/>
              <w:tab w:val="right" w:pos="9026" w:leader="dot"/>
            </w:tabs>
            <w:rPr/>
          </w:pPr>
          <w:hyperlink w:anchor="__RefHeading___Toc375521_1067777946">
            <w:r>
              <w:rPr>
                <w:webHidden/>
                <w:rStyle w:val="IndexLink"/>
                <w:rtl w:val="true"/>
              </w:rPr>
              <w:t>نيّة الوقوف بعرفة</w:t>
            </w:r>
            <w:r>
              <w:rPr>
                <w:rStyle w:val="IndexLink"/>
                <w:rtl w:val="true"/>
              </w:rPr>
              <w:tab/>
            </w:r>
            <w:r>
              <w:rPr>
                <w:rStyle w:val="IndexLink"/>
              </w:rPr>
              <w:t>346</w:t>
            </w:r>
          </w:hyperlink>
        </w:p>
        <w:p>
          <w:pPr>
            <w:pStyle w:val="Contents4"/>
            <w:tabs>
              <w:tab w:val="clear" w:pos="8176"/>
              <w:tab w:val="right" w:pos="9026" w:leader="dot"/>
            </w:tabs>
            <w:rPr/>
          </w:pPr>
          <w:hyperlink w:anchor="__RefHeading___Toc375523_1067777946">
            <w:r>
              <w:rPr>
                <w:webHidden/>
                <w:rStyle w:val="IndexLink"/>
                <w:rtl w:val="true"/>
              </w:rPr>
              <w:t>نيّة الطواف بالبيت الحرام</w:t>
            </w:r>
            <w:r>
              <w:rPr>
                <w:rStyle w:val="IndexLink"/>
                <w:rtl w:val="true"/>
              </w:rPr>
              <w:tab/>
            </w:r>
            <w:r>
              <w:rPr>
                <w:rStyle w:val="IndexLink"/>
              </w:rPr>
              <w:t>347</w:t>
            </w:r>
          </w:hyperlink>
        </w:p>
        <w:p>
          <w:pPr>
            <w:pStyle w:val="Contents3"/>
            <w:tabs>
              <w:tab w:val="clear" w:pos="8459"/>
              <w:tab w:val="right" w:pos="9026" w:leader="dot"/>
            </w:tabs>
            <w:rPr/>
          </w:pPr>
          <w:hyperlink w:anchor="__RefHeading___Toc375525_1067777946">
            <w:r>
              <w:rPr>
                <w:webHidden/>
                <w:rStyle w:val="IndexLink"/>
              </w:rPr>
              <w:t>20</w:t>
            </w:r>
            <w:r>
              <w:rPr>
                <w:rStyle w:val="IndexLink"/>
                <w:rtl w:val="true"/>
              </w:rPr>
              <w:t xml:space="preserve">. </w:t>
            </w:r>
            <w:r>
              <w:rPr>
                <w:rStyle w:val="IndexLink"/>
                <w:rtl w:val="true"/>
              </w:rPr>
              <w:t>مناسك الحجّ والعمرة</w:t>
            </w:r>
            <w:r>
              <w:rPr>
                <w:rStyle w:val="IndexLink"/>
                <w:rtl w:val="true"/>
              </w:rPr>
              <w:tab/>
            </w:r>
            <w:r>
              <w:rPr>
                <w:rStyle w:val="IndexLink"/>
              </w:rPr>
              <w:t>350</w:t>
            </w:r>
          </w:hyperlink>
        </w:p>
        <w:p>
          <w:pPr>
            <w:pStyle w:val="Contents4"/>
            <w:tabs>
              <w:tab w:val="clear" w:pos="8176"/>
              <w:tab w:val="right" w:pos="9026" w:leader="dot"/>
            </w:tabs>
            <w:rPr/>
          </w:pPr>
          <w:hyperlink w:anchor="__RefHeading___Toc375527_1067777946">
            <w:r>
              <w:rPr>
                <w:webHidden/>
                <w:rStyle w:val="IndexLink"/>
                <w:rtl w:val="true"/>
              </w:rPr>
              <w:t>إشارة</w:t>
            </w:r>
            <w:r>
              <w:rPr>
                <w:rStyle w:val="IndexLink"/>
                <w:rtl w:val="true"/>
              </w:rPr>
              <w:t>:</w:t>
              <w:tab/>
            </w:r>
            <w:r>
              <w:rPr>
                <w:rStyle w:val="IndexLink"/>
              </w:rPr>
              <w:t>350</w:t>
            </w:r>
          </w:hyperlink>
        </w:p>
        <w:p>
          <w:pPr>
            <w:pStyle w:val="Contents4"/>
            <w:tabs>
              <w:tab w:val="clear" w:pos="8176"/>
              <w:tab w:val="right" w:pos="9026" w:leader="dot"/>
            </w:tabs>
            <w:rPr/>
          </w:pPr>
          <w:hyperlink w:anchor="__RefHeading___Toc375529_1067777946">
            <w:r>
              <w:rPr>
                <w:webHidden/>
                <w:rStyle w:val="IndexLink"/>
                <w:rtl w:val="true"/>
              </w:rPr>
              <w:t>الحجّ من أركان الإسلام، وفضل الحجّ</w:t>
            </w:r>
            <w:r>
              <w:rPr>
                <w:rStyle w:val="IndexLink"/>
                <w:rtl w:val="true"/>
              </w:rPr>
              <w:tab/>
            </w:r>
            <w:r>
              <w:rPr>
                <w:rStyle w:val="IndexLink"/>
              </w:rPr>
              <w:t>352</w:t>
            </w:r>
          </w:hyperlink>
        </w:p>
        <w:p>
          <w:pPr>
            <w:pStyle w:val="Contents4"/>
            <w:tabs>
              <w:tab w:val="clear" w:pos="8176"/>
              <w:tab w:val="right" w:pos="9026" w:leader="dot"/>
            </w:tabs>
            <w:rPr/>
          </w:pPr>
          <w:hyperlink w:anchor="__RefHeading___Toc375531_1067777946">
            <w:r>
              <w:rPr>
                <w:webHidden/>
                <w:rStyle w:val="IndexLink"/>
                <w:rtl w:val="true"/>
              </w:rPr>
              <w:t>المستحبّات لمن أراد الحجّ</w:t>
            </w:r>
            <w:r>
              <w:rPr>
                <w:rStyle w:val="IndexLink"/>
                <w:rtl w:val="true"/>
              </w:rPr>
              <w:tab/>
            </w:r>
            <w:r>
              <w:rPr>
                <w:rStyle w:val="IndexLink"/>
              </w:rPr>
              <w:t>354</w:t>
            </w:r>
          </w:hyperlink>
        </w:p>
        <w:p>
          <w:pPr>
            <w:pStyle w:val="Contents4"/>
            <w:tabs>
              <w:tab w:val="clear" w:pos="8176"/>
              <w:tab w:val="right" w:pos="9026" w:leader="dot"/>
            </w:tabs>
            <w:rPr/>
          </w:pPr>
          <w:hyperlink w:anchor="__RefHeading___Toc375533_1067777946">
            <w:r>
              <w:rPr>
                <w:webHidden/>
                <w:rStyle w:val="IndexLink"/>
                <w:rtl w:val="true"/>
              </w:rPr>
              <w:t>إحضار القلب في حركاته وسكناته</w:t>
            </w:r>
            <w:r>
              <w:rPr>
                <w:rStyle w:val="IndexLink"/>
                <w:rtl w:val="true"/>
              </w:rPr>
              <w:tab/>
            </w:r>
            <w:r>
              <w:rPr>
                <w:rStyle w:val="IndexLink"/>
              </w:rPr>
              <w:t>358</w:t>
            </w:r>
          </w:hyperlink>
        </w:p>
        <w:p>
          <w:pPr>
            <w:pStyle w:val="Contents4"/>
            <w:tabs>
              <w:tab w:val="clear" w:pos="8176"/>
              <w:tab w:val="right" w:pos="9026" w:leader="dot"/>
            </w:tabs>
            <w:rPr/>
          </w:pPr>
          <w:hyperlink w:anchor="__RefHeading___Toc375535_1067777946">
            <w:r>
              <w:rPr>
                <w:webHidden/>
                <w:rStyle w:val="IndexLink"/>
                <w:rtl w:val="true"/>
              </w:rPr>
              <w:t>أنواع الحجّ</w:t>
            </w:r>
            <w:r>
              <w:rPr>
                <w:rStyle w:val="IndexLink"/>
                <w:rtl w:val="true"/>
              </w:rPr>
              <w:tab/>
            </w:r>
            <w:r>
              <w:rPr>
                <w:rStyle w:val="IndexLink"/>
              </w:rPr>
              <w:t>360</w:t>
            </w:r>
          </w:hyperlink>
        </w:p>
        <w:p>
          <w:pPr>
            <w:pStyle w:val="Contents4"/>
            <w:tabs>
              <w:tab w:val="clear" w:pos="8176"/>
              <w:tab w:val="right" w:pos="9026" w:leader="dot"/>
            </w:tabs>
            <w:rPr/>
          </w:pPr>
          <w:hyperlink w:anchor="__RefHeading___Toc375537_1067777946">
            <w:r>
              <w:rPr>
                <w:webHidden/>
                <w:rStyle w:val="IndexLink"/>
                <w:rtl w:val="true"/>
              </w:rPr>
              <w:t>المقالةُ الأُولى في أفعال عمرة التمتّع</w:t>
            </w:r>
            <w:r>
              <w:rPr>
                <w:rStyle w:val="IndexLink"/>
                <w:rtl w:val="true"/>
              </w:rPr>
              <w:tab/>
            </w:r>
            <w:r>
              <w:rPr>
                <w:rStyle w:val="IndexLink"/>
              </w:rPr>
              <w:t>362</w:t>
            </w:r>
          </w:hyperlink>
        </w:p>
        <w:p>
          <w:pPr>
            <w:pStyle w:val="Contents5"/>
            <w:tabs>
              <w:tab w:val="clear" w:pos="7892"/>
              <w:tab w:val="right" w:pos="9026" w:leader="dot"/>
            </w:tabs>
            <w:rPr/>
          </w:pPr>
          <w:hyperlink w:anchor="__RefHeading___Toc375539_1067777946">
            <w:r>
              <w:rPr>
                <w:webHidden/>
                <w:rStyle w:val="IndexLink"/>
                <w:rtl w:val="true"/>
              </w:rPr>
              <w:t>إشارة</w:t>
            </w:r>
            <w:r>
              <w:rPr>
                <w:rStyle w:val="IndexLink"/>
                <w:rtl w:val="true"/>
              </w:rPr>
              <w:t>:</w:t>
              <w:tab/>
            </w:r>
            <w:r>
              <w:rPr>
                <w:rStyle w:val="IndexLink"/>
              </w:rPr>
              <w:t>362</w:t>
            </w:r>
          </w:hyperlink>
        </w:p>
        <w:p>
          <w:pPr>
            <w:pStyle w:val="Contents5"/>
            <w:tabs>
              <w:tab w:val="clear" w:pos="7892"/>
              <w:tab w:val="right" w:pos="9026" w:leader="dot"/>
            </w:tabs>
            <w:rPr/>
          </w:pPr>
          <w:hyperlink w:anchor="__RefHeading___Toc375541_1067777946">
            <w:r>
              <w:rPr>
                <w:webHidden/>
                <w:rStyle w:val="IndexLink"/>
              </w:rPr>
              <w:t>1</w:t>
            </w:r>
            <w:r>
              <w:rPr>
                <w:rStyle w:val="IndexLink"/>
                <w:rtl w:val="true"/>
              </w:rPr>
              <w:t xml:space="preserve"> – </w:t>
            </w:r>
            <w:r>
              <w:rPr>
                <w:rStyle w:val="IndexLink"/>
                <w:rtl w:val="true"/>
              </w:rPr>
              <w:t>الإحرام</w:t>
            </w:r>
            <w:r>
              <w:rPr>
                <w:rStyle w:val="IndexLink"/>
                <w:rtl w:val="true"/>
              </w:rPr>
              <w:tab/>
            </w:r>
            <w:r>
              <w:rPr>
                <w:rStyle w:val="IndexLink"/>
              </w:rPr>
              <w:t>362</w:t>
            </w:r>
          </w:hyperlink>
        </w:p>
        <w:p>
          <w:pPr>
            <w:pStyle w:val="Contents5"/>
            <w:tabs>
              <w:tab w:val="clear" w:pos="7892"/>
              <w:tab w:val="right" w:pos="9026" w:leader="dot"/>
            </w:tabs>
            <w:rPr/>
          </w:pPr>
          <w:hyperlink w:anchor="__RefHeading___Toc375543_1067777946">
            <w:r>
              <w:rPr>
                <w:webHidden/>
                <w:rStyle w:val="IndexLink"/>
              </w:rPr>
              <w:t>2</w:t>
            </w:r>
            <w:r>
              <w:rPr>
                <w:rStyle w:val="IndexLink"/>
                <w:rtl w:val="true"/>
              </w:rPr>
              <w:t xml:space="preserve"> - </w:t>
            </w:r>
            <w:r>
              <w:rPr>
                <w:rStyle w:val="IndexLink"/>
                <w:rtl w:val="true"/>
              </w:rPr>
              <w:t>الطواف</w:t>
            </w:r>
            <w:r>
              <w:rPr>
                <w:rStyle w:val="IndexLink"/>
                <w:rtl w:val="true"/>
              </w:rPr>
              <w:tab/>
            </w:r>
            <w:r>
              <w:rPr>
                <w:rStyle w:val="IndexLink"/>
              </w:rPr>
              <w:t>367</w:t>
            </w:r>
          </w:hyperlink>
        </w:p>
        <w:p>
          <w:pPr>
            <w:pStyle w:val="Contents5"/>
            <w:tabs>
              <w:tab w:val="clear" w:pos="7892"/>
              <w:tab w:val="right" w:pos="9026" w:leader="dot"/>
            </w:tabs>
            <w:rPr/>
          </w:pPr>
          <w:hyperlink w:anchor="__RefHeading___Toc375545_1067777946">
            <w:r>
              <w:rPr>
                <w:webHidden/>
                <w:rStyle w:val="IndexLink"/>
              </w:rPr>
              <w:t>3</w:t>
            </w:r>
            <w:r>
              <w:rPr>
                <w:rStyle w:val="IndexLink"/>
                <w:rtl w:val="true"/>
              </w:rPr>
              <w:t xml:space="preserve">- </w:t>
            </w:r>
            <w:r>
              <w:rPr>
                <w:rStyle w:val="IndexLink"/>
                <w:rtl w:val="true"/>
              </w:rPr>
              <w:t>السعي</w:t>
            </w:r>
            <w:r>
              <w:rPr>
                <w:rStyle w:val="IndexLink"/>
                <w:rtl w:val="true"/>
              </w:rPr>
              <w:tab/>
            </w:r>
            <w:r>
              <w:rPr>
                <w:rStyle w:val="IndexLink"/>
              </w:rPr>
              <w:t>371</w:t>
            </w:r>
          </w:hyperlink>
        </w:p>
        <w:p>
          <w:pPr>
            <w:pStyle w:val="Contents5"/>
            <w:tabs>
              <w:tab w:val="clear" w:pos="7892"/>
              <w:tab w:val="right" w:pos="9026" w:leader="dot"/>
            </w:tabs>
            <w:rPr/>
          </w:pPr>
          <w:hyperlink w:anchor="__RefHeading___Toc375547_1067777946">
            <w:r>
              <w:rPr>
                <w:webHidden/>
                <w:rStyle w:val="IndexLink"/>
              </w:rPr>
              <w:t>4</w:t>
            </w:r>
            <w:r>
              <w:rPr>
                <w:rStyle w:val="IndexLink"/>
                <w:rtl w:val="true"/>
              </w:rPr>
              <w:t xml:space="preserve"> – </w:t>
            </w:r>
            <w:r>
              <w:rPr>
                <w:rStyle w:val="IndexLink"/>
                <w:rtl w:val="true"/>
              </w:rPr>
              <w:t>التقصير</w:t>
            </w:r>
            <w:r>
              <w:rPr>
                <w:rStyle w:val="IndexLink"/>
                <w:rtl w:val="true"/>
              </w:rPr>
              <w:tab/>
            </w:r>
            <w:r>
              <w:rPr>
                <w:rStyle w:val="IndexLink"/>
              </w:rPr>
              <w:t>373</w:t>
            </w:r>
          </w:hyperlink>
        </w:p>
        <w:p>
          <w:pPr>
            <w:pStyle w:val="Contents4"/>
            <w:tabs>
              <w:tab w:val="clear" w:pos="8176"/>
              <w:tab w:val="right" w:pos="9026" w:leader="dot"/>
            </w:tabs>
            <w:rPr/>
          </w:pPr>
          <w:hyperlink w:anchor="__RefHeading___Toc375549_1067777946">
            <w:r>
              <w:rPr>
                <w:webHidden/>
                <w:rStyle w:val="IndexLink"/>
                <w:rtl w:val="true"/>
              </w:rPr>
              <w:t>المقالة الثانية فى أفعال الحجّ</w:t>
            </w:r>
            <w:r>
              <w:rPr>
                <w:rStyle w:val="IndexLink"/>
                <w:rtl w:val="true"/>
              </w:rPr>
              <w:tab/>
            </w:r>
            <w:r>
              <w:rPr>
                <w:rStyle w:val="IndexLink"/>
              </w:rPr>
              <w:t>374</w:t>
            </w:r>
          </w:hyperlink>
        </w:p>
        <w:p>
          <w:pPr>
            <w:pStyle w:val="Contents5"/>
            <w:tabs>
              <w:tab w:val="clear" w:pos="7892"/>
              <w:tab w:val="right" w:pos="9026" w:leader="dot"/>
            </w:tabs>
            <w:rPr/>
          </w:pPr>
          <w:hyperlink w:anchor="__RefHeading___Toc375551_1067777946">
            <w:r>
              <w:rPr>
                <w:webHidden/>
                <w:rStyle w:val="IndexLink"/>
                <w:rtl w:val="true"/>
              </w:rPr>
              <w:t>إشارة</w:t>
            </w:r>
            <w:r>
              <w:rPr>
                <w:rStyle w:val="IndexLink"/>
                <w:rtl w:val="true"/>
              </w:rPr>
              <w:t>:</w:t>
              <w:tab/>
            </w:r>
            <w:r>
              <w:rPr>
                <w:rStyle w:val="IndexLink"/>
              </w:rPr>
              <w:t>374</w:t>
            </w:r>
          </w:hyperlink>
        </w:p>
        <w:p>
          <w:pPr>
            <w:pStyle w:val="Contents5"/>
            <w:tabs>
              <w:tab w:val="clear" w:pos="7892"/>
              <w:tab w:val="right" w:pos="9026" w:leader="dot"/>
            </w:tabs>
            <w:rPr/>
          </w:pPr>
          <w:hyperlink w:anchor="__RefHeading___Toc375553_1067777946">
            <w:r>
              <w:rPr>
                <w:webHidden/>
                <w:rStyle w:val="IndexLink"/>
              </w:rPr>
              <w:t>1</w:t>
            </w:r>
            <w:r>
              <w:rPr>
                <w:rStyle w:val="IndexLink"/>
                <w:rtl w:val="true"/>
              </w:rPr>
              <w:t xml:space="preserve"> – </w:t>
            </w:r>
            <w:r>
              <w:rPr>
                <w:rStyle w:val="IndexLink"/>
                <w:rtl w:val="true"/>
              </w:rPr>
              <w:t>الإحرام</w:t>
            </w:r>
            <w:r>
              <w:rPr>
                <w:rStyle w:val="IndexLink"/>
                <w:rtl w:val="true"/>
              </w:rPr>
              <w:tab/>
            </w:r>
            <w:r>
              <w:rPr>
                <w:rStyle w:val="IndexLink"/>
              </w:rPr>
              <w:t>374</w:t>
            </w:r>
          </w:hyperlink>
        </w:p>
        <w:p>
          <w:pPr>
            <w:pStyle w:val="Contents5"/>
            <w:tabs>
              <w:tab w:val="clear" w:pos="7892"/>
              <w:tab w:val="right" w:pos="9026" w:leader="dot"/>
            </w:tabs>
            <w:rPr/>
          </w:pPr>
          <w:hyperlink w:anchor="__RefHeading___Toc375555_1067777946">
            <w:r>
              <w:rPr>
                <w:webHidden/>
                <w:rStyle w:val="IndexLink"/>
              </w:rPr>
              <w:t>2</w:t>
            </w:r>
            <w:r>
              <w:rPr>
                <w:rStyle w:val="IndexLink"/>
                <w:rtl w:val="true"/>
              </w:rPr>
              <w:t xml:space="preserve"> - </w:t>
            </w:r>
            <w:r>
              <w:rPr>
                <w:rStyle w:val="IndexLink"/>
                <w:rtl w:val="true"/>
              </w:rPr>
              <w:t>الوقوف بعرفة</w:t>
            </w:r>
            <w:r>
              <w:rPr>
                <w:rStyle w:val="IndexLink"/>
                <w:rtl w:val="true"/>
              </w:rPr>
              <w:tab/>
            </w:r>
            <w:r>
              <w:rPr>
                <w:rStyle w:val="IndexLink"/>
              </w:rPr>
              <w:t>375</w:t>
            </w:r>
          </w:hyperlink>
        </w:p>
        <w:p>
          <w:pPr>
            <w:pStyle w:val="Contents5"/>
            <w:tabs>
              <w:tab w:val="clear" w:pos="7892"/>
              <w:tab w:val="right" w:pos="9026" w:leader="dot"/>
            </w:tabs>
            <w:rPr/>
          </w:pPr>
          <w:hyperlink w:anchor="__RefHeading___Toc375557_1067777946">
            <w:r>
              <w:rPr>
                <w:webHidden/>
                <w:rStyle w:val="IndexLink"/>
              </w:rPr>
              <w:t>3</w:t>
            </w:r>
            <w:r>
              <w:rPr>
                <w:rStyle w:val="IndexLink"/>
                <w:rtl w:val="true"/>
              </w:rPr>
              <w:t xml:space="preserve"> - </w:t>
            </w:r>
            <w:r>
              <w:rPr>
                <w:rStyle w:val="IndexLink"/>
                <w:rtl w:val="true"/>
              </w:rPr>
              <w:t>الوقوف بالمشعر الحرام</w:t>
            </w:r>
            <w:r>
              <w:rPr>
                <w:rStyle w:val="IndexLink"/>
                <w:rtl w:val="true"/>
              </w:rPr>
              <w:tab/>
            </w:r>
            <w:r>
              <w:rPr>
                <w:rStyle w:val="IndexLink"/>
              </w:rPr>
              <w:t>376</w:t>
            </w:r>
          </w:hyperlink>
        </w:p>
        <w:p>
          <w:pPr>
            <w:pStyle w:val="Contents5"/>
            <w:tabs>
              <w:tab w:val="clear" w:pos="7892"/>
              <w:tab w:val="right" w:pos="9026" w:leader="dot"/>
            </w:tabs>
            <w:rPr/>
          </w:pPr>
          <w:hyperlink w:anchor="__RefHeading___Toc375559_1067777946">
            <w:r>
              <w:rPr>
                <w:webHidden/>
                <w:rStyle w:val="IndexLink"/>
              </w:rPr>
              <w:t>4</w:t>
            </w:r>
            <w:r>
              <w:rPr>
                <w:rStyle w:val="IndexLink"/>
                <w:rtl w:val="true"/>
              </w:rPr>
              <w:t xml:space="preserve"> - </w:t>
            </w:r>
            <w:r>
              <w:rPr>
                <w:rStyle w:val="IndexLink"/>
                <w:rtl w:val="true"/>
              </w:rPr>
              <w:t>نزول منى يوم النحر</w:t>
            </w:r>
            <w:r>
              <w:rPr>
                <w:rStyle w:val="IndexLink"/>
                <w:rtl w:val="true"/>
              </w:rPr>
              <w:tab/>
            </w:r>
            <w:r>
              <w:rPr>
                <w:rStyle w:val="IndexLink"/>
              </w:rPr>
              <w:t>378</w:t>
            </w:r>
          </w:hyperlink>
        </w:p>
        <w:p>
          <w:pPr>
            <w:pStyle w:val="Contents5"/>
            <w:tabs>
              <w:tab w:val="clear" w:pos="7892"/>
              <w:tab w:val="right" w:pos="9026" w:leader="dot"/>
            </w:tabs>
            <w:rPr/>
          </w:pPr>
          <w:hyperlink w:anchor="__RefHeading___Toc375561_1067777946">
            <w:r>
              <w:rPr>
                <w:webHidden/>
                <w:rStyle w:val="IndexLink"/>
              </w:rPr>
              <w:t>5</w:t>
            </w:r>
            <w:r>
              <w:rPr>
                <w:rStyle w:val="IndexLink"/>
                <w:rtl w:val="true"/>
              </w:rPr>
              <w:t xml:space="preserve"> - </w:t>
            </w:r>
            <w:r>
              <w:rPr>
                <w:rStyle w:val="IndexLink"/>
                <w:rtl w:val="true"/>
              </w:rPr>
              <w:t>العود إلى مكّة للطوافين والسعي</w:t>
            </w:r>
            <w:r>
              <w:rPr>
                <w:rStyle w:val="IndexLink"/>
                <w:rtl w:val="true"/>
              </w:rPr>
              <w:tab/>
            </w:r>
            <w:r>
              <w:rPr>
                <w:rStyle w:val="IndexLink"/>
              </w:rPr>
              <w:t>381</w:t>
            </w:r>
          </w:hyperlink>
        </w:p>
        <w:p>
          <w:pPr>
            <w:pStyle w:val="Contents5"/>
            <w:tabs>
              <w:tab w:val="clear" w:pos="7892"/>
              <w:tab w:val="right" w:pos="9026" w:leader="dot"/>
            </w:tabs>
            <w:rPr/>
          </w:pPr>
          <w:hyperlink w:anchor="__RefHeading___Toc375563_1067777946">
            <w:r>
              <w:rPr>
                <w:webHidden/>
                <w:rStyle w:val="IndexLink"/>
              </w:rPr>
              <w:t>6</w:t>
            </w:r>
            <w:r>
              <w:rPr>
                <w:rStyle w:val="IndexLink"/>
                <w:rtl w:val="true"/>
              </w:rPr>
              <w:t xml:space="preserve"> - </w:t>
            </w:r>
            <w:r>
              <w:rPr>
                <w:rStyle w:val="IndexLink"/>
                <w:rtl w:val="true"/>
              </w:rPr>
              <w:t>العود إلى منى للمبيت بها</w:t>
            </w:r>
            <w:r>
              <w:rPr>
                <w:rStyle w:val="IndexLink"/>
                <w:rtl w:val="true"/>
              </w:rPr>
              <w:tab/>
            </w:r>
            <w:r>
              <w:rPr>
                <w:rStyle w:val="IndexLink"/>
              </w:rPr>
              <w:t>381</w:t>
            </w:r>
          </w:hyperlink>
        </w:p>
        <w:p>
          <w:pPr>
            <w:pStyle w:val="Contents4"/>
            <w:tabs>
              <w:tab w:val="clear" w:pos="8176"/>
              <w:tab w:val="right" w:pos="9026" w:leader="dot"/>
            </w:tabs>
            <w:rPr/>
          </w:pPr>
          <w:hyperlink w:anchor="__RefHeading___Toc375565_1067777946">
            <w:r>
              <w:rPr>
                <w:webHidden/>
                <w:rStyle w:val="IndexLink"/>
                <w:rtl w:val="true"/>
              </w:rPr>
              <w:t>من وظائف الحجّ القلبيّة</w:t>
            </w:r>
            <w:r>
              <w:rPr>
                <w:rStyle w:val="IndexLink"/>
                <w:rtl w:val="true"/>
              </w:rPr>
              <w:tab/>
            </w:r>
            <w:r>
              <w:rPr>
                <w:rStyle w:val="IndexLink"/>
              </w:rPr>
              <w:t>385</w:t>
            </w:r>
          </w:hyperlink>
        </w:p>
        <w:p>
          <w:pPr>
            <w:pStyle w:val="Contents2"/>
            <w:tabs>
              <w:tab w:val="clear" w:pos="8743"/>
              <w:tab w:val="right" w:pos="9026" w:leader="dot"/>
            </w:tabs>
            <w:rPr/>
          </w:pPr>
          <w:hyperlink w:anchor="__RefHeading___Toc375567_1067777946">
            <w:r>
              <w:rPr>
                <w:webHidden/>
                <w:rStyle w:val="IndexLink"/>
                <w:rtl w:val="true"/>
              </w:rPr>
              <w:t>القسم الخامس</w:t>
            </w:r>
            <w:r>
              <w:rPr>
                <w:rStyle w:val="IndexLink"/>
                <w:rtl w:val="true"/>
              </w:rPr>
              <w:t xml:space="preserve">: </w:t>
            </w:r>
            <w:r>
              <w:rPr>
                <w:rStyle w:val="IndexLink"/>
                <w:rtl w:val="true"/>
              </w:rPr>
              <w:t>الطلاق</w:t>
            </w:r>
            <w:r>
              <w:rPr>
                <w:rStyle w:val="IndexLink"/>
                <w:rtl w:val="true"/>
              </w:rPr>
              <w:tab/>
            </w:r>
            <w:r>
              <w:rPr>
                <w:rStyle w:val="IndexLink"/>
              </w:rPr>
              <w:t>396</w:t>
            </w:r>
          </w:hyperlink>
        </w:p>
        <w:p>
          <w:pPr>
            <w:pStyle w:val="Contents3"/>
            <w:tabs>
              <w:tab w:val="clear" w:pos="8459"/>
              <w:tab w:val="right" w:pos="9026" w:leader="dot"/>
            </w:tabs>
            <w:rPr/>
          </w:pPr>
          <w:hyperlink w:anchor="__RefHeading___Toc375569_1067777946">
            <w:r>
              <w:rPr>
                <w:webHidden/>
                <w:rStyle w:val="IndexLink"/>
                <w:rtl w:val="true"/>
              </w:rPr>
              <w:t>إشارة</w:t>
            </w:r>
            <w:r>
              <w:rPr>
                <w:rStyle w:val="IndexLink"/>
                <w:rtl w:val="true"/>
              </w:rPr>
              <w:t>:</w:t>
              <w:tab/>
            </w:r>
            <w:r>
              <w:rPr>
                <w:rStyle w:val="IndexLink"/>
              </w:rPr>
              <w:t>396</w:t>
            </w:r>
          </w:hyperlink>
        </w:p>
        <w:p>
          <w:pPr>
            <w:pStyle w:val="Contents3"/>
            <w:tabs>
              <w:tab w:val="clear" w:pos="8459"/>
              <w:tab w:val="right" w:pos="9026" w:leader="dot"/>
            </w:tabs>
            <w:rPr/>
          </w:pPr>
          <w:hyperlink w:anchor="__RefHeading___Toc375571_1067777946">
            <w:r>
              <w:rPr>
                <w:webHidden/>
                <w:rStyle w:val="IndexLink"/>
              </w:rPr>
              <w:t>21</w:t>
            </w:r>
            <w:r>
              <w:rPr>
                <w:rStyle w:val="IndexLink"/>
                <w:rtl w:val="true"/>
              </w:rPr>
              <w:t xml:space="preserve">. </w:t>
            </w:r>
            <w:r>
              <w:rPr>
                <w:rStyle w:val="IndexLink"/>
                <w:rtl w:val="true"/>
              </w:rPr>
              <w:t>طلاق الغائب</w:t>
            </w:r>
            <w:r>
              <w:rPr>
                <w:rStyle w:val="IndexLink"/>
                <w:rtl w:val="true"/>
              </w:rPr>
              <w:tab/>
            </w:r>
            <w:r>
              <w:rPr>
                <w:rStyle w:val="IndexLink"/>
              </w:rPr>
              <w:t>398</w:t>
            </w:r>
          </w:hyperlink>
        </w:p>
        <w:p>
          <w:pPr>
            <w:pStyle w:val="Contents4"/>
            <w:tabs>
              <w:tab w:val="clear" w:pos="8176"/>
              <w:tab w:val="right" w:pos="9026" w:leader="dot"/>
            </w:tabs>
            <w:rPr/>
          </w:pPr>
          <w:hyperlink w:anchor="__RefHeading___Toc375573_1067777946">
            <w:r>
              <w:rPr>
                <w:webHidden/>
                <w:rStyle w:val="IndexLink"/>
                <w:rtl w:val="true"/>
              </w:rPr>
              <w:t>إشارة</w:t>
            </w:r>
            <w:r>
              <w:rPr>
                <w:rStyle w:val="IndexLink"/>
                <w:rtl w:val="true"/>
              </w:rPr>
              <w:t>:</w:t>
              <w:tab/>
            </w:r>
            <w:r>
              <w:rPr>
                <w:rStyle w:val="IndexLink"/>
              </w:rPr>
              <w:t>398</w:t>
            </w:r>
          </w:hyperlink>
        </w:p>
        <w:p>
          <w:pPr>
            <w:pStyle w:val="Contents4"/>
            <w:tabs>
              <w:tab w:val="clear" w:pos="8176"/>
              <w:tab w:val="right" w:pos="9026" w:leader="dot"/>
            </w:tabs>
            <w:rPr/>
          </w:pPr>
          <w:hyperlink w:anchor="__RefHeading___Toc375575_1067777946">
            <w:r>
              <w:rPr>
                <w:webHidden/>
                <w:rStyle w:val="IndexLink"/>
                <w:rtl w:val="true"/>
              </w:rPr>
              <w:t>اختلاف الأصحاب في طلاق الغائب</w:t>
            </w:r>
            <w:r>
              <w:rPr>
                <w:rStyle w:val="IndexLink"/>
                <w:rtl w:val="true"/>
              </w:rPr>
              <w:tab/>
            </w:r>
            <w:r>
              <w:rPr>
                <w:rStyle w:val="IndexLink"/>
              </w:rPr>
              <w:t>400</w:t>
            </w:r>
          </w:hyperlink>
        </w:p>
        <w:p>
          <w:pPr>
            <w:pStyle w:val="Contents4"/>
            <w:tabs>
              <w:tab w:val="clear" w:pos="8176"/>
              <w:tab w:val="right" w:pos="9026" w:leader="dot"/>
            </w:tabs>
            <w:rPr/>
          </w:pPr>
          <w:hyperlink w:anchor="__RefHeading___Toc375577_1067777946">
            <w:r>
              <w:rPr>
                <w:webHidden/>
                <w:rStyle w:val="IndexLink"/>
                <w:rtl w:val="true"/>
              </w:rPr>
              <w:t>منشأ اختلافهم الأخبار الواردة</w:t>
            </w:r>
            <w:r>
              <w:rPr>
                <w:rStyle w:val="IndexLink"/>
                <w:rtl w:val="true"/>
              </w:rPr>
              <w:tab/>
            </w:r>
            <w:r>
              <w:rPr>
                <w:rStyle w:val="IndexLink"/>
              </w:rPr>
              <w:t>401</w:t>
            </w:r>
          </w:hyperlink>
        </w:p>
        <w:p>
          <w:pPr>
            <w:pStyle w:val="Contents4"/>
            <w:tabs>
              <w:tab w:val="clear" w:pos="8176"/>
              <w:tab w:val="right" w:pos="9026" w:leader="dot"/>
            </w:tabs>
            <w:rPr/>
          </w:pPr>
          <w:hyperlink w:anchor="__RefHeading___Toc375579_1067777946">
            <w:r>
              <w:rPr>
                <w:webHidden/>
                <w:rStyle w:val="IndexLink"/>
                <w:rtl w:val="true"/>
              </w:rPr>
              <w:t>جمع الشيخ والمتأخّرين بين الأخبار</w:t>
            </w:r>
            <w:r>
              <w:rPr>
                <w:rStyle w:val="IndexLink"/>
                <w:rtl w:val="true"/>
              </w:rPr>
              <w:tab/>
            </w:r>
            <w:r>
              <w:rPr>
                <w:rStyle w:val="IndexLink"/>
              </w:rPr>
              <w:t>405</w:t>
            </w:r>
          </w:hyperlink>
        </w:p>
        <w:p>
          <w:pPr>
            <w:pStyle w:val="Contents4"/>
            <w:tabs>
              <w:tab w:val="clear" w:pos="8176"/>
              <w:tab w:val="right" w:pos="9026" w:leader="dot"/>
            </w:tabs>
            <w:rPr/>
          </w:pPr>
          <w:hyperlink w:anchor="__RefHeading___Toc375581_1067777946">
            <w:r>
              <w:rPr>
                <w:webHidden/>
                <w:rStyle w:val="IndexLink"/>
                <w:rtl w:val="true"/>
              </w:rPr>
              <w:t>قولان منشؤهما القواعد الشرعيّة</w:t>
            </w:r>
            <w:r>
              <w:rPr>
                <w:rStyle w:val="IndexLink"/>
                <w:rtl w:val="true"/>
              </w:rPr>
              <w:tab/>
            </w:r>
            <w:r>
              <w:rPr>
                <w:rStyle w:val="IndexLink"/>
              </w:rPr>
              <w:t>407</w:t>
            </w:r>
          </w:hyperlink>
        </w:p>
        <w:p>
          <w:pPr>
            <w:pStyle w:val="Contents4"/>
            <w:tabs>
              <w:tab w:val="clear" w:pos="8176"/>
              <w:tab w:val="right" w:pos="9026" w:leader="dot"/>
            </w:tabs>
            <w:rPr/>
          </w:pPr>
          <w:hyperlink w:anchor="__RefHeading___Toc375583_1067777946">
            <w:r>
              <w:rPr>
                <w:webHidden/>
                <w:rStyle w:val="IndexLink"/>
                <w:rtl w:val="true"/>
              </w:rPr>
              <w:t>ثمان صور متشعبة من هذه المسألة</w:t>
            </w:r>
            <w:r>
              <w:rPr>
                <w:rStyle w:val="IndexLink"/>
                <w:rtl w:val="true"/>
              </w:rPr>
              <w:tab/>
            </w:r>
            <w:r>
              <w:rPr>
                <w:rStyle w:val="IndexLink"/>
              </w:rPr>
              <w:t>409</w:t>
            </w:r>
          </w:hyperlink>
        </w:p>
        <w:p>
          <w:pPr>
            <w:pStyle w:val="Contents5"/>
            <w:tabs>
              <w:tab w:val="clear" w:pos="7892"/>
              <w:tab w:val="right" w:pos="9026" w:leader="dot"/>
            </w:tabs>
            <w:rPr/>
          </w:pPr>
          <w:hyperlink w:anchor="__RefHeading___Toc375585_1067777946">
            <w:r>
              <w:rPr>
                <w:webHidden/>
                <w:rStyle w:val="IndexLink"/>
              </w:rPr>
              <w:t>1</w:t>
            </w:r>
            <w:r>
              <w:rPr>
                <w:rStyle w:val="IndexLink"/>
                <w:rtl w:val="true"/>
              </w:rPr>
              <w:t xml:space="preserve"> - </w:t>
            </w:r>
            <w:r>
              <w:rPr>
                <w:rStyle w:val="IndexLink"/>
                <w:rtl w:val="true"/>
              </w:rPr>
              <w:t>أن يطلقها مراعياً للمدّة المعتبرة</w:t>
            </w:r>
            <w:r>
              <w:rPr>
                <w:rStyle w:val="IndexLink"/>
                <w:rtl w:val="true"/>
              </w:rPr>
              <w:tab/>
            </w:r>
            <w:r>
              <w:rPr>
                <w:rStyle w:val="IndexLink"/>
              </w:rPr>
              <w:t>409</w:t>
            </w:r>
          </w:hyperlink>
        </w:p>
        <w:p>
          <w:pPr>
            <w:pStyle w:val="Contents5"/>
            <w:tabs>
              <w:tab w:val="clear" w:pos="7892"/>
              <w:tab w:val="right" w:pos="9026" w:leader="dot"/>
            </w:tabs>
            <w:rPr/>
          </w:pPr>
          <w:hyperlink w:anchor="__RefHeading___Toc375587_1067777946">
            <w:r>
              <w:rPr>
                <w:webHidden/>
                <w:rStyle w:val="IndexLink"/>
              </w:rPr>
              <w:t>2</w:t>
            </w:r>
            <w:r>
              <w:rPr>
                <w:rStyle w:val="IndexLink"/>
                <w:rtl w:val="true"/>
              </w:rPr>
              <w:t xml:space="preserve"> - </w:t>
            </w:r>
            <w:r>
              <w:rPr>
                <w:rStyle w:val="IndexLink"/>
                <w:rtl w:val="true"/>
              </w:rPr>
              <w:t>أن يطلقها كذلك ولكن ظهر بعد ذلك كونها حائضاً</w:t>
            </w:r>
            <w:r>
              <w:rPr>
                <w:rStyle w:val="IndexLink"/>
                <w:rtl w:val="true"/>
              </w:rPr>
              <w:tab/>
            </w:r>
            <w:r>
              <w:rPr>
                <w:rStyle w:val="IndexLink"/>
              </w:rPr>
              <w:t>409</w:t>
            </w:r>
          </w:hyperlink>
        </w:p>
        <w:p>
          <w:pPr>
            <w:pStyle w:val="Contents5"/>
            <w:tabs>
              <w:tab w:val="clear" w:pos="7892"/>
              <w:tab w:val="right" w:pos="9026" w:leader="dot"/>
            </w:tabs>
            <w:rPr/>
          </w:pPr>
          <w:hyperlink w:anchor="__RefHeading___Toc375589_1067777946">
            <w:r>
              <w:rPr>
                <w:webHidden/>
                <w:rStyle w:val="IndexLink"/>
              </w:rPr>
              <w:t>3</w:t>
            </w:r>
            <w:r>
              <w:rPr>
                <w:rStyle w:val="IndexLink"/>
                <w:rtl w:val="true"/>
              </w:rPr>
              <w:t xml:space="preserve"> - </w:t>
            </w:r>
            <w:r>
              <w:rPr>
                <w:rStyle w:val="IndexLink"/>
                <w:rtl w:val="true"/>
              </w:rPr>
              <w:t>الصورة السابقة مع أنه طلّق بعد المدّة المعتبرة</w:t>
            </w:r>
            <w:r>
              <w:rPr>
                <w:rStyle w:val="IndexLink"/>
                <w:rtl w:val="true"/>
              </w:rPr>
              <w:tab/>
            </w:r>
            <w:r>
              <w:rPr>
                <w:rStyle w:val="IndexLink"/>
              </w:rPr>
              <w:t>409</w:t>
            </w:r>
          </w:hyperlink>
        </w:p>
        <w:p>
          <w:pPr>
            <w:pStyle w:val="Contents5"/>
            <w:tabs>
              <w:tab w:val="clear" w:pos="7892"/>
              <w:tab w:val="right" w:pos="9026" w:leader="dot"/>
            </w:tabs>
            <w:rPr/>
          </w:pPr>
          <w:hyperlink w:anchor="__RefHeading___Toc375591_1067777946">
            <w:r>
              <w:rPr>
                <w:webHidden/>
                <w:rStyle w:val="IndexLink"/>
              </w:rPr>
              <w:t>4</w:t>
            </w:r>
            <w:r>
              <w:rPr>
                <w:rStyle w:val="IndexLink"/>
                <w:rtl w:val="true"/>
              </w:rPr>
              <w:t xml:space="preserve"> - </w:t>
            </w:r>
            <w:r>
              <w:rPr>
                <w:rStyle w:val="IndexLink"/>
                <w:rtl w:val="true"/>
              </w:rPr>
              <w:t>الصورة بحالها لكن اتّفق له مخبر بأنها حائّض</w:t>
            </w:r>
            <w:r>
              <w:rPr>
                <w:rStyle w:val="IndexLink"/>
                <w:rtl w:val="true"/>
              </w:rPr>
              <w:tab/>
            </w:r>
            <w:r>
              <w:rPr>
                <w:rStyle w:val="IndexLink"/>
              </w:rPr>
              <w:t>411</w:t>
            </w:r>
          </w:hyperlink>
        </w:p>
        <w:p>
          <w:pPr>
            <w:pStyle w:val="Contents5"/>
            <w:tabs>
              <w:tab w:val="clear" w:pos="7892"/>
              <w:tab w:val="right" w:pos="9026" w:leader="dot"/>
            </w:tabs>
            <w:rPr/>
          </w:pPr>
          <w:hyperlink w:anchor="__RefHeading___Toc375593_1067777946">
            <w:r>
              <w:rPr>
                <w:webHidden/>
                <w:rStyle w:val="IndexLink"/>
              </w:rPr>
              <w:t>5</w:t>
            </w:r>
            <w:r>
              <w:rPr>
                <w:rStyle w:val="IndexLink"/>
                <w:rtl w:val="true"/>
              </w:rPr>
              <w:t xml:space="preserve"> - </w:t>
            </w:r>
            <w:r>
              <w:rPr>
                <w:rStyle w:val="IndexLink"/>
                <w:rtl w:val="true"/>
              </w:rPr>
              <w:t>الصورة بحالها لكن المخبر أخبر بكونها طاهراً وقد واقعها في ذلك الطهر</w:t>
            </w:r>
            <w:r>
              <w:rPr>
                <w:rStyle w:val="IndexLink"/>
                <w:rtl w:val="true"/>
              </w:rPr>
              <w:tab/>
            </w:r>
            <w:r>
              <w:rPr>
                <w:rStyle w:val="IndexLink"/>
              </w:rPr>
              <w:t>413</w:t>
            </w:r>
          </w:hyperlink>
        </w:p>
        <w:p>
          <w:pPr>
            <w:pStyle w:val="Contents5"/>
            <w:tabs>
              <w:tab w:val="clear" w:pos="7892"/>
              <w:tab w:val="right" w:pos="9026" w:leader="dot"/>
            </w:tabs>
            <w:rPr/>
          </w:pPr>
          <w:hyperlink w:anchor="__RefHeading___Toc375595_1067777946">
            <w:r>
              <w:rPr>
                <w:webHidden/>
                <w:rStyle w:val="IndexLink"/>
              </w:rPr>
              <w:t>6</w:t>
            </w:r>
            <w:r>
              <w:rPr>
                <w:rStyle w:val="IndexLink"/>
                <w:rtl w:val="true"/>
              </w:rPr>
              <w:t xml:space="preserve"> - </w:t>
            </w:r>
            <w:r>
              <w:rPr>
                <w:rStyle w:val="IndexLink"/>
                <w:rtl w:val="true"/>
              </w:rPr>
              <w:t>أن يطلقها مراعياً للمدة المعتبرة</w:t>
            </w:r>
            <w:r>
              <w:rPr>
                <w:rStyle w:val="IndexLink"/>
                <w:rtl w:val="true"/>
              </w:rPr>
              <w:tab/>
            </w:r>
            <w:r>
              <w:rPr>
                <w:rStyle w:val="IndexLink"/>
              </w:rPr>
              <w:t>415</w:t>
            </w:r>
          </w:hyperlink>
        </w:p>
        <w:p>
          <w:pPr>
            <w:pStyle w:val="Contents5"/>
            <w:tabs>
              <w:tab w:val="clear" w:pos="7892"/>
              <w:tab w:val="right" w:pos="9026" w:leader="dot"/>
            </w:tabs>
            <w:rPr/>
          </w:pPr>
          <w:hyperlink w:anchor="__RefHeading___Toc375597_1067777946">
            <w:r>
              <w:rPr>
                <w:webHidden/>
                <w:rStyle w:val="IndexLink"/>
              </w:rPr>
              <w:t>7</w:t>
            </w:r>
            <w:r>
              <w:rPr>
                <w:rStyle w:val="IndexLink"/>
                <w:rtl w:val="true"/>
              </w:rPr>
              <w:t xml:space="preserve"> - </w:t>
            </w:r>
            <w:r>
              <w:rPr>
                <w:rStyle w:val="IndexLink"/>
                <w:rtl w:val="true"/>
              </w:rPr>
              <w:t>أن يطلقها قبل مضيّ المدّة المذكورة</w:t>
            </w:r>
            <w:r>
              <w:rPr>
                <w:rStyle w:val="IndexLink"/>
                <w:rtl w:val="true"/>
              </w:rPr>
              <w:tab/>
            </w:r>
            <w:r>
              <w:rPr>
                <w:rStyle w:val="IndexLink"/>
              </w:rPr>
              <w:t>416</w:t>
            </w:r>
          </w:hyperlink>
        </w:p>
        <w:p>
          <w:pPr>
            <w:pStyle w:val="Contents5"/>
            <w:tabs>
              <w:tab w:val="clear" w:pos="7892"/>
              <w:tab w:val="right" w:pos="9026" w:leader="dot"/>
            </w:tabs>
            <w:rPr/>
          </w:pPr>
          <w:hyperlink w:anchor="__RefHeading___Toc375599_1067777946">
            <w:r>
              <w:rPr>
                <w:webHidden/>
                <w:rStyle w:val="IndexLink"/>
              </w:rPr>
              <w:t>8</w:t>
            </w:r>
            <w:r>
              <w:rPr>
                <w:rStyle w:val="IndexLink"/>
                <w:rtl w:val="true"/>
              </w:rPr>
              <w:t xml:space="preserve">- </w:t>
            </w:r>
            <w:r>
              <w:rPr>
                <w:rStyle w:val="IndexLink"/>
                <w:rtl w:val="true"/>
              </w:rPr>
              <w:t>أن يطلق قبل الاستبراء</w:t>
            </w:r>
            <w:r>
              <w:rPr>
                <w:rStyle w:val="IndexLink"/>
                <w:rtl w:val="true"/>
              </w:rPr>
              <w:tab/>
            </w:r>
            <w:r>
              <w:rPr>
                <w:rStyle w:val="IndexLink"/>
              </w:rPr>
              <w:t>417</w:t>
            </w:r>
          </w:hyperlink>
        </w:p>
        <w:p>
          <w:pPr>
            <w:pStyle w:val="Contents4"/>
            <w:tabs>
              <w:tab w:val="clear" w:pos="8176"/>
              <w:tab w:val="right" w:pos="9026" w:leader="dot"/>
            </w:tabs>
            <w:rPr/>
          </w:pPr>
          <w:hyperlink w:anchor="__RefHeading___Toc375601_1067777946">
            <w:r>
              <w:rPr>
                <w:webHidden/>
                <w:rStyle w:val="IndexLink"/>
                <w:rtl w:val="true"/>
              </w:rPr>
              <w:t>الصور السابقة ليست مذكورة صريحاً في كتب الأصحاب</w:t>
            </w:r>
            <w:r>
              <w:rPr>
                <w:rStyle w:val="IndexLink"/>
                <w:rtl w:val="true"/>
              </w:rPr>
              <w:tab/>
            </w:r>
            <w:r>
              <w:rPr>
                <w:rStyle w:val="IndexLink"/>
              </w:rPr>
              <w:t>418</w:t>
            </w:r>
          </w:hyperlink>
        </w:p>
        <w:p>
          <w:pPr>
            <w:pStyle w:val="Contents4"/>
            <w:tabs>
              <w:tab w:val="clear" w:pos="8176"/>
              <w:tab w:val="right" w:pos="9026" w:leader="dot"/>
            </w:tabs>
            <w:rPr/>
          </w:pPr>
          <w:hyperlink w:anchor="__RefHeading___Toc375603_1067777946">
            <w:r>
              <w:rPr>
                <w:webHidden/>
                <w:rStyle w:val="IndexLink"/>
                <w:rtl w:val="true"/>
              </w:rPr>
              <w:t>نقد نقل المحقّق الكركي عن فخر الدين</w:t>
            </w:r>
            <w:r>
              <w:rPr>
                <w:rStyle w:val="IndexLink"/>
                <w:rtl w:val="true"/>
              </w:rPr>
              <w:tab/>
            </w:r>
            <w:r>
              <w:rPr>
                <w:rStyle w:val="IndexLink"/>
              </w:rPr>
              <w:t>420</w:t>
            </w:r>
          </w:hyperlink>
        </w:p>
        <w:p>
          <w:pPr>
            <w:pStyle w:val="Contents2"/>
            <w:tabs>
              <w:tab w:val="clear" w:pos="8743"/>
              <w:tab w:val="right" w:pos="9026" w:leader="dot"/>
            </w:tabs>
            <w:rPr/>
          </w:pPr>
          <w:hyperlink w:anchor="__RefHeading___Toc375605_1067777946">
            <w:r>
              <w:rPr>
                <w:webHidden/>
                <w:rStyle w:val="IndexLink"/>
                <w:rtl w:val="true"/>
              </w:rPr>
              <w:t>القسم السادس</w:t>
            </w:r>
            <w:r>
              <w:rPr>
                <w:rStyle w:val="IndexLink"/>
                <w:rtl w:val="true"/>
              </w:rPr>
              <w:t xml:space="preserve">: </w:t>
            </w:r>
            <w:r>
              <w:rPr>
                <w:rStyle w:val="IndexLink"/>
                <w:rtl w:val="true"/>
              </w:rPr>
              <w:t>الميراث</w:t>
            </w:r>
            <w:r>
              <w:rPr>
                <w:rStyle w:val="IndexLink"/>
                <w:rtl w:val="true"/>
              </w:rPr>
              <w:tab/>
            </w:r>
            <w:r>
              <w:rPr>
                <w:rStyle w:val="IndexLink"/>
              </w:rPr>
              <w:t>430</w:t>
            </w:r>
          </w:hyperlink>
        </w:p>
        <w:p>
          <w:pPr>
            <w:pStyle w:val="Contents3"/>
            <w:tabs>
              <w:tab w:val="clear" w:pos="8459"/>
              <w:tab w:val="right" w:pos="9026" w:leader="dot"/>
            </w:tabs>
            <w:rPr/>
          </w:pPr>
          <w:hyperlink w:anchor="__RefHeading___Toc375607_1067777946">
            <w:r>
              <w:rPr>
                <w:webHidden/>
                <w:rStyle w:val="IndexLink"/>
                <w:rtl w:val="true"/>
              </w:rPr>
              <w:t>إشارة</w:t>
            </w:r>
            <w:r>
              <w:rPr>
                <w:rStyle w:val="IndexLink"/>
                <w:rtl w:val="true"/>
              </w:rPr>
              <w:t>:</w:t>
              <w:tab/>
            </w:r>
            <w:r>
              <w:rPr>
                <w:rStyle w:val="IndexLink"/>
              </w:rPr>
              <w:t>430</w:t>
            </w:r>
          </w:hyperlink>
        </w:p>
        <w:p>
          <w:pPr>
            <w:pStyle w:val="Contents3"/>
            <w:tabs>
              <w:tab w:val="clear" w:pos="8459"/>
              <w:tab w:val="right" w:pos="9026" w:leader="dot"/>
            </w:tabs>
            <w:rPr/>
          </w:pPr>
          <w:hyperlink w:anchor="__RefHeading___Toc375609_1067777946">
            <w:r>
              <w:rPr>
                <w:webHidden/>
                <w:rStyle w:val="IndexLink"/>
              </w:rPr>
              <w:t>22</w:t>
            </w:r>
            <w:r>
              <w:rPr>
                <w:rStyle w:val="IndexLink"/>
                <w:rtl w:val="true"/>
              </w:rPr>
              <w:t xml:space="preserve">. </w:t>
            </w:r>
            <w:r>
              <w:rPr>
                <w:rStyle w:val="IndexLink"/>
                <w:rtl w:val="true"/>
              </w:rPr>
              <w:t>ميراث الزوجة</w:t>
            </w:r>
            <w:r>
              <w:rPr>
                <w:rStyle w:val="IndexLink"/>
                <w:rtl w:val="true"/>
              </w:rPr>
              <w:tab/>
            </w:r>
            <w:r>
              <w:rPr>
                <w:rStyle w:val="IndexLink"/>
              </w:rPr>
              <w:t>432</w:t>
            </w:r>
          </w:hyperlink>
        </w:p>
        <w:p>
          <w:pPr>
            <w:pStyle w:val="Contents4"/>
            <w:tabs>
              <w:tab w:val="clear" w:pos="8176"/>
              <w:tab w:val="right" w:pos="9026" w:leader="dot"/>
            </w:tabs>
            <w:rPr/>
          </w:pPr>
          <w:hyperlink w:anchor="__RefHeading___Toc375611_1067777946">
            <w:r>
              <w:rPr>
                <w:webHidden/>
                <w:rStyle w:val="IndexLink"/>
                <w:rtl w:val="true"/>
              </w:rPr>
              <w:t>إشارة</w:t>
            </w:r>
            <w:r>
              <w:rPr>
                <w:rStyle w:val="IndexLink"/>
                <w:rtl w:val="true"/>
              </w:rPr>
              <w:t>:</w:t>
              <w:tab/>
            </w:r>
            <w:r>
              <w:rPr>
                <w:rStyle w:val="IndexLink"/>
              </w:rPr>
              <w:t>432</w:t>
            </w:r>
          </w:hyperlink>
        </w:p>
        <w:p>
          <w:pPr>
            <w:pStyle w:val="Contents4"/>
            <w:tabs>
              <w:tab w:val="clear" w:pos="8176"/>
              <w:tab w:val="right" w:pos="9026" w:leader="dot"/>
            </w:tabs>
            <w:rPr/>
          </w:pPr>
          <w:hyperlink w:anchor="__RefHeading___Toc375613_1067777946">
            <w:r>
              <w:rPr>
                <w:webHidden/>
                <w:rStyle w:val="IndexLink"/>
                <w:rtl w:val="true"/>
              </w:rPr>
              <w:t xml:space="preserve">مخالفة مذهب 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للجمهور في مسألتين</w:t>
            </w:r>
            <w:r>
              <w:rPr>
                <w:rStyle w:val="IndexLink"/>
                <w:rtl w:val="true"/>
              </w:rPr>
              <w:tab/>
            </w:r>
            <w:r>
              <w:rPr>
                <w:rStyle w:val="IndexLink"/>
              </w:rPr>
              <w:t>434</w:t>
            </w:r>
          </w:hyperlink>
        </w:p>
        <w:p>
          <w:pPr>
            <w:pStyle w:val="Contents4"/>
            <w:tabs>
              <w:tab w:val="clear" w:pos="8176"/>
              <w:tab w:val="right" w:pos="9026" w:leader="dot"/>
            </w:tabs>
            <w:rPr/>
          </w:pPr>
          <w:hyperlink w:anchor="__RefHeading___Toc375615_1067777946">
            <w:r>
              <w:rPr>
                <w:webHidden/>
                <w:rStyle w:val="IndexLink"/>
                <w:rtl w:val="true"/>
              </w:rPr>
              <w:t>ما تحرم منه الزوجة من أعيان التركة والأقوال في ذلك</w:t>
            </w:r>
            <w:r>
              <w:rPr>
                <w:rStyle w:val="IndexLink"/>
                <w:rtl w:val="true"/>
              </w:rPr>
              <w:tab/>
            </w:r>
            <w:r>
              <w:rPr>
                <w:rStyle w:val="IndexLink"/>
              </w:rPr>
              <w:t>436</w:t>
            </w:r>
          </w:hyperlink>
        </w:p>
        <w:p>
          <w:pPr>
            <w:pStyle w:val="Contents4"/>
            <w:tabs>
              <w:tab w:val="clear" w:pos="8176"/>
              <w:tab w:val="right" w:pos="9026" w:leader="dot"/>
            </w:tabs>
            <w:rPr/>
          </w:pPr>
          <w:hyperlink w:anchor="__RefHeading___Toc375617_1067777946">
            <w:r>
              <w:rPr>
                <w:webHidden/>
                <w:rStyle w:val="IndexLink"/>
                <w:rtl w:val="true"/>
              </w:rPr>
              <w:t>أدلّة المشهور وهو حرمانها من نفس الأرض</w:t>
            </w:r>
            <w:r>
              <w:rPr>
                <w:rStyle w:val="IndexLink"/>
                <w:rtl w:val="true"/>
              </w:rPr>
              <w:tab/>
            </w:r>
            <w:r>
              <w:rPr>
                <w:rStyle w:val="IndexLink"/>
              </w:rPr>
              <w:t>437</w:t>
            </w:r>
          </w:hyperlink>
        </w:p>
        <w:p>
          <w:pPr>
            <w:pStyle w:val="Contents4"/>
            <w:tabs>
              <w:tab w:val="clear" w:pos="8176"/>
              <w:tab w:val="right" w:pos="9026" w:leader="dot"/>
            </w:tabs>
            <w:rPr/>
          </w:pPr>
          <w:hyperlink w:anchor="__RefHeading___Toc375619_1067777946">
            <w:r>
              <w:rPr>
                <w:webHidden/>
                <w:rStyle w:val="IndexLink"/>
                <w:rtl w:val="true"/>
              </w:rPr>
              <w:t>مناقشة هذه الأدلّة</w:t>
            </w:r>
            <w:r>
              <w:rPr>
                <w:rStyle w:val="IndexLink"/>
                <w:rtl w:val="true"/>
              </w:rPr>
              <w:tab/>
            </w:r>
            <w:r>
              <w:rPr>
                <w:rStyle w:val="IndexLink"/>
              </w:rPr>
              <w:t>438</w:t>
            </w:r>
          </w:hyperlink>
        </w:p>
        <w:p>
          <w:pPr>
            <w:pStyle w:val="Contents4"/>
            <w:tabs>
              <w:tab w:val="clear" w:pos="8176"/>
              <w:tab w:val="right" w:pos="9026" w:leader="dot"/>
            </w:tabs>
            <w:rPr/>
          </w:pPr>
          <w:hyperlink w:anchor="__RefHeading___Toc375621_1067777946">
            <w:r>
              <w:rPr>
                <w:webHidden/>
                <w:rStyle w:val="IndexLink"/>
                <w:rtl w:val="true"/>
              </w:rPr>
              <w:t>أدلّة القول الثاني</w:t>
            </w:r>
            <w:r>
              <w:rPr>
                <w:rStyle w:val="IndexLink"/>
                <w:rtl w:val="true"/>
              </w:rPr>
              <w:t xml:space="preserve">: </w:t>
            </w:r>
            <w:r>
              <w:rPr>
                <w:rStyle w:val="IndexLink"/>
                <w:rtl w:val="true"/>
              </w:rPr>
              <w:t>إرثها من كلّ شيء</w:t>
            </w:r>
            <w:r>
              <w:rPr>
                <w:rStyle w:val="IndexLink"/>
                <w:rtl w:val="true"/>
              </w:rPr>
              <w:tab/>
            </w:r>
            <w:r>
              <w:rPr>
                <w:rStyle w:val="IndexLink"/>
              </w:rPr>
              <w:t>442</w:t>
            </w:r>
          </w:hyperlink>
        </w:p>
        <w:p>
          <w:pPr>
            <w:pStyle w:val="Contents4"/>
            <w:tabs>
              <w:tab w:val="clear" w:pos="8176"/>
              <w:tab w:val="right" w:pos="9026" w:leader="dot"/>
            </w:tabs>
            <w:rPr/>
          </w:pPr>
          <w:hyperlink w:anchor="__RefHeading___Toc375623_1067777946">
            <w:r>
              <w:rPr>
                <w:webHidden/>
                <w:rStyle w:val="IndexLink"/>
                <w:rtl w:val="true"/>
              </w:rPr>
              <w:t>من هي الزوجة التي تُحرم؟</w:t>
            </w:r>
            <w:r>
              <w:rPr>
                <w:rStyle w:val="IndexLink"/>
                <w:rtl w:val="true"/>
              </w:rPr>
              <w:tab/>
            </w:r>
            <w:r>
              <w:rPr>
                <w:rStyle w:val="IndexLink"/>
              </w:rPr>
              <w:t>452</w:t>
            </w:r>
          </w:hyperlink>
        </w:p>
        <w:p>
          <w:pPr>
            <w:pStyle w:val="Contents4"/>
            <w:tabs>
              <w:tab w:val="clear" w:pos="8176"/>
              <w:tab w:val="right" w:pos="9026" w:leader="dot"/>
            </w:tabs>
            <w:rPr/>
          </w:pPr>
          <w:hyperlink w:anchor="__RefHeading___Toc375625_1067777946">
            <w:r>
              <w:rPr>
                <w:webHidden/>
                <w:rStyle w:val="IndexLink"/>
                <w:rtl w:val="true"/>
              </w:rPr>
              <w:t>كيف تُحرم ممّا ثبت الحرمان منه؟</w:t>
            </w:r>
            <w:r>
              <w:rPr>
                <w:rStyle w:val="IndexLink"/>
                <w:rtl w:val="true"/>
              </w:rPr>
              <w:tab/>
            </w:r>
            <w:r>
              <w:rPr>
                <w:rStyle w:val="IndexLink"/>
              </w:rPr>
              <w:t>457</w:t>
            </w:r>
          </w:hyperlink>
        </w:p>
        <w:p>
          <w:pPr>
            <w:pStyle w:val="Contents4"/>
            <w:tabs>
              <w:tab w:val="clear" w:pos="8176"/>
              <w:tab w:val="right" w:pos="9026" w:leader="dot"/>
            </w:tabs>
            <w:rPr/>
          </w:pPr>
          <w:hyperlink w:anchor="__RefHeading___Toc375627_1067777946">
            <w:r>
              <w:rPr>
                <w:webHidden/>
                <w:rStyle w:val="IndexLink"/>
                <w:rtl w:val="true"/>
              </w:rPr>
              <w:t>قول المرتضى والردّ عليه</w:t>
            </w:r>
            <w:r>
              <w:rPr>
                <w:rStyle w:val="IndexLink"/>
                <w:rtl w:val="true"/>
              </w:rPr>
              <w:tab/>
            </w:r>
            <w:r>
              <w:rPr>
                <w:rStyle w:val="IndexLink"/>
              </w:rPr>
              <w:t>458</w:t>
            </w:r>
          </w:hyperlink>
        </w:p>
        <w:p>
          <w:pPr>
            <w:pStyle w:val="Contents4"/>
            <w:tabs>
              <w:tab w:val="clear" w:pos="8176"/>
              <w:tab w:val="right" w:pos="9026" w:leader="dot"/>
            </w:tabs>
            <w:rPr/>
          </w:pPr>
          <w:hyperlink w:anchor="__RefHeading___Toc375629_1067777946">
            <w:r>
              <w:rPr>
                <w:webHidden/>
                <w:rStyle w:val="IndexLink"/>
                <w:rtl w:val="true"/>
              </w:rPr>
              <w:t>هل الحرمان مستحق عليها أم لا؟</w:t>
            </w:r>
            <w:r>
              <w:rPr>
                <w:rStyle w:val="IndexLink"/>
                <w:rtl w:val="true"/>
              </w:rPr>
              <w:tab/>
            </w:r>
            <w:r>
              <w:rPr>
                <w:rStyle w:val="IndexLink"/>
              </w:rPr>
              <w:t>463</w:t>
            </w:r>
          </w:hyperlink>
        </w:p>
        <w:p>
          <w:pPr>
            <w:pStyle w:val="Contents4"/>
            <w:tabs>
              <w:tab w:val="clear" w:pos="8176"/>
              <w:tab w:val="right" w:pos="9026" w:leader="dot"/>
            </w:tabs>
            <w:rPr/>
          </w:pPr>
          <w:hyperlink w:anchor="__RefHeading___Toc375631_1067777946">
            <w:r>
              <w:rPr>
                <w:webHidden/>
                <w:rStyle w:val="IndexLink"/>
                <w:rtl w:val="true"/>
              </w:rPr>
              <w:t>الحكمة من هذا الحرمان</w:t>
            </w:r>
            <w:r>
              <w:rPr>
                <w:rStyle w:val="IndexLink"/>
                <w:rtl w:val="true"/>
              </w:rPr>
              <w:tab/>
            </w:r>
            <w:r>
              <w:rPr>
                <w:rStyle w:val="IndexLink"/>
              </w:rPr>
              <w:t>465</w:t>
            </w:r>
          </w:hyperlink>
        </w:p>
        <w:p>
          <w:pPr>
            <w:pStyle w:val="Contents4"/>
            <w:tabs>
              <w:tab w:val="clear" w:pos="8176"/>
              <w:tab w:val="right" w:pos="9026" w:leader="dot"/>
            </w:tabs>
            <w:rPr/>
          </w:pPr>
          <w:hyperlink w:anchor="__RefHeading___Toc375633_1067777946">
            <w:r>
              <w:rPr>
                <w:webHidden/>
                <w:rStyle w:val="IndexLink"/>
                <w:rtl w:val="true"/>
              </w:rPr>
              <w:t>التركة بالنسبة إلى ارث الزوجة منها وعدمه ثلاثة أقسام</w:t>
            </w:r>
            <w:r>
              <w:rPr>
                <w:rStyle w:val="IndexLink"/>
                <w:rtl w:val="true"/>
              </w:rPr>
              <w:tab/>
            </w:r>
            <w:r>
              <w:rPr>
                <w:rStyle w:val="IndexLink"/>
              </w:rPr>
              <w:t>467</w:t>
            </w:r>
          </w:hyperlink>
        </w:p>
        <w:p>
          <w:pPr>
            <w:pStyle w:val="Contents4"/>
            <w:tabs>
              <w:tab w:val="clear" w:pos="8176"/>
              <w:tab w:val="right" w:pos="9026" w:leader="dot"/>
            </w:tabs>
            <w:rPr/>
          </w:pPr>
          <w:hyperlink w:anchor="__RefHeading___Toc375635_1067777946">
            <w:r>
              <w:rPr>
                <w:webHidden/>
                <w:rStyle w:val="IndexLink"/>
                <w:rtl w:val="true"/>
              </w:rPr>
              <w:t>لا فرق في المساكن بين ماكان يسكنه الميّت بنفسه وغيره</w:t>
            </w:r>
            <w:r>
              <w:rPr>
                <w:rStyle w:val="IndexLink"/>
                <w:rtl w:val="true"/>
              </w:rPr>
              <w:tab/>
            </w:r>
            <w:r>
              <w:rPr>
                <w:rStyle w:val="IndexLink"/>
              </w:rPr>
              <w:t>468</w:t>
            </w:r>
          </w:hyperlink>
        </w:p>
        <w:p>
          <w:pPr>
            <w:pStyle w:val="Contents4"/>
            <w:tabs>
              <w:tab w:val="clear" w:pos="8176"/>
              <w:tab w:val="right" w:pos="9026" w:leader="dot"/>
            </w:tabs>
            <w:rPr/>
          </w:pPr>
          <w:hyperlink w:anchor="__RefHeading___Toc375637_1067777946">
            <w:r>
              <w:rPr>
                <w:webHidden/>
                <w:rStyle w:val="IndexLink"/>
                <w:rtl w:val="true"/>
              </w:rPr>
              <w:t>آلات البناء ترث منها قبل تمام البناء</w:t>
            </w:r>
            <w:r>
              <w:rPr>
                <w:rStyle w:val="IndexLink"/>
                <w:rtl w:val="true"/>
              </w:rPr>
              <w:tab/>
            </w:r>
            <w:r>
              <w:rPr>
                <w:rStyle w:val="IndexLink"/>
              </w:rPr>
              <w:t>469</w:t>
            </w:r>
          </w:hyperlink>
        </w:p>
        <w:p>
          <w:pPr>
            <w:pStyle w:val="Contents4"/>
            <w:tabs>
              <w:tab w:val="clear" w:pos="8176"/>
              <w:tab w:val="right" w:pos="9026" w:leader="dot"/>
            </w:tabs>
            <w:rPr/>
          </w:pPr>
          <w:hyperlink w:anchor="__RefHeading___Toc375639_1067777946">
            <w:r>
              <w:rPr>
                <w:webHidden/>
                <w:rStyle w:val="IndexLink"/>
                <w:rtl w:val="true"/>
              </w:rPr>
              <w:t>كيفيّة تقويم حقها من البناء والشجر</w:t>
            </w:r>
            <w:r>
              <w:rPr>
                <w:rStyle w:val="IndexLink"/>
                <w:rtl w:val="true"/>
              </w:rPr>
              <w:tab/>
            </w:r>
            <w:r>
              <w:rPr>
                <w:rStyle w:val="IndexLink"/>
              </w:rPr>
              <w:t>470</w:t>
            </w:r>
          </w:hyperlink>
        </w:p>
        <w:p>
          <w:pPr>
            <w:pStyle w:val="Contents4"/>
            <w:tabs>
              <w:tab w:val="clear" w:pos="8176"/>
              <w:tab w:val="right" w:pos="9026" w:leader="dot"/>
            </w:tabs>
            <w:rPr/>
          </w:pPr>
          <w:hyperlink w:anchor="__RefHeading___Toc375641_1067777946">
            <w:r>
              <w:rPr>
                <w:webHidden/>
                <w:rStyle w:val="IndexLink"/>
                <w:rtl w:val="true"/>
              </w:rPr>
              <w:t>هل دفع الوارث القيمة قهري أم اختياري؟</w:t>
            </w:r>
            <w:r>
              <w:rPr>
                <w:rStyle w:val="IndexLink"/>
                <w:rtl w:val="true"/>
              </w:rPr>
              <w:tab/>
            </w:r>
            <w:r>
              <w:rPr>
                <w:rStyle w:val="IndexLink"/>
              </w:rPr>
              <w:t>471</w:t>
            </w:r>
          </w:hyperlink>
        </w:p>
        <w:p>
          <w:pPr>
            <w:pStyle w:val="Contents4"/>
            <w:tabs>
              <w:tab w:val="clear" w:pos="8176"/>
              <w:tab w:val="right" w:pos="9026" w:leader="dot"/>
            </w:tabs>
            <w:rPr/>
          </w:pPr>
          <w:hyperlink w:anchor="__RefHeading___Toc375643_1067777946">
            <w:r>
              <w:rPr>
                <w:webHidden/>
                <w:rStyle w:val="IndexLink"/>
                <w:rtl w:val="true"/>
              </w:rPr>
              <w:t>لو خلّف زرعاً أو ماء، فما ذا تستحق؟</w:t>
            </w:r>
            <w:r>
              <w:rPr>
                <w:rStyle w:val="IndexLink"/>
                <w:rtl w:val="true"/>
              </w:rPr>
              <w:tab/>
            </w:r>
            <w:r>
              <w:rPr>
                <w:rStyle w:val="IndexLink"/>
              </w:rPr>
              <w:t>474</w:t>
            </w:r>
          </w:hyperlink>
        </w:p>
        <w:p>
          <w:pPr>
            <w:pStyle w:val="Contents4"/>
            <w:tabs>
              <w:tab w:val="clear" w:pos="8176"/>
              <w:tab w:val="right" w:pos="9026" w:leader="dot"/>
            </w:tabs>
            <w:rPr/>
          </w:pPr>
          <w:hyperlink w:anchor="__RefHeading___Toc375645_1067777946">
            <w:r>
              <w:rPr>
                <w:webHidden/>
                <w:rStyle w:val="IndexLink"/>
                <w:rtl w:val="true"/>
              </w:rPr>
              <w:t>تلخيص أقوال هذه المسألة</w:t>
            </w:r>
            <w:r>
              <w:rPr>
                <w:rStyle w:val="IndexLink"/>
                <w:rtl w:val="true"/>
              </w:rPr>
              <w:tab/>
            </w:r>
            <w:r>
              <w:rPr>
                <w:rStyle w:val="IndexLink"/>
              </w:rPr>
              <w:t>476</w:t>
            </w:r>
          </w:hyperlink>
        </w:p>
        <w:p>
          <w:pPr>
            <w:pStyle w:val="Contents3"/>
            <w:tabs>
              <w:tab w:val="clear" w:pos="8459"/>
              <w:tab w:val="right" w:pos="9026" w:leader="dot"/>
            </w:tabs>
            <w:rPr/>
          </w:pPr>
          <w:hyperlink w:anchor="__RefHeading___Toc375647_1067777946">
            <w:r>
              <w:rPr>
                <w:webHidden/>
                <w:rStyle w:val="IndexLink"/>
              </w:rPr>
              <w:t>23</w:t>
            </w:r>
            <w:r>
              <w:rPr>
                <w:rStyle w:val="IndexLink"/>
                <w:rtl w:val="true"/>
              </w:rPr>
              <w:t xml:space="preserve">. </w:t>
            </w:r>
            <w:r>
              <w:rPr>
                <w:rStyle w:val="IndexLink"/>
                <w:rtl w:val="true"/>
              </w:rPr>
              <w:t>الحَبْوَة</w:t>
            </w:r>
            <w:r>
              <w:rPr>
                <w:rStyle w:val="IndexLink"/>
                <w:rtl w:val="true"/>
              </w:rPr>
              <w:tab/>
            </w:r>
            <w:r>
              <w:rPr>
                <w:rStyle w:val="IndexLink"/>
              </w:rPr>
              <w:t>478</w:t>
            </w:r>
          </w:hyperlink>
        </w:p>
        <w:p>
          <w:pPr>
            <w:pStyle w:val="Contents4"/>
            <w:tabs>
              <w:tab w:val="clear" w:pos="8176"/>
              <w:tab w:val="right" w:pos="9026" w:leader="dot"/>
            </w:tabs>
            <w:rPr/>
          </w:pPr>
          <w:hyperlink w:anchor="__RefHeading___Toc375649_1067777946">
            <w:r>
              <w:rPr>
                <w:webHidden/>
                <w:rStyle w:val="IndexLink"/>
                <w:rtl w:val="true"/>
              </w:rPr>
              <w:t>إشارة</w:t>
            </w:r>
            <w:r>
              <w:rPr>
                <w:rStyle w:val="IndexLink"/>
                <w:rtl w:val="true"/>
              </w:rPr>
              <w:t>:</w:t>
              <w:tab/>
            </w:r>
            <w:r>
              <w:rPr>
                <w:rStyle w:val="IndexLink"/>
              </w:rPr>
              <w:t>478</w:t>
            </w:r>
          </w:hyperlink>
        </w:p>
        <w:p>
          <w:pPr>
            <w:pStyle w:val="Contents4"/>
            <w:tabs>
              <w:tab w:val="clear" w:pos="8176"/>
              <w:tab w:val="right" w:pos="9026" w:leader="dot"/>
            </w:tabs>
            <w:rPr/>
          </w:pPr>
          <w:hyperlink w:anchor="__RefHeading___Toc375651_1067777946">
            <w:r>
              <w:rPr>
                <w:webHidden/>
                <w:rStyle w:val="IndexLink"/>
                <w:rtl w:val="true"/>
              </w:rPr>
              <w:t>تعريف الحبوة</w:t>
            </w:r>
            <w:r>
              <w:rPr>
                <w:rStyle w:val="IndexLink"/>
                <w:rtl w:val="true"/>
              </w:rPr>
              <w:tab/>
            </w:r>
            <w:r>
              <w:rPr>
                <w:rStyle w:val="IndexLink"/>
              </w:rPr>
              <w:t>480</w:t>
            </w:r>
          </w:hyperlink>
        </w:p>
        <w:p>
          <w:pPr>
            <w:pStyle w:val="Contents4"/>
            <w:tabs>
              <w:tab w:val="clear" w:pos="8176"/>
              <w:tab w:val="right" w:pos="9026" w:leader="dot"/>
            </w:tabs>
            <w:rPr/>
          </w:pPr>
          <w:hyperlink w:anchor="__RefHeading___Toc375653_1067777946">
            <w:r>
              <w:rPr>
                <w:webHidden/>
                <w:rStyle w:val="IndexLink"/>
                <w:rtl w:val="true"/>
              </w:rPr>
              <w:t>كمّيّة ما يُحبّى</w:t>
            </w:r>
            <w:r>
              <w:rPr>
                <w:rStyle w:val="IndexLink"/>
                <w:rtl w:val="true"/>
              </w:rPr>
              <w:tab/>
            </w:r>
            <w:r>
              <w:rPr>
                <w:rStyle w:val="IndexLink"/>
              </w:rPr>
              <w:t>484</w:t>
            </w:r>
          </w:hyperlink>
        </w:p>
        <w:p>
          <w:pPr>
            <w:pStyle w:val="Contents4"/>
            <w:tabs>
              <w:tab w:val="clear" w:pos="8176"/>
              <w:tab w:val="right" w:pos="9026" w:leader="dot"/>
            </w:tabs>
            <w:rPr/>
          </w:pPr>
          <w:hyperlink w:anchor="__RefHeading___Toc375655_1067777946">
            <w:r>
              <w:rPr>
                <w:webHidden/>
                <w:rStyle w:val="IndexLink"/>
                <w:rtl w:val="true"/>
              </w:rPr>
              <w:t>الأخبار في الحبوة</w:t>
            </w:r>
            <w:r>
              <w:rPr>
                <w:rStyle w:val="IndexLink"/>
                <w:rtl w:val="true"/>
              </w:rPr>
              <w:tab/>
            </w:r>
            <w:r>
              <w:rPr>
                <w:rStyle w:val="IndexLink"/>
              </w:rPr>
              <w:t>484</w:t>
            </w:r>
          </w:hyperlink>
        </w:p>
        <w:p>
          <w:pPr>
            <w:pStyle w:val="Contents4"/>
            <w:tabs>
              <w:tab w:val="clear" w:pos="8176"/>
              <w:tab w:val="right" w:pos="9026" w:leader="dot"/>
            </w:tabs>
            <w:rPr/>
          </w:pPr>
          <w:hyperlink w:anchor="__RefHeading___Toc375657_1067777946">
            <w:r>
              <w:rPr>
                <w:webHidden/>
                <w:rStyle w:val="IndexLink"/>
                <w:rtl w:val="true"/>
              </w:rPr>
              <w:t>نحو عشرين مبحثاً في الحبوة</w:t>
            </w:r>
            <w:r>
              <w:rPr>
                <w:rStyle w:val="IndexLink"/>
                <w:rtl w:val="true"/>
              </w:rPr>
              <w:tab/>
            </w:r>
            <w:r>
              <w:rPr>
                <w:rStyle w:val="IndexLink"/>
              </w:rPr>
              <w:t>487</w:t>
            </w:r>
          </w:hyperlink>
        </w:p>
        <w:p>
          <w:pPr>
            <w:pStyle w:val="Contents4"/>
            <w:tabs>
              <w:tab w:val="clear" w:pos="8176"/>
              <w:tab w:val="right" w:pos="9026" w:leader="dot"/>
            </w:tabs>
            <w:rPr/>
          </w:pPr>
          <w:hyperlink w:anchor="__RefHeading___Toc375659_1067777946">
            <w:r>
              <w:rPr>
                <w:webHidden/>
                <w:rStyle w:val="IndexLink"/>
                <w:rtl w:val="true"/>
              </w:rPr>
              <w:t>المطلب الثالث</w:t>
            </w:r>
            <w:r>
              <w:rPr>
                <w:rStyle w:val="IndexLink"/>
                <w:rtl w:val="true"/>
              </w:rPr>
              <w:t xml:space="preserve">: </w:t>
            </w:r>
            <w:r>
              <w:rPr>
                <w:rStyle w:val="IndexLink"/>
                <w:rtl w:val="true"/>
              </w:rPr>
              <w:t>هل هذا الاختصاص على سبيل الوجوب أو الاستحباب ؟</w:t>
            </w:r>
            <w:r>
              <w:rPr>
                <w:rStyle w:val="IndexLink"/>
                <w:rtl w:val="true"/>
              </w:rPr>
              <w:tab/>
            </w:r>
            <w:r>
              <w:rPr>
                <w:rStyle w:val="IndexLink"/>
              </w:rPr>
              <w:t>496</w:t>
            </w:r>
          </w:hyperlink>
        </w:p>
        <w:p>
          <w:pPr>
            <w:pStyle w:val="Contents4"/>
            <w:tabs>
              <w:tab w:val="clear" w:pos="8176"/>
              <w:tab w:val="right" w:pos="9026" w:leader="dot"/>
            </w:tabs>
            <w:rPr/>
          </w:pPr>
          <w:hyperlink w:anchor="__RefHeading___Toc375661_1067777946">
            <w:r>
              <w:rPr>
                <w:webHidden/>
                <w:rStyle w:val="IndexLink"/>
                <w:rtl w:val="true"/>
              </w:rPr>
              <w:t>حجّة القائل بالاستحباب</w:t>
            </w:r>
            <w:r>
              <w:rPr>
                <w:rStyle w:val="IndexLink"/>
                <w:rtl w:val="true"/>
              </w:rPr>
              <w:tab/>
            </w:r>
            <w:r>
              <w:rPr>
                <w:rStyle w:val="IndexLink"/>
              </w:rPr>
              <w:t>498</w:t>
            </w:r>
          </w:hyperlink>
        </w:p>
        <w:p>
          <w:pPr>
            <w:pStyle w:val="Contents4"/>
            <w:tabs>
              <w:tab w:val="clear" w:pos="8176"/>
              <w:tab w:val="right" w:pos="9026" w:leader="dot"/>
            </w:tabs>
            <w:rPr/>
          </w:pPr>
          <w:hyperlink w:anchor="__RefHeading___Toc375663_1067777946">
            <w:r>
              <w:rPr>
                <w:webHidden/>
                <w:rStyle w:val="IndexLink"/>
                <w:rtl w:val="true"/>
              </w:rPr>
              <w:t>في بيان مستحق الحبوة والمستحق عليه</w:t>
            </w:r>
            <w:r>
              <w:rPr>
                <w:rStyle w:val="IndexLink"/>
                <w:rtl w:val="true"/>
              </w:rPr>
              <w:tab/>
            </w:r>
            <w:r>
              <w:rPr>
                <w:rStyle w:val="IndexLink"/>
              </w:rPr>
              <w:t>501</w:t>
            </w:r>
          </w:hyperlink>
        </w:p>
        <w:p>
          <w:pPr>
            <w:pStyle w:val="Contents4"/>
            <w:tabs>
              <w:tab w:val="clear" w:pos="8176"/>
              <w:tab w:val="right" w:pos="9026" w:leader="dot"/>
            </w:tabs>
            <w:rPr/>
          </w:pPr>
          <w:hyperlink w:anchor="__RefHeading___Toc375665_1067777946">
            <w:r>
              <w:rPr>
                <w:webHidden/>
                <w:rStyle w:val="IndexLink"/>
                <w:rtl w:val="true"/>
              </w:rPr>
              <w:t>كيف تستحق الحبوة</w:t>
            </w:r>
            <w:r>
              <w:rPr>
                <w:rStyle w:val="IndexLink"/>
                <w:rtl w:val="true"/>
              </w:rPr>
              <w:t xml:space="preserve">: </w:t>
            </w:r>
            <w:r>
              <w:rPr>
                <w:rStyle w:val="IndexLink"/>
                <w:rtl w:val="true"/>
              </w:rPr>
              <w:t>مجاناً، أم بالقيمة السوقيّة؟</w:t>
            </w:r>
            <w:r>
              <w:rPr>
                <w:rStyle w:val="IndexLink"/>
                <w:rtl w:val="true"/>
              </w:rPr>
              <w:tab/>
            </w:r>
            <w:r>
              <w:rPr>
                <w:rStyle w:val="IndexLink"/>
              </w:rPr>
              <w:t>510</w:t>
            </w:r>
          </w:hyperlink>
        </w:p>
        <w:p>
          <w:pPr>
            <w:pStyle w:val="Contents4"/>
            <w:tabs>
              <w:tab w:val="clear" w:pos="8176"/>
              <w:tab w:val="right" w:pos="9026" w:leader="dot"/>
            </w:tabs>
            <w:rPr/>
          </w:pPr>
          <w:hyperlink w:anchor="__RefHeading___Toc375667_1067777946">
            <w:r>
              <w:rPr>
                <w:webHidden/>
                <w:rStyle w:val="IndexLink"/>
                <w:rtl w:val="true"/>
              </w:rPr>
              <w:t>مباحث في كيفيّة استحقاق الحبوة</w:t>
            </w:r>
            <w:r>
              <w:rPr>
                <w:rStyle w:val="IndexLink"/>
                <w:rtl w:val="true"/>
              </w:rPr>
              <w:tab/>
            </w:r>
            <w:r>
              <w:rPr>
                <w:rStyle w:val="IndexLink"/>
              </w:rPr>
              <w:t>513</w:t>
            </w:r>
          </w:hyperlink>
        </w:p>
        <w:p>
          <w:pPr>
            <w:pStyle w:val="Contents4"/>
            <w:tabs>
              <w:tab w:val="clear" w:pos="8176"/>
              <w:tab w:val="right" w:pos="9026" w:leader="dot"/>
            </w:tabs>
            <w:rPr/>
          </w:pPr>
          <w:hyperlink w:anchor="__RefHeading___Toc375669_1067777946">
            <w:r>
              <w:rPr>
                <w:webHidden/>
                <w:rStyle w:val="IndexLink"/>
                <w:rtl w:val="true"/>
              </w:rPr>
              <w:t>لم يحبى الولد الأكبر دون غيره من الورثة؟</w:t>
            </w:r>
            <w:r>
              <w:rPr>
                <w:rStyle w:val="IndexLink"/>
                <w:rtl w:val="true"/>
              </w:rPr>
              <w:tab/>
            </w:r>
            <w:r>
              <w:rPr>
                <w:rStyle w:val="IndexLink"/>
              </w:rPr>
              <w:t>517</w:t>
            </w:r>
          </w:hyperlink>
        </w:p>
        <w:p>
          <w:pPr>
            <w:pStyle w:val="Contents4"/>
            <w:tabs>
              <w:tab w:val="clear" w:pos="8176"/>
              <w:tab w:val="right" w:pos="9026" w:leader="dot"/>
            </w:tabs>
            <w:rPr/>
          </w:pPr>
          <w:hyperlink w:anchor="__RefHeading___Toc375671_1067777946">
            <w:r>
              <w:rPr>
                <w:webHidden/>
                <w:rStyle w:val="IndexLink"/>
                <w:rtl w:val="true"/>
              </w:rPr>
              <w:t>عشر مسائل فيما تتعلق بالحبوة واستحقاقها</w:t>
            </w:r>
            <w:r>
              <w:rPr>
                <w:rStyle w:val="IndexLink"/>
                <w:rtl w:val="true"/>
              </w:rPr>
              <w:tab/>
            </w:r>
            <w:r>
              <w:rPr>
                <w:rStyle w:val="IndexLink"/>
              </w:rPr>
              <w:t>520</w:t>
            </w:r>
          </w:hyperlink>
        </w:p>
        <w:p>
          <w:pPr>
            <w:pStyle w:val="Contents2"/>
            <w:tabs>
              <w:tab w:val="clear" w:pos="8743"/>
              <w:tab w:val="right" w:pos="9026" w:leader="dot"/>
            </w:tabs>
            <w:rPr/>
          </w:pPr>
          <w:hyperlink w:anchor="__RefHeading___Toc375673_1067777946">
            <w:r>
              <w:rPr>
                <w:webHidden/>
                <w:rStyle w:val="IndexLink"/>
                <w:rtl w:val="true"/>
              </w:rPr>
              <w:t>القسم السابع</w:t>
            </w:r>
            <w:r>
              <w:rPr>
                <w:rStyle w:val="IndexLink"/>
                <w:rtl w:val="true"/>
              </w:rPr>
              <w:t xml:space="preserve">: </w:t>
            </w:r>
            <w:r>
              <w:rPr>
                <w:rStyle w:val="IndexLink"/>
                <w:rtl w:val="true"/>
              </w:rPr>
              <w:t>أجوبة المسائلِ</w:t>
            </w:r>
            <w:r>
              <w:rPr>
                <w:rStyle w:val="IndexLink"/>
                <w:rtl w:val="true"/>
              </w:rPr>
              <w:tab/>
            </w:r>
            <w:r>
              <w:rPr>
                <w:rStyle w:val="IndexLink"/>
              </w:rPr>
              <w:t>528</w:t>
            </w:r>
          </w:hyperlink>
        </w:p>
        <w:p>
          <w:pPr>
            <w:pStyle w:val="Contents3"/>
            <w:tabs>
              <w:tab w:val="clear" w:pos="8459"/>
              <w:tab w:val="right" w:pos="9026" w:leader="dot"/>
            </w:tabs>
            <w:rPr/>
          </w:pPr>
          <w:hyperlink w:anchor="__RefHeading___Toc375675_1067777946">
            <w:r>
              <w:rPr>
                <w:webHidden/>
                <w:rStyle w:val="IndexLink"/>
                <w:rtl w:val="true"/>
              </w:rPr>
              <w:t>إشارة</w:t>
            </w:r>
            <w:r>
              <w:rPr>
                <w:rStyle w:val="IndexLink"/>
                <w:rtl w:val="true"/>
              </w:rPr>
              <w:t>:</w:t>
              <w:tab/>
            </w:r>
            <w:r>
              <w:rPr>
                <w:rStyle w:val="IndexLink"/>
              </w:rPr>
              <w:t>528</w:t>
            </w:r>
          </w:hyperlink>
        </w:p>
        <w:p>
          <w:pPr>
            <w:pStyle w:val="Contents3"/>
            <w:tabs>
              <w:tab w:val="clear" w:pos="8459"/>
              <w:tab w:val="right" w:pos="9026" w:leader="dot"/>
            </w:tabs>
            <w:rPr/>
          </w:pPr>
          <w:hyperlink w:anchor="__RefHeading___Toc375677_1067777946">
            <w:r>
              <w:rPr>
                <w:webHidden/>
                <w:rStyle w:val="IndexLink"/>
              </w:rPr>
              <w:t>24</w:t>
            </w:r>
            <w:r>
              <w:rPr>
                <w:rStyle w:val="IndexLink"/>
                <w:rtl w:val="true"/>
              </w:rPr>
              <w:t xml:space="preserve">. </w:t>
            </w:r>
            <w:r>
              <w:rPr>
                <w:rStyle w:val="IndexLink"/>
                <w:rtl w:val="true"/>
              </w:rPr>
              <w:t>أجوبة مسائل شكر بن حمدان</w:t>
            </w:r>
            <w:r>
              <w:rPr>
                <w:rStyle w:val="IndexLink"/>
                <w:rtl w:val="true"/>
              </w:rPr>
              <w:tab/>
            </w:r>
            <w:r>
              <w:rPr>
                <w:rStyle w:val="IndexLink"/>
              </w:rPr>
              <w:t>530</w:t>
            </w:r>
          </w:hyperlink>
        </w:p>
        <w:p>
          <w:pPr>
            <w:pStyle w:val="Contents4"/>
            <w:tabs>
              <w:tab w:val="clear" w:pos="8176"/>
              <w:tab w:val="right" w:pos="9026" w:leader="dot"/>
            </w:tabs>
            <w:rPr/>
          </w:pPr>
          <w:hyperlink w:anchor="__RefHeading___Toc375679_1067777946">
            <w:r>
              <w:rPr>
                <w:webHidden/>
                <w:rStyle w:val="IndexLink"/>
                <w:rtl w:val="true"/>
              </w:rPr>
              <w:t>إشارة</w:t>
            </w:r>
            <w:r>
              <w:rPr>
                <w:rStyle w:val="IndexLink"/>
                <w:rtl w:val="true"/>
              </w:rPr>
              <w:t>:</w:t>
              <w:tab/>
            </w:r>
            <w:r>
              <w:rPr>
                <w:rStyle w:val="IndexLink"/>
              </w:rPr>
              <w:t>530</w:t>
            </w:r>
          </w:hyperlink>
        </w:p>
        <w:p>
          <w:pPr>
            <w:pStyle w:val="Contents4"/>
            <w:tabs>
              <w:tab w:val="clear" w:pos="8176"/>
              <w:tab w:val="right" w:pos="9026" w:leader="dot"/>
            </w:tabs>
            <w:rPr/>
          </w:pPr>
          <w:hyperlink w:anchor="__RefHeading___Toc375681_1067777946">
            <w:r>
              <w:rPr>
                <w:webHidden/>
                <w:rStyle w:val="IndexLink"/>
                <w:rtl w:val="true"/>
              </w:rPr>
              <w:t>التوبة الصادقة ثم الوقوع في المعصية</w:t>
            </w:r>
            <w:r>
              <w:rPr>
                <w:rStyle w:val="IndexLink"/>
                <w:rtl w:val="true"/>
              </w:rPr>
              <w:tab/>
            </w:r>
            <w:r>
              <w:rPr>
                <w:rStyle w:val="IndexLink"/>
              </w:rPr>
              <w:t>532</w:t>
            </w:r>
          </w:hyperlink>
        </w:p>
        <w:p>
          <w:pPr>
            <w:pStyle w:val="Contents4"/>
            <w:tabs>
              <w:tab w:val="clear" w:pos="8176"/>
              <w:tab w:val="right" w:pos="9026" w:leader="dot"/>
            </w:tabs>
            <w:rPr/>
          </w:pPr>
          <w:hyperlink w:anchor="__RefHeading___Toc375683_1067777946">
            <w:r>
              <w:rPr>
                <w:webHidden/>
                <w:rStyle w:val="IndexLink"/>
                <w:rtl w:val="true"/>
              </w:rPr>
              <w:t>من عبارات التشهد الأخير في الصلاة</w:t>
            </w:r>
            <w:r>
              <w:rPr>
                <w:rStyle w:val="IndexLink"/>
                <w:rtl w:val="true"/>
              </w:rPr>
              <w:tab/>
            </w:r>
            <w:r>
              <w:rPr>
                <w:rStyle w:val="IndexLink"/>
              </w:rPr>
              <w:t>534</w:t>
            </w:r>
          </w:hyperlink>
        </w:p>
        <w:p>
          <w:pPr>
            <w:pStyle w:val="Contents4"/>
            <w:tabs>
              <w:tab w:val="clear" w:pos="8176"/>
              <w:tab w:val="right" w:pos="9026" w:leader="dot"/>
            </w:tabs>
            <w:rPr/>
          </w:pPr>
          <w:hyperlink w:anchor="__RefHeading___Toc375685_1067777946">
            <w:r>
              <w:rPr>
                <w:webHidden/>
                <w:rStyle w:val="IndexLink"/>
                <w:rtl w:val="true"/>
              </w:rPr>
              <w:t>مسألة في الصابون إذا جهل صانعه</w:t>
            </w:r>
            <w:r>
              <w:rPr>
                <w:rStyle w:val="IndexLink"/>
                <w:rtl w:val="true"/>
              </w:rPr>
              <w:tab/>
            </w:r>
            <w:r>
              <w:rPr>
                <w:rStyle w:val="IndexLink"/>
              </w:rPr>
              <w:t>534</w:t>
            </w:r>
          </w:hyperlink>
        </w:p>
        <w:p>
          <w:pPr>
            <w:pStyle w:val="Contents4"/>
            <w:tabs>
              <w:tab w:val="clear" w:pos="8176"/>
              <w:tab w:val="right" w:pos="9026" w:leader="dot"/>
            </w:tabs>
            <w:rPr/>
          </w:pPr>
          <w:hyperlink w:anchor="__RefHeading___Toc375687_1067777946">
            <w:r>
              <w:rPr>
                <w:webHidden/>
                <w:rStyle w:val="IndexLink"/>
                <w:rtl w:val="true"/>
              </w:rPr>
              <w:t>عقص الشعر والقول فيه</w:t>
            </w:r>
            <w:r>
              <w:rPr>
                <w:rStyle w:val="IndexLink"/>
                <w:rtl w:val="true"/>
              </w:rPr>
              <w:tab/>
            </w:r>
            <w:r>
              <w:rPr>
                <w:rStyle w:val="IndexLink"/>
              </w:rPr>
              <w:t>536</w:t>
            </w:r>
          </w:hyperlink>
        </w:p>
        <w:p>
          <w:pPr>
            <w:pStyle w:val="Contents4"/>
            <w:tabs>
              <w:tab w:val="clear" w:pos="8176"/>
              <w:tab w:val="right" w:pos="9026" w:leader="dot"/>
            </w:tabs>
            <w:rPr/>
          </w:pPr>
          <w:hyperlink w:anchor="__RefHeading___Toc375689_1067777946">
            <w:r>
              <w:rPr>
                <w:webHidden/>
                <w:rStyle w:val="IndexLink"/>
                <w:rtl w:val="true"/>
              </w:rPr>
              <w:t>تعريف الكعبين اللذين يُمسحان من القدم</w:t>
            </w:r>
            <w:r>
              <w:rPr>
                <w:rStyle w:val="IndexLink"/>
                <w:rtl w:val="true"/>
              </w:rPr>
              <w:tab/>
            </w:r>
            <w:r>
              <w:rPr>
                <w:rStyle w:val="IndexLink"/>
              </w:rPr>
              <w:t>539</w:t>
            </w:r>
          </w:hyperlink>
        </w:p>
        <w:p>
          <w:pPr>
            <w:pStyle w:val="Contents4"/>
            <w:tabs>
              <w:tab w:val="clear" w:pos="8176"/>
              <w:tab w:val="right" w:pos="9026" w:leader="dot"/>
            </w:tabs>
            <w:rPr/>
          </w:pPr>
          <w:hyperlink w:anchor="__RefHeading___Toc375691_1067777946">
            <w:r>
              <w:rPr>
                <w:webHidden/>
                <w:rStyle w:val="IndexLink"/>
                <w:rtl w:val="true"/>
              </w:rPr>
              <w:t>تفسير آية</w:t>
            </w:r>
            <w:r>
              <w:rPr>
                <w:rStyle w:val="IndexLink"/>
                <w:rtl w:val="true"/>
              </w:rPr>
              <w:tab/>
            </w:r>
            <w:r>
              <w:rPr>
                <w:rStyle w:val="IndexLink"/>
              </w:rPr>
              <w:t>542</w:t>
            </w:r>
          </w:hyperlink>
        </w:p>
        <w:p>
          <w:pPr>
            <w:pStyle w:val="Contents4"/>
            <w:tabs>
              <w:tab w:val="clear" w:pos="8176"/>
              <w:tab w:val="right" w:pos="9026" w:leader="dot"/>
            </w:tabs>
            <w:rPr/>
          </w:pPr>
          <w:hyperlink w:anchor="__RefHeading___Toc375693_1067777946">
            <w:r>
              <w:rPr>
                <w:webHidden/>
                <w:rStyle w:val="IndexLink"/>
                <w:rtl w:val="true"/>
              </w:rPr>
              <w:t>غسل الجنابة واجب لنفسه أم لا؟</w:t>
            </w:r>
            <w:r>
              <w:rPr>
                <w:rStyle w:val="IndexLink"/>
                <w:rtl w:val="true"/>
              </w:rPr>
              <w:tab/>
            </w:r>
            <w:r>
              <w:rPr>
                <w:rStyle w:val="IndexLink"/>
              </w:rPr>
              <w:t>544</w:t>
            </w:r>
          </w:hyperlink>
        </w:p>
        <w:p>
          <w:pPr>
            <w:pStyle w:val="Contents4"/>
            <w:tabs>
              <w:tab w:val="clear" w:pos="8176"/>
              <w:tab w:val="right" w:pos="9026" w:leader="dot"/>
            </w:tabs>
            <w:rPr/>
          </w:pPr>
          <w:hyperlink w:anchor="__RefHeading___Toc375695_1067777946">
            <w:r>
              <w:rPr>
                <w:webHidden/>
                <w:rStyle w:val="IndexLink"/>
                <w:rtl w:val="true"/>
              </w:rPr>
              <w:t>ماء غسلت به النجاسة ولم يتغيّر، هل هو طاهر أم لا؟</w:t>
            </w:r>
            <w:r>
              <w:rPr>
                <w:rStyle w:val="IndexLink"/>
                <w:rtl w:val="true"/>
              </w:rPr>
              <w:tab/>
            </w:r>
            <w:r>
              <w:rPr>
                <w:rStyle w:val="IndexLink"/>
              </w:rPr>
              <w:t>546</w:t>
            </w:r>
          </w:hyperlink>
        </w:p>
        <w:p>
          <w:pPr>
            <w:pStyle w:val="Contents4"/>
            <w:tabs>
              <w:tab w:val="clear" w:pos="8176"/>
              <w:tab w:val="right" w:pos="9026" w:leader="dot"/>
            </w:tabs>
            <w:rPr/>
          </w:pPr>
          <w:hyperlink w:anchor="__RefHeading___Toc375697_1067777946">
            <w:r>
              <w:rPr>
                <w:webHidden/>
                <w:rStyle w:val="IndexLink"/>
                <w:rtl w:val="true"/>
              </w:rPr>
              <w:t>مسألة في الزكاة</w:t>
            </w:r>
            <w:r>
              <w:rPr>
                <w:rStyle w:val="IndexLink"/>
                <w:rtl w:val="true"/>
              </w:rPr>
              <w:tab/>
            </w:r>
            <w:r>
              <w:rPr>
                <w:rStyle w:val="IndexLink"/>
              </w:rPr>
              <w:t>548</w:t>
            </w:r>
          </w:hyperlink>
        </w:p>
        <w:p>
          <w:pPr>
            <w:pStyle w:val="Contents4"/>
            <w:tabs>
              <w:tab w:val="clear" w:pos="8176"/>
              <w:tab w:val="right" w:pos="9026" w:leader="dot"/>
            </w:tabs>
            <w:rPr/>
          </w:pPr>
          <w:hyperlink w:anchor="__RefHeading___Toc375699_1067777946">
            <w:r>
              <w:rPr>
                <w:webHidden/>
                <w:rStyle w:val="IndexLink"/>
                <w:rtl w:val="true"/>
              </w:rPr>
              <w:t>شرح عبارة من كتاب القواعد للعلّامة</w:t>
            </w:r>
            <w:r>
              <w:rPr>
                <w:rStyle w:val="IndexLink"/>
                <w:rtl w:val="true"/>
              </w:rPr>
              <w:tab/>
            </w:r>
            <w:r>
              <w:rPr>
                <w:rStyle w:val="IndexLink"/>
              </w:rPr>
              <w:t>550</w:t>
            </w:r>
          </w:hyperlink>
        </w:p>
        <w:p>
          <w:pPr>
            <w:pStyle w:val="Contents3"/>
            <w:tabs>
              <w:tab w:val="clear" w:pos="8459"/>
              <w:tab w:val="right" w:pos="9026" w:leader="dot"/>
            </w:tabs>
            <w:rPr/>
          </w:pPr>
          <w:hyperlink w:anchor="__RefHeading___Toc375701_1067777946">
            <w:r>
              <w:rPr>
                <w:webHidden/>
                <w:rStyle w:val="IndexLink"/>
              </w:rPr>
              <w:t>25</w:t>
            </w:r>
            <w:r>
              <w:rPr>
                <w:rStyle w:val="IndexLink"/>
                <w:rtl w:val="true"/>
              </w:rPr>
              <w:t xml:space="preserve">. </w:t>
            </w:r>
            <w:r>
              <w:rPr>
                <w:rStyle w:val="IndexLink"/>
                <w:rtl w:val="true"/>
              </w:rPr>
              <w:t>أجوبة مسائل السيّد ابن طراد الحسيني</w:t>
            </w:r>
            <w:r>
              <w:rPr>
                <w:rStyle w:val="IndexLink"/>
                <w:rtl w:val="true"/>
              </w:rPr>
              <w:tab/>
            </w:r>
            <w:r>
              <w:rPr>
                <w:rStyle w:val="IndexLink"/>
              </w:rPr>
              <w:t>552</w:t>
            </w:r>
          </w:hyperlink>
        </w:p>
        <w:p>
          <w:pPr>
            <w:pStyle w:val="Contents4"/>
            <w:tabs>
              <w:tab w:val="clear" w:pos="8176"/>
              <w:tab w:val="right" w:pos="9026" w:leader="dot"/>
            </w:tabs>
            <w:rPr/>
          </w:pPr>
          <w:hyperlink w:anchor="__RefHeading___Toc375703_1067777946">
            <w:r>
              <w:rPr>
                <w:webHidden/>
                <w:rStyle w:val="IndexLink"/>
                <w:rtl w:val="true"/>
              </w:rPr>
              <w:t>إشارة</w:t>
            </w:r>
            <w:r>
              <w:rPr>
                <w:rStyle w:val="IndexLink"/>
                <w:rtl w:val="true"/>
              </w:rPr>
              <w:t>:</w:t>
              <w:tab/>
            </w:r>
            <w:r>
              <w:rPr>
                <w:rStyle w:val="IndexLink"/>
              </w:rPr>
              <w:t>552</w:t>
            </w:r>
          </w:hyperlink>
        </w:p>
        <w:p>
          <w:pPr>
            <w:pStyle w:val="Contents4"/>
            <w:tabs>
              <w:tab w:val="clear" w:pos="8176"/>
              <w:tab w:val="right" w:pos="9026" w:leader="dot"/>
            </w:tabs>
            <w:rPr/>
          </w:pPr>
          <w:hyperlink w:anchor="__RefHeading___Toc375705_1067777946">
            <w:r>
              <w:rPr>
                <w:webHidden/>
                <w:rStyle w:val="IndexLink"/>
                <w:rtl w:val="true"/>
              </w:rPr>
              <w:t>مسألة عن لبس المخيط في الحجّ</w:t>
            </w:r>
            <w:r>
              <w:rPr>
                <w:rStyle w:val="IndexLink"/>
                <w:rtl w:val="true"/>
              </w:rPr>
              <w:tab/>
            </w:r>
            <w:r>
              <w:rPr>
                <w:rStyle w:val="IndexLink"/>
              </w:rPr>
              <w:t>556</w:t>
            </w:r>
          </w:hyperlink>
        </w:p>
        <w:p>
          <w:pPr>
            <w:pStyle w:val="Contents4"/>
            <w:tabs>
              <w:tab w:val="clear" w:pos="8176"/>
              <w:tab w:val="right" w:pos="9026" w:leader="dot"/>
            </w:tabs>
            <w:rPr/>
          </w:pPr>
          <w:hyperlink w:anchor="__RefHeading___Toc375707_1067777946">
            <w:r>
              <w:rPr>
                <w:webHidden/>
                <w:rStyle w:val="IndexLink"/>
                <w:rtl w:val="true"/>
              </w:rPr>
              <w:t>الغني وإعطاؤه من الخمس والزكاة</w:t>
            </w:r>
            <w:r>
              <w:rPr>
                <w:rStyle w:val="IndexLink"/>
                <w:rtl w:val="true"/>
              </w:rPr>
              <w:tab/>
            </w:r>
            <w:r>
              <w:rPr>
                <w:rStyle w:val="IndexLink"/>
              </w:rPr>
              <w:t>557</w:t>
            </w:r>
          </w:hyperlink>
        </w:p>
        <w:p>
          <w:pPr>
            <w:pStyle w:val="Contents4"/>
            <w:tabs>
              <w:tab w:val="clear" w:pos="8176"/>
              <w:tab w:val="right" w:pos="9026" w:leader="dot"/>
            </w:tabs>
            <w:rPr/>
          </w:pPr>
          <w:hyperlink w:anchor="__RefHeading___Toc375709_1067777946">
            <w:r>
              <w:rPr>
                <w:webHidden/>
                <w:rStyle w:val="IndexLink"/>
                <w:rtl w:val="true"/>
              </w:rPr>
              <w:t>الخمس في أرباح التجارات</w:t>
            </w:r>
            <w:r>
              <w:rPr>
                <w:rStyle w:val="IndexLink"/>
                <w:rtl w:val="true"/>
              </w:rPr>
              <w:tab/>
            </w:r>
            <w:r>
              <w:rPr>
                <w:rStyle w:val="IndexLink"/>
              </w:rPr>
              <w:t>561</w:t>
            </w:r>
          </w:hyperlink>
        </w:p>
        <w:p>
          <w:pPr>
            <w:pStyle w:val="Contents4"/>
            <w:tabs>
              <w:tab w:val="clear" w:pos="8176"/>
              <w:tab w:val="right" w:pos="9026" w:leader="dot"/>
            </w:tabs>
            <w:rPr/>
          </w:pPr>
          <w:hyperlink w:anchor="__RefHeading___Toc375711_1067777946">
            <w:r>
              <w:rPr>
                <w:webHidden/>
                <w:rStyle w:val="IndexLink"/>
                <w:rtl w:val="true"/>
              </w:rPr>
              <w:t>قاطع الطريق ودفعه</w:t>
            </w:r>
            <w:r>
              <w:rPr>
                <w:rStyle w:val="IndexLink"/>
                <w:rtl w:val="true"/>
              </w:rPr>
              <w:tab/>
            </w:r>
            <w:r>
              <w:rPr>
                <w:rStyle w:val="IndexLink"/>
              </w:rPr>
              <w:t>563</w:t>
            </w:r>
          </w:hyperlink>
        </w:p>
        <w:p>
          <w:pPr>
            <w:pStyle w:val="Contents3"/>
            <w:tabs>
              <w:tab w:val="clear" w:pos="8459"/>
              <w:tab w:val="right" w:pos="9026" w:leader="dot"/>
            </w:tabs>
            <w:rPr/>
          </w:pPr>
          <w:hyperlink w:anchor="__RefHeading___Toc375713_1067777946">
            <w:r>
              <w:rPr>
                <w:webHidden/>
                <w:rStyle w:val="IndexLink"/>
              </w:rPr>
              <w:t>26</w:t>
            </w:r>
            <w:r>
              <w:rPr>
                <w:rStyle w:val="IndexLink"/>
                <w:rtl w:val="true"/>
              </w:rPr>
              <w:t xml:space="preserve">. </w:t>
            </w:r>
            <w:r>
              <w:rPr>
                <w:rStyle w:val="IndexLink"/>
                <w:rtl w:val="true"/>
              </w:rPr>
              <w:t>أجوبة مسائل زين الدين بن إدريس</w:t>
            </w:r>
            <w:r>
              <w:rPr>
                <w:rStyle w:val="IndexLink"/>
                <w:rtl w:val="true"/>
              </w:rPr>
              <w:tab/>
            </w:r>
            <w:r>
              <w:rPr>
                <w:rStyle w:val="IndexLink"/>
              </w:rPr>
              <w:t>566</w:t>
            </w:r>
          </w:hyperlink>
        </w:p>
        <w:p>
          <w:pPr>
            <w:pStyle w:val="Contents4"/>
            <w:tabs>
              <w:tab w:val="clear" w:pos="8176"/>
              <w:tab w:val="right" w:pos="9026" w:leader="dot"/>
            </w:tabs>
            <w:rPr/>
          </w:pPr>
          <w:hyperlink w:anchor="__RefHeading___Toc375715_1067777946">
            <w:r>
              <w:rPr>
                <w:webHidden/>
                <w:rStyle w:val="IndexLink"/>
                <w:rtl w:val="true"/>
              </w:rPr>
              <w:t>إشارة</w:t>
            </w:r>
            <w:r>
              <w:rPr>
                <w:rStyle w:val="IndexLink"/>
                <w:rtl w:val="true"/>
              </w:rPr>
              <w:t>:</w:t>
              <w:tab/>
            </w:r>
            <w:r>
              <w:rPr>
                <w:rStyle w:val="IndexLink"/>
              </w:rPr>
              <w:t>566</w:t>
            </w:r>
          </w:hyperlink>
        </w:p>
        <w:p>
          <w:pPr>
            <w:pStyle w:val="Contents4"/>
            <w:tabs>
              <w:tab w:val="clear" w:pos="8176"/>
              <w:tab w:val="right" w:pos="9026" w:leader="dot"/>
            </w:tabs>
            <w:rPr/>
          </w:pPr>
          <w:hyperlink w:anchor="__RefHeading___Toc375717_1067777946">
            <w:r>
              <w:rPr>
                <w:webHidden/>
                <w:rStyle w:val="IndexLink"/>
                <w:rtl w:val="true"/>
              </w:rPr>
              <w:t>هل يجوز شدّ الإزار في الإحرام والتمنطق</w:t>
            </w:r>
            <w:r>
              <w:rPr>
                <w:rStyle w:val="IndexLink"/>
                <w:rtl w:val="true"/>
              </w:rPr>
              <w:tab/>
            </w:r>
            <w:r>
              <w:rPr>
                <w:rStyle w:val="IndexLink"/>
              </w:rPr>
              <w:t>568</w:t>
            </w:r>
          </w:hyperlink>
        </w:p>
        <w:p>
          <w:pPr>
            <w:pStyle w:val="Contents3"/>
            <w:tabs>
              <w:tab w:val="clear" w:pos="8459"/>
              <w:tab w:val="right" w:pos="9026" w:leader="dot"/>
            </w:tabs>
            <w:rPr/>
          </w:pPr>
          <w:hyperlink w:anchor="__RefHeading___Toc375719_1067777946">
            <w:r>
              <w:rPr>
                <w:webHidden/>
                <w:rStyle w:val="IndexLink"/>
              </w:rPr>
              <w:t>27</w:t>
            </w:r>
            <w:r>
              <w:rPr>
                <w:rStyle w:val="IndexLink"/>
                <w:rtl w:val="true"/>
              </w:rPr>
              <w:t xml:space="preserve">. </w:t>
            </w:r>
            <w:r>
              <w:rPr>
                <w:rStyle w:val="IndexLink"/>
                <w:rtl w:val="true"/>
              </w:rPr>
              <w:t>أجوبة مسائل الشيخ حسين بن زَمْعة المدني</w:t>
            </w:r>
            <w:r>
              <w:rPr>
                <w:rStyle w:val="IndexLink"/>
                <w:rtl w:val="true"/>
              </w:rPr>
              <w:tab/>
            </w:r>
            <w:r>
              <w:rPr>
                <w:rStyle w:val="IndexLink"/>
              </w:rPr>
              <w:t>572</w:t>
            </w:r>
          </w:hyperlink>
        </w:p>
        <w:p>
          <w:pPr>
            <w:pStyle w:val="Contents4"/>
            <w:tabs>
              <w:tab w:val="clear" w:pos="8176"/>
              <w:tab w:val="right" w:pos="9026" w:leader="dot"/>
            </w:tabs>
            <w:rPr/>
          </w:pPr>
          <w:hyperlink w:anchor="__RefHeading___Toc375721_1067777946">
            <w:r>
              <w:rPr>
                <w:webHidden/>
                <w:rStyle w:val="IndexLink"/>
                <w:rtl w:val="true"/>
              </w:rPr>
              <w:t>إشارة</w:t>
            </w:r>
            <w:r>
              <w:rPr>
                <w:rStyle w:val="IndexLink"/>
                <w:rtl w:val="true"/>
              </w:rPr>
              <w:t>:</w:t>
              <w:tab/>
            </w:r>
            <w:r>
              <w:rPr>
                <w:rStyle w:val="IndexLink"/>
              </w:rPr>
              <w:t>572</w:t>
            </w:r>
          </w:hyperlink>
        </w:p>
        <w:p>
          <w:pPr>
            <w:pStyle w:val="Contents4"/>
            <w:tabs>
              <w:tab w:val="clear" w:pos="8176"/>
              <w:tab w:val="right" w:pos="9026" w:leader="dot"/>
            </w:tabs>
            <w:rPr/>
          </w:pPr>
          <w:hyperlink w:anchor="__RefHeading___Toc375723_1067777946">
            <w:r>
              <w:rPr>
                <w:webHidden/>
                <w:rStyle w:val="IndexLink"/>
                <w:rtl w:val="true"/>
              </w:rPr>
              <w:t>سؤال في الوصيّة</w:t>
            </w:r>
            <w:r>
              <w:rPr>
                <w:rStyle w:val="IndexLink"/>
                <w:rtl w:val="true"/>
              </w:rPr>
              <w:tab/>
            </w:r>
            <w:r>
              <w:rPr>
                <w:rStyle w:val="IndexLink"/>
              </w:rPr>
              <w:t>574</w:t>
            </w:r>
          </w:hyperlink>
        </w:p>
        <w:p>
          <w:pPr>
            <w:pStyle w:val="Contents4"/>
            <w:tabs>
              <w:tab w:val="clear" w:pos="8176"/>
              <w:tab w:val="right" w:pos="9026" w:leader="dot"/>
            </w:tabs>
            <w:rPr/>
          </w:pPr>
          <w:hyperlink w:anchor="__RefHeading___Toc375725_1067777946">
            <w:r>
              <w:rPr>
                <w:webHidden/>
                <w:rStyle w:val="IndexLink"/>
                <w:rtl w:val="true"/>
              </w:rPr>
              <w:t>القهوة وحبّ البن والحشيشة حرام أم حلال؟</w:t>
            </w:r>
            <w:r>
              <w:rPr>
                <w:rStyle w:val="IndexLink"/>
                <w:rtl w:val="true"/>
              </w:rPr>
              <w:tab/>
            </w:r>
            <w:r>
              <w:rPr>
                <w:rStyle w:val="IndexLink"/>
              </w:rPr>
              <w:t>576</w:t>
            </w:r>
          </w:hyperlink>
        </w:p>
        <w:p>
          <w:pPr>
            <w:pStyle w:val="Contents3"/>
            <w:tabs>
              <w:tab w:val="clear" w:pos="8459"/>
              <w:tab w:val="right" w:pos="9026" w:leader="dot"/>
            </w:tabs>
            <w:rPr/>
          </w:pPr>
          <w:hyperlink w:anchor="__RefHeading___Toc375727_1067777946">
            <w:r>
              <w:rPr>
                <w:webHidden/>
                <w:rStyle w:val="IndexLink"/>
              </w:rPr>
              <w:t>28</w:t>
            </w:r>
            <w:r>
              <w:rPr>
                <w:rStyle w:val="IndexLink"/>
                <w:rtl w:val="true"/>
              </w:rPr>
              <w:t xml:space="preserve">. </w:t>
            </w:r>
            <w:r>
              <w:rPr>
                <w:rStyle w:val="IndexLink"/>
                <w:rtl w:val="true"/>
              </w:rPr>
              <w:t>أجوبة مسائل الشيخ أحمد المازحي</w:t>
            </w:r>
            <w:r>
              <w:rPr>
                <w:rStyle w:val="IndexLink"/>
                <w:rtl w:val="true"/>
              </w:rPr>
              <w:tab/>
            </w:r>
            <w:r>
              <w:rPr>
                <w:rStyle w:val="IndexLink"/>
              </w:rPr>
              <w:t>580</w:t>
            </w:r>
          </w:hyperlink>
        </w:p>
        <w:p>
          <w:pPr>
            <w:pStyle w:val="Contents4"/>
            <w:tabs>
              <w:tab w:val="clear" w:pos="8176"/>
              <w:tab w:val="right" w:pos="9026" w:leader="dot"/>
            </w:tabs>
            <w:rPr/>
          </w:pPr>
          <w:hyperlink w:anchor="__RefHeading___Toc375729_1067777946">
            <w:r>
              <w:rPr>
                <w:webHidden/>
                <w:rStyle w:val="IndexLink"/>
                <w:rtl w:val="true"/>
              </w:rPr>
              <w:t>إشارة</w:t>
            </w:r>
            <w:r>
              <w:rPr>
                <w:rStyle w:val="IndexLink"/>
                <w:rtl w:val="true"/>
              </w:rPr>
              <w:t>:</w:t>
              <w:tab/>
            </w:r>
            <w:r>
              <w:rPr>
                <w:rStyle w:val="IndexLink"/>
              </w:rPr>
              <w:t>580</w:t>
            </w:r>
          </w:hyperlink>
        </w:p>
        <w:p>
          <w:pPr>
            <w:pStyle w:val="Contents4"/>
            <w:tabs>
              <w:tab w:val="clear" w:pos="8176"/>
              <w:tab w:val="right" w:pos="9026" w:leader="dot"/>
            </w:tabs>
            <w:rPr/>
          </w:pPr>
          <w:hyperlink w:anchor="__RefHeading___Toc375731_1067777946">
            <w:r>
              <w:rPr>
                <w:webHidden/>
                <w:rStyle w:val="IndexLink"/>
                <w:rtl w:val="true"/>
              </w:rPr>
              <w:t>العلاقة بين صلة في زيادة العمر و بين الأجل المكتوب</w:t>
            </w:r>
            <w:r>
              <w:rPr>
                <w:rStyle w:val="IndexLink"/>
                <w:rtl w:val="true"/>
              </w:rPr>
              <w:tab/>
            </w:r>
            <w:r>
              <w:rPr>
                <w:rStyle w:val="IndexLink"/>
              </w:rPr>
              <w:t>582</w:t>
            </w:r>
          </w:hyperlink>
        </w:p>
        <w:p>
          <w:pPr>
            <w:pStyle w:val="Contents4"/>
            <w:tabs>
              <w:tab w:val="clear" w:pos="8176"/>
              <w:tab w:val="right" w:pos="9026" w:leader="dot"/>
            </w:tabs>
            <w:rPr/>
          </w:pPr>
          <w:hyperlink w:anchor="__RefHeading___Toc375733_1067777946">
            <w:r>
              <w:rPr>
                <w:webHidden/>
                <w:rStyle w:val="IndexLink"/>
                <w:rtl w:val="true"/>
              </w:rPr>
              <w:t>إباحة التصرّف في الثمار في الأشجار بعد إعراض المالك</w:t>
            </w:r>
            <w:r>
              <w:rPr>
                <w:rStyle w:val="IndexLink"/>
                <w:rtl w:val="true"/>
              </w:rPr>
              <w:tab/>
            </w:r>
            <w:r>
              <w:rPr>
                <w:rStyle w:val="IndexLink"/>
              </w:rPr>
              <w:t>585</w:t>
            </w:r>
          </w:hyperlink>
        </w:p>
        <w:p>
          <w:pPr>
            <w:pStyle w:val="Contents4"/>
            <w:tabs>
              <w:tab w:val="clear" w:pos="8176"/>
              <w:tab w:val="right" w:pos="9026" w:leader="dot"/>
            </w:tabs>
            <w:rPr/>
          </w:pPr>
          <w:hyperlink w:anchor="__RefHeading___Toc375735_1067777946">
            <w:r>
              <w:rPr>
                <w:webHidden/>
                <w:rStyle w:val="IndexLink"/>
                <w:rtl w:val="true"/>
              </w:rPr>
              <w:t xml:space="preserve">النذر على الإمام </w:t>
            </w:r>
            <w:r>
              <w:rPr>
                <w:rStyle w:val="IndexLink"/>
                <w:rtl w:val="true"/>
              </w:rPr>
              <w:t>(</w:t>
            </w:r>
            <w:r>
              <w:rPr>
                <w:rStyle w:val="IndexLink"/>
                <w:rtl w:val="true"/>
              </w:rPr>
              <w:t>عَلَيهِ السَّلَامُ</w:t>
            </w:r>
            <w:r>
              <w:rPr>
                <w:rStyle w:val="IndexLink"/>
                <w:rtl w:val="true"/>
              </w:rPr>
              <w:t>)</w:t>
              <w:tab/>
            </w:r>
            <w:r>
              <w:rPr>
                <w:rStyle w:val="IndexLink"/>
              </w:rPr>
              <w:t>587</w:t>
            </w:r>
          </w:hyperlink>
        </w:p>
        <w:p>
          <w:pPr>
            <w:pStyle w:val="Contents4"/>
            <w:tabs>
              <w:tab w:val="clear" w:pos="8176"/>
              <w:tab w:val="right" w:pos="9026" w:leader="dot"/>
            </w:tabs>
            <w:rPr/>
          </w:pPr>
          <w:hyperlink w:anchor="__RefHeading___Toc375737_1067777946">
            <w:r>
              <w:rPr>
                <w:webHidden/>
                <w:rStyle w:val="IndexLink"/>
                <w:rtl w:val="true"/>
              </w:rPr>
              <w:t>المال المغصوب لا يجب أخذه وإيصاله إلى أهله</w:t>
            </w:r>
            <w:r>
              <w:rPr>
                <w:rStyle w:val="IndexLink"/>
                <w:rtl w:val="true"/>
              </w:rPr>
              <w:tab/>
            </w:r>
            <w:r>
              <w:rPr>
                <w:rStyle w:val="IndexLink"/>
              </w:rPr>
              <w:t>590</w:t>
            </w:r>
          </w:hyperlink>
        </w:p>
        <w:p>
          <w:pPr>
            <w:pStyle w:val="Contents4"/>
            <w:tabs>
              <w:tab w:val="clear" w:pos="8176"/>
              <w:tab w:val="right" w:pos="9026" w:leader="dot"/>
            </w:tabs>
            <w:rPr/>
          </w:pPr>
          <w:hyperlink w:anchor="__RefHeading___Toc375739_1067777946">
            <w:r>
              <w:rPr>
                <w:webHidden/>
                <w:rStyle w:val="IndexLink"/>
                <w:rtl w:val="true"/>
              </w:rPr>
              <w:t>انتفاع المسلم بالأرض المختصة بالإمام</w:t>
            </w:r>
            <w:r>
              <w:rPr>
                <w:rStyle w:val="IndexLink"/>
                <w:rtl w:val="true"/>
              </w:rPr>
              <w:tab/>
            </w:r>
            <w:r>
              <w:rPr>
                <w:rStyle w:val="IndexLink"/>
              </w:rPr>
              <w:t>592</w:t>
            </w:r>
          </w:hyperlink>
        </w:p>
        <w:p>
          <w:pPr>
            <w:pStyle w:val="Contents4"/>
            <w:tabs>
              <w:tab w:val="clear" w:pos="8176"/>
              <w:tab w:val="right" w:pos="9026" w:leader="dot"/>
            </w:tabs>
            <w:rPr/>
          </w:pPr>
          <w:hyperlink w:anchor="__RefHeading___Toc375741_1067777946">
            <w:r>
              <w:rPr>
                <w:webHidden/>
                <w:rStyle w:val="IndexLink"/>
                <w:rtl w:val="true"/>
              </w:rPr>
              <w:t xml:space="preserve">تفسير آية </w:t>
            </w:r>
            <w:r>
              <w:rPr>
                <w:rStyle w:val="IndexLink"/>
                <w:rtl w:val="true"/>
              </w:rPr>
              <w:t>«</w:t>
            </w:r>
            <w:r>
              <w:rPr>
                <w:rStyle w:val="IndexLink"/>
                <w:rtl w:val="true"/>
              </w:rPr>
              <w:t>وَإِن تُبْدُواْ مَا فِي أَنفُسِكُمْ أَوْ تُخْفُوهُ يُحَاسِبْكُم بِهِ اللّه</w:t>
            </w:r>
            <w:r>
              <w:rPr>
                <w:rStyle w:val="IndexLink"/>
                <w:rtl w:val="true"/>
              </w:rPr>
              <w:t>»:</w:t>
              <w:tab/>
            </w:r>
            <w:r>
              <w:rPr>
                <w:rStyle w:val="IndexLink"/>
              </w:rPr>
              <w:t>596</w:t>
            </w:r>
          </w:hyperlink>
        </w:p>
        <w:p>
          <w:pPr>
            <w:pStyle w:val="Contents4"/>
            <w:tabs>
              <w:tab w:val="clear" w:pos="8176"/>
              <w:tab w:val="right" w:pos="9026" w:leader="dot"/>
            </w:tabs>
            <w:rPr/>
          </w:pPr>
          <w:hyperlink w:anchor="__RefHeading___Toc375743_1067777946">
            <w:r>
              <w:rPr>
                <w:webHidden/>
                <w:rStyle w:val="IndexLink"/>
                <w:rtl w:val="true"/>
              </w:rPr>
              <w:t>نقل فرش مسجد إلى مسجد آخر</w:t>
            </w:r>
            <w:r>
              <w:rPr>
                <w:rStyle w:val="IndexLink"/>
                <w:rtl w:val="true"/>
              </w:rPr>
              <w:tab/>
            </w:r>
            <w:r>
              <w:rPr>
                <w:rStyle w:val="IndexLink"/>
              </w:rPr>
              <w:t>598</w:t>
            </w:r>
          </w:hyperlink>
        </w:p>
        <w:p>
          <w:pPr>
            <w:pStyle w:val="Contents3"/>
            <w:tabs>
              <w:tab w:val="clear" w:pos="8459"/>
              <w:tab w:val="right" w:pos="9026" w:leader="dot"/>
            </w:tabs>
            <w:rPr/>
          </w:pPr>
          <w:hyperlink w:anchor="__RefHeading___Toc375745_1067777946">
            <w:r>
              <w:rPr>
                <w:webHidden/>
                <w:rStyle w:val="IndexLink"/>
              </w:rPr>
              <w:t>29</w:t>
            </w:r>
            <w:r>
              <w:rPr>
                <w:rStyle w:val="IndexLink"/>
                <w:rtl w:val="true"/>
              </w:rPr>
              <w:t xml:space="preserve">. </w:t>
            </w:r>
            <w:r>
              <w:rPr>
                <w:rStyle w:val="IndexLink"/>
                <w:rtl w:val="true"/>
              </w:rPr>
              <w:t>أجوبة مسائل السيد شرف الدين السمّاكي</w:t>
            </w:r>
            <w:r>
              <w:rPr>
                <w:rStyle w:val="IndexLink"/>
                <w:rtl w:val="true"/>
              </w:rPr>
              <w:tab/>
            </w:r>
            <w:r>
              <w:rPr>
                <w:rStyle w:val="IndexLink"/>
              </w:rPr>
              <w:t>602</w:t>
            </w:r>
          </w:hyperlink>
        </w:p>
        <w:p>
          <w:pPr>
            <w:pStyle w:val="Contents4"/>
            <w:tabs>
              <w:tab w:val="clear" w:pos="8176"/>
              <w:tab w:val="right" w:pos="9026" w:leader="dot"/>
            </w:tabs>
            <w:rPr/>
          </w:pPr>
          <w:hyperlink w:anchor="__RefHeading___Toc375747_1067777946">
            <w:r>
              <w:rPr>
                <w:webHidden/>
                <w:rStyle w:val="IndexLink"/>
                <w:rtl w:val="true"/>
              </w:rPr>
              <w:t>إشارة</w:t>
            </w:r>
            <w:r>
              <w:rPr>
                <w:rStyle w:val="IndexLink"/>
                <w:rtl w:val="true"/>
              </w:rPr>
              <w:t>:</w:t>
              <w:tab/>
            </w:r>
            <w:r>
              <w:rPr>
                <w:rStyle w:val="IndexLink"/>
              </w:rPr>
              <w:t>602</w:t>
            </w:r>
          </w:hyperlink>
        </w:p>
        <w:p>
          <w:pPr>
            <w:pStyle w:val="Contents4"/>
            <w:tabs>
              <w:tab w:val="clear" w:pos="8176"/>
              <w:tab w:val="right" w:pos="9026" w:leader="dot"/>
            </w:tabs>
            <w:rPr/>
          </w:pPr>
          <w:hyperlink w:anchor="__RefHeading___Toc375749_1067777946">
            <w:r>
              <w:rPr>
                <w:webHidden/>
                <w:rStyle w:val="IndexLink"/>
                <w:rtl w:val="true"/>
              </w:rPr>
              <w:t>سؤال عن كيفية غسل المني الذى على البدن</w:t>
            </w:r>
            <w:r>
              <w:rPr>
                <w:rStyle w:val="IndexLink"/>
                <w:rtl w:val="true"/>
              </w:rPr>
              <w:tab/>
            </w:r>
            <w:r>
              <w:rPr>
                <w:rStyle w:val="IndexLink"/>
              </w:rPr>
              <w:t>604</w:t>
            </w:r>
          </w:hyperlink>
        </w:p>
        <w:p>
          <w:pPr>
            <w:pStyle w:val="Contents4"/>
            <w:tabs>
              <w:tab w:val="clear" w:pos="8176"/>
              <w:tab w:val="right" w:pos="9026" w:leader="dot"/>
            </w:tabs>
            <w:rPr/>
          </w:pPr>
          <w:hyperlink w:anchor="__RefHeading___Toc375751_1067777946">
            <w:r>
              <w:rPr>
                <w:webHidden/>
                <w:rStyle w:val="IndexLink"/>
                <w:rtl w:val="true"/>
              </w:rPr>
              <w:t>بعض عبارات الفقهاء في المسألة السابقة</w:t>
            </w:r>
            <w:r>
              <w:rPr>
                <w:rStyle w:val="IndexLink"/>
                <w:rtl w:val="true"/>
              </w:rPr>
              <w:tab/>
            </w:r>
            <w:r>
              <w:rPr>
                <w:rStyle w:val="IndexLink"/>
              </w:rPr>
              <w:t>608</w:t>
            </w:r>
          </w:hyperlink>
        </w:p>
        <w:p>
          <w:pPr>
            <w:pStyle w:val="Contents4"/>
            <w:tabs>
              <w:tab w:val="clear" w:pos="8176"/>
              <w:tab w:val="right" w:pos="9026" w:leader="dot"/>
            </w:tabs>
            <w:rPr/>
          </w:pPr>
          <w:hyperlink w:anchor="__RefHeading___Toc375753_1067777946">
            <w:r>
              <w:rPr>
                <w:webHidden/>
                <w:rStyle w:val="IndexLink"/>
                <w:rtl w:val="true"/>
              </w:rPr>
              <w:t>قطعة جلد الإنسان المنفصلة طاهرة أم لا ؟</w:t>
            </w:r>
            <w:r>
              <w:rPr>
                <w:rStyle w:val="IndexLink"/>
                <w:rtl w:val="true"/>
              </w:rPr>
              <w:tab/>
            </w:r>
            <w:r>
              <w:rPr>
                <w:rStyle w:val="IndexLink"/>
              </w:rPr>
              <w:t>610</w:t>
            </w:r>
          </w:hyperlink>
        </w:p>
        <w:p>
          <w:pPr>
            <w:pStyle w:val="Contents4"/>
            <w:tabs>
              <w:tab w:val="clear" w:pos="8176"/>
              <w:tab w:val="right" w:pos="9026" w:leader="dot"/>
            </w:tabs>
            <w:rPr/>
          </w:pPr>
          <w:hyperlink w:anchor="__RefHeading___Toc375755_1067777946">
            <w:r>
              <w:rPr>
                <w:webHidden/>
                <w:rStyle w:val="IndexLink"/>
                <w:rtl w:val="true"/>
              </w:rPr>
              <w:t>إذا كانت القطعة المذكورة خالية من عظم</w:t>
            </w:r>
            <w:r>
              <w:rPr>
                <w:rStyle w:val="IndexLink"/>
                <w:rtl w:val="true"/>
              </w:rPr>
              <w:tab/>
            </w:r>
            <w:r>
              <w:rPr>
                <w:rStyle w:val="IndexLink"/>
              </w:rPr>
              <w:t>613</w:t>
            </w:r>
          </w:hyperlink>
        </w:p>
        <w:p>
          <w:pPr>
            <w:pStyle w:val="Contents4"/>
            <w:tabs>
              <w:tab w:val="clear" w:pos="8176"/>
              <w:tab w:val="right" w:pos="9026" w:leader="dot"/>
            </w:tabs>
            <w:rPr/>
          </w:pPr>
          <w:hyperlink w:anchor="__RefHeading___Toc375757_1067777946">
            <w:r>
              <w:rPr>
                <w:webHidden/>
                <w:rStyle w:val="IndexLink"/>
                <w:rtl w:val="true"/>
              </w:rPr>
              <w:t>وصيّة المريض</w:t>
            </w:r>
            <w:r>
              <w:rPr>
                <w:rStyle w:val="IndexLink"/>
                <w:rtl w:val="true"/>
              </w:rPr>
              <w:tab/>
            </w:r>
            <w:r>
              <w:rPr>
                <w:rStyle w:val="IndexLink"/>
              </w:rPr>
              <w:t>615</w:t>
            </w:r>
          </w:hyperlink>
        </w:p>
        <w:p>
          <w:pPr>
            <w:pStyle w:val="Contents3"/>
            <w:tabs>
              <w:tab w:val="clear" w:pos="8459"/>
              <w:tab w:val="right" w:pos="9026" w:leader="dot"/>
            </w:tabs>
            <w:rPr/>
          </w:pPr>
          <w:hyperlink w:anchor="__RefHeading___Toc375759_1067777946">
            <w:r>
              <w:rPr>
                <w:webHidden/>
                <w:rStyle w:val="IndexLink"/>
              </w:rPr>
              <w:t>30</w:t>
            </w:r>
            <w:r>
              <w:rPr>
                <w:rStyle w:val="IndexLink"/>
                <w:rtl w:val="true"/>
              </w:rPr>
              <w:t xml:space="preserve">. </w:t>
            </w:r>
            <w:r>
              <w:rPr>
                <w:rStyle w:val="IndexLink"/>
                <w:rtl w:val="true"/>
              </w:rPr>
              <w:t>أجوبة المسائل النجفيّة</w:t>
            </w:r>
            <w:r>
              <w:rPr>
                <w:rStyle w:val="IndexLink"/>
                <w:rtl w:val="true"/>
              </w:rPr>
              <w:tab/>
            </w:r>
            <w:r>
              <w:rPr>
                <w:rStyle w:val="IndexLink"/>
              </w:rPr>
              <w:t>620</w:t>
            </w:r>
          </w:hyperlink>
        </w:p>
        <w:p>
          <w:pPr>
            <w:pStyle w:val="Contents4"/>
            <w:tabs>
              <w:tab w:val="clear" w:pos="8176"/>
              <w:tab w:val="right" w:pos="9026" w:leader="dot"/>
            </w:tabs>
            <w:rPr/>
          </w:pPr>
          <w:hyperlink w:anchor="__RefHeading___Toc375761_1067777946">
            <w:r>
              <w:rPr>
                <w:webHidden/>
                <w:rStyle w:val="IndexLink"/>
                <w:rtl w:val="true"/>
              </w:rPr>
              <w:t>إشارة</w:t>
            </w:r>
            <w:r>
              <w:rPr>
                <w:rStyle w:val="IndexLink"/>
                <w:rtl w:val="true"/>
              </w:rPr>
              <w:t>:</w:t>
              <w:tab/>
            </w:r>
            <w:r>
              <w:rPr>
                <w:rStyle w:val="IndexLink"/>
              </w:rPr>
              <w:t>620</w:t>
            </w:r>
          </w:hyperlink>
        </w:p>
        <w:p>
          <w:pPr>
            <w:pStyle w:val="Contents4"/>
            <w:tabs>
              <w:tab w:val="clear" w:pos="8176"/>
              <w:tab w:val="right" w:pos="9026" w:leader="dot"/>
            </w:tabs>
            <w:rPr/>
          </w:pPr>
          <w:hyperlink w:anchor="__RefHeading___Toc375763_1067777946">
            <w:r>
              <w:rPr>
                <w:webHidden/>
                <w:rStyle w:val="IndexLink"/>
                <w:rtl w:val="true"/>
              </w:rPr>
              <w:t>مسألة في الضمان</w:t>
            </w:r>
            <w:r>
              <w:rPr>
                <w:rStyle w:val="IndexLink"/>
                <w:rtl w:val="true"/>
              </w:rPr>
              <w:tab/>
            </w:r>
            <w:r>
              <w:rPr>
                <w:rStyle w:val="IndexLink"/>
              </w:rPr>
              <w:t>622</w:t>
            </w:r>
          </w:hyperlink>
        </w:p>
        <w:p>
          <w:pPr>
            <w:pStyle w:val="Contents4"/>
            <w:tabs>
              <w:tab w:val="clear" w:pos="8176"/>
              <w:tab w:val="right" w:pos="9026" w:leader="dot"/>
            </w:tabs>
            <w:rPr/>
          </w:pPr>
          <w:hyperlink w:anchor="__RefHeading___Toc375765_1067777946">
            <w:r>
              <w:rPr>
                <w:webHidden/>
                <w:rStyle w:val="IndexLink"/>
                <w:rtl w:val="true"/>
              </w:rPr>
              <w:t>البيع مع الخيار وتصرّف المشتري في العين</w:t>
            </w:r>
            <w:r>
              <w:rPr>
                <w:rStyle w:val="IndexLink"/>
                <w:rtl w:val="true"/>
              </w:rPr>
              <w:tab/>
            </w:r>
            <w:r>
              <w:rPr>
                <w:rStyle w:val="IndexLink"/>
              </w:rPr>
              <w:t>624</w:t>
            </w:r>
          </w:hyperlink>
        </w:p>
        <w:p>
          <w:pPr>
            <w:pStyle w:val="Contents4"/>
            <w:tabs>
              <w:tab w:val="clear" w:pos="8176"/>
              <w:tab w:val="right" w:pos="9026" w:leader="dot"/>
            </w:tabs>
            <w:rPr/>
          </w:pPr>
          <w:hyperlink w:anchor="__RefHeading___Toc375767_1067777946">
            <w:r>
              <w:rPr>
                <w:webHidden/>
                <w:rStyle w:val="IndexLink"/>
                <w:rtl w:val="true"/>
              </w:rPr>
              <w:t>طلاق الغائب</w:t>
            </w:r>
            <w:r>
              <w:rPr>
                <w:rStyle w:val="IndexLink"/>
                <w:rtl w:val="true"/>
              </w:rPr>
              <w:tab/>
            </w:r>
            <w:r>
              <w:rPr>
                <w:rStyle w:val="IndexLink"/>
              </w:rPr>
              <w:t>626</w:t>
            </w:r>
          </w:hyperlink>
        </w:p>
        <w:p>
          <w:pPr>
            <w:pStyle w:val="Contents4"/>
            <w:tabs>
              <w:tab w:val="clear" w:pos="8176"/>
              <w:tab w:val="right" w:pos="9026" w:leader="dot"/>
            </w:tabs>
            <w:rPr/>
          </w:pPr>
          <w:hyperlink w:anchor="__RefHeading___Toc375769_1067777946">
            <w:r>
              <w:rPr>
                <w:webHidden/>
                <w:rStyle w:val="IndexLink"/>
                <w:rtl w:val="true"/>
              </w:rPr>
              <w:t>التسليم على المصلّي</w:t>
            </w:r>
            <w:r>
              <w:rPr>
                <w:rStyle w:val="IndexLink"/>
                <w:rtl w:val="true"/>
              </w:rPr>
              <w:tab/>
            </w:r>
            <w:r>
              <w:rPr>
                <w:rStyle w:val="IndexLink"/>
              </w:rPr>
              <w:t>629</w:t>
            </w:r>
          </w:hyperlink>
        </w:p>
        <w:p>
          <w:pPr>
            <w:pStyle w:val="Contents4"/>
            <w:tabs>
              <w:tab w:val="clear" w:pos="8176"/>
              <w:tab w:val="right" w:pos="9026" w:leader="dot"/>
            </w:tabs>
            <w:rPr/>
          </w:pPr>
          <w:hyperlink w:anchor="__RefHeading___Toc375771_1067777946">
            <w:r>
              <w:rPr>
                <w:webHidden/>
                <w:rStyle w:val="IndexLink"/>
                <w:rtl w:val="true"/>
              </w:rPr>
              <w:t>تيقن الطهارة والحدث والشكّ في السابق</w:t>
            </w:r>
            <w:r>
              <w:rPr>
                <w:rStyle w:val="IndexLink"/>
                <w:rtl w:val="true"/>
              </w:rPr>
              <w:tab/>
            </w:r>
            <w:r>
              <w:rPr>
                <w:rStyle w:val="IndexLink"/>
              </w:rPr>
              <w:t>633</w:t>
            </w:r>
          </w:hyperlink>
        </w:p>
        <w:p>
          <w:pPr>
            <w:pStyle w:val="Contents4"/>
            <w:tabs>
              <w:tab w:val="clear" w:pos="8176"/>
              <w:tab w:val="right" w:pos="9026" w:leader="dot"/>
            </w:tabs>
            <w:rPr/>
          </w:pPr>
          <w:hyperlink w:anchor="__RefHeading___Toc375773_1067777946">
            <w:r>
              <w:rPr>
                <w:webHidden/>
                <w:rStyle w:val="IndexLink"/>
                <w:rtl w:val="true"/>
              </w:rPr>
              <w:t>الشك بين الأربع والخمس بعد الركوع وقبل السجود</w:t>
            </w:r>
            <w:r>
              <w:rPr>
                <w:rStyle w:val="IndexLink"/>
                <w:rtl w:val="true"/>
              </w:rPr>
              <w:tab/>
            </w:r>
            <w:r>
              <w:rPr>
                <w:rStyle w:val="IndexLink"/>
              </w:rPr>
              <w:t>635</w:t>
            </w:r>
          </w:hyperlink>
        </w:p>
        <w:p>
          <w:pPr>
            <w:pStyle w:val="Contents4"/>
            <w:tabs>
              <w:tab w:val="clear" w:pos="8176"/>
              <w:tab w:val="right" w:pos="9026" w:leader="dot"/>
            </w:tabs>
            <w:rPr/>
          </w:pPr>
          <w:hyperlink w:anchor="__RefHeading___Toc375775_1067777946">
            <w:r>
              <w:rPr>
                <w:webHidden/>
                <w:rStyle w:val="IndexLink"/>
                <w:rtl w:val="true"/>
              </w:rPr>
              <w:t>المتيمم وجد الماء وتمكن من استعماله</w:t>
            </w:r>
            <w:r>
              <w:rPr>
                <w:rStyle w:val="IndexLink"/>
                <w:rtl w:val="true"/>
              </w:rPr>
              <w:tab/>
            </w:r>
            <w:r>
              <w:rPr>
                <w:rStyle w:val="IndexLink"/>
              </w:rPr>
              <w:t>640</w:t>
            </w:r>
          </w:hyperlink>
        </w:p>
        <w:p>
          <w:pPr>
            <w:pStyle w:val="Contents4"/>
            <w:tabs>
              <w:tab w:val="clear" w:pos="8176"/>
              <w:tab w:val="right" w:pos="9026" w:leader="dot"/>
            </w:tabs>
            <w:rPr/>
          </w:pPr>
          <w:hyperlink w:anchor="__RefHeading___Toc375777_1067777946">
            <w:r>
              <w:rPr>
                <w:webHidden/>
                <w:rStyle w:val="IndexLink"/>
                <w:rtl w:val="true"/>
              </w:rPr>
              <w:t>في الوصيّة</w:t>
            </w:r>
            <w:r>
              <w:rPr>
                <w:rStyle w:val="IndexLink"/>
                <w:rtl w:val="true"/>
              </w:rPr>
              <w:tab/>
            </w:r>
            <w:r>
              <w:rPr>
                <w:rStyle w:val="IndexLink"/>
              </w:rPr>
              <w:t>642</w:t>
            </w:r>
          </w:hyperlink>
        </w:p>
        <w:p>
          <w:pPr>
            <w:pStyle w:val="Contents4"/>
            <w:tabs>
              <w:tab w:val="clear" w:pos="8176"/>
              <w:tab w:val="right" w:pos="9026" w:leader="dot"/>
            </w:tabs>
            <w:rPr/>
          </w:pPr>
          <w:hyperlink w:anchor="__RefHeading___Toc375779_1067777946">
            <w:r>
              <w:rPr>
                <w:webHidden/>
                <w:rStyle w:val="IndexLink"/>
                <w:rtl w:val="true"/>
              </w:rPr>
              <w:t>العقد على امرأتين لمن عنده ثلاث زوجات</w:t>
            </w:r>
            <w:r>
              <w:rPr>
                <w:rStyle w:val="IndexLink"/>
                <w:rtl w:val="true"/>
              </w:rPr>
              <w:tab/>
            </w:r>
            <w:r>
              <w:rPr>
                <w:rStyle w:val="IndexLink"/>
              </w:rPr>
              <w:t>647</w:t>
            </w:r>
          </w:hyperlink>
        </w:p>
        <w:p>
          <w:pPr>
            <w:pStyle w:val="Contents4"/>
            <w:tabs>
              <w:tab w:val="clear" w:pos="8176"/>
              <w:tab w:val="right" w:pos="9026" w:leader="dot"/>
            </w:tabs>
            <w:rPr/>
          </w:pPr>
          <w:hyperlink w:anchor="__RefHeading___Toc375781_1067777946">
            <w:r>
              <w:rPr>
                <w:webHidden/>
                <w:rStyle w:val="IndexLink"/>
                <w:rtl w:val="true"/>
              </w:rPr>
              <w:t>مسألة في القسمة، وشرح عبارة من الشرائع</w:t>
            </w:r>
            <w:r>
              <w:rPr>
                <w:rStyle w:val="IndexLink"/>
                <w:rtl w:val="true"/>
              </w:rPr>
              <w:tab/>
            </w:r>
            <w:r>
              <w:rPr>
                <w:rStyle w:val="IndexLink"/>
              </w:rPr>
              <w:t>649</w:t>
            </w:r>
          </w:hyperlink>
        </w:p>
        <w:p>
          <w:pPr>
            <w:pStyle w:val="Contents4"/>
            <w:tabs>
              <w:tab w:val="clear" w:pos="8176"/>
              <w:tab w:val="right" w:pos="9026" w:leader="dot"/>
            </w:tabs>
            <w:rPr/>
          </w:pPr>
          <w:hyperlink w:anchor="__RefHeading___Toc375783_1067777946">
            <w:r>
              <w:rPr>
                <w:webHidden/>
                <w:rStyle w:val="IndexLink"/>
                <w:rtl w:val="true"/>
              </w:rPr>
              <w:t>تقرير دليل حصّة الذكر حصّة أُنثيين</w:t>
            </w:r>
            <w:r>
              <w:rPr>
                <w:rStyle w:val="IndexLink"/>
                <w:rtl w:val="true"/>
              </w:rPr>
              <w:tab/>
            </w:r>
            <w:r>
              <w:rPr>
                <w:rStyle w:val="IndexLink"/>
              </w:rPr>
              <w:t>651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11_91833"/>
      <w:bookmarkStart w:id="1" w:name="pg10111_91833"/>
      <w:bookmarkEnd w:id="1"/>
    </w:p>
    <w:p>
      <w:pPr>
        <w:pStyle w:val="Heading2"/>
        <w:numPr>
          <w:ilvl w:val="1"/>
          <w:numId w:val="1"/>
        </w:numPr>
        <w:rPr/>
      </w:pPr>
      <w:bookmarkStart w:id="2" w:name="pg10111_91833"/>
      <w:bookmarkStart w:id="3" w:name="__RefHeading___Toc375185_1067777946"/>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الجُزءُ الثَالِث</w:t>
      </w:r>
    </w:p>
    <w:p>
      <w:pPr>
        <w:pStyle w:val="BookText"/>
        <w:rPr/>
      </w:pP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من المحقّقین بإشراف رضا المختاري</w:t>
      </w:r>
    </w:p>
    <w:p>
      <w:pPr>
        <w:pStyle w:val="BookText"/>
        <w:rPr/>
      </w:pPr>
      <w:r>
        <w:rPr>
          <w:rFonts w:ascii="Amiri" w:hAnsi="Amiri" w:eastAsia="Amiri" w:cs="Amiri"/>
          <w:color w:val="111111"/>
          <w:sz w:val="28"/>
          <w:sz w:val="28"/>
          <w:szCs w:val="28"/>
          <w:rtl w:val="true"/>
          <w:lang w:bidi="ar-SA"/>
        </w:rPr>
        <w:t>الإعداد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الإسلامي</w:t>
      </w:r>
    </w:p>
    <w:p>
      <w:pPr>
        <w:pStyle w:val="BookText"/>
        <w:rPr/>
      </w:pPr>
      <w:r>
        <w:rPr>
          <w:rFonts w:ascii="Amiri" w:hAnsi="Amiri" w:eastAsia="Amiri" w:cs="Amiri"/>
          <w:color w:val="111111"/>
          <w:sz w:val="28"/>
          <w:sz w:val="28"/>
          <w:szCs w:val="28"/>
          <w:rtl w:val="true"/>
          <w:lang w:bidi="ar-SA"/>
        </w:rPr>
        <w:t>الطباعة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الباقري</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الجُزءُ الثالث</w:t>
      </w:r>
    </w:p>
    <w:p>
      <w:pPr>
        <w:pStyle w:val="BookText"/>
        <w:rPr/>
      </w:pPr>
      <w:r>
        <w:rPr>
          <w:rFonts w:ascii="IRNazanin" w:hAnsi="IRNazanin" w:eastAsia="IRNazanin"/>
          <w:color w:val="111111"/>
          <w:sz w:val="28"/>
          <w:sz w:val="28"/>
          <w:szCs w:val="28"/>
          <w:rtl w:val="true"/>
          <w:lang w:bidi="fa-IR"/>
        </w:rPr>
        <w:t xml:space="preserve">الرسائل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مركز إحياء التراث الإسلامي</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حاتمی فرد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5187_106777794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IRNazanin" w:hAnsi="IRNazanin" w:eastAsia="IRNazanin"/>
          <w:color w:val="111111"/>
          <w:sz w:val="28"/>
          <w:sz w:val="28"/>
          <w:szCs w:val="28"/>
          <w:rtl w:val="true"/>
          <w:lang w:bidi="fa-IR"/>
        </w:rPr>
        <w:t xml:space="preserve">الرسائل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إحياء التراث الإسلامي </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IRNazanin" w:hAnsi="IRNazanin" w:eastAsia="IRNazanin"/>
          <w:color w:val="111111"/>
          <w:sz w:val="28"/>
          <w:sz w:val="28"/>
          <w:szCs w:val="28"/>
          <w:rtl w:val="true"/>
          <w:lang w:bidi="fa-IR"/>
        </w:rPr>
        <w:t xml:space="preserve">الجزء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الرسائل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من المحقّقین بإشراف رضا المختاري</w:t>
      </w:r>
    </w:p>
    <w:p>
      <w:pPr>
        <w:pStyle w:val="BookText"/>
        <w:rPr/>
      </w:pPr>
      <w:r>
        <w:rPr>
          <w:rFonts w:ascii="Amiri" w:hAnsi="Amiri" w:eastAsia="Amiri" w:cs="Amiri"/>
          <w:color w:val="111111"/>
          <w:sz w:val="28"/>
          <w:sz w:val="28"/>
          <w:szCs w:val="28"/>
          <w:rtl w:val="true"/>
          <w:lang w:bidi="ar-SA"/>
        </w:rPr>
        <w:t>الإعداد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الإسلامي</w:t>
      </w:r>
    </w:p>
    <w:p>
      <w:pPr>
        <w:pStyle w:val="BookText"/>
        <w:rPr/>
      </w:pPr>
      <w:r>
        <w:rPr>
          <w:rFonts w:ascii="Amiri" w:hAnsi="Amiri" w:eastAsia="Amiri" w:cs="Amiri"/>
          <w:color w:val="111111"/>
          <w:sz w:val="28"/>
          <w:sz w:val="28"/>
          <w:szCs w:val="28"/>
          <w:rtl w:val="true"/>
          <w:lang w:bidi="ar-SA"/>
        </w:rPr>
        <w:t>الطباعة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الباقري</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شارع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زقاق آمار، الرقم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التلفون والفاكس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7832833</w:t>
      </w:r>
      <w:r>
        <w:rPr>
          <w:rFonts w:ascii="Amiri" w:hAnsi="Amiri" w:eastAsia="Amiri" w:cs="Amiri"/>
          <w:color w:val="111111"/>
          <w:sz w:val="28"/>
          <w:sz w:val="28"/>
          <w:szCs w:val="28"/>
          <w:rtl w:val="true"/>
          <w:lang w:bidi="ar-SA"/>
        </w:rPr>
        <w:t>،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7832834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66951534</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37185/3858</w:t>
      </w:r>
      <w:r>
        <w:rPr>
          <w:rFonts w:ascii="Amiri" w:hAnsi="Amiri" w:eastAsia="Amiri" w:cs="Amiri"/>
          <w:color w:val="111111"/>
          <w:sz w:val="28"/>
          <w:sz w:val="28"/>
          <w:szCs w:val="28"/>
          <w:rtl w:val="true"/>
          <w:lang w:bidi="ar-SA"/>
        </w:rPr>
        <w:t>، الرمز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37156</w:t>
      </w:r>
    </w:p>
    <w:p>
      <w:pPr>
        <w:pStyle w:val="BookText"/>
        <w:rPr/>
      </w:pPr>
      <w:r>
        <w:rPr>
          <w:rFonts w:ascii="IRNazanin" w:hAnsi="IRNazanin" w:eastAsia="IRNazanin"/>
          <w:color w:val="111111"/>
          <w:sz w:val="28"/>
          <w:sz w:val="28"/>
          <w:szCs w:val="28"/>
          <w:rtl w:val="true"/>
          <w:lang w:bidi="fa-IR"/>
        </w:rPr>
        <w:t xml:space="preserve">وب سایت </w:t>
      </w:r>
      <w:r>
        <w:rPr>
          <w:rFonts w:eastAsia="Times New Roman" w:cs="Times New Roman" w:ascii="Times New Roman" w:hAnsi="Times New Roman"/>
          <w:color w:val="111111"/>
          <w:sz w:val="28"/>
          <w:szCs w:val="28"/>
          <w:lang w:val="en-US" w:bidi="en-US"/>
        </w:rPr>
        <w:t>www.pub.isca.ac.ir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nashr@isca.ac.ir</w:t>
      </w:r>
    </w:p>
    <w:p>
      <w:pPr>
        <w:pStyle w:val="BookText"/>
        <w:rPr/>
      </w:pPr>
      <w:r>
        <w:rPr>
          <w:rFonts w:ascii="IRNazanin" w:hAnsi="IRNazanin" w:eastAsia="IRNazanin"/>
          <w:color w:val="111111"/>
          <w:sz w:val="28"/>
          <w:sz w:val="28"/>
          <w:szCs w:val="28"/>
          <w:rtl w:val="true"/>
          <w:lang w:bidi="fa-IR"/>
        </w:rPr>
        <w:t xml:space="preserve">شهید ثانی زین الدین بن على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موسوعة الشهيد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من المحقّقین بإشراف رضا المختاري، الإعداد والتحقيق مركز إحياء التراث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المركز العالي للعلوم والثقافة الإسلاميّة،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5570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نویسی بر اساس اطلاعات فیبا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مندرجات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دانش اندوزی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مذهبی –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آموزش و پرورش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و فرهنگ اسلامی مرکز احیای آثار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08 / 297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دلیل</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 حياته وآثاره</w:t>
      </w:r>
    </w:p>
    <w:p>
      <w:pPr>
        <w:pStyle w:val="BookText"/>
        <w:rPr/>
      </w:pP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المريد</w:t>
      </w:r>
    </w:p>
    <w:p>
      <w:pPr>
        <w:pStyle w:val="BookText"/>
        <w:rPr/>
      </w:pP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الريبة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التنبيهات العلية؛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مسكّن الفؤاد؛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الرعاية لحال البداية في علم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الثالث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تخفيف العباد في بيان أحوال الاجتهاد؛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تقليد الميّت؛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البئر؛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تيقّن الطهارة والحدث والشكّ في السابق منهما؛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الأصغر أثناء غسل الجنابة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 على صلاة الجمعة؛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يوم الجمعة؛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نتائج الأفكار في بيان حكم المقيمين في الأسفار؛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يجب معرفته من أحكام الحجّ والعمرة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نيّات الحجّ والعمرة؛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والعمرة؛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الغائب؛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الزوجة؛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الحبوة؛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شكر بن حمدان؛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السيّد ابن طرّاد الحسيني؛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زين الدين بن إدريس؛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الشيخ حسين بن زمعة المدني؛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الشيخ أحمد المازحي؛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السيّد شرف الدين السمّاكي؛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المسائل النجفيّة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الرابع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آية البسملة؛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الإسطنبولية في الواجبات العينيّة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والإرشاد إلى طريق الاجتهاد؛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نافعةٌ؛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الإجماع في زمن الغَيْبَة؛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لإجماعات نفسه؛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الشهيد بقلمه الشريف؛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الإجازات؛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الإنهاءات والبلاغات؛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الجزء الخامس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القواعد</w:t>
      </w:r>
    </w:p>
    <w:p>
      <w:pPr>
        <w:pStyle w:val="BookText"/>
        <w:rPr/>
      </w:pPr>
      <w:r>
        <w:rPr>
          <w:rFonts w:ascii="Amiri" w:hAnsi="Amiri" w:eastAsia="Amiri" w:cs="Amiri"/>
          <w:color w:val="111111"/>
          <w:sz w:val="28"/>
          <w:sz w:val="28"/>
          <w:szCs w:val="28"/>
          <w:rtl w:val="true"/>
          <w:lang w:bidi="ar-SA"/>
        </w:rPr>
        <w:t xml:space="preserve">الجزء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 في شرح اللمعة الدمشقية</w:t>
      </w:r>
    </w:p>
    <w:p>
      <w:pPr>
        <w:pStyle w:val="BookText"/>
        <w:rPr/>
      </w:pPr>
      <w:r>
        <w:rPr>
          <w:rFonts w:ascii="Amiri" w:hAnsi="Amiri" w:eastAsia="Amiri" w:cs="Amiri"/>
          <w:color w:val="111111"/>
          <w:sz w:val="28"/>
          <w:sz w:val="28"/>
          <w:szCs w:val="28"/>
          <w:rtl w:val="true"/>
          <w:lang w:bidi="ar-SA"/>
        </w:rPr>
        <w:t xml:space="preserve">الجزء العاشر والجزء الحادي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الجنان في شرح إرشاد الأذهان</w:t>
      </w:r>
    </w:p>
    <w:p>
      <w:pPr>
        <w:pStyle w:val="BookText"/>
        <w:rPr/>
      </w:pPr>
      <w:r>
        <w:rPr>
          <w:rFonts w:ascii="Amiri" w:hAnsi="Amiri" w:eastAsia="Amiri" w:cs="Amiri"/>
          <w:color w:val="111111"/>
          <w:sz w:val="28"/>
          <w:sz w:val="28"/>
          <w:szCs w:val="28"/>
          <w:rtl w:val="true"/>
          <w:lang w:bidi="ar-SA"/>
        </w:rPr>
        <w:t xml:space="preserve">الجزء الثاني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المقاصد العلية وحاشيتا الألفيّة</w:t>
      </w:r>
    </w:p>
    <w:p>
      <w:pPr>
        <w:pStyle w:val="BookText"/>
        <w:rPr/>
      </w:pPr>
      <w:r>
        <w:rPr>
          <w:rFonts w:ascii="Amiri" w:hAnsi="Amiri" w:eastAsia="Amiri" w:cs="Amiri"/>
          <w:color w:val="111111"/>
          <w:sz w:val="28"/>
          <w:sz w:val="28"/>
          <w:szCs w:val="28"/>
          <w:rtl w:val="true"/>
          <w:lang w:bidi="ar-SA"/>
        </w:rPr>
        <w:t xml:space="preserve">الجزء الثالث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المليّة لشرح الرسالة النفليّة</w:t>
      </w:r>
    </w:p>
    <w:p>
      <w:pPr>
        <w:pStyle w:val="BookText"/>
        <w:rPr/>
      </w:pPr>
      <w:r>
        <w:rPr>
          <w:rFonts w:ascii="Amiri" w:hAnsi="Amiri" w:eastAsia="Amiri" w:cs="Amiri"/>
          <w:color w:val="111111"/>
          <w:sz w:val="28"/>
          <w:sz w:val="28"/>
          <w:szCs w:val="28"/>
          <w:rtl w:val="true"/>
          <w:lang w:bidi="ar-SA"/>
        </w:rPr>
        <w:t xml:space="preserve">الجزء الرابع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شرائع الإسلام وحاشية المختصر النافع</w:t>
      </w:r>
    </w:p>
    <w:p>
      <w:pPr>
        <w:pStyle w:val="BookText"/>
        <w:rPr/>
      </w:pPr>
      <w:r>
        <w:rPr>
          <w:rFonts w:ascii="Amiri" w:hAnsi="Amiri" w:eastAsia="Amiri" w:cs="Amiri"/>
          <w:color w:val="111111"/>
          <w:sz w:val="28"/>
          <w:sz w:val="28"/>
          <w:szCs w:val="28"/>
          <w:rtl w:val="true"/>
          <w:lang w:bidi="ar-SA"/>
        </w:rPr>
        <w:t xml:space="preserve">الجزء الخامس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السادس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إرشاد الأذهان</w:t>
      </w:r>
    </w:p>
    <w:p>
      <w:pPr>
        <w:pStyle w:val="BookText"/>
        <w:rPr/>
      </w:pPr>
      <w:r>
        <w:rPr>
          <w:rFonts w:ascii="Amiri" w:hAnsi="Amiri" w:eastAsia="Amiri" w:cs="Amiri"/>
          <w:color w:val="111111"/>
          <w:sz w:val="28"/>
          <w:sz w:val="28"/>
          <w:szCs w:val="28"/>
          <w:rtl w:val="true"/>
          <w:lang w:bidi="ar-SA"/>
        </w:rPr>
        <w:t xml:space="preserve">الجزء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الثامن والعشرون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 إلى تنقيح شرائع الإسلام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التاسع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الفهارس </w:t>
      </w:r>
      <w:bookmarkStart w:id="7" w:name="pg10111_91839"/>
    </w:p>
    <w:p>
      <w:pPr>
        <w:pStyle w:val="Heading2"/>
        <w:numPr>
          <w:ilvl w:val="1"/>
          <w:numId w:val="1"/>
        </w:numPr>
        <w:rPr/>
      </w:pPr>
      <w:bookmarkStart w:id="8" w:name="__RefHeading___Toc375189_1067777946"/>
      <w:bookmarkStart w:id="9" w:name="_Toc3"/>
      <w:bookmarkEnd w:id="7"/>
      <w:bookmarkEnd w:id="8"/>
      <w:r>
        <w:rPr>
          <w:rtl w:val="true"/>
        </w:rPr>
        <w:t>فهرس الموضوعات</w:t>
      </w:r>
      <w:bookmarkEnd w:id="9"/>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نماذج من مصوّرات النسخ الخطّيّة المعتمدة في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والتقليد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تخفيف العباد في بيان أحوال الاجتهاد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قول المتأخّرين بالوجوب العيني للاجتهاد عند خلوّ العصر من مجتهد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مناقشة القول السابق في تعميمه الوجوب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مناقشة القول بسقوط قول المجتهد الميّت عن عن الاعتبار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خلو الزمان عن مجتهد بين المثبتين والنافين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اطلاع أهل العصر على الأعلم الأورع بين النفي والإثبات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تقليد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ردّ المؤلّف على أهل زمانه في كيفية التفقّه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الفرق بين نقل الرواية ونقل الفتوى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عدم إمكان اتّصال الوسائط في نقل الفتوى عن القدماء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لابد من تحصيل العدالة في فردٍ فردٍ من الوسائط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عدم الاجتهاد 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ضعف الهمم</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الردّ على القول بمساواة المجتهد الميّت للحيّ في العمل بفتواه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مناقشة القول بجواز العمل بفتوى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جواز القضاء للقاصر عن الاجتهاد والردّ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فتوى صريحة في بطلان الصلاة مع الإخلال بالتقليد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نصيحة الشهيد لطلبة زمانه وغيرهم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تعريف العدالة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تعريف التقوى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تعريف المروءة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ماء البئر</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اختلاف أصحابنا في نجاسة البئر بمجرّد الملاقاة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الأخبار الدالّة على النجاسة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الأخبار الدالّة على عدم النجاسة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مناقشة أدلّة القائلين بعدم النجاسة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للقائلين بالطهارة اعتبارات ظنّيّة على قولهم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مناقشة أدلّة القائلين بالنجاسة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الأقوال في نزح البشر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تيقّن الطهارة والحدث والشكّ في السابق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مناقشة قول الأكثر في وجوب الطهارة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قولان آخران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معنى الحدث في عرف الفقهاء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ردّ على أحد قولي التفصيل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الحدث الأصغر أثناء غسل الجنابة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في المسألة ثلاثة أقوال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أدلّة الأقوال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مناقشة أدلّة القول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مناقشة أدلّة القول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الحدث الأصغر أثناء غسل الارتماس</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حدث واحد أكبر أم حدثان أصغر وأكبر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اختيار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الأصل في النيّة وفي اعتبارها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التحذير من إغواء الشيطان في النيّة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اتّفاق علماء الإسلام على وجوب الجمعة واختلافهم في شروطها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لأصحابنا قولان فيها في حال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والعدم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أدلّة القائلين بالوجوب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مناقشة أحد الأخبار الموهمة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وجوبها السابق أيّام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الأدلّة الثلاثة السابقة تدلّ على الوجوب العيني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السر في تهاون الأصحاب بصلاة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بأصالة الجواز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بالوجوب قول أكثر المسلمين لا يخرج منه إلّا الشاذ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وجوب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حضور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مناقشة أوّل أدلّة هذا القول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مناقشة الدليل الثاني وهو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مناقشة الدليل الثالث وهو الإجماع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مناقشة عبارة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مناقشة عبارة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قول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بوجوبها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قول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بوجوبها مطلقاً</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قول أبي الصلاح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بوجوبها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قول القاضي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بوجوبها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أقوال المتأخّرين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ردّ شبهة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القول بعدم شرعيّة الجمعة في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ردّ الشبهة الأولى لهذا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ردّ الشبهة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الظهر ثابتة في الذمّة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ردّ الشبهة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الوجوب العيني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ترغيب المؤلّف وحثّه على صلاة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الأحاديث المرغبة في صلاة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الصلاة الوسطى أفضل فرديها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رؤوس المطالب في بحث صلاة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الحثّ على صلاة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أمر القرآن الكريم بصلاة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الأحاديث الشريفة وصلاة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يوم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الأيّام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عيد هذه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الجمعة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الجمعة تعدل 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صلاتها جهريّة مع أنّ صلاة النهار سرّيّة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قراءة سورة الجمعة والمنافقون في صلاة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اختصاصها بالجماعة بشرائط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 على قلب من تركها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شرعيّة الكفّارة لها لو تركها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الخطبة قبلها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استحباب الغسل لها</w:t>
      </w:r>
      <w:r>
        <w:rPr>
          <w:rFonts w:eastAsia="IRNazanin" w:cs="IRNazanin"/>
          <w:color w:val="111111"/>
          <w:sz w:val="28"/>
          <w:szCs w:val="28"/>
          <w:rtl w:val="true"/>
          <w:lang w:bidi="fa-IR"/>
        </w:rPr>
        <w:t>...</w:t>
      </w:r>
      <w:r>
        <w:rPr>
          <w:rFonts w:eastAsia="IRNazanin" w:cs="IRNazanin"/>
          <w:color w:val="111111"/>
          <w:sz w:val="28"/>
          <w:szCs w:val="28"/>
          <w:lang w:bidi="fa-IR"/>
        </w:rPr>
        <w:t>239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التعطّر والتزيّن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لصلاة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لبس أحسن الثياب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التبكير إلى المسجد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الإكثار من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مضاعفة أجر الذاهب إلى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صلاة عشرين ركعة في يومها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نفي كراهية النافلة وقت الاستواء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يستحبّ الإبراد بصلاتها في شدّة الحرّ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تأخير الغداء والقيلولة عن صلاة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قراءة الفاتحة والإخلاص والمعوّذتين سبعاً سبعاً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فيها ساعة الإجابة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تحريم السفر قبل صلاة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قراءة سور مخصوصة في نهارها منها سورة 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تكفير الآثام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أمان من عذاب القبر لمن مات في يومها أو ليلتها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الأمان من فتنة لمن مات في يومها أو ليلتها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لمن مات في يوم أو ليلتها بالشهادة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مات فيها مؤمناً كتبت له براءة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المزيد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اليوم المدّخر لهذه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العتق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الحسنة والسيّئة والصدقة فيه تتضاعف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كراهية الحجامة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تبخير المسجد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النهي عن الاحتباء وقت 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اختصاصه في دار الدنيا بزخرفة الجنان لمن أتى صلاة الجمعه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للمجامع فيه أجران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عبادات كثيرة وأدعية خاصة بهذا اليوم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نتائج الأفكار في بيان حكم المقيمين في الأسفار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أقوال الفقهاء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خروج ناوي المقام في البلد منه ناوياً مفارقته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نيّة قصد المسافة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العزم على العود إلى موضع الإقامة مع عدم إقامة عشرة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لو كان طريق المقصد مستديراً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الفتوى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تقرير المؤلّف للمسألتين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صور المسألة سبع 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اثنا عشر تنبيهاً للمؤلّف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أقلّ ما يجب معرفته من أحكام الحجّ والعمرة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صفة عمرة التمتّع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عقد الإحرام</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التحلّل من عمرة التمتّع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صفة حجّ التمتّع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نيّات الحجّ والعمرة</w:t>
      </w:r>
    </w:p>
    <w:p>
      <w:pPr>
        <w:pStyle w:val="BookText"/>
        <w:rPr/>
      </w:pPr>
      <w:r>
        <w:rPr>
          <w:rFonts w:ascii="Amiri" w:hAnsi="Amiri" w:eastAsia="Amiri" w:cs="Amiri"/>
          <w:color w:val="111111"/>
          <w:sz w:val="28"/>
          <w:sz w:val="28"/>
          <w:szCs w:val="28"/>
          <w:rtl w:val="true"/>
          <w:lang w:bidi="ar-SA"/>
        </w:rPr>
        <w:t>نيّة غسل الإحرام والإحرام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نيّة السعي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نيّة الوقوف بعرفة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نيّة الطواف بالبيت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مناسك الحجّ والعمرة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الحجّ من أركان الإسلام، وفضل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المستحبّات لمن أراد الحجّ</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إحضار القلب في حركاته وسكناته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أنواع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أفعال عمرة التمتّع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الإحرام</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الطواف</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أفعال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الإحرام</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الوقوف بعرفة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الوقوف بالمشعر الحرام</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نزول منى يوم النحر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العود إلى مكّة للطوافين والسعي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العود إلى منى للمبيت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من وظائف الحجّ القلبيّة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القسم الخامس الطلاق</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طلاق الغائب</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اختلاف الأصحاب في طلاق الغائب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منشأ اختلافهم الأخبار الواردة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جمع الشيخ والمتأخّرين بين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قولان منشؤهما القواعد الشرعيّة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ثمان صور متشعبة من هذه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يطلقها مراعياً للمدّة المعتبرة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يطلقها كذلك ولكن ظهر بعد ذلك كونها حائضاً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الصورة السابقة مع أنه طلّق بعد المدّة المعتبرة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الصورة بحالها لكن اتّفق له مخبر بأنها حائّض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الصورة بحالها لكن المخبر أخبر بكونها طاهراً وقد واقعها في ذلك الطهر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يطلقها مراعياً للمدة المعتبرة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يطلقها قبل مضيّ المدّة المذكورة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يطلق قبل الاستبراء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الصور السابقة ليست مذكورة صريحاً في كتب الأصحاب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نقد نقل المحقّق الكركي عن فخر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القسم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الميراث</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ميراث الزوجة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مخالفة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للجمهور في مسألتين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تحرم منه الزوجة من أعيان التركة والأقوال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أدلّة المشهور وهو حرمانها من نفس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مناقشة هذه الأدلّة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أدلّة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إرثها من كلّ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من هي الزوجة التي تُحرم؟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كيف تُحرم ممّا ثبت الحرمان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قول المرتضى والردّ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هل الحرمان مستحق عليها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الحكمة من هذا الحرمان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التركة بالنسبة إلى ارث الزوجة منها وعدمه ثلاثة أقسام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لا فرق في المساكن بين ماكان يسكنه الميّت بنفسه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آلات البناء ترث منها قبل تمام البناء</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كيفيّة تقويم حقها من البناء والشجر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هل دفع الوارث القيمة قهري أم اختياري؟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لو خلّف زرعاً أو ماء، فما ذا تستحق؟</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تلخيص أقوال هذه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تعريف الحبوة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كمّيّة ما يُحبّى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الأخبار في الحبوة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نحو عشرين مبحثاً في الحبوة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اختصاص الابن الأكبر واجب أو مستحبّ؟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حجّة القائل بالاستحباب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مستحق الحبوة والشروط الواجبة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كيف تستحق الحبوة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مجاناً، أم بالقيمة السوقيّة؟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مباحث في كيفيّة استحقاق الحبوة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لم يحبى الولد الأكبر دون غيره من الورثة؟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عشر مسائل فيما تتعلق بالحبوة واستحقاقها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القسم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المسائل</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أجوبة مسائل شكر بن حمدان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التوبة الصادقة ثم الوقوع في المعصية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من عبارات التشهد الأخير في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مسألة في الصابون إذا جهل صانعه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عقص الشعر والقول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تعريف الكعبين اللذين يُمسحان من القدم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تفسير 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غسل الجنابة واجب لنفسه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ماء غسلت به النجاسة ولم يتغيّر، هل هو طاهر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مسألة في 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شرح عبارة من كتاب القواعد للعلّامة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أجوبة مسائل السيّد ابن طرّاد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مسألة عن لبس المخيط في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الغني وإعطاؤه من الخمس والزكاة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الخمس في أرباح التجارات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قاطع الطريق ودفعه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أجوبة مسائل زين الدين بن إدريس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هل يجوز شدّ الإزار في الإحرام والتمنطق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أجوبة مسائل الشيخ حسين بن زمعة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سؤال في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القهوة وحبّ البن والحشيشة حرام أم حلال؟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أجوبة مسائل الشيخ أحمد المازحي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العلاقة بين صلة في زيادة العمر و بين الأجل المكتوب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إباحة التصرّف في الثمار في الأشجار بعد إعراض المالك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النذر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المال المغصوب لا يجب أخذه وإيصاله إلى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انتفاع المسلم بالأرض المختصة بالإمام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تُبْدُواْ مَا فِي أَنفُسِكُمْ أَوْ تُخْفُوهُ يُحَاسِبْكُم بِهِ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p>
    <w:p>
      <w:pPr>
        <w:pStyle w:val="BookText"/>
        <w:rPr/>
      </w:pPr>
      <w:r>
        <w:rPr>
          <w:rFonts w:ascii="IRNazanin" w:hAnsi="IRNazanin" w:eastAsia="IRNazanin"/>
          <w:color w:val="111111"/>
          <w:sz w:val="28"/>
          <w:sz w:val="28"/>
          <w:szCs w:val="28"/>
          <w:rtl w:val="true"/>
          <w:lang w:bidi="fa-IR"/>
        </w:rPr>
        <w:t>نقل فرش مسجد إلى مسجد آخر</w:t>
      </w:r>
      <w:r>
        <w:rPr>
          <w:rFonts w:eastAsia="IRNazanin" w:cs="IRNazanin"/>
          <w:color w:val="111111"/>
          <w:sz w:val="28"/>
          <w:szCs w:val="28"/>
          <w:rtl w:val="true"/>
          <w:lang w:bidi="fa-IR"/>
        </w:rPr>
        <w:t>...</w:t>
      </w:r>
      <w:r>
        <w:rPr>
          <w:rFonts w:eastAsia="IRNazanin" w:cs="IRNazanin"/>
          <w:color w:val="111111"/>
          <w:sz w:val="28"/>
          <w:szCs w:val="28"/>
          <w:lang w:bidi="fa-IR"/>
        </w:rPr>
        <w:t>561</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أجوبة مسائل السيّد شرف الدين السمّاكي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سؤال عن كيفية غسل المني الذى على البدن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بعض عبارات الفقهاء في المسألة السابقة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قطعة جلد الإنسان المنفصلة طاهرة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كانت القطعة المذكورة خالية من عظم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وصيّة المريض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أجوبة المسائل النجفيّة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مسألة في الضمان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البيع مع الخيار وتصرّف المشتري في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p>
    <w:p>
      <w:pPr>
        <w:pStyle w:val="BookText"/>
        <w:rPr/>
      </w:pPr>
      <w:r>
        <w:rPr>
          <w:rFonts w:ascii="IRNazanin" w:hAnsi="IRNazanin" w:eastAsia="IRNazanin"/>
          <w:color w:val="111111"/>
          <w:sz w:val="28"/>
          <w:sz w:val="28"/>
          <w:szCs w:val="28"/>
          <w:rtl w:val="true"/>
          <w:lang w:bidi="fa-IR"/>
        </w:rPr>
        <w:t>طلاق الغائب</w:t>
      </w:r>
      <w:r>
        <w:rPr>
          <w:rFonts w:eastAsia="IRNazanin" w:cs="IRNazanin"/>
          <w:color w:val="111111"/>
          <w:sz w:val="28"/>
          <w:szCs w:val="28"/>
          <w:rtl w:val="true"/>
          <w:lang w:bidi="fa-IR"/>
        </w:rPr>
        <w:t>...</w:t>
      </w:r>
      <w:r>
        <w:rPr>
          <w:rFonts w:eastAsia="IRNazanin" w:cs="IRNazanin"/>
          <w:color w:val="111111"/>
          <w:sz w:val="28"/>
          <w:szCs w:val="28"/>
          <w:lang w:bidi="fa-IR"/>
        </w:rPr>
        <w:t>589</w:t>
      </w:r>
    </w:p>
    <w:p>
      <w:pPr>
        <w:pStyle w:val="BookText"/>
        <w:rPr/>
      </w:pPr>
      <w:r>
        <w:rPr>
          <w:rFonts w:ascii="Amiri" w:hAnsi="Amiri" w:eastAsia="Amiri" w:cs="Amiri"/>
          <w:color w:val="111111"/>
          <w:sz w:val="28"/>
          <w:sz w:val="28"/>
          <w:szCs w:val="28"/>
          <w:rtl w:val="true"/>
          <w:lang w:bidi="ar-SA"/>
        </w:rPr>
        <w:t>التسليم على المصلّي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تيقن الطهارة والحدث والشك في السابق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الشك بين الأربع والخمس بعد الركوع وقبل السجود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المتيمم وجد الماء وتمكن من استعماله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في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العقد على امرأتين لمن عنده ثلاث زوجات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مسألة في القسمة، وشرح عبارة من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تقرير دليل حصّة الذكر حصّة أُنثيين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0111_91853"/>
      <w:bookmarkStart w:id="11" w:name="pg10111_91853"/>
      <w:bookmarkEnd w:id="11"/>
    </w:p>
    <w:p>
      <w:pPr>
        <w:pStyle w:val="Heading2"/>
        <w:numPr>
          <w:ilvl w:val="1"/>
          <w:numId w:val="1"/>
        </w:numPr>
        <w:rPr/>
      </w:pPr>
      <w:bookmarkStart w:id="12" w:name="pg10111_91853"/>
      <w:bookmarkStart w:id="13" w:name="__RefHeading___Toc375191_1067777946"/>
      <w:bookmarkStart w:id="14" w:name="_Toc4"/>
      <w:bookmarkEnd w:id="12"/>
      <w:bookmarkEnd w:id="13"/>
      <w:r>
        <w:rPr>
          <w:rtl w:val="true"/>
        </w:rPr>
        <w:t>مقدّمة التحقيق</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نبيّنا محمد وعلى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فقد كان اهتمامي بكتب ومصنّفات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بجديد عهد، بل هو يمتد إلى ما يقرب من ثلاثة عقود من الزمن ومنذ ذلك الحين وإلى اليوم لم يغب يوماً عن بالي فكراً ولا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بدأت هذه المسيرة العطرة مع هذه الشخصيّة المرموقة في سني أيّامي الأُولى من الدراسة الحوزويّة، حيث اتفق أن اطلعت على إحدى مصنّفاته، وهو كتابه الشهير منية المريد، فصرت أطالعه بنهم، ثمّ حضرت بعد ذلك درس أحد مشايخي الذي راح يشرح الكتاب ويوضح معانيه، والذي كان باللغة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قمت آنذاك بمطالعة الترجمة الفارسية للكتاب وبعض كتبه الأُخرى، الأمر الذي جعل اهتمامي بهذه الشخصيّة يتزايد بوتيرة متصاعدة، حتّى تسنّت لي الفرصة بالقيام بتحقيق بعض آثاره الجليلة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ومنذ ذلك الحين صرت أهيم الآفاق باحثاً عن مصنّفات هذا العملاق وسائر آثاره، وجامعاً المعلومات والنسخ الخطّيّة المختلفة لتأليفاته، وعندئذٍ سنحت لي الفرصة بتحقيق رسالتين من رسائله العلميّة الشيقة، وقمت بنشرهما في مجلّة تراثنا الغرّاء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موضوع جمع النسخ المختلفة لم يكن بالأمر الهين آنذاك، نظراً لصعوبة المواصلات وانعدام الوسائل التي تساعدك على معرفة ما تحويه الخزانات والمكتبات المتناثرة هنا وهناك، إضافة إلى الظروف السيئة التي كانت تحيط بالحوزة العلميّة الشيعية وطلبتها وأساتذتها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فمن أجل جمع النسخ المختلفة كان يحتاج إلى الوقت الطويل، والمال الكثير، والعدّة الكافية، إضافة إلى المشاق والصعاب التي تواجه مثل هذه النشاطات العلميّة الميدانيّة على جميع الأصعدة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ذلك لم يكن مانعي عن إنجاز ما عزمت عليه، ولا حائلاً دون بلوغ مرادي في أن أُنجز بعض الذي عليَّ من مسؤولية تجاه شخصيّة فذة كانت تحتل مكاناً مرموقاً في عالمنا الإسلامي آنذاك، ومقاماً سامياً بين علماء وفقهاء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رسائل الشهيد الثاني</w:t>
      </w:r>
    </w:p>
    <w:p>
      <w:pPr>
        <w:pStyle w:val="BookText"/>
        <w:rPr/>
      </w:pPr>
      <w:r>
        <w:rPr>
          <w:rFonts w:ascii="Amiri" w:hAnsi="Amiri" w:eastAsia="Amiri" w:cs="Amiri"/>
          <w:color w:val="111111"/>
          <w:sz w:val="28"/>
          <w:sz w:val="28"/>
          <w:szCs w:val="28"/>
          <w:rtl w:val="true"/>
          <w:lang w:bidi="ar-SA"/>
        </w:rPr>
        <w:t>لقد كانت ثمرة أسفاري ورحلاتي أن عثرت على ما يقارب الأربعين رسالة للشهيد الثاني، والتي تعدّ بعض أهم آثاره التي طارت أخبارها الآفاق، ولم يكن آنذاك منشور ومحقق إلّا ما يقارب العشرين رسالة فحسب</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 ما نُشر منها آنذاك لم تكن تخلو من الأغلاط الإملائية والفنية والمطبعية، كما كانت مطبوعة على الحجر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تسنّت لي الفرصة قمت بترتيب جميع الرسائل والإجازات، إضافة إلى الفوائد المتفرّقة للشهيد الثاني في أربعة عشر قسماً بعدد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وقمت بتحقيقها بمعونة بعض الإخوة من المحقّقين العاملين في مركز إحياء التراث الإسلامي التابع للمركز العالي للعلوم والثقافة الإسلاميّة، وتصدّى المركز المذكور بمهمة طبعها ونشرها </w:t>
      </w:r>
    </w:p>
    <w:p>
      <w:pPr>
        <w:pStyle w:val="BookText"/>
        <w:rPr/>
      </w:pPr>
      <w:r>
        <w:rPr>
          <w:rFonts w:ascii="Amiri" w:hAnsi="Amiri" w:eastAsia="Amiri" w:cs="Amiri"/>
          <w:color w:val="111111"/>
          <w:sz w:val="28"/>
          <w:sz w:val="28"/>
          <w:szCs w:val="28"/>
          <w:rtl w:val="true"/>
          <w:lang w:bidi="ar-SA"/>
        </w:rPr>
        <w:t>في مجلّدين، الأوّل منهما ضمّ الرسائل ذات الفحوى الفقهي، والآخر ضمّ الرسائل ذات موضوعات مختلفة، من تفسير وكلام وأخلاق وتراجم ورجال وإجازات وفوائد أُخرى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قمت بتحقيق ستّ رسائل منها اعتماداً على نسخ بخطّ المؤلّف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الحدث الأصغر أثناء غسل الجنابة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نتائج الأفكار في بيان حكم المقيمين في الأسفار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طلاق الغائب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الحبوة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ميراث الزوجة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أجوبة المسائل النجفيّة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قمت بتحقيق بعض آخر منها اعتماداً على نسخة واحدة فقط، إذ لم أجد سواها وإن أوجد لي مشاكل في مراحل التحقيق،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مسائل شكر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مسائل السيّد ابن طرّاد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المسائل النجفيّة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الإجازات والفوائد المتفرّقة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تقرّر مؤخّراً طبع ونشر جميع آثار الشهيد الثاني بقالب موسوعي يشمل كلّ مؤلّفات ومصنّفات هذه الشخصيّة الملفتة للنظر، من قبل مركز إحياء التراث الإسلامي، طلبت مديرية المركز الأغرّ منّي العمل بالتنسيق مع اللجنة المشرفة على هذا المشروع، و تقديم ما يلزم ليناسب شروط العمل الموسوعي المقترح، من مراجعة المطالب، وتهذيب بعضها، وتفسير بعض الهوامش أو تبديلها بما يوافق الطبعات الحديثة، بمساعدة عدة من محقّقي المركز المذكور، فلم أبخل بما لدي من تقديم ما يلزم ذلك على جميع المستويات، فصارت الرسائل في ثلاثة مجلدات تليق بشخصيّة مؤلّفها، وتوائم ذوق عصرنا الحاضر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 أشكر اللّه سبحانه وأحمده على ما من من النعم، بعد أن هيّأ لي فرصة أُخرى لخدمة الدين والمذهب، وهذه الشخصيّة الفذّة التي أحببتها منذ زمن بعيد، أتقدّم بجزيل شكري إلى كلّ من أعانني على إنجاز هذا العمل الشاق والمضني، من تقديم المساعدة على مستوى التحقيق أو التدقيق أو مراجعة الهوامش، أو على مستوى المتابعة الفنّية، فجزاهم اللّه خيراً، كما لا يفوتني من تقديم شكري وثنائي إلى مركز إحياء التراث الإسلامي على حسن تعامله وعظم نشاطه في تقديم ما هو أجود للقراء، فبارك اللّه فيه وجميع العاملين، ونخص بالذكر عليّ أوسط الناطقي، عباس المحمدي، حسين الشفيعي، أسعد الطيب، غلام رضا النقي، لطيف فرادي، أحمد العابدي، محمد رضا النعمتي، غلام حسين الدهقان، عليّ،المختاري، غلام حسين قيصريه ها، السيّد أبو الحسن المطلبي على الأسدي أبو مقداد محسن النوروزي</w:t>
      </w:r>
    </w:p>
    <w:p>
      <w:pPr>
        <w:pStyle w:val="BookText"/>
        <w:rPr/>
      </w:pPr>
      <w:r>
        <w:rPr>
          <w:rFonts w:ascii="Amiri" w:hAnsi="Amiri" w:eastAsia="Amiri" w:cs="Amiri"/>
          <w:color w:val="111111"/>
          <w:sz w:val="28"/>
          <w:sz w:val="28"/>
          <w:szCs w:val="28"/>
          <w:rtl w:val="true"/>
          <w:lang w:bidi="ar-SA"/>
        </w:rPr>
        <w:t>آمين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رضا المختاري</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ه </w:t>
      </w:r>
      <w:bookmarkStart w:id="15" w:name="pg10111_91857"/>
    </w:p>
    <w:p>
      <w:pPr>
        <w:pStyle w:val="Heading2"/>
        <w:numPr>
          <w:ilvl w:val="1"/>
          <w:numId w:val="1"/>
        </w:numPr>
        <w:rPr/>
      </w:pPr>
      <w:bookmarkStart w:id="16" w:name="__RefHeading___Toc375193_1067777946"/>
      <w:bookmarkStart w:id="17" w:name="_Toc5"/>
      <w:bookmarkEnd w:id="15"/>
      <w:bookmarkEnd w:id="16"/>
      <w:r>
        <w:rPr>
          <w:rtl w:val="true"/>
        </w:rPr>
        <w:t>نماذج من مصوّرات النسخ الخطّیّة المعتمدة في التحقیق</w:t>
      </w:r>
      <w:bookmarkEnd w:id="17"/>
    </w:p>
    <w:p>
      <w:pPr>
        <w:pStyle w:val="BookText"/>
        <w:rPr/>
      </w:pPr>
      <w:r>
        <w:rPr>
          <w:rFonts w:ascii="Amiri" w:hAnsi="Amiri" w:eastAsia="Amiri" w:cs="Amiri"/>
          <w:color w:val="111111"/>
          <w:sz w:val="28"/>
          <w:sz w:val="28"/>
          <w:szCs w:val="28"/>
          <w:rtl w:val="true"/>
          <w:lang w:bidi="ar-SA"/>
        </w:rPr>
        <w:t>الصورة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3"/>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6"/>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9"/>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0" o:detectmouseclick="t"/>
                <v:stroke color="#3465a4" joinstyle="round" endcap="flat"/>
                <w10:wrap type="none"/>
              </v:shape>
            </w:pict>
          </mc:Fallback>
        </mc:AlternateConten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الرسائل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0113_91863"/>
      <w:bookmarkStart w:id="19" w:name="pg10113_91863"/>
      <w:bookmarkEnd w:id="19"/>
    </w:p>
    <w:p>
      <w:pPr>
        <w:pStyle w:val="Heading2"/>
        <w:numPr>
          <w:ilvl w:val="1"/>
          <w:numId w:val="1"/>
        </w:numPr>
        <w:rPr/>
      </w:pPr>
      <w:bookmarkStart w:id="20" w:name="pg10113_91863"/>
      <w:bookmarkStart w:id="21" w:name="__RefHeading___Toc375195_1067777946"/>
      <w:bookmarkStart w:id="22" w:name="_Toc6"/>
      <w:bookmarkEnd w:id="20"/>
      <w:bookmarkEnd w:id="21"/>
      <w:r>
        <w:rPr>
          <w:rtl w:val="true"/>
        </w:rPr>
        <w:t>القسم الأوّل</w:t>
      </w:r>
      <w:r>
        <w:rPr>
          <w:rtl w:val="true"/>
        </w:rPr>
        <w:t xml:space="preserve">: </w:t>
      </w:r>
      <w:r>
        <w:rPr>
          <w:rtl w:val="true"/>
        </w:rPr>
        <w:t>الاجتهاد والتقليد</w:t>
      </w:r>
      <w:bookmarkEnd w:id="22"/>
    </w:p>
    <w:p>
      <w:pPr>
        <w:pStyle w:val="Heading3"/>
        <w:numPr>
          <w:ilvl w:val="2"/>
          <w:numId w:val="1"/>
        </w:numPr>
        <w:rPr/>
      </w:pPr>
      <w:bookmarkStart w:id="23" w:name="__RefHeading___Toc375197_1067777946"/>
      <w:bookmarkStart w:id="24" w:name="_Toc7"/>
      <w:bookmarkEnd w:id="23"/>
      <w:r>
        <w:rPr>
          <w:rtl w:val="true"/>
        </w:rPr>
        <w:t>إشارة</w:t>
      </w:r>
      <w:r>
        <w:rPr>
          <w:rtl w:val="true"/>
        </w:rPr>
        <w:t>:</w:t>
      </w:r>
      <w:bookmarkEnd w:id="24"/>
    </w:p>
    <w:p>
      <w:pPr>
        <w:pStyle w:val="BookText"/>
        <w:rPr/>
      </w:pPr>
      <w:r>
        <w:rPr>
          <w:rFonts w:ascii="Amiri" w:hAnsi="Amiri" w:eastAsia="Amiri" w:cs="Amiri"/>
          <w:color w:val="111111"/>
          <w:sz w:val="28"/>
          <w:sz w:val="28"/>
          <w:szCs w:val="28"/>
          <w:rtl w:val="true"/>
          <w:lang w:bidi="ar-SA"/>
        </w:rPr>
        <w:t>ويَضُمُّ ثلاثَ رسائلَ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تخفيفُ العِباد في بيانِ أحوالِ الاجتهاد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 الميّت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0113_91865"/>
      <w:bookmarkStart w:id="26" w:name="pg10113_91865"/>
      <w:bookmarkEnd w:id="26"/>
    </w:p>
    <w:p>
      <w:pPr>
        <w:pStyle w:val="Heading3"/>
        <w:numPr>
          <w:ilvl w:val="2"/>
          <w:numId w:val="1"/>
        </w:numPr>
        <w:rPr/>
      </w:pPr>
      <w:bookmarkStart w:id="27" w:name="pg10113_91865"/>
      <w:bookmarkStart w:id="28" w:name="__RefHeading___Toc375199_1067777946"/>
      <w:bookmarkStart w:id="29" w:name="_Toc8"/>
      <w:bookmarkEnd w:id="27"/>
      <w:bookmarkEnd w:id="28"/>
      <w:r>
        <w:rPr/>
        <w:t>7</w:t>
      </w:r>
      <w:r>
        <w:rPr>
          <w:rtl w:val="true"/>
        </w:rPr>
        <w:t xml:space="preserve">. </w:t>
      </w:r>
      <w:r>
        <w:rPr>
          <w:rtl w:val="true"/>
        </w:rPr>
        <w:t>تخفيفُ العِباد في بيانِ أحوال الاجتهاد</w:t>
      </w:r>
      <w:bookmarkEnd w:id="29"/>
    </w:p>
    <w:p>
      <w:pPr>
        <w:pStyle w:val="Heading4"/>
        <w:numPr>
          <w:ilvl w:val="3"/>
          <w:numId w:val="1"/>
        </w:numPr>
        <w:rPr/>
      </w:pPr>
      <w:bookmarkStart w:id="30" w:name="__RefHeading___Toc375201_1067777946"/>
      <w:bookmarkStart w:id="31" w:name="_Toc9"/>
      <w:bookmarkEnd w:id="30"/>
      <w:r>
        <w:rPr>
          <w:rtl w:val="true"/>
        </w:rPr>
        <w:t>إشارة</w:t>
      </w:r>
      <w:r>
        <w:rPr>
          <w:rtl w:val="true"/>
        </w:rPr>
        <w:t>:</w:t>
      </w:r>
      <w:bookmarkEnd w:id="31"/>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 xml:space="preserve">رضا المختاري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الشفيعي</w:t>
      </w:r>
    </w:p>
    <w:p>
      <w:pPr>
        <w:pStyle w:val="BookText"/>
        <w:rPr/>
      </w:pPr>
      <w:r>
        <w:rPr>
          <w:rFonts w:ascii="Amiri" w:hAnsi="Amiri" w:eastAsia="Amiri" w:cs="Amiri"/>
          <w:color w:val="111111"/>
          <w:sz w:val="28"/>
          <w:sz w:val="28"/>
          <w:szCs w:val="28"/>
          <w:rtl w:val="true"/>
          <w:lang w:bidi="ar-SA"/>
        </w:rPr>
        <w:t>مراجعة</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أسعد الطيّب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 وبه نستعين</w:t>
      </w:r>
    </w:p>
    <w:p>
      <w:pPr>
        <w:pStyle w:val="BookText"/>
        <w:rPr/>
      </w:pPr>
      <w:r>
        <w:rPr>
          <w:rFonts w:ascii="Amiri" w:hAnsi="Amiri" w:eastAsia="Amiri" w:cs="Amiri"/>
          <w:color w:val="111111"/>
          <w:sz w:val="28"/>
          <w:sz w:val="28"/>
          <w:szCs w:val="28"/>
          <w:rtl w:val="true"/>
          <w:lang w:bidi="ar-SA"/>
        </w:rPr>
        <w:t>اللّهم أرنا الحقّ حَقًّاً واجْعَلنا من أهله وأنصاره، وأرنا الباطلَ باطلاً وثبِّتنا على اجتنابه وإنكاره، وصلّ على محمّدٍ حبيبك أمين الوحي ومخزن أسراره، وعلى أهل بيته المعصومين القائمين بسُنَنِهِ وآثاره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فهذه مقالة في تحقيق ما وقع فيه الاختلاف في تحقيق ما وقع فيه الاختلاف من وجوب الاجتهاد وعدمه، إذا كان المجتهد مفقوداً في عصر من الأعصار؛ ورسالةٌ مشتملةٌ على تفتيش ما ذهب إليه جمع من الفقهاء من إيجابه على المكلّفين</w:t>
      </w:r>
      <w:r>
        <w:rPr>
          <w:rStyle w:val="FootnoteAnchor"/>
          <w:rtl w:val="true"/>
        </w:rPr>
        <w:footnoteReference w:id="4"/>
      </w:r>
      <w:r>
        <w:rPr>
          <w:rFonts w:ascii="Amiri" w:hAnsi="Amiri" w:eastAsia="Amiri" w:cs="Amiri"/>
          <w:color w:val="111111"/>
          <w:sz w:val="28"/>
          <w:sz w:val="28"/>
          <w:szCs w:val="28"/>
          <w:rtl w:val="true"/>
          <w:lang w:bidi="ar-SA"/>
        </w:rPr>
        <w:t>، قد أبْرَزْتُ فيها ما خَطَرَ في بالي، وبَيَّنْتُ فيها ما دارَ في خَلَدي بمقالي، وسَمَّيْتُها بتخفيف العباد في بيان أحوال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 أن تنظر فيها بعين الإنصاف، مُتَجَنِّباً عن المكابَرَة والاعتساف، واحفظ في ذلك وصيّة سيّد الأوصياء وإمام الأتقياء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الأوفى والتحيّة الأعلى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تَنْظُر إلى مَنْ قال وانظر إلى </w:t>
      </w:r>
      <w:bookmarkStart w:id="32" w:name="pg10113_91868"/>
    </w:p>
    <w:p>
      <w:pPr>
        <w:pStyle w:val="BookText"/>
        <w:rPr/>
      </w:pPr>
      <w:bookmarkEnd w:id="32"/>
      <w:r>
        <w:rPr>
          <w:rFonts w:ascii="IRNazanin" w:hAnsi="IRNazanin" w:eastAsia="IRNazanin"/>
          <w:color w:val="111111"/>
          <w:sz w:val="28"/>
          <w:sz w:val="28"/>
          <w:szCs w:val="28"/>
          <w:rtl w:val="true"/>
          <w:lang w:bidi="fa-IR"/>
        </w:rPr>
        <w:t>ما قال</w:t>
      </w:r>
      <w:r>
        <w:rPr>
          <w:rFonts w:eastAsia="IRNazanin" w:cs="IRNazanin"/>
          <w:color w:val="111111"/>
          <w:sz w:val="28"/>
          <w:szCs w:val="28"/>
          <w:rtl w:val="true"/>
          <w:lang w:bidi="fa-IR"/>
        </w:rPr>
        <w:t>»</w:t>
      </w:r>
      <w:r>
        <w:rPr>
          <w:rStyle w:val="FootnoteAnchor"/>
          <w:rtl w:val="true"/>
        </w:rPr>
        <w:footnoteReference w:id="5"/>
      </w:r>
      <w:r>
        <w:rPr>
          <w:rFonts w:ascii="Amiri" w:hAnsi="Amiri" w:eastAsia="Amiri" w:cs="Amiri"/>
          <w:color w:val="111111"/>
          <w:sz w:val="28"/>
          <w:sz w:val="28"/>
          <w:szCs w:val="28"/>
          <w:rtl w:val="true"/>
          <w:lang w:bidi="ar-SA"/>
        </w:rPr>
        <w:t>فإنّ الحقّ أحقُّ بالاتباع، كما قال بعض الحكماء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سُقراط حبيبنا والحقُّ حبيبنا، فإن اختلفا فالحق أحقُّ بالاتّباع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 اللّه التوفيق وإلهامَ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 أيُّها الحريصُ الطالبُ للحقِّ والتحقيق أنه قد اتّفقت كلمة فرقةٍ من فضلاء المتأخّرين من علمائنا، ومقالةُ جماعة من الإماميّة من فقهائنا، أنّه إذا خَلا العصر من المجتهد الذي يُرْكَنُ إليه في الأقوال، ويُعْتَمَدُ عليه في الأحكام والأعمال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العدل العارف بالأحكام الشرعيّة الفرعيّة من أدلّتها التفصيليّة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حينئذٍ على جميع المكلّفين السعيُ والتوجّهُ إلى تحصيل ملكة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مال إلى هذه المقالة شيخنا</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تعليقاته،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الاجتهاد واجب على الكفاية؛ فإذا لم يَقُم به أحدٌ بخصوصه من أهل النظر والاستدلال، ولم تكن هذه الحالةُ موجودةً محقّقةً في أحد المكلّفين من أهل العصر، تَعَلَّقَ هذا التكليف بالجميع، ووجب على كلّ واحدٍ منهم استفراغُ الْوُسْعِ في تحصيل هذا الأمر وبَذْلُ الجُهْد في حُصولِ هذا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مبنيٌّ على أن الميّت لا قول له واعتَبَرُوا في صحّة العمل قوله في حياته، وأسقطوا اعتباره بعد مماته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المشهور في بيان هذا المطلب من علماء الإماميّة وأهل السنّة انعقاد الإجماع على خلاف قوله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مقالتهم مذكور في كتب الأُصول</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فهنا مقامان</w:t>
      </w:r>
      <w:r>
        <w:rPr>
          <w:rFonts w:eastAsia="IRNazanin" w:cs="IRNazanin"/>
          <w:color w:val="111111"/>
          <w:sz w:val="28"/>
          <w:szCs w:val="28"/>
          <w:rtl w:val="true"/>
          <w:lang w:bidi="fa-IR"/>
        </w:rPr>
        <w:t>:</w:t>
      </w:r>
    </w:p>
    <w:p>
      <w:pPr>
        <w:pStyle w:val="Heading4"/>
        <w:numPr>
          <w:ilvl w:val="3"/>
          <w:numId w:val="1"/>
        </w:numPr>
        <w:rPr/>
      </w:pPr>
      <w:bookmarkStart w:id="33" w:name="__RefHeading___Toc375203_1067777946"/>
      <w:bookmarkStart w:id="34" w:name="_Toc10"/>
      <w:bookmarkEnd w:id="33"/>
      <w:r>
        <w:rPr>
          <w:rtl w:val="true"/>
        </w:rPr>
        <w:t>قول المتأخّرین بالوجوب العیني للاجتهاد عند خلوّ العصر من المجتهد</w:t>
      </w:r>
      <w:bookmarkEnd w:id="3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الاجتهاد يجب على جميع المكلّفين يجب على جميع المكلّفين عند خلوّ العصر من المجتهد</w:t>
      </w:r>
      <w:r>
        <w:rPr>
          <w:rFonts w:eastAsia="Amiri" w:cs="Amiri" w:ascii="Amiri" w:hAnsi="Amiri"/>
          <w:color w:val="111111"/>
          <w:sz w:val="28"/>
          <w:szCs w:val="28"/>
          <w:rtl w:val="true"/>
          <w:lang w:bidi="ar-SA"/>
        </w:rPr>
        <w:t xml:space="preserve">. </w:t>
      </w:r>
      <w:bookmarkStart w:id="35" w:name="pg10113_91869"/>
    </w:p>
    <w:p>
      <w:pPr>
        <w:pStyle w:val="BookText"/>
        <w:rPr/>
      </w:pPr>
      <w:bookmarkEnd w:id="35"/>
      <w:r>
        <w:rPr>
          <w:rFonts w:ascii="Amiri" w:hAnsi="Amiri" w:eastAsia="Amiri" w:cs="Amiri"/>
          <w:color w:val="111111"/>
          <w:sz w:val="28"/>
          <w:sz w:val="28"/>
          <w:szCs w:val="28"/>
          <w:rtl w:val="true"/>
          <w:lang w:bidi="ar-SA"/>
        </w:rPr>
        <w:t xml:space="preserve">والمقام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مات المجتهد لم يُعتبر قولُه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 المرام في المقام الثاني يستدعي بسطاً في الكلام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حاصل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عدم الاعتداد بقول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انْحَصَر الاجتهاد في عصر من الأعصار في عدد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كعشرين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 الكُلُّ على وجوب حكم 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سورة بعد الفاتحة مثلاً في الفرائض اليوميّة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واحداً منهم، فما دام هذا المجتهدُ المخالفُ حيّاً لم يكن الحكم المذكور إجماعيّاً؛ لمخالفته إيّاهم، وليس هذا إلا لاعتبار قوله واعتبار خلافه في نظر الشرع حال حياته، فإذا مات هذا المخالفُ صارتْ مقالةُ الباقين إجماعيّةً؛ إذ المفروض أنه لا مخالفَ لهؤلاء الباقين في العصر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أنه يتحقّق الإجماع على خلاف قوله تحقّق أن قوله بعد موته ليس معتبراً في نظر الشرع، وإلّا لم يتحقّق الإجماع بعد موته، كما لم يتحقّق في حال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التقرير ظَهَرَ أنّ في المبحث قياساً هذه 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قول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قول للميّت ليس معتبراً 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القول ليس معتبراً 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الصغرى فظاهرة؛ وأما الكبرى فبيانها أنه قول ينعقد الإجماع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قول ينعقد الإجماع على خلافه ليس معتبراً في الشرع فهذا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معتبراً في الشرع وسيرِدُ عليك ما يتوجّه على صغرى هذا القياس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قول ينعقد الإجماع على خلافه</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375205_1067777946"/>
      <w:bookmarkStart w:id="37" w:name="_Toc11"/>
      <w:bookmarkEnd w:id="36"/>
      <w:r>
        <w:rPr>
          <w:rtl w:val="true"/>
        </w:rPr>
        <w:t>مناقشة القول السابق في تعمیمه الوجوب</w:t>
      </w:r>
      <w:bookmarkEnd w:id="37"/>
    </w:p>
    <w:p>
      <w:pPr>
        <w:pStyle w:val="BookText"/>
        <w:rPr/>
      </w:pPr>
      <w:r>
        <w:rPr>
          <w:rFonts w:ascii="Amiri" w:hAnsi="Amiri" w:eastAsia="Amiri" w:cs="Amiri"/>
          <w:color w:val="111111"/>
          <w:sz w:val="28"/>
          <w:sz w:val="28"/>
          <w:szCs w:val="28"/>
          <w:rtl w:val="true"/>
          <w:lang w:bidi="ar-SA"/>
        </w:rPr>
        <w:t>وإذا عرفتَ زُبْدَة الكلام في المقامين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كليهما بحث، أمّا في الأوّل فلأنّ توجيه التكليف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وجوب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جميع المكلّفين بحيث لا يَشُذّ منهم أحدٌ عند خلوّ العصر من المجتهدين، وإيجابَه عليهم أجمعين، ممّا لا يُذْعِنُه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يُذْعِنُ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الفِطرة، ولا يَرْكَنُ إليه صحيحُ الفِكرة؛ إذ لا يخفى على المُنْصِف أنّ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الأمزجة الأصلية والطبائع التي جُبِلُوا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طبقات شتّى</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فمنهم طائفة طبائعهم قريبة إلى الاعتدال الحقيقي، فلهم أذهانٌ وقّادةٌ وعقولٌ درّاكةٌ </w:t>
      </w:r>
    </w:p>
    <w:p>
      <w:pPr>
        <w:pStyle w:val="BookText"/>
        <w:rPr/>
      </w:pPr>
      <w:r>
        <w:rPr>
          <w:rFonts w:ascii="Amiri" w:hAnsi="Amiri" w:eastAsia="Amiri" w:cs="Amiri"/>
          <w:color w:val="111111"/>
          <w:sz w:val="28"/>
          <w:sz w:val="28"/>
          <w:szCs w:val="28"/>
          <w:rtl w:val="true"/>
          <w:lang w:bidi="ar-SA"/>
        </w:rPr>
        <w:t>وطبائع سليمةٌ وأفهامٌ مستقيمةٌ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طائفةٌ ليستْ أمزِجَتُهم بذلك القُرْبِ إلى الاعتدال، فليس لأفهامهم اشتعالٌ كذلك الاشتعال</w:t>
      </w:r>
      <w:r>
        <w:rPr>
          <w:rStyle w:val="FootnoteAnchor"/>
          <w:rtl w:val="true"/>
        </w:rPr>
        <w:footnoteReference w:id="8"/>
      </w:r>
      <w:r>
        <w:rPr>
          <w:rFonts w:ascii="Amiri" w:hAnsi="Amiri" w:eastAsia="Amiri" w:cs="Amiri"/>
          <w:color w:val="111111"/>
          <w:sz w:val="28"/>
          <w:sz w:val="28"/>
          <w:szCs w:val="28"/>
          <w:rtl w:val="true"/>
          <w:lang w:bidi="ar-SA"/>
        </w:rPr>
        <w:t>، ولكن يُمكن لهم بالكد التامّ والسعي البليغ تحصيل النظريّات بالاستدلال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طائفةٌ ليس لهم حَظٌّ من المطالب الدقيقة والمقاصد الخفية، بحيث لا ينالونها إلّا بالعشر المقرون بالحرج المنفيّ بالآية</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في جِبلّته البَلَهُ والبلادة، بحيث لا ينفع فيه العِلاجُ، ولا ينفكُّ عنه ما هو مقتضى المِزاج؛ فلا يَفْهَمُ إلا بعض البديهيّات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هو كثيرُ النِسْيان، ضعيفُ الحافظة، بحيث لا يقدِرُ على تحصيل الملكة التي يتمكّن بها من استخراج الفروع من مأخذها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الدرجات المتفاوتة والمراتب المختلفة حاصلة في المكلّفين لا يُنْكِرُها إلا المكابرون الذين هم للحقِّ كارهون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وكفاك شاهداً على هذا اختلاف أحوال الصحابة في مبدإ الإسلام؛ فإنّ منهم من صَدَّقَ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وآمَنَ به بمجرّد صحبته وسماع كلامه وحُسنِ إفادته ومشاهَدَةِ أخلاقه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آمن به بعد مشاهدةٍ مُعجزةٍ واحدةٍ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لم يُؤْمِنْ به إِلّا بعد مشاهَدَة المعجزاتِ ومنهم مَنْ لم يَكتفِ بالمعجزة، بل استشار أصحابه في إيمانه وتصديقه، وظاهر أنّ هذا التفاوت بينهم ليس إلا لاختلافهم بحسب الأمزجة والاستعدادات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هذا التفصيل والإحاطة، لا يخفى عليك أن توجية التكليف المذكور نحوَ عامة المكلّفين ممّا يَسْتَبْعِده العقلُ، ولا يُساعده النقلُ؛ لأنه كالتكليف بما لا يُطاق بالنسبة إلى بعض الفِرَق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وأقلّ ما يلزم من ذلك العُسْرُ والحَرَج الذي هو منتفٍ بالآية</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حَرَج أعظمُ من تكليف ضعيف الفهم عديم الذَكاء، بعيد الفِطانة، كثيرِ النسيان، ضعيف الحافظة، بالمطالب التي يحتاجُ في تحصيلها إلى إمعان النظر في تحصيل الملكة التي يُتَمَكَّنُ بها من استخراج الفروع من مآخذها ولا ريب أنّ ما نحن فيه من هذا القبيل؛ لأنّ الاجتهاد من المطالب الدقيقة التي لا ينالُها إلا مَنْ هو ذو حظ عظيم، ولا يَصِلُ إليها إلا كلّ ذَكيّ فهيم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شارح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شرائط الاجتهاد أنْ يكونَ له قوّة استخراج المسائل الفرعية من المسائل الأُصوليّة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المستفادة من النصوص من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فَطِناً ذَكِيّاً حَسَنَ الإدراك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صريحٌ فيما ذكرناه، فيكون توجيهُ هذا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الفرق كالتكليف بما لا يُطاق عقلاً ونقلاً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مقالتنا كلام صاحب المهذّب في باب الزكاة، وهذا محصّلُه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المكلّف طالباً لدرجة الاجتهاد أو قد بلغها، والناس محتاجون إليه للتعلُّم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فجازَ له أنْ يَأْخُذَ مِن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ويَتْرُكَ التكسُّب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الذي يدفع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يعلم أنه لا يبلغ درجة الاجتهاد لم يَجُز له أنْ يَأخُذ شيئاً من الزكاة، بل يجب عليه حينئذٍ أنْ يَشْتَغل بالتكسُّبِ ويَتْرُكَ الزكاة؛ فإنّ التكليف المذكور قد سَقَطَ عنه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مُلَخَّصاً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تأييده لما قلناه ظاهر؛ لأنّ ما ذكره من العلم بالوصول إلى هذه الدرجة والعلم بعدم الوصول إليها دال على أن المكلّف لا يخفى عليه حاله من البلوغ إلى </w:t>
      </w:r>
      <w:bookmarkStart w:id="38" w:name="pg10113_91872"/>
    </w:p>
    <w:p>
      <w:pPr>
        <w:pStyle w:val="BookText"/>
        <w:rPr/>
      </w:pPr>
      <w:bookmarkEnd w:id="38"/>
      <w:r>
        <w:rPr>
          <w:rFonts w:ascii="Amiri" w:hAnsi="Amiri" w:eastAsia="Amiri" w:cs="Amiri"/>
          <w:color w:val="111111"/>
          <w:sz w:val="28"/>
          <w:sz w:val="28"/>
          <w:szCs w:val="28"/>
          <w:rtl w:val="true"/>
          <w:lang w:bidi="ar-SA"/>
        </w:rPr>
        <w:t>درجة الاجتهاد، وعدم بلوغه إليها بشهادة القرائن والأمارات والشواهد التي تَشْهَدُ بأحوال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التفصيل والتوضيح فلا أظُنُّكَ في مِرْيةٍ مما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عرفت ذلك فالتحقيق الذي لا محيص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تقدير تسليم انحصار طريق معرفة الأحكام الشرعيّة في الاجتهاد، وأنّ الميّت لا 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الاجتهاد حينئذٍ على بعض الفرق المذكورين، وهم الذين لهم فِطرة سليمة وطبيعة وقادة وأذهان درّاكة كالفرقة الأولى ومَنْ يَليهم، دون غيرهم؛ للتعذر أو التعشر المنفي بالآية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التعذَّرُ عن الوصول إلى هذه الدرجة إلّا بعد التوّجه والخوض في المبادئ، فصح كلام المستدِلّ،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خَلا العصر من المجتهد تَعَلَّقَ تكليف الاجتهاد في أوّل الأمر بكلّ واحدٍ من المكلّفين، ووَجَبَ الطلب عليهم والسعي في تحصيل هذا الغرض حتّى يُعْلَم بذلك حالهم من العجز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يتم بالنسبة إلى الذين خاضوا في المبادئ، وأتُعَبُوا أنفسهم في التحصيل زماناً طويلاً في زمان حياة المجتهد، وبالغُوا في الطلب ومع ذلك لم ينالوا من الدقائق شيئاً على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شَهِدَتِ القرائن الجليّة بحال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كعدم فطانته وانتفاء ذكائه وضعفِ فهمه وحافظته وكثرة نسيانه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يُسْتَبْعَد سقوط هذا التكليف عنه كمن ظَنَّ أنَّ استعمال الماء الباردِ يَضُرُّ في الغسل أو الوضوء بشهادة القرائن؛ فإنَّه يَسْقُطُ عنه حينئذٍ تكليف الطهارة المائية، ويجب عليه حينئذٍ العدول إلى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خلاصة البحث في المقام الأوّل</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375207_1067777946"/>
      <w:bookmarkStart w:id="40" w:name="_Toc12"/>
      <w:bookmarkEnd w:id="39"/>
      <w:r>
        <w:rPr>
          <w:rtl w:val="true"/>
        </w:rPr>
        <w:t>مناقشة القول بسقوط قول المجتهد المیّت عن الاعتبار</w:t>
      </w:r>
      <w:bookmarkEnd w:id="4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البحث في المقام الثاني فهو أنّ كُبرى القياس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قول للميّت ليس معتبراً في الشرع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تخلو إمّا أن تكون على خيال المستدلّ من قبيل </w:t>
      </w:r>
    </w:p>
    <w:p>
      <w:pPr>
        <w:pStyle w:val="BookText"/>
        <w:rPr/>
      </w:pPr>
      <w:r>
        <w:rPr>
          <w:rFonts w:ascii="Amiri" w:hAnsi="Amiri" w:eastAsia="Amiri" w:cs="Amiri"/>
          <w:color w:val="111111"/>
          <w:sz w:val="28"/>
          <w:sz w:val="28"/>
          <w:szCs w:val="28"/>
          <w:rtl w:val="true"/>
          <w:lang w:bidi="ar-SA"/>
        </w:rPr>
        <w:t>الدأئمّة، بمعنى أنّه لا يعتبر قوله دائماً في جميع الأوقات والأحوال، أي سواء كان العصر خالياً من المجتهد أو يكون موجوداً فيه؛ وإما أن تكون مطلقةً غيرَ مقيَّدةٍ بحال من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تقدير أن تكون دأئمّة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المراد منها أنّ قولَه لا يُعْتَبَر دائماً في جميع الأحوال والأوقات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المذكور في بيان هذه الكبرى في القياس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صغراه وهي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قول الميّت قول ينعقدُ الإجماعُ على خلافه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محلّ بحثٍ؛ لأنّ هذه الصغرى إذا لم تُقيَّد بالدوام في القياس المذكور، بل هي مُعَرّاة عن القيد المذكور، لم يستلزم القياسُ المذكورُ حينئذٍ المطلوب؛ لأنّ المطلق على تقدير صدقه وصحته لا يستلزم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قُيِّدَتْ تَطَرَّقَ المنعُ إليها؛ لأنّ انعقاد الإجماع من دون قول ذلك المجتهد المخالفِ الميّت وعدم الاعتداد بمقالته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سَواءٌ كان عند الأعذار أولا، وسواء كان مع وجود المجتهد في العصر أو مع خُلُوِّه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ما يلزم من كلام المستدلّ من حديث الإجماع المذكور عدم الاعتداد بقول المجتهد الميّت بعد موته على تقدير وجود المجتهدين في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تقدير خلوّ الزمان من المجتهد فلا نسلّم أنّه لا يُعْتَبَرُ قوله؛ إذ التكليف بالعبادات حاصلٌ، والمفروض أنّه يجوز خُلُو العصر من المجتهد فلو لم يُعْتَبر قولُه لَزِمَ تعطيلُ الشريعة واندراس الأحكام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 العلّامة في نهاية الوصول إلى علم الأُصول يؤيد مقالتنا غايةَ التأييد، ويُؤكِّدُ البحث المذكور غاية التأكيد،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وتمنع حصول الإجماع على عدم جواز التقليد مع عدم التمكُن لضيق الوقت أو لغَيره من الأعذار</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عليك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لغيره من الأعذار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منه جواز العمل بقوله لكلّ </w:t>
      </w:r>
    </w:p>
    <w:p>
      <w:pPr>
        <w:pStyle w:val="BookText"/>
        <w:rPr/>
      </w:pPr>
      <w:r>
        <w:rPr>
          <w:rFonts w:ascii="Amiri" w:hAnsi="Amiri" w:eastAsia="Amiri" w:cs="Amiri"/>
          <w:color w:val="111111"/>
          <w:sz w:val="28"/>
          <w:sz w:val="28"/>
          <w:szCs w:val="28"/>
          <w:rtl w:val="true"/>
          <w:lang w:bidi="ar-SA"/>
        </w:rPr>
        <w:t>من لا يقدر على الاجتهاد، كعديم الذكاء أو ضعيف الحافظة، وبالجملة لكلِّ المعذورين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شعري ماذا يقول هذا المستدِلُّ المتصدّي لبيان أن لا قول للميّت أصلاً إذا فَرَضْنا انحصار أهل العصر كلّهم في أفرادٍ لا يوجَدُ فيهم ذَكَيٌّ فَطِنٌ حَسَنُ الإِدْراكَ ؟ ولا أظُنُّك في مِرْيَةٍ مِن جواز العمل بقول الميّت على هذا التقدير، بل يجب عليهم حينئذٍ الأخذُ بمقالته؛ إذ التكليف بالعبادات ليس مرتفعاً وسَيَرِدُ عليك ما يُؤيِّدُ المذكور في كلام العلّامة من مقالة فخر المحقّقين في رسالة إرشاد المسترشدين فانتظره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الكبرى المذكورة في القياس الأوّل مطلقةً غير مقيَّدةٍ بشيءٍ ممّا ذكرنا كان المراد منها حينئذٍ أنّ قولَ الميّت غيرُ معتبر في الجملة وفي بعض الأحوال والأوقات، فلا يَتِمُّ التقريب حينئذٍ؛ لأنّ المستدِلَّ بصدد بيان عدم اعتبار قوله بحال من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حَكَمَ بوجوبِ السعي والطلب على جميع المكلّفين لتحصيل هذا الأمر عند خلوّ العصر من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قد عورِضَ كلامُ المستدِلَّ بأن العدل الموثوق إذا حكى عن المجتهد حكماً لعامّي غَلَبَ على ظنّه أن حكم اللّه تعالى هو ما حكاه العدل، ووجب عليه العمل،به فعلى هذا لا يجب عليه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المعارضة ذكرها العلّامة في نهاية الوصول ولم يقدح فيها أصلاً؛ مع أنّ دأبَه في ذلك الكتاب تزييفُ كلّ مقالةٍ سخيفةٍ، وردُّ كلّ حجّةٍ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فخر المحقّقين في آخر كتابه المسمّى بإرشاد المسترشدين وهداية الطالبين في أُصول الدين كلاماً يَدُلُّ دلالةً ظاهرةً على أنّ قولَ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أن الميّت لا 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مسلّمٍ عنده وعند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عبارته في كتابه المذكور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واقْتَصَرْتُ على هذه الأُصول ولم أذكر العباداتِ السمعية؛ لأنّ والدي جمال الدين الحسن بن يوسف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ما أَجْمَعَ عليه أهل البيت اللّه، وهم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صَحَّ نقلُه عنهم </w:t>
      </w:r>
    </w:p>
    <w:p>
      <w:pPr>
        <w:pStyle w:val="BookText"/>
        <w:rPr/>
      </w:pPr>
      <w:r>
        <w:rPr>
          <w:rFonts w:ascii="Amiri" w:hAnsi="Amiri" w:eastAsia="Amiri" w:cs="Amiri"/>
          <w:color w:val="111111"/>
          <w:sz w:val="28"/>
          <w:sz w:val="28"/>
          <w:szCs w:val="28"/>
          <w:rtl w:val="true"/>
          <w:lang w:bidi="ar-SA"/>
        </w:rPr>
        <w:t xml:space="preserve">بالطريق الذي له إلى الشيخ الطوسي الصحيح، ومن الشيخ الطوسي إلى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بالطريقة الصحيحة التي لا شك فيها ولا ريبَ لأنّ والدي لما ذكرنا له أن الميّت لا قول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قد أثْبَتُ لكم ما اتفقت عليه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يحتاج إلى تقليد أحدٍ بعد معرفة واجب الاعتقاد، ومَن عَدَلَ عنه إلى غيره فقد عَدَلَ عن يقين إلى ظن، وعن قول معصوم إلى قول مجتهد فأيها المؤمنون تَمَسَّكُوا واعْتَمِدوا عليه</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على المتأمّل أنّ هذه المقالة فيها اعتراف بأنّ الميّت له قولٌ، وهذا الاعتراف منه سندٌ لنا فيما نحن فيه؛ إذ هو صريحٌ بجواز العمل بقوله بعد موته، وإن كان في الدليل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 فلأنّ مسائل الفقه ليستْ مُنْحَصِرةً فيما ذَكَرَه وجَمَعَه في كُتُبه حتّى يَسْتغني الناسُ عن التقليد مطلقاً بما ذَكَرَه في كُتُبه؛ إذ الفروعُ غيرُ منحصرة في مذكوراته ومعلوماته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لا يخفى عليك أنّه ذَكَرَ كثيراً من المسائل الفروعيّة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واستشكل فيها ولا أفتى بشيءٍ من طَرَفَي الإيجاب والسلب مع أنّ الناس يحتاجون إليها في عباداتهم وغيرها؛ فكيف يستقيمُ ما ذكره من عدم الاحتياج إلى تقليد أحدٍ من بعده؟</w:t>
      </w:r>
    </w:p>
    <w:p>
      <w:pPr>
        <w:pStyle w:val="BookText"/>
        <w:rPr/>
      </w:pPr>
      <w:r>
        <w:rPr>
          <w:rFonts w:ascii="Amiri" w:hAnsi="Amiri" w:eastAsia="Amiri" w:cs="Amiri"/>
          <w:color w:val="111111"/>
          <w:sz w:val="28"/>
          <w:sz w:val="28"/>
          <w:szCs w:val="28"/>
          <w:rtl w:val="true"/>
          <w:lang w:bidi="ar-SA"/>
        </w:rPr>
        <w:t>وأما ثانياً فلأنّ مَنْ بعده من المجتهدين قد خالفه فيما أفتاه وأفتى بضده، فكيف يستقيم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عَدَلَ عنه فقد عَدَلَ عن يقين إلى ظن، وعن قول معصوم إلى قول مجتهٍد</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ولا يخفى عليك أيضاً منافاة هذا الكلام لما ذكره في كُتبه الأُصوليّة والفروعيّة من أنّ الميّت لا قول له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اطَّلعت على ما ذكرناه من القدح فيما ذكره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الميّت لا 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 أنّ الميّت لا 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زَعَمَهُ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أنّ هذا </w:t>
      </w:r>
      <w:bookmarkStart w:id="41" w:name="pg10113_91876"/>
    </w:p>
    <w:p>
      <w:pPr>
        <w:pStyle w:val="BookText"/>
        <w:rPr/>
      </w:pPr>
      <w:bookmarkEnd w:id="41"/>
      <w:r>
        <w:rPr>
          <w:rFonts w:ascii="Amiri" w:hAnsi="Amiri" w:eastAsia="Amiri" w:cs="Amiri"/>
          <w:color w:val="111111"/>
          <w:sz w:val="28"/>
          <w:sz w:val="28"/>
          <w:szCs w:val="28"/>
          <w:rtl w:val="true"/>
          <w:lang w:bidi="ar-SA"/>
        </w:rPr>
        <w:t>التكليف ليس متوجّهاً على عامّة المكلّفين لما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إنّما يتوجّه على الفرقة الأُولى وَمَنْ يَليهم؛ فإنّه يجب عليهم السعي والطلب وبذلُ الجُهْد لِنَيْل هذا المطلب، وجوباً مضيَّقاً بحيث لا يَسُوعُ لأحدٍ منهم أنْ يأتي بالعبادات المندوبة، ولا يسوغ له الوطء المندوب، وكذا لا يجوز له الإتيان بالصلاة الواجبة في أوّل وقتها، ولا قِراءةُ السُوَرِ الطوال، بخلاف الفِرق الأخرى؛ فإنّ الحكم المذكور مُنتَفٍ عنهم، فلهم الإتيان بالمستحبّات وبالفرائض في أوّل الوقت، ولهم أن يعملوا بقول الميّت إلى أن يوجد المجتهدُ العَدْلُ</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375209_1067777946"/>
      <w:bookmarkStart w:id="43" w:name="_Toc13"/>
      <w:bookmarkEnd w:id="42"/>
      <w:r>
        <w:rPr>
          <w:rtl w:val="true"/>
        </w:rPr>
        <w:t>خلوّ الزمان عن مجتهد بین المثبتین والنافین</w:t>
      </w:r>
      <w:bookmarkEnd w:id="43"/>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ذكرته من جواز العمل بقول الميّت مبني على جواز خُلُو العصر عن المجتهد، وهو مجرّد فرض ولا يطابق نفس الأمر وممّن صَرَّحَ بعدم جواز ذلك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أوائل كتاب الذكرى،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ونمنع خُلوَّ العصر عن المجتهد</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 ما ذكره لا يدلّ على أنه مذهب فقهاء الإماميّة؛ لأنّ كلامه في ذلك الموضع وقع في حيّز المنع والمنع لا يدلُّ على المذهب، بل يكفي للمانع الاحتمال، وكيف يكون هذا مذهبه مع أنّه قد صَرَّحَ في باب تغسيل الموتى بما ينافي ذلك،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له وليّ فالإمامُ وليه مع حضوره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غَيْبَتِه الحاكم ومع عدمه المسلمون</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صريح في جواز الخُلُوِّ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في الدروس بذلك حيث قال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مات ولا ولىَّ له فأمره إلى الحاكم يَنْصب عليه أميناً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تعذَّرَ الحاكم أو مراجَعَتُه جازَ لأحادِ المؤمنينَ العدول التصرُّفُ بما فيه صلاحٌ؛ لأنّه من باب التعاوُنِ على البرّ</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وممّن صَرَّحَ بجواز خلوّ العصر عن المجتهد العلّامة في نهاية الوصول، وهذه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الناسُ في خلوّ عصر من الأعصار عن مجتهد يمكن تفويض الفتاوى إليه، فَمَنَعَ هذه قوم كالحنابِلَة، وجَوَّزَه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الإماميّة فإن الزمان عندهم لا يجوزُ خُلُو المعصوم منه مع وجود التكليف، لكنه لا يُسمّى مجتهداً ع مجتهداً عند الإماميّة</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صريح بجواز الخُلُوِّ، فلا يكون ما ذكره الشهيد في أوّل الذكرى</w:t>
      </w:r>
      <w:r>
        <w:rPr>
          <w:rStyle w:val="FootnoteAnchor"/>
          <w:rtl w:val="true"/>
        </w:rPr>
        <w:footnoteReference w:id="21"/>
      </w:r>
      <w:r>
        <w:rPr>
          <w:rFonts w:ascii="Amiri" w:hAnsi="Amiri" w:eastAsia="Amiri" w:cs="Amiri"/>
          <w:color w:val="111111"/>
          <w:sz w:val="28"/>
          <w:sz w:val="28"/>
          <w:szCs w:val="28"/>
          <w:rtl w:val="true"/>
          <w:lang w:bidi="ar-SA"/>
        </w:rPr>
        <w:t>موافقاً لرأيه في موضع آخر، وليس أيضاً مطابقاً لمذهب فقهاء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البحث أن الأصل جواز خُلُو الزمان عن المجتهد، ولم يقم دليلٌ عقليٌ ولا نقليٌ يدلُّ على خلاف هذا الأصل، ومخالَفَةُ الأصل إنّما تكون بالدليل، وليس فليس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يوجد في كلام أحدٍ من المحقّقين أنّ وجود المجتهد في كلّ زمان كوجود الإمام المعصوم في امتناع الخُلُوِّ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اسْتَبْعَدَ بعضُ المتأخّرين </w:t>
      </w:r>
      <w:r>
        <w:rPr>
          <w:rStyle w:val="FootnoteAnchor"/>
          <w:rtl w:val="true"/>
        </w:rPr>
        <w:footnoteReference w:id="22"/>
      </w:r>
      <w:r>
        <w:rPr>
          <w:rFonts w:ascii="Amiri" w:hAnsi="Amiri" w:eastAsia="Amiri" w:cs="Amiri"/>
          <w:color w:val="111111"/>
          <w:sz w:val="28"/>
          <w:sz w:val="28"/>
          <w:szCs w:val="28"/>
          <w:rtl w:val="true"/>
          <w:lang w:bidi="ar-SA"/>
        </w:rPr>
        <w:t>خُلُو العصر من المجتهد غاية الاستبعاد، وشَنَّعَ على القائلين بذلك، وهذه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خُلُو الأوقات عن المجتهدين، وإن كان قد نازَعَ في ذلك جماعةٌ لا تحصيل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تشنيع شنيع، كما لا يخفى، مع أنه لم يأتِ بمُقنع في إثبات مطلوبه، وأقصى ما عنده في بيان هذا المطلوب هو أنّ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الاجتهاد واجب على المكلّفين في جميع الأوقات والأزمان وجوباً على الكفاية </w:t>
      </w:r>
    </w:p>
    <w:p>
      <w:pPr>
        <w:pStyle w:val="BookText"/>
        <w:rPr/>
      </w:pP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طَائِفَةٌ لِيَتَفَقَّهُوا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الاجتهاد واجباً على جميع المكلّفين في جميع الأوقات والأزمنة لم يكن الزمان خالياً عن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محصلاً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هذا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يُسْمِنُ وَلَا يُغْنِى مِن جُوع</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لأنّ كونه واجباً كفائيّاً في جميع الأوقات لا يقتضي عدم انفكاك الزمانِ عنه، لأنّ إخلالَ المكلّفين بالواجبات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سهواً أو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ممتنع؛ إذ أهل العصر سوى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معصومين حتّى لا يُتَصَوَّرَ في حقهم الإخلالُ بالواجب، وإذا جاز الإخلالُ منهم بذلك جاز خُلُوّ الزمان من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للإثبات لم يَنْهَضُ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الجواب على تقدير تسليم كون المراد بالتفقّه هو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المراد منه أخذ العلم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وإنذار القوم بالرواية لا بالفتوى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بعض الفضلاء في صورة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جواب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في إثبات هذا المطلوب، أعني عدم جواز خلوّ العصر عن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طريق معرفة الأحكام الشرعيّة هو الاجتهاد، فلو خَلا الزمانُ عن مجتهدٍ يمكن الاستناد إليه في معرفة الأحكام لزم تعطيلُ الشريعة واندراس الأحكام، وهو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الاستدلال قد ذكره العلّامة في نهاية الوصول ناقلاً عمّن زَعَمَ أنّ الزمان لا يخلو عن مجتهد، ثمّ قد صَرَّحَ فيه بالمنع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نظر؛ لمنع حصر الطريق في الاجتهاد</w:t>
      </w:r>
      <w:r>
        <w:rPr>
          <w:rFonts w:eastAsia="Amiri" w:cs="Amiri" w:ascii="Amiri" w:hAnsi="Amiri"/>
          <w:color w:val="111111"/>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المذكور قد أخذ استدلاله من كلام النهاية، وسَكَتَ عن المنع المذكور؛ ترويجاً لما هو بصدده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عليك أنّ هذا المنع من العلّامة يُشْعِرُ بصحة ما نَقَلَهُ فخرُ المحقّقين عنه </w:t>
      </w:r>
      <w:r>
        <w:rPr>
          <w:rFonts w:eastAsia="Amiri" w:cs="Amiri" w:ascii="Amiri" w:hAnsi="Amiri"/>
          <w:color w:val="111111"/>
          <w:sz w:val="28"/>
          <w:szCs w:val="28"/>
          <w:rtl w:val="true"/>
          <w:lang w:bidi="ar-SA"/>
        </w:rPr>
        <w:t xml:space="preserve">- </w:t>
      </w:r>
      <w:bookmarkStart w:id="44" w:name="pg10113_91879"/>
    </w:p>
    <w:p>
      <w:pPr>
        <w:pStyle w:val="BookText"/>
        <w:rPr/>
      </w:pPr>
      <w:bookmarkEnd w:id="44"/>
      <w:r>
        <w:rPr>
          <w:rFonts w:ascii="Amiri" w:hAnsi="Amiri" w:eastAsia="Amiri" w:cs="Amiri"/>
          <w:color w:val="111111"/>
          <w:sz w:val="28"/>
          <w:sz w:val="28"/>
          <w:szCs w:val="28"/>
          <w:rtl w:val="true"/>
          <w:lang w:bidi="ar-SA"/>
        </w:rPr>
        <w:t xml:space="preserve">وقد قَرَعْنا به سَمْعَك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وجوب الاجتهاد، سواءٌ خَلا الزمان عن المجتهد أم لا لأن القول بوجوبه إنّما يتمشّى على تقدير أن يكون طريق معرفة الأحكام الشرعيّة منحصراً في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تقدير عدم انحصار الطريق في ذلك فينسدُّ بابُ وجوب الاجتهاد ويَنْفَتح باب جواز التقليد عن الميّت</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375211_1067777946"/>
      <w:bookmarkStart w:id="46" w:name="_Toc14"/>
      <w:bookmarkEnd w:id="45"/>
      <w:r>
        <w:rPr>
          <w:rtl w:val="true"/>
        </w:rPr>
        <w:t>اطّلاع أهل العصر علی الأعلم الأورع بین النفي و الإثبات</w:t>
      </w:r>
      <w:bookmarkEnd w:id="46"/>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ما يَشْهَدُ على عدم جواز التقليد عن الميّت، وأنّه لا قول له، أنّ أصحابنا قد أجمعوا على أنه يجب العمل بقول الأعلم والأورع من المجتهدين؛ فلو كان للميّت قول لم يَتَمَسَّ لهم هذا الكلامُ؛ لأنّ اطّلاع أهل العصر على الأعلم والأورع حينئذٍ من بين المجتهدين متعذّر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قد ذَكَرَه أصحابنا المتأخّرون في كتبهم، وهو منهم مبنىٌّ على أنّ الميّت لا قولَ له، وأنّ طريق معرفة الأحكام الشرعيّة منحصرٌ في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ما هو المتوجّه على زَعْمِهم، وهل الكلام إلّا في تزييف مقالتهم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فيما مضى أن العلّامة قد قَدَحَ في الحصر، ولم يُسَلِّمْ أنّ طريق معرفة الأحكام الشرعيّة منحصر في الاجتهاد، ومَنَعَ عدم جواز التقليد عن الميّت لعذرٍ من الأعذار كضيق الوقت بحيث لا يُتَمَكَّنُ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أو لعدم استعداد المكلّف له لفقد أُمورٍ ضرورية في الاجتهاد، كعدم الفطانة وكثرة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من حديث الإجماع على وجوب العمل بقول الأعلم والأورع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أن يكون ذلك محمولاً على ما إذا لم يَتَعَذَّر الاستعلام والاستخبار عن حال الأعلم والأورع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تَعَذَّرَ فليس على المكلّف إلا مقدورُه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وليتَ شِعْري ماذا يقولُ هذا القائل إذا كَثرَ المجتهدون الأحياء، وبلغوا مائة ألفٍ أو أكثر، وهم مُتَفَرِّقون في الأقطار، مُنتَشِرون في الآفاق شرقاً وغرباً وجنوباً وشمالاً؛ فماذا يَفْعَلُ المكلّف العامى حينئذٍ في عمله ؟ فما هو جوابه فهو جوابنا</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10113_91881"/>
      <w:bookmarkStart w:id="48" w:name="pg10113_91881"/>
      <w:bookmarkEnd w:id="48"/>
    </w:p>
    <w:p>
      <w:pPr>
        <w:pStyle w:val="Heading3"/>
        <w:numPr>
          <w:ilvl w:val="2"/>
          <w:numId w:val="1"/>
        </w:numPr>
        <w:rPr/>
      </w:pPr>
      <w:bookmarkStart w:id="49" w:name="pg10113_91881"/>
      <w:bookmarkStart w:id="50" w:name="__RefHeading___Toc375213_1067777946"/>
      <w:bookmarkStart w:id="51" w:name="_Toc15"/>
      <w:bookmarkEnd w:id="49"/>
      <w:bookmarkEnd w:id="50"/>
      <w:r>
        <w:rPr/>
        <w:t>8</w:t>
      </w:r>
      <w:r>
        <w:rPr>
          <w:rtl w:val="true"/>
        </w:rPr>
        <w:t xml:space="preserve">. </w:t>
      </w:r>
      <w:r>
        <w:rPr>
          <w:rtl w:val="true"/>
        </w:rPr>
        <w:t>تقليد الميّت</w:t>
      </w:r>
      <w:bookmarkEnd w:id="51"/>
    </w:p>
    <w:p>
      <w:pPr>
        <w:pStyle w:val="Heading4"/>
        <w:numPr>
          <w:ilvl w:val="3"/>
          <w:numId w:val="1"/>
        </w:numPr>
        <w:rPr/>
      </w:pPr>
      <w:bookmarkStart w:id="52" w:name="__RefHeading___Toc375215_1067777946"/>
      <w:bookmarkStart w:id="53" w:name="_Toc16"/>
      <w:bookmarkEnd w:id="52"/>
      <w:r>
        <w:rPr>
          <w:rtl w:val="true"/>
        </w:rPr>
        <w:t>إشارة</w:t>
      </w:r>
      <w:r>
        <w:rPr>
          <w:rtl w:val="true"/>
        </w:rPr>
        <w:t>:</w:t>
      </w:r>
      <w:bookmarkEnd w:id="53"/>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 xml:space="preserve">رضا المختاري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المحمّدي</w:t>
      </w:r>
    </w:p>
    <w:p>
      <w:pPr>
        <w:pStyle w:val="BookText"/>
        <w:rPr/>
      </w:pPr>
      <w:r>
        <w:rPr>
          <w:rFonts w:ascii="Amiri" w:hAnsi="Amiri" w:eastAsia="Amiri" w:cs="Amiri"/>
          <w:color w:val="111111"/>
          <w:sz w:val="28"/>
          <w:sz w:val="28"/>
          <w:szCs w:val="28"/>
          <w:rtl w:val="true"/>
          <w:lang w:bidi="ar-SA"/>
        </w:rPr>
        <w:t>مراجعة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أسعد الطيّب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 وبه نستعين</w:t>
      </w:r>
    </w:p>
    <w:p>
      <w:pPr>
        <w:pStyle w:val="BookText"/>
        <w:rPr/>
      </w:pPr>
      <w:r>
        <w:rPr>
          <w:rFonts w:ascii="Amiri" w:hAnsi="Amiri" w:eastAsia="Amiri" w:cs="Amiri"/>
          <w:color w:val="111111"/>
          <w:sz w:val="28"/>
          <w:sz w:val="28"/>
          <w:szCs w:val="28"/>
          <w:rtl w:val="true"/>
          <w:lang w:bidi="ar-SA"/>
        </w:rPr>
        <w:t xml:space="preserve">اللّهم حببنا إلى الحقّ وَحَببه إلينا وحَلَّنا بحقائقه، وجَنِّبْنا الباطل وبغِّضه إلينا ومِلْ بنا عن طرائقه ؛ ونَبِّهنا من مَراقِدِ الطبيعة إلى القيام بما حَدَّدْتَه قولاً وفعلاً وسمعاً، ولا تجعلنا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ضَلَّ سَعْيُهُمْ فِي الْحَيَوةِ الدُّنْيَا وَهُمْ يَحْسَبُونَ أَنَّهُمْ يُحْسِنُونَ صُنْعا</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xml:space="preserve">؛ واسلك بنا سبيلَ من أجابَ داعِيَك وأناب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لَنَا مِن لَّدُنكَ رَحْمَةً إِنَّكَ أَنتَ الْوَهَّابُ</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فاعلم أيّها الأخُ الوَفيُّ والبَرُّ التقيّ </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نَفَعَني اللّه بك ونَفَعَكَ بي، وجَعَلَ حَبْلَ إخائنا متصلاً أبداً وسبب وفائنا دائماً سرمداً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منّا على الآخر حقوقاً جمّةً لا يقوم بأيسرها ما في الدنيا، ولا يُسَوِّعُ الإعراض عن بعضها الحياء، ومن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 النصيحة الفاخرة، والتنبيه على ما يعود نفعه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أكَّدَ ذلك ما ذكره الأخُ في كتابه إلينا من الكلام المتضمن لأنّا إن كتمناك شيئاً فيه منفعتُكَ، طالبتنا به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فنحن تذكر لك ها هنا وجهاً واحداً هو أساس العمل وعِمادُهُ الأقوى، وعليه يَتَفَرَّعُ سائر العبادات، وإليه تَرْجِعُ الفتوى سالكين من الكلام على ما ظهر لنا في بيان الحال، ناكبين عند بيان الواجب عمّا يَعْتاده الناس من تزيين العبارة، والتمويه في المقال سائلين قبل الشروع فيه ما سَأَلْتُموه، مؤكدين بما أكَّدْ 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إنْ أخْلَلْتُمْ بشيءٍ يظهر لكم ممّا فيه جَلبُ منفعةٍ لنا في ديننا أو دفعُ مَضَرَّةٍ، تكونوا قد تركتم ما يجب لنا عليكم من حقِّ الأُخُوّة، وعهدِ الإيمان، وذمّة الإسلامِ، وحرمةِ الصُحبة؛ فإنّ اللّه سبحانه يوم القيامةِ يسألُ عن ذلك كلّه حتّى عن صُحْبَة ساعةٍ، ومُماشاةٍ خُطُواتٍ 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ظُنُّك بطريقٍ قد جَدَّدَتْه العُهودُ والمواثيق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فنطالِبُكم به يوم المطالبة، وتُناقِشُكم عليه يوم المُحاسبة، طالبين ذلك مصلحة أنفسِنا، مُقْتَدِين بمَنْ مضى مِنْ سَلَفِنا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امرأ أهدى إلَيَّ عيوبي</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على الإنسانِ أنْ لا يُقَصِّر في قبول النصيحة للأصدقاء والأخِلاءِ الأمجاد، بل يَقْبَلُها ولو جاءت على يد الأعداء والحُسَادِ ويَتَلَقَّاها بالبشر ولو وَرَدَتْ مِنَ الغُرَباءِ وأهلِ البعاد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ذلك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قد ذَمّ في كتابه العزيز قوماً تركوا الاستدلال على مُعْتَقَدِهم وما يَدِينونَ به ويَقْتَدون بسَلَفِهم وآبائهم بآياتٍ كثيرة شهيرة كقوله تعالى حكايةً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وَجَدْنَا ءَابَاءَنَا عَلَى أُمَّةٍ وَإِنَّا عَلَى ءاثارِهِم مُّقْتَدُونَ</w:t>
      </w:r>
      <w:r>
        <w:rPr>
          <w:rFonts w:eastAsia="Amiri" w:cs="Amiri" w:ascii="Amiri" w:hAnsi="Amiri"/>
          <w:color w:val="111111"/>
          <w:sz w:val="28"/>
          <w:szCs w:val="28"/>
          <w:rtl w:val="true"/>
          <w:lang w:bidi="ar-SA"/>
        </w:rPr>
        <w:t>»</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عنهم على جهة الاستفهام التوبيخي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أَصَلَوَتُكَ تَأْمُرُكَ أَن نَّتْرُكَ مَا يَعْبُدُ ءَابَآؤُنَا</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w:t>
      </w:r>
      <w:bookmarkStart w:id="54" w:name="pg10113_91885"/>
    </w:p>
    <w:p>
      <w:pPr>
        <w:pStyle w:val="BookText"/>
        <w:rPr/>
      </w:pPr>
      <w:bookmarkEnd w:id="54"/>
      <w:r>
        <w:rPr>
          <w:rFonts w:ascii="Amiri" w:hAnsi="Amiri" w:eastAsia="Amiri" w:cs="Amiri"/>
          <w:color w:val="111111"/>
          <w:sz w:val="28"/>
          <w:sz w:val="28"/>
          <w:szCs w:val="28"/>
          <w:rtl w:val="true"/>
          <w:lang w:bidi="ar-SA"/>
        </w:rPr>
        <w:t>رَبَّنَا إِنَّا أَطَعْنَا سَادَتَنَا وَكُبَرَاءَنَا فَأَضَلُّونَا السَّبِيلَا</w:t>
      </w:r>
      <w:r>
        <w:rPr>
          <w:rFonts w:eastAsia="Amiri" w:cs="Amiri" w:ascii="Amiri" w:hAnsi="Amiri"/>
          <w:color w:val="111111"/>
          <w:sz w:val="28"/>
          <w:szCs w:val="28"/>
          <w:rtl w:val="true"/>
          <w:lang w:bidi="ar-SA"/>
        </w:rPr>
        <w:t>»</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 في طلب أخذ الدين بالدليل المتين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هَاتُوا بُرْهَنَكُمْ إِن كُنتُمْ صَادِقِينَ</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إلى غير ذلك من نظائر 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يجب علينا وعليكم أن نأخذ أصل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نتميّز عن سائر الملل والنحل والآراء الفاسدة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ببرهان يجوز المصير إليه، كذلك يجب أن نأخذ ما نَحكم بوجوبه ونديه وتحريمه وتحليله وصحتِهِ وفَسادِهِ بطريقٍ يُعْتَمَدُ عليهِ، ويَسوعُ لِمِثلِنا الأخذُ بهِ والعمل عليه، فيكون حجّةً لنا على اللّه سبحانَهُ إِذا وَقَفْنا بين يديه؛ لِنَسْلَمَ مِنْ وعيده تبارك وتعالى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لَّمْ يَحْكُم بِمَا أَنزَلَ اللّه فَأُولَتكَ هُمُ الْكَفِرُونَ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الفَسِقُونَ </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الظَّلِمُونَ</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xml:space="preserve">، ومن تهديده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أَرَءَيْتُم مَّا أَنزَلَ اللّه لَكُم مِّن رِزْقٍ فَجَعَلْتُم مِّنْهُ حَرَامًا وَحَلَالاً قُلْ ءاللّه أَذِنَ لَكُمْ أَمْ عَلَى اللّه تَفْتَرُونَ</w:t>
      </w:r>
      <w:r>
        <w:rPr>
          <w:rFonts w:eastAsia="Amiri" w:cs="Amiri" w:ascii="Amiri" w:hAnsi="Amiri"/>
          <w:color w:val="111111"/>
          <w:sz w:val="28"/>
          <w:szCs w:val="28"/>
          <w:rtl w:val="true"/>
          <w:lang w:bidi="ar-SA"/>
        </w:rPr>
        <w:t>»</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مقتضى هذه القسمة أنّ مَن لم يعلم الإذن فهو مُفْتَرٍ، فيجب عليكم إقامةُ الحجّة على اللّه سبحانه وبيانُ العذر لَدَيه وتوضيحُ الإذنِ الذي به صِرْتُم إلى العمل بما بأيديكم من النُّقُول عن الأمواتِ والمقلّدة حتّى صَيَّرْتُموها دِيناً، وصِرتُم تَنْقُلونَها للناس خصوصاً وعموماً؛ حتّى تخرجوا عن عُهدة التهديد وتسلموا من هَوْلِ هذا الوعيد</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375217_1067777946"/>
      <w:bookmarkStart w:id="56" w:name="_Toc17"/>
      <w:bookmarkEnd w:id="55"/>
      <w:r>
        <w:rPr>
          <w:rtl w:val="true"/>
        </w:rPr>
        <w:t>ردّ المؤلّف علی أهل زمانه في کیفیة التفقّه</w:t>
      </w:r>
      <w:bookmarkEnd w:id="5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يَزْعَمُهُ هذا الضعيفُ القاصرُ ويَفْهَمُهُ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تَعتَمِدونَه وتتعبّدون به وتَألفُونَهُ من نقل الأحكام الشرعيّة، والعمل بها على الوجه الذي يقعُ ويعهد، وتعتقدون،صحته، وتُرَتِّبون عليه الفتاوى والأحكام في الأموال والفروج وغيرهما، </w:t>
      </w:r>
    </w:p>
    <w:p>
      <w:pPr>
        <w:pStyle w:val="BookText"/>
        <w:rPr/>
      </w:pPr>
      <w:r>
        <w:rPr>
          <w:rFonts w:ascii="Amiri" w:hAnsi="Amiri" w:eastAsia="Amiri" w:cs="Amiri"/>
          <w:color w:val="111111"/>
          <w:sz w:val="28"/>
          <w:sz w:val="28"/>
          <w:szCs w:val="28"/>
          <w:rtl w:val="true"/>
          <w:lang w:bidi="ar-SA"/>
        </w:rPr>
        <w:t>وتتكلَّمُونَ عليه في التفقّه، وتتقاعدون عن الاشتغال بتحصيل الفقه على الوجه المأمورِ به، غيرُ معروفٍ في المذهب، ولا يذهبُ إليه أحدٌ من علماء الإماميّة، بل كثير منه لا يذهب إليه غيرهم أيضاً؛ وأنّ كلّ ما يَتَرَتَّبُ عليه فاسدٌ لا يَترتَّبُ عليه أثرٌ شرعيٌ، وإن كان الحكم مطابقاً لما فى نفس الأمر؛ فإنّ ذلك غيرُ كاف في الخروج عن عهدته، والسلامةِ من إثمه مع عدم صحّة طريقه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صحّة هذه الدعوى من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من هذه الفروع والنقول غير مستند إلى أحد من المجتهدين الذين يجوز الأخذُ بقولهم والعمل بفتواهم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وإفتاء غير المجتهد في الدين غيرُ مَسموع، ونقله غيرُ سائغ لأحدٍ العمل به إذا لم يُسْنِدُهُ إلى مجتهد معيَّن، بحيث تعلم عدالتهُ وعَدالَهُ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موضع وفاقٍ لم يُخالف فيه أحد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ادّعى جوازه فعليه بيانُ المُجوِّز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النقول وإن كان بعضها موافقاً لأقوال المجتهدين، فقد وُجد في كثيرٍ منها ما لا يقول به أحدٌ من علمائنا، بل وَقَفْتُ أنا منها على ما لا يقول به أحدٌ من علماء الإسلام قاطبةً، فالقول بها واعتقادها سائغةً في الدين مع اتصافها بهذا الوصف لا يخفى ما يَتَرَتَّب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إنّما يَرِدُ على ما يتداوله بعض أهل بلادنا، ومَن جرى مجراهم لا على جميع المتفقِّهة، كما لا يخفى على مَنْ عَلِمَ بالحال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الأفراد الموافِقَة لأقوال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هي عينُ أقوالهم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يجوز التعويل عليها، والعمل بمضمونها مع مشافَهَةِ المجتهد بها، أو نقلها عنه بواسطة أو وسائط مع عدالة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الأمر هنا ليس كذلك، بل إنّما تأخذونها عن مشايخكم تلقِّياً منهم واكتفاءً بنقلهم، من غير نظرٍ إلى الوسائط ولا إلى سؤالٍ عنهم، ولا معرفةٍ بحالهم ولا تَعدُّدِهم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مشايخكم أخذوها، وهلمّ جرّاً إلى أن يصير </w:t>
      </w:r>
      <w:bookmarkStart w:id="57" w:name="pg10113_91887"/>
    </w:p>
    <w:p>
      <w:pPr>
        <w:pStyle w:val="BookText"/>
        <w:rPr/>
      </w:pPr>
      <w:bookmarkEnd w:id="57"/>
      <w:r>
        <w:rPr>
          <w:rFonts w:ascii="Amiri" w:hAnsi="Amiri" w:eastAsia="Amiri" w:cs="Amiri"/>
          <w:color w:val="111111"/>
          <w:sz w:val="28"/>
          <w:sz w:val="28"/>
          <w:szCs w:val="28"/>
          <w:rtl w:val="true"/>
          <w:lang w:bidi="ar-SA"/>
        </w:rPr>
        <w:t>الحال إلى واحد لا يُدْرَى كيف تَوَجَّهَ ولا إلى أين انتهى ؟ كما سنُحَرِّره لك، وهكذا تَلَقَّاه عنك مَنْ نَقَلَ عنك</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375219_1067777946"/>
      <w:bookmarkStart w:id="59" w:name="_Toc18"/>
      <w:bookmarkEnd w:id="58"/>
      <w:r>
        <w:rPr>
          <w:rtl w:val="true"/>
        </w:rPr>
        <w:t>الفرق بین نقل الروایة و نقل الفتوی</w:t>
      </w:r>
      <w:bookmarkEnd w:id="59"/>
    </w:p>
    <w:p>
      <w:pPr>
        <w:pStyle w:val="BookText"/>
        <w:rPr/>
      </w:pPr>
      <w:r>
        <w:rPr>
          <w:rFonts w:ascii="Amiri" w:hAnsi="Amiri" w:eastAsia="Amiri" w:cs="Amiri"/>
          <w:color w:val="111111"/>
          <w:sz w:val="28"/>
          <w:sz w:val="28"/>
          <w:szCs w:val="28"/>
          <w:rtl w:val="true"/>
          <w:lang w:bidi="ar-SA"/>
        </w:rPr>
        <w:t>وهذا الطريق يحتاج إلى إثبات صحته بدليل يسوِّغُ لك الاعتماد عليه، ويكون كافياً عند سؤالك عنه إذا وَقَفْتَ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يظنّ ظانٌّ أن إجازة المشايخ، وما فيها من الطرق إلى فقيه، هو الطريق في نقل هذه الفتاوى؛ لأنّ تلك الطُّرُقَ إِنّما هي طرقُ الرواية لا طُرُقُ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تعلم أنت ومن مارَسَ هذه الصنعة وأخَذَها عن المشايخ، أنّ النقلَ لما أفتى به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ليس هو عن ذلك الرجل المخبر الذاكِرِ للطريق إلى الشهيد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أفتى به العلّامه والمحقّق،وغيرهما، بل يكون للفقيه نقل عن جماعة من المشايخ، وقد نُقلت عنهم كلُّها أو بعضُها، ثمّ يذكر لك طريقاً إلى رواية الكُتُبِ بجَماعةٍ من الفقهاء ليست تلك الطريق لجميع ما نُقِلَتْ عنه، بل كثيراً ما تكون عمّن لم يَنْقُلْ عنه فتوى أصلاً، كما لا يخفى</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 على تقدير انحصار النقل في أقوال الفقهاء، وذكر الطريق لا يكفي ذلك في جواز التعويل عليه ما لم يُبْحَث عن تعديل هذه الوسائط وتَثبُتْ عدالتهم بإحدى الطُّرُقِ المفيدة لها</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الأمر غيرُ حاصل لنا الآن، بل لا سبيل إلى إثباته لمن أراده، بل البحث عنه، وتوهم تحقّقه قد يَلْحَقُ بالمُحالات إذا تَدَبَّرْتَ جميع ما أُقرِّرُهُ لك في هذه المقالة؛ إذ غايةً ما يُمكن تلافيه الحكم بتعديل الشيخ الذي أخَذتَ عنه، وتحتاج في الحكم بتعديل شيخه إلى شاهدَيْ عدلٍ، وإنْ كان أحدُهما شيخك، أو ما في حكمهما، وهكذا إلى المجتهد وأنّى لك بهذا ؟ وهذا بخلاف طرق الرواية عن المجتهدين والرواةِ السابقين؛ فإنّ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بحثوا عن أحوالهم بالجرح والتعديل، ودوّنوها في كتب الرجال، ويجوز الاعتماد في ذلك على </w:t>
      </w:r>
    </w:p>
    <w:p>
      <w:pPr>
        <w:pStyle w:val="BookText"/>
        <w:rPr/>
      </w:pPr>
      <w:r>
        <w:rPr>
          <w:rFonts w:ascii="Amiri" w:hAnsi="Amiri" w:eastAsia="Amiri" w:cs="Amiri"/>
          <w:color w:val="111111"/>
          <w:sz w:val="28"/>
          <w:sz w:val="28"/>
          <w:szCs w:val="28"/>
          <w:rtl w:val="true"/>
          <w:lang w:bidi="ar-SA"/>
        </w:rPr>
        <w:t>قولهم لِمَنْ تأخَّرَ عنهم، وإن كان مجتهداً، كما نبهوا عليه في مظانه من علم أُصول الفقه ودراية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اشتهر على السنّة النَّقَلَةِ في العذر عنه أنا لما عرفنا عدالة شيخنا الذي أخذنا عنه، عرفنا من حالِهِ ووَرَعِهِ أنّه لا يأخذ إلّا عن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القولُ في شَيخه، فاتّكلْنا على نظرهم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القول من الهَذَيَاناتِ التي لا تستَحِقُّ الاحتفال بالجواب؛ فإنّ فتح هذا الباب الفاسدِ يُغْنِي الناس عن كتب الرجال، وأحوال الجرح والتعديل، وسند الرواياتِ صحيحها وحَسَنِها ومُوثَقِها وضعيفها، وغير ذلك من وجوهها،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أبا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عدلٌ وَرحٌ ضابط لا يَرْوِي إلا عن عدل ثقةٍ؛ لأنّه أعظمُ من شَيخنا الذي نُحْسِنُ الظَّنَّ به وأضبط وأعدلُ، فدلّت روايته للحديثِ على عدالة شيخه الذي روى عنه وننقل الكلام إلى شيخه ونقول فيه كما قلنا في الآخر، وهلم جراً إلى الإمام، فنعمل حينئذٍ بجميع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اشتمالها على فنونِ الأحاديث صحيحها وغريبها وضَعيفها ومُضطَرِيها،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يَظُنّ ظان أنّ ذلك فى الرواية دون الفتوى فيكفي في الفتوى ما لا يكفي في الرواية؛ لأنّ الأمر في ذلك على الضد، بل الفتوى أصعب أمراً وأقوى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كيف تُقْبَلُ الرواية عن المرأة والحرّ والعبدِ والفقيه والعامى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تكفى الفتوى إلا من الفقيه الجامع لشرائطها، ولا تبطل الرواية بموت الراوي إجماعاً، وتَبْطُلُ الفتوى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سلّمنا عَدَمَ قوتها، فَمِنْ أين أن حكمها أضعفُ من حكم الرواية ؟ حتّى ساغ فيها ما قد سَوَّعْتُموه من غير بُرهانٍ أَوْصَلَكُم إلى ما زَعَمْتُموه، وقد أجْمَعَ الأصحابُ ووافقهم أكثرُ المذاهب على عَدَمِ العمل بالحديث المرسل ومجهولِ حال الراوي ومَنْ تُرِكَ مِن رجاله، ولو رجلاً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اسْتَثنَوْه من مراسيل ابن أبي عمير</w:t>
      </w:r>
      <w:r>
        <w:rPr>
          <w:rStyle w:val="FootnoteAnchor"/>
          <w:rtl w:val="true"/>
        </w:rPr>
        <w:footnoteReference w:id="39"/>
      </w:r>
      <w:bookmarkStart w:id="60" w:name="pg10113_91889"/>
    </w:p>
    <w:p>
      <w:pPr>
        <w:pStyle w:val="BookText"/>
        <w:rPr/>
      </w:pPr>
      <w:bookmarkEnd w:id="60"/>
      <w:r>
        <w:rPr>
          <w:rFonts w:ascii="Amiri" w:hAnsi="Amiri" w:eastAsia="Amiri" w:cs="Amiri"/>
          <w:color w:val="111111"/>
          <w:sz w:val="28"/>
          <w:sz w:val="28"/>
          <w:szCs w:val="28"/>
          <w:rtl w:val="true"/>
          <w:lang w:bidi="ar-SA"/>
        </w:rPr>
        <w:t xml:space="preserve">ونُظرائه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وعلّلوه باحتمال أن تكون الرواية عمّن لا تُقبل روايته مع أنّ الراوي عَنِ المسكوتِ عنه ربما كان من أجلاء هذه الطائفة وأُمنائهم كالشيخ أبي جعفر الطوسي والصدوق ابن بابويه ومحمّد بن يعقوب الكليني ويونس بن عبدالرحمن، وغيرهم من الأجلاء، ولم يُعَوِّلوا على دِيانتهم وأمانتهم؛ فإنّهم يجتهدون لأنفسهم في ضبط الرواية عن أهلها، حتّى أنّهم لم يعملوا بمراسيل ابن أبي عمير ونحوه اتكالاً على دينه، بل لأنّهم زعموا أنهم اعتبروها فوجدوها كلَّها مُسنَدَةً، فإن كنتم اليومَ تَزِعُمُونَ أَنّ أشيا حكم أضبط من أولئك وأحفظ على دينهم، فذلك كافٍ في الجواب، وإلا فلا بد من فرقٍ يُوضِحُ لنا عن هذا الباب</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375221_1067777946"/>
      <w:bookmarkStart w:id="62" w:name="_Toc19"/>
      <w:bookmarkEnd w:id="61"/>
      <w:r>
        <w:rPr>
          <w:rtl w:val="true"/>
        </w:rPr>
        <w:t>عدم إمکان اتّصال الوسائط في نقل الفتوی عن القدماء</w:t>
      </w:r>
      <w:bookmarkEnd w:id="62"/>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أمتنها برهاناً وأوضحها بياناً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أنّكم أوصَلْتُم طريقاً صحيحاً إلى مثل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تأخّر عنه كالمقداد وابنِ فهد والشيخ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xml:space="preserve">برجال ثقاتٍ مقلِّدة، فمن أين لكم الطريق المتّصل بالفتوى إلى الشيخ جمال الدين </w:t>
      </w:r>
      <w:r>
        <w:rPr>
          <w:rStyle w:val="FootnoteAnchor"/>
          <w:rtl w:val="true"/>
        </w:rPr>
        <w:footnoteReference w:id="42"/>
      </w:r>
      <w:r>
        <w:rPr>
          <w:rFonts w:ascii="Amiri" w:hAnsi="Amiri" w:eastAsia="Amiri" w:cs="Amiri"/>
          <w:color w:val="111111"/>
          <w:sz w:val="28"/>
          <w:sz w:val="28"/>
          <w:szCs w:val="28"/>
          <w:rtl w:val="true"/>
          <w:lang w:bidi="ar-SA"/>
        </w:rPr>
        <w:t xml:space="preserve">وإلى أبي القاسم </w:t>
      </w:r>
      <w:r>
        <w:rPr>
          <w:rStyle w:val="FootnoteAnchor"/>
          <w:rtl w:val="true"/>
        </w:rPr>
        <w:footnoteReference w:id="43"/>
      </w:r>
      <w:r>
        <w:rPr>
          <w:rFonts w:ascii="Amiri" w:hAnsi="Amiri" w:eastAsia="Amiri" w:cs="Amiri"/>
          <w:color w:val="111111"/>
          <w:sz w:val="28"/>
          <w:sz w:val="28"/>
          <w:szCs w:val="28"/>
          <w:rtl w:val="true"/>
          <w:lang w:bidi="ar-SA"/>
        </w:rPr>
        <w:t>ومن تقدّم عليهما ؟ فإنّ الطُّرُقَ التي بأيدي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 اشتملت عليها الإجازات المعتبرة والكتب المحرّرة على ما استقصيناه وسَمِعناه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منحصرةٌ في الانتهاء إلى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يخرج عنها إلا النادر، وذلك النادر وطريق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وينحصر في الشيخ جمال الدين بن المطّهرِ بواسطة ولده فخر الدين ونظرائه، وهناك يتشعّبُ ويختلف إلى مَنْ سَلَفَ من المجتهدين والمصنّفين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رَوَيْتم ونَقَلْتُم فتوى الشهيدِ عن أشياخكم المشهورة إلى الشهيد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 عدول ثقات أثباتٌ، فعمّن نقلتم فتوى فخر الدين؛ مثلاً؟ فإن 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رَوَيْناه بالطريق إلى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فخر الدين لأنّه شَيخُه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يَتصوَّرُ عاقل أن مجتهداً يَنْقُلُ فتوى مجتهد،آخَرَ، ويعمل هو لنفسه بتلك الفتوى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الإجماع واقع بين المسلمين قاطبةً على أن المجتهد لا يسوغ له العمل بفتوى غيره، ولا إفتاءُ الغَير له؛ فعند موتِ فخرِ الدين انقطعت فتواه، وصار الرجوع إلى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متعيّناً، والأخذ بقوله لازماً؛ إذلا كلام في أنه مع وجود المجتهد الحي يتعيّن الرجوع إليه، ويبطل العمل بقول مَنْ سَبَقه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القول في أخذ فتوى الشيخ جمال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ذلك، الطريقُ النادرُ يتصل بالشيخ فخر الدين بغير واسطة الشهيد، فنقول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نَقَل ذلك الواسطةُ الذي روى عن فخرِ الدين وعميد الدين وغيرهما فتوى هؤلاء الجماعة مع وجود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وموت 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الأخذ عنه كان متعيّناً، وقول غيره قد بَطَلَ بحياته وموتهم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تنزّلنا وأخذنا فتواهم بهذه الواسطة فعمّن نقلنا فتوى الشيخ جمال الدين؟ أعن ولده الذي هو أعَزُّ الناس عليه، وأجَلُّهم لديه ؟ وهو لا يُمكنه أن يعمل بكلمةٍ واحدةٍ من كلامه بعد اجتهاده في حياة والده، وبعد مماته، فكيف يَنْقُلُها إلى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ننقل الكلام إلى شيخ الكلِّ وفقيههم وقدوتهم </w:t>
      </w:r>
      <w:r>
        <w:rPr>
          <w:rStyle w:val="FootnoteAnchor"/>
          <w:rtl w:val="true"/>
        </w:rPr>
        <w:footnoteReference w:id="44"/>
      </w:r>
      <w:r>
        <w:rPr>
          <w:rFonts w:ascii="Amiri" w:hAnsi="Amiri" w:eastAsia="Amiri" w:cs="Amiri"/>
          <w:color w:val="111111"/>
          <w:sz w:val="28"/>
          <w:sz w:val="28"/>
          <w:szCs w:val="28"/>
          <w:rtl w:val="true"/>
          <w:lang w:bidi="ar-SA"/>
        </w:rPr>
        <w:t xml:space="preserve">الذي قد أشاع وأذاعَ في كتبه الأُصوليّة والفقهيّة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الميّت لاقول له ولا يحلُّ تقليده وإن كان مجتهداً</w:t>
      </w:r>
      <w:r>
        <w:rPr>
          <w:rStyle w:val="FootnoteAnchor"/>
          <w:rtl w:val="true"/>
        </w:rPr>
        <w:footnoteReference w:id="45"/>
      </w:r>
      <w:r>
        <w:rPr>
          <w:rFonts w:ascii="Amiri" w:hAnsi="Amiri" w:eastAsia="Amiri" w:cs="Amiri"/>
          <w:color w:val="111111"/>
          <w:sz w:val="28"/>
          <w:sz w:val="28"/>
          <w:szCs w:val="28"/>
          <w:rtl w:val="true"/>
          <w:lang w:bidi="ar-SA"/>
        </w:rPr>
        <w:t>، فكيف يعمل بفتواه بعد موته ؟ وهو قد حكم بأنّها باطلة لا يجوز تقليدها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عمّن ينقل بعد ذلك كلّه فتوى الشيخ أبي القاسم، والطرق قد انْحَصَرَتْ إليه في </w:t>
      </w:r>
      <w:bookmarkStart w:id="63" w:name="pg10113_91891"/>
    </w:p>
    <w:p>
      <w:pPr>
        <w:pStyle w:val="BookText"/>
        <w:rPr/>
      </w:pPr>
      <w:bookmarkEnd w:id="63"/>
      <w:r>
        <w:rPr>
          <w:rFonts w:ascii="Amiri" w:hAnsi="Amiri" w:eastAsia="Amiri" w:cs="Amiri"/>
          <w:color w:val="111111"/>
          <w:sz w:val="28"/>
          <w:sz w:val="28"/>
          <w:szCs w:val="28"/>
          <w:rtl w:val="true"/>
          <w:lang w:bidi="ar-SA"/>
        </w:rPr>
        <w:t xml:space="preserve">الشيخ جمال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يقول هذا القولُ ويُنْكِرُ هذا الإنكار ثمّ يَنْقُلُ لنا فتاوى الميّت ؟ ما يَتَصوَّرُ هذا عاقل فضلاً عن مُتَديِّن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وهذه الوسائط مجتهدون لا يَسوعُ عندهم ولا عند غيرهم خروجهم عمّا يَتَربَّحُ عندهم فضلاً عن حكم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القولُ فيمن تقدّم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تبيَّن بذلك عدم إمكان الوسائط إلى من تقدّم من المجتهدين، بل عدم تعقّله، بل عدم وقوعه في نفس الأمر فضلاً عن تعقّلِه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تُذكر الطرقُ عنهم وبواسطتهم بالنسبة إلى الأخبار ونحوها، لا الفتوى فلَزِمَ من ذلك القولُ بعدم جواز التقليد والعمل بقولِ مَنْ تقدّم مِن الفقهاء؛ لعدم الوسائط بيننا وبينهم في الفتوى على هذا الوجه الذي لا يتداولونه، وهو أن لا يعملوا بشيءٍ منه إلا بما يَنْقُلُونه عن العدل؛ فإنّ توقف بعض أزمان الفتوى على النقل دون بعض ترجيح من غيرِ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ارتكب مرتكب جواز العمل بما عُلِمَ من فتواهم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له إليه طريقٌ، ولا نَقَلَه عن أحدٍ من الأثبات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وَجَدَه في كتبهم، سَلِمَ من هذه المُحالات واحتاج في سدِّ هذا الباب إلى تحصيل الجواب</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375223_1067777946"/>
      <w:bookmarkStart w:id="65" w:name="_Toc20"/>
      <w:bookmarkEnd w:id="64"/>
      <w:r>
        <w:rPr>
          <w:rtl w:val="true"/>
        </w:rPr>
        <w:t>لابدّ من تحصیل العدالة في فردٍ فردٍ من الوسائط</w:t>
      </w:r>
      <w:bookmarkEnd w:id="65"/>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الوسائط وتحقّقها في زمان من الأزمنةِ تُشترطُ في كلّ فردٍ منها العدالة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والعدالة لا تحصل إلّا بالقيام بالواجبات التي من جملتها التفقّه في الدين والتأهّل لمرتبة الفتوى بالدليل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مرتبة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في العصر قائم به يَتَأدّى به الوجوب</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إمّا أن يكون في كلّ عصر من تلك الأعصار التي تترتّب فيها الوسائط مجتهدٌ، أو لا يكون، فإن كان فالرجوع إليه متعيّن، والأخذُ بقوله لازم؛ إذ لا كلام في وجوب الرجوع إلى المجتهدِ الحيّ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يتصوّر النقل عن المجتهد الميّت، فالآخِذُ عنه آثِمٌ خارجٌ عن العدالة البطلان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ثُمَّ في العصر مجتهد حيٌّ، كان التفقّه على أهل ذلك العصر واجباً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 الاشتغال </w:t>
      </w:r>
    </w:p>
    <w:p>
      <w:pPr>
        <w:pStyle w:val="BookText"/>
        <w:rPr/>
      </w:pPr>
      <w:r>
        <w:rPr>
          <w:rFonts w:ascii="Amiri" w:hAnsi="Amiri" w:eastAsia="Amiri" w:cs="Amiri"/>
          <w:color w:val="111111"/>
          <w:sz w:val="28"/>
          <w:sz w:val="28"/>
          <w:szCs w:val="28"/>
          <w:rtl w:val="true"/>
          <w:lang w:bidi="ar-SA"/>
        </w:rPr>
        <w:t>بمقدّماته والاتكال على تقليد الموتى مُخِلُّ بالواجب، وهو موجبٌ لعدم العدالة، الموجب لعدم إمكان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وتحرير البحث أنه لا خلاف بين علمائنا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التفقّه في الدين،واجب وإنّما اختلفوا في أنّ وجوبه هل هو على الأعيان، أو الكفاية ؟ فذهب قدماء علمائنا، وفقهاءُ حَلَب كأبي الصلاح</w:t>
      </w:r>
      <w:r>
        <w:rPr>
          <w:rStyle w:val="FootnoteAnchor"/>
          <w:rtl w:val="true"/>
        </w:rPr>
        <w:footnoteReference w:id="46"/>
      </w:r>
      <w:r>
        <w:rPr>
          <w:rFonts w:ascii="Amiri" w:hAnsi="Amiri" w:eastAsia="Amiri" w:cs="Amiri"/>
          <w:color w:val="111111"/>
          <w:sz w:val="28"/>
          <w:sz w:val="28"/>
          <w:szCs w:val="28"/>
          <w:rtl w:val="true"/>
          <w:lang w:bidi="ar-SA"/>
        </w:rPr>
        <w:t>، وسلّار وابن حمزة إلى أنّ وجوَبه عيني؛ وأنّه لا يجوز التقليد فى الأحكام الشرعيّة لأحدٍ البتّة</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باقي الأصحاب إلى أنّ وجوبه 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الواجب الكفائي متى لم يقم به أحد كان الواجبَ على المكلّفين القيام به، فإنْ أخَلُّوا به لَحِقَهُم جميعاً الإثم، ومتى أصروا على تركه ساعةً بعد أخرى ولو إلى يومٍ واحدٍ فضلاً عن أيّام، كان من الكبائر، إن لم يكن منها بل من أكبرها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فإن قلنا بوجوبه عيناً، فلا كلام في لحوق الإثم لتاركِهِ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بالآخر فإنّما يَسقُطُ عن المكلّفين الإثم في تركِهِ عند قيام أحدٍ به بحيث يَتَأدّى به الفرضُ الكفائي، وهو بالنسبة إلى التفقّه إنّما يتحقّق بوجود مجتهدٍ في كلّ قطرٍ من أقطار الإسلام، بحيث يُرجع إليه في الوقائع متى احتيج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البيِّن عدمُ ذلك في زماننا وما تقدّمه بسنين كثيرة، واللازمُ من ذلك اشتراكُ أهل العصر المفقود فيه ذلك في الإثم وخروجُهم عن العدالة، وهو يَشُدُّ عليهم باب التقليد على تقدير جوازه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الإثم إنّما يَلْحَقُ من يُمكِنُهُ الاجتهاد من أهل العصرِ لا جميع أهل العصرِ؛ للعلم الضروري بأنّ مِنَ المكلّفين من لا يقدر على تحصيل هذه المرتبة، ولو بَذَلَ وُسْعَهُ </w:t>
      </w:r>
      <w:bookmarkStart w:id="66" w:name="pg10113_91893"/>
    </w:p>
    <w:p>
      <w:pPr>
        <w:pStyle w:val="BookText"/>
        <w:rPr/>
      </w:pPr>
      <w:bookmarkEnd w:id="66"/>
      <w:r>
        <w:rPr>
          <w:rFonts w:ascii="Amiri" w:hAnsi="Amiri" w:eastAsia="Amiri" w:cs="Amiri"/>
          <w:color w:val="111111"/>
          <w:sz w:val="28"/>
          <w:sz w:val="28"/>
          <w:szCs w:val="28"/>
          <w:rtl w:val="true"/>
          <w:lang w:bidi="ar-SA"/>
        </w:rPr>
        <w:t>وصَرَفَ على التفقّه عُمْرَهُ، وحينئذٍ فيمكن الأخذُ عمّن تعذر عليه ذلك؛ لسقوط الفرض عنه الموجب لإمكان العدالة، وعلى هذا التقدير ترتب الوسائط</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375225_1067777946"/>
      <w:bookmarkStart w:id="68" w:name="_Toc21"/>
      <w:bookmarkEnd w:id="67"/>
      <w:r>
        <w:rPr>
          <w:rtl w:val="true"/>
        </w:rPr>
        <w:t>عدم الاجتهاد لأسباب</w:t>
      </w:r>
      <w:r>
        <w:rPr>
          <w:rtl w:val="true"/>
        </w:rPr>
        <w:t xml:space="preserve">: </w:t>
      </w:r>
      <w:r>
        <w:rPr>
          <w:rtl w:val="true"/>
        </w:rPr>
        <w:t>منها ضعف الهمم</w:t>
      </w:r>
      <w:bookmarkEnd w:id="68"/>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تسليم ذلك، لا يَتِمُّ القولُ بجواز الفتوى والحكم ونَقْلِ كلّيّاتِ المسائل، وهل هو إلَّا عَيْنُ المُتنازع ؟ وأين الدليل عليه ؟ ومن القائل به؟ بل قد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هذا شَأنه يجب عليه العمل بمواضع الإجماع ما أمْكَنَ، دون الأخذ بأقوالِ الميّت فيما وقع فيه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وسيأتى ما يَدُلُّك على فَسادِهِ، ويَزِيدُك بصيرةً في تحقيق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أنّا نَعْلَمُ قطعاً أنّ تلك الوسائط ليستْ جميعاً بهذه المَثابَةِ، بل ولا أقلها، وإنّما هم قادرون على التفقّه؛ ما قَصَرَ بهم عن مرتبته وأقْعَدَهُم عن الوصول إليه إلّا ضعفُ هِمَّتِهِمْ، وانصرافُ دَواعِيهِمْ، وقلّه رغبتهم في العلم، وعدم اطلاعهم على حقيقة التفقّه، وتوهمهم أنّه من المراتب التي دون بلوغها خَرْطُ القتاد</w:t>
      </w:r>
      <w:r>
        <w:rPr>
          <w:rStyle w:val="FootnoteAnchor"/>
          <w:rtl w:val="true"/>
        </w:rPr>
        <w:footnoteReference w:id="48"/>
      </w:r>
      <w:r>
        <w:rPr>
          <w:rFonts w:ascii="Amiri" w:hAnsi="Amiri" w:eastAsia="Amiri" w:cs="Amiri"/>
          <w:color w:val="111111"/>
          <w:sz w:val="28"/>
          <w:sz w:val="28"/>
          <w:szCs w:val="28"/>
          <w:rtl w:val="true"/>
          <w:lang w:bidi="ar-SA"/>
        </w:rPr>
        <w:t>، وأنّ المجتهد لا يتحقّق إلّا إذا كان في منزلة العلّامة جمال الدين، أو الشيخ نجم الدين بن سعيد، أو الشيخ أبي عبد اللّه الشهيد، ومن ضارَعَهُم من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يَدْرُوْا أنه على مراتب لا تتناهى بَعْدُ، ولا تَقِفُ على حدٍ، وأن أقل مراتبه يمكن تحصيلها لخلق كثير لا يُدْرِكُونَ مريبَةَ تلامذة الشيخ جمال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يَحْصُلُ للعامّي الذي لا يُحسِنُ نُ الخطّ، والأعمى، كما نبهوا عليه في كتاب القضاء، حيث اختلفوا في انعقاد قضائهما مع اتصافهما بشرائط القاضي التي من جملتها الاجتهاد</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فحصل لهم من هذا التوهّم اليأس من نَيْل هذه المَرْتَبَة، فَقَعَدَتْ عزيمتهم وضَعُفَتْ همّتُهُم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آخَرُ أوْجَبَ قِلّةَ الفقهاء في هذا العصر وما قبله بقريب، أنّهم في الأغلب ما رأوا فقيهاً يعتمدون على قوله، ويثقون بدَلالَتِهِ، يُقَرِّرُ لهم هذا الطريق، ويُرَغَبُهُمْ في </w:t>
      </w:r>
    </w:p>
    <w:p>
      <w:pPr>
        <w:pStyle w:val="BookText"/>
        <w:rPr/>
      </w:pPr>
      <w:r>
        <w:rPr>
          <w:rFonts w:ascii="Amiri" w:hAnsi="Amiri" w:eastAsia="Amiri" w:cs="Amiri"/>
          <w:color w:val="111111"/>
          <w:sz w:val="28"/>
          <w:sz w:val="28"/>
          <w:szCs w:val="28"/>
          <w:rtl w:val="true"/>
          <w:lang w:bidi="ar-SA"/>
        </w:rPr>
        <w:t>سُلُوكِهِ، وإنّما وجدوا من يرى أنّ التفقّة هو قِراءَةُ مِثْلِ كتاب الشرائع والقواعد ونقل فتواهما، والتأهّلُ لفهم جواب السائل لهم عن مسألةٍ أنْ يَقْرأ عليهم عِبارةً هذهِ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وألِفُوا هذا الطريق، فأهْمَلوا ما سواه، ومن جَهِلَ شيئاً عاداه</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نقطع بأنّ جماعةً أدركناهم فضلاً عن غيرهم، كان يُمكنهم الوصول إلى مرتبة التفقّه ويقدرون على تحصيل العلوم المعتبرة فيه في سنين يسيرة من عمرهم، ولكنّهم ما اشتغلوا بها لهذا الوجه أو غيره، وحينئذٍ فيتوجّه عليهم الإثم، وينقدح فيهم الجَرْحُ اللّه تعالى يغفر لنا ولهم ويسامحنا وإيّاهم إنّه جواد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عجيب ما قادتهم إليه العادة، وساقَهم إليه إلفُ المَنشا، أنهم عاصروا جماعةً من المجتهدين أجَلُّهم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عند من يعرف مراتب الفقهاء على غاية عظيمةٍ من الفقه ومرتبةٍ عاليةٍ في الاستدلال، بحيث كان أعلى من كثير من الفقهاء السابقين، ومع ذلك ما تَوَقَّفوا في أمرهم الذي هم عليه، ولا تَوَهَّموا وجوب رجوعهم إليه، ولا كان عندهم إلّا بمنزلة رجلٍ عالمٍ من جملة علماء الإسلام الذين يتشاركون في فهم أُصول الأحكام وكلّ هذه الغفلة العظيمة جاءتهم من قبل هذه الطريقة الذميمة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المستعان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التنزّل والقول بإمكان التوصل إلى طريق يوصل إلى جماعة من المجتهدين، لا يصحّ القول بأنْ نَنْقُل فتواهم جميعاً، بحيث يتخير الناقل في أخذ ما شاء منها وطَرْح 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يفعله أهل عصرنا،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َيُحِلُّونَهُ عَامًا وَيُحَرِّمُونَهُ عامّا</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 ويجعلون منه حلالاً وحراماً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تَقَرَّرَ في الأُصول</w:t>
      </w:r>
      <w:r>
        <w:rPr>
          <w:rStyle w:val="FootnoteAnchor"/>
          <w:rtl w:val="true"/>
        </w:rPr>
        <w:footnoteReference w:id="52"/>
      </w:r>
      <w:r>
        <w:rPr>
          <w:rFonts w:ascii="Amiri" w:hAnsi="Amiri" w:eastAsia="Amiri" w:cs="Amiri"/>
          <w:color w:val="111111"/>
          <w:sz w:val="28"/>
          <w:sz w:val="28"/>
          <w:szCs w:val="28"/>
          <w:rtl w:val="true"/>
          <w:lang w:bidi="ar-SA"/>
        </w:rPr>
        <w:t xml:space="preserve">، وذكره كثير من الفقهاء </w:t>
      </w:r>
    </w:p>
    <w:p>
      <w:pPr>
        <w:pStyle w:val="BookText"/>
        <w:rPr/>
      </w:pPr>
      <w:r>
        <w:rPr>
          <w:rFonts w:ascii="Amiri" w:hAnsi="Amiri" w:eastAsia="Amiri" w:cs="Amiri"/>
          <w:color w:val="111111"/>
          <w:sz w:val="28"/>
          <w:sz w:val="28"/>
          <w:szCs w:val="28"/>
          <w:rtl w:val="true"/>
          <w:lang w:bidi="ar-SA"/>
        </w:rPr>
        <w:t>أيضاً في كتب الفروع</w:t>
      </w:r>
      <w:r>
        <w:rPr>
          <w:rStyle w:val="FootnoteAnchor"/>
          <w:rtl w:val="true"/>
        </w:rPr>
        <w:footnoteReference w:id="53"/>
      </w:r>
      <w:r>
        <w:rPr>
          <w:rFonts w:ascii="Amiri" w:hAnsi="Amiri" w:eastAsia="Amiri" w:cs="Amiri"/>
          <w:color w:val="111111"/>
          <w:sz w:val="28"/>
          <w:sz w:val="28"/>
          <w:szCs w:val="28"/>
          <w:rtl w:val="true"/>
          <w:lang w:bidi="ar-SA"/>
        </w:rPr>
        <w:t>، أنه مع تعدّد المفتي يتعين الرجوع إلى الأعلم، فإن تساووا في العلم فالأورع، فإن تساوَوْا في الجميع تخيّر المستفتي في تقليد أيّهم شاء، فإذا أَخَذَ بقوله في مسألة لم يَجُز له الرجوع الى غيره في 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في جواز الرجوع إليه في غير تلك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 من ذلك أنّ التديّن بتقليد من شاء من الجماعة المختلفين في العلم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بشبهة أنه قد نقل فتواهم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جائز في دين اللّه تعالى، ولا قال به أحدٌ ممّن يُعْتَمَدُ على قوله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البحث إنّما هو على تقدير حياة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كلام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مثل ذلك مع موتهم؛ لبطلان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هذا الدليل أنْ يُعْكَسَ،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هذا الحكم في الأحياء فينبغي أن يكون في الأموات بطريق أولى؛ وذلك لأنا متى التزمنا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لنا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تقليد الأموات، فنهاية ما يمكنُ أنْ يُجْعَلَ حكمُهم حكم الأحياء، فلو جاز تقليد المفضول الميّت مع عدم جواز تقليدِهِ لو كان حيّاً بالنسبة إلى الفاضل الحي كان الميّت أحسن حالاً، وأجود قولاً، وأولى اعتماداً، وهذا مما تشهد ببطلانه البديهة، فضلاً عن أنْ يُستَدلَّ عليه مع أنّ تقييد الحكم المذكور بالأحياء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من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لسدّه باب تقليد الميّت بوجه من الوجوه، لا لبيان اختصاص الحي بهذا الحكم كما يُتَوَهَّمُ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القواعدِ المقرَّرة، والفتاوى المسلمة، أن المجتهد إذا اجتهد في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وأفتى بها لغيره، وتَعَيَّنَ على الناس العملُ بها، ثُمَّ رَجَعَ عن تلك الفتوى إلى ما يخالِفُها، بَطَلَ حكم الأولى في حقه وحق غيره، ووجب على كلّ من قلَّدَهُ أولاً، ومن لم يقلّده، العمل بالفتوى الثانية وترك الأولى، وصار عملهم بالأولى كعملهم بغير فتوىً </w:t>
      </w:r>
    </w:p>
    <w:p>
      <w:pPr>
        <w:pStyle w:val="BookText"/>
        <w:rPr/>
      </w:pPr>
      <w:r>
        <w:rPr>
          <w:rFonts w:ascii="Amiri" w:hAnsi="Amiri" w:eastAsia="Amiri" w:cs="Amiri"/>
          <w:color w:val="111111"/>
          <w:sz w:val="28"/>
          <w:sz w:val="28"/>
          <w:szCs w:val="28"/>
          <w:rtl w:val="true"/>
          <w:lang w:bidi="ar-SA"/>
        </w:rPr>
        <w:t>ولا 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لو رَجَعَ عن الثانيةِ إلى ثالثة ورابعة، وهلم جراً حيث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هذه حال فتواه لو كان حيّاً بغير خلاف في ذلك، فما الذي جَوَّزَ العمل بتلك الفتوى السابقة على الأخيرة بعد أنْ حُكم ببطلانها، بل أُجْمِعَ على عدم جواز العمل بها في حياته مع الإجماع على وجوب الرجوع إلى فتواه في حال 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أن يموت ويبطل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ويَعْتَرِفَ هو بأنّ قوله يَبْطُلُ بموته، وأنه لا يجوز لأحد العمل به البتة، سواء المتقدّم والمتأخّر؛ فتوهم المتوهم بعد ذلك كلّه أنّه يجوز العمل بأيّ فتوىً كانت من فتاويه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تقدَّمتْ أم تأخَّرتْ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ويعتقدها ديناً، ويُرَتِّب عليها أحكاماً، لا بدّ من إقامة الدليل على ذلك، وإثبات صحّة ما قد أجمعوا على بطلانه؛ وإلا فالوقوف على موضع الإجماع 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صح جواز تقليد الميّت، لكان اللازم من هاتين المقدِّمتين أنْ يُعْمَلَ بآخِرِ فتوى أعلمٍ مَنْ تقدّم من علمائنا السابقين من لدُن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زماننا هذا، بل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الاجتهاد سائغ في زمن المعصوم، بل لا ينتفع النبيّ والإمام في النائب على الأحكام والقضايا إلّا بالفقيه المجتهد، كما هو مقرر في محلّ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ومعرفة أعلم هذا الخلق الماضي، والوقوف على تفاصيله، مما قد الحقّ في زماننا هذا بالمُحالات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تعينه يكون العمل بآخِرَ ما أفتى به في المسألة ومات عليه من الفتوى وذلك كلّه قد قد خَفِيَ خبره، بل امَّحى</w:t>
      </w:r>
      <w:r>
        <w:rPr>
          <w:rStyle w:val="FootnoteAnchor"/>
          <w:rtl w:val="true"/>
        </w:rPr>
        <w:footnoteReference w:id="54"/>
      </w:r>
      <w:r>
        <w:rPr>
          <w:rFonts w:ascii="Amiri" w:hAnsi="Amiri" w:eastAsia="Amiri" w:cs="Amiri"/>
          <w:color w:val="111111"/>
          <w:sz w:val="28"/>
          <w:sz w:val="28"/>
          <w:szCs w:val="28"/>
          <w:rtl w:val="true"/>
          <w:lang w:bidi="ar-SA"/>
        </w:rPr>
        <w:t>من الخلق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 اللازم تقليدُ مَنْ ذُكِرَ ولم يتعيّن كان بمنزلة الجهل بالمفتى، وهو موجب لتوقّف العمل بالفتوى</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الحكم إنّما يجب العمل به مع العلم بمراتب الفقهاء السابقين، وتعيين مراتبهم في العلم؛ أما مع تعذُّرِ العلم بذلك فإنّ الشَرط يَسقُطُ حينئذٍ للحرج والمشقّة، </w:t>
      </w:r>
      <w:bookmarkStart w:id="69" w:name="pg10113_91897"/>
    </w:p>
    <w:p>
      <w:pPr>
        <w:pStyle w:val="BookText"/>
        <w:rPr/>
      </w:pPr>
      <w:bookmarkEnd w:id="69"/>
      <w:r>
        <w:rPr>
          <w:rFonts w:ascii="Amiri" w:hAnsi="Amiri" w:eastAsia="Amiri" w:cs="Amiri"/>
          <w:color w:val="111111"/>
          <w:sz w:val="28"/>
          <w:sz w:val="28"/>
          <w:szCs w:val="28"/>
          <w:rtl w:val="true"/>
          <w:lang w:bidi="ar-SA"/>
        </w:rPr>
        <w:t>كما يسقُطُ لو كانوا أحياءً وتعذَّر العلم بذلك فيهم، كما لو كان في العصر الواحدِ مائةُ ألف فقيهٍ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قائل به من الأصحاب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يُفيدُ سقوطَ حكم من جُهِلَ حاله منهم، وأما من عُلِمَ حاله بالقصور عن بعضهم، فإنّ اللازم سقوط اعتبار قوله كما في كثير من الفقهاء من المتقدّمين والمتأخّرين، مع أن الناس لا يَتَحاشَون عن العمل بفتواهم كما لا يخفى</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375227_1067777946"/>
      <w:bookmarkStart w:id="71" w:name="_Toc22"/>
      <w:bookmarkEnd w:id="70"/>
      <w:r>
        <w:rPr>
          <w:rtl w:val="true"/>
        </w:rPr>
        <w:t>الردّ علی القول بمساواة المجتهد المیّت للحيّ في العمل بفتواه</w:t>
      </w:r>
      <w:bookmarkEnd w:id="71"/>
    </w:p>
    <w:p>
      <w:pPr>
        <w:pStyle w:val="BookText"/>
        <w:rPr/>
      </w:pPr>
      <w:r>
        <w:rPr>
          <w:rFonts w:ascii="Amiri" w:hAnsi="Amiri" w:eastAsia="Amiri" w:cs="Amiri"/>
          <w:color w:val="111111"/>
          <w:sz w:val="28"/>
          <w:sz w:val="28"/>
          <w:szCs w:val="28"/>
          <w:rtl w:val="true"/>
          <w:lang w:bidi="ar-SA"/>
        </w:rPr>
        <w:t>الوجه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تَنَزَّلْنا لنا عن ذلك كلِّه، وقلنا بأنّ الميّت يُساوي الحي في جواز العمل بفتواه، ويلزم من ذلك إلزام شنيع، وهو أنّه يَتَعَيَّنُ الرجوع حينئذٍ إلى الأعلم من الأحياء والأموات؛ عملاً بما قرَّرناه من القاعدة، فلو فُرِضَ مجتهد حيٌّ قَصُرَتْ رتبته عن بعض من سَلَفَ مِن الفقهاء،الأموات، ولكن ليس في العصر سواه، أو فيه غيره ولكنّه أعلمُ الأحياء، يلزم على هذا عدم جواز الرجوع إليه والأخذ بقوله؛ لوجوب تقليد الأعلم، والفرض أنّ بعض الأموات أعلمُ منه، وأن قولهم معتبر، وهذا خلاف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الفرض منفيٌّ بالإجماع على بطلانه، فيبقى الكلام فيما لا إجماع عليه؛ فإنّ مثل ذلك كافٍ في تخصيص العام والتمسّك فيما عدا المُخْرَج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باطلٌ محال لَزِمَ مِن جواز تقليد الميّت حيث اتَّفَقَ، أو على وجه مخصوص، وكلّ حكم لَزِمَ منه المُحالُ فهو مُحال، فيكون جواز تقليد الميّت على ذلك الوجه مُحالاً، وبه يَتِمُّ المطلوب</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تقليد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جوازه وتحقق 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في آحاد المسائل الجزئيّة التي تتعلق بالمكلّف في صلاته وباقي عباداته ومعاملاته ونحوها، لا في كلّ شيءٍ مما قد تَوَصَّلَ إليه أهلُ عصرنا، حتّى جوزوا به الحكم </w:t>
      </w:r>
    </w:p>
    <w:p>
      <w:pPr>
        <w:pStyle w:val="BookText"/>
        <w:rPr/>
      </w:pPr>
      <w:r>
        <w:rPr>
          <w:rFonts w:ascii="Amiri" w:hAnsi="Amiri" w:eastAsia="Amiri" w:cs="Amiri"/>
          <w:color w:val="111111"/>
          <w:sz w:val="28"/>
          <w:sz w:val="28"/>
          <w:szCs w:val="28"/>
          <w:rtl w:val="true"/>
          <w:lang w:bidi="ar-SA"/>
        </w:rPr>
        <w:t>والقضاء وتحليفَ المنكرِ ومَنْ مائله وتفريق مال الغائب، ونحو ذلك من وظائف المجتهدين؛ فإنّ ذلك غير جائز، ولا هو محلّ التوهّم، لتصريح الفقهاء بمنعه في كتبهم الفقهيّة، بل الأغلب ذكره في كلّ كتاب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منهما في كتاب الأمر بالمعروف، والأُخرى في كتاب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يحتاج إلى أن ننقل عباراتهم المصرحة بذلك؛ فإنّها في الموضعين شهيرة واضحة الدلالة، جازمة الفتوى بغير خلافٍ في ذلك بينهم، بل صَرَّحوا أيضاً بأنّ ذلك إجماعي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ذَكَرَ الإجماع على عدم جواز الحكم لغير المجتهد العلّامة في المختلف في كتاب القضاء في مسألة استحباب إحضار القاضي من أهل العلم من يُنَبِّهُهُ، قال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أجمعنا على أنه لا يجوز أنْ يَلي القضاء المقلّد</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هذا إجماع المسلمين قاطبةً؛ فإنّ العامّة أيضاً يَشتَرِطُونَ في الحاكم الاجتهاد، وإنما يُجَوِّرُونَ قضاءَ غيرهِ بشرط أنْ يُوَلِّيَه ذو الشوكة، وهو السلطان المُتَغَلّب، وجَعَلُوا ذلك ضرورة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بجواز القضاء لمن قَصُرَ عن الدرجة من غير تولية ذي الشوكة، كما هو الواقع، مخالف لإجماع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فالقول في مثل هذه المسألة الإجماعيّةِ، والحكم لأهل التقليد، حكم واضحٌ بغير ما أنزل اللّه سبحانه، وعين عُنوان الجُرأة عليه، فكيف يعملون بفتواهم مرّةً ويخالفونها، أُخرى، والكلّ موجود في كتاب واحد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أَفَتُؤْمِنُونَ بِبَعْضِ الْكِتَبِ وَتَكْفُرُونَ بِبَعْضٍ</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ذَكَرَ الأصحابُ في كتبهم ما هو أغرب من ذلك وأعجب، وهو أنه لا يُتَصَوَّرُ </w:t>
      </w:r>
    </w:p>
    <w:p>
      <w:pPr>
        <w:pStyle w:val="BookText"/>
        <w:rPr/>
      </w:pPr>
      <w:r>
        <w:rPr>
          <w:rFonts w:ascii="Amiri" w:hAnsi="Amiri" w:eastAsia="Amiri" w:cs="Amiri"/>
          <w:color w:val="111111"/>
          <w:sz w:val="28"/>
          <w:sz w:val="28"/>
          <w:szCs w:val="28"/>
          <w:rtl w:val="true"/>
          <w:lang w:bidi="ar-SA"/>
        </w:rPr>
        <w:t>حكم المقلّد بوجه، ولا تولية المجتهد الحيّ له في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في باب الوكالة أنّ ممّا لا يَقْبَلُ النيابةَ القضاءُ</w:t>
      </w:r>
      <w:r>
        <w:rPr>
          <w:rStyle w:val="FootnoteAnchor"/>
          <w:rtl w:val="true"/>
        </w:rPr>
        <w:footnoteReference w:id="58"/>
      </w:r>
      <w:r>
        <w:rPr>
          <w:rFonts w:ascii="Amiri" w:hAnsi="Amiri" w:eastAsia="Amiri" w:cs="Amiri"/>
          <w:color w:val="111111"/>
          <w:sz w:val="28"/>
          <w:sz w:val="28"/>
          <w:szCs w:val="28"/>
          <w:rtl w:val="true"/>
          <w:lang w:bidi="ar-SA"/>
        </w:rPr>
        <w:t>لأنّ النائب إنْ كان مجتهداً في حال الغيبة لم يَتَوَفَّف حكمه على نيابة، وإلا لم تَجُز استنابته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هاهنا نُقِمَ </w:t>
      </w:r>
      <w:r>
        <w:rPr>
          <w:rStyle w:val="FootnoteAnchor"/>
          <w:rtl w:val="true"/>
        </w:rPr>
        <w:footnoteReference w:id="59"/>
      </w:r>
      <w:r>
        <w:rPr>
          <w:rFonts w:ascii="IRNazanin" w:hAnsi="IRNazanin" w:eastAsia="IRNazanin"/>
          <w:color w:val="111111"/>
          <w:sz w:val="28"/>
          <w:sz w:val="28"/>
          <w:szCs w:val="28"/>
          <w:rtl w:val="true"/>
          <w:lang w:bidi="fa-IR"/>
        </w:rPr>
        <w:t xml:space="preserve">على الطبقات السالفة التي بين الناقل وبين المجتهدين؛ فإنكم تعلمون علماً يقيناً، أنّهم كلّهم أو جُلَّهم، أو من شاهدتُم منهم، ما كانوا يتحاشون عن الأحكام وتَقعُ منهم مراراً، وكفى جرحاً فعل ما خالف الإجماع المصرَّحَ من مثلِ العلّامة جمال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60"/>
      </w:r>
      <w:r>
        <w:rPr>
          <w:rFonts w:ascii="Amiri" w:hAnsi="Amiri" w:eastAsia="Amiri" w:cs="Amiri"/>
          <w:color w:val="111111"/>
          <w:sz w:val="28"/>
          <w:sz w:val="28"/>
          <w:szCs w:val="28"/>
          <w:rtl w:val="true"/>
          <w:lang w:bidi="ar-SA"/>
        </w:rPr>
        <w:t xml:space="preserve">وغيره، بل يَتَرَتَّبُ على هذا ضَمانُهم الأموال التي حكموا بها واحتبسوها </w:t>
      </w:r>
      <w:r>
        <w:rPr>
          <w:rStyle w:val="FootnoteAnchor"/>
          <w:rtl w:val="true"/>
        </w:rPr>
        <w:footnoteReference w:id="61"/>
      </w:r>
      <w:r>
        <w:rPr>
          <w:rFonts w:ascii="Amiri" w:hAnsi="Amiri" w:eastAsia="Amiri" w:cs="Amiri"/>
          <w:color w:val="111111"/>
          <w:sz w:val="28"/>
          <w:sz w:val="28"/>
          <w:szCs w:val="28"/>
          <w:rtl w:val="true"/>
          <w:lang w:bidi="ar-SA"/>
        </w:rPr>
        <w:t>من مال الغائب وغيره، واستقرارها في ذِمَّتِهم، كما هو معلوم مقرّر في بابه ومقطوع به في فتاواهم، بأن من هو قاصر عن درجة الفتوى يَضْمَنُ ما أخْطَأ فيه من الأحكام في ماله، ويَضْمَنُ ما تَصَرَّفَ فيه من مال الغائب كذلك</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مستند الأحكام ودلائل الفقه لما كانت ظنّيةً لم تكن دالّةً بذاتها على تلك الأحكام، وموجبةً للعمل بها، بل لابد من اقترانها بظنّ الفقيه البالغ درجة الفتوى ورجحانها عنده ولو بالاستدامة الحكميّة كحالة نومه وغفلته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لا يجوز العمل بما دلّت عليه لو حصلت تلك الأدلّة لغيره ممن لم يبلغ الدرجة، ولا له إذا تغيَّرَ ظَنُّهُ ورجع إلى نقيضها، وحينئذٍ فيكون المُثبت لتلك الأحكام هو تلك الدلالة المقترنة بالظنِّ فعلاً أو قوّةً</w:t>
      </w:r>
      <w:r>
        <w:rPr>
          <w:rFonts w:eastAsia="Amiri" w:cs="Amiri" w:ascii="Amiri" w:hAnsi="Amiri"/>
          <w:color w:val="111111"/>
          <w:sz w:val="28"/>
          <w:szCs w:val="28"/>
          <w:rtl w:val="true"/>
          <w:lang w:bidi="ar-SA"/>
        </w:rPr>
        <w:t xml:space="preserve">. </w:t>
      </w:r>
      <w:bookmarkStart w:id="72" w:name="pg10113_91900"/>
    </w:p>
    <w:p>
      <w:pPr>
        <w:pStyle w:val="BookText"/>
        <w:rPr/>
      </w:pPr>
      <w:bookmarkEnd w:id="72"/>
      <w:r>
        <w:rPr>
          <w:rFonts w:ascii="Amiri" w:hAnsi="Amiri" w:eastAsia="Amiri" w:cs="Amiri"/>
          <w:color w:val="111111"/>
          <w:sz w:val="28"/>
          <w:sz w:val="28"/>
          <w:szCs w:val="28"/>
          <w:rtl w:val="true"/>
          <w:lang w:bidi="ar-SA"/>
        </w:rPr>
        <w:t>فتبيّ من ذلك أنّ تلك الدلائل لا تستلزم الحكمَ بذاتها، بل بالظنِّ الحاصل باعتبار انتفاء المعارض، وهذا الظنُّ يمتنع بقاؤه بعد الموت؛ لأنّه من الأعراض المشروطة بالحياة فيزول المقتضي لِزوالِه، ويبقى الحُكمُ بعد موتِهِ خالياً عن سند، فيخرج عن كونه معتبراً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وأوضحُ ما يؤيد هذا الوجه أنّ المجتهدَ لو رَجَعَ في المسألة عن مقام الترجيح إلى التوقّف، بَطَلَ ذلك الترجيحُ في حقّه وحقّ المقلّد، كما لو رَجَعَ عنه إلى ترجيح نقيضه، وحينئذٍ فكيف يثبتُ بعد الموتِ ما يَبطُلُ في حال الحياة عند زوال ذلك السبب الموجب للحكم؟ وفي هذا الوجه بحث آخر يَخْرُجُ عن موضوع هذه الرسالة</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375229_1067777946"/>
      <w:bookmarkStart w:id="74" w:name="_Toc23"/>
      <w:bookmarkEnd w:id="73"/>
      <w:r>
        <w:rPr>
          <w:rtl w:val="true"/>
        </w:rPr>
        <w:t>مناقشة القول بجواز العمل بفتوی المیّت</w:t>
      </w:r>
      <w:bookmarkEnd w:id="74"/>
    </w:p>
    <w:p>
      <w:pPr>
        <w:pStyle w:val="BookText"/>
        <w:rPr/>
      </w:pPr>
      <w:r>
        <w:rPr>
          <w:rFonts w:ascii="Amiri" w:hAnsi="Amiri" w:eastAsia="Amiri" w:cs="Amiri"/>
          <w:color w:val="111111"/>
          <w:sz w:val="28"/>
          <w:sz w:val="28"/>
          <w:szCs w:val="28"/>
          <w:rtl w:val="true"/>
          <w:lang w:bidi="ar-SA"/>
        </w:rPr>
        <w:t>الوجه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نتنزّل عن جميع ما تقدّم من الوجوه، ونُجَوِّزُ العمل بقول الفقيه الميّت، بأن نجعَلَهُ ممكناً بالإمكان الخاص، بل نفرُضُ قيامَ الدليل على صِحَتِهِ، وذلك كلّه غيرُ مُجَوِّز للعمل به بدون قائل من أصحابنا السابقين وعلمائنا الصالحينَ بِهِ، كما هو الشرط في كلّ مسألة إذا لم تكن من الأمور المتجدّدة التي يَغْلِبُ على الظنِّ أنّها ما خَطَرَتْ للعلماء السابقين، ولا بَحَثُوا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المسألة ليست كذلك، بل هي على طَرَفِ النقيض له؛ فإنّهم قد ذَكَرُوها في كُتُبهم الأُصوليّة والفقهيّة قاطعين فيها بما ذكرناهُ من أنه لا يجوز النقل عن الميّت، وأنّ قولَهُ يَبْطُلُ بموتِهِ من غير نقل لخلافِ أحدٍ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بعد التتبع الصادقِ لِما وَصَلَ إلينا مِنْ كلامهم ما عَلِمْنا بأحدٍ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يُعْتَبَرُ قوله ويُعَوَّلُ على فتواه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مدعي الجواز بيان القائل به على وجه لا يَلْزَمُ منه خرقُ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جملة من الاستدلال على المطلوب، غير ما أودَعَهُ الأُصوليّون من الأصحاب وغيرهم في كتب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لم نَتَعَرَّض لما نقلُوهُ في ذلك اكتفاء بما قَرَّرُوهُ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ما وَصَلَ إلينا من العُذرِ في ذلك أنّ بيد أهل العصر فتوى مدوَّنةً على </w:t>
      </w:r>
    </w:p>
    <w:p>
      <w:pPr>
        <w:pStyle w:val="BookText"/>
        <w:rPr/>
      </w:pPr>
      <w:r>
        <w:rPr>
          <w:rFonts w:ascii="Amiri" w:hAnsi="Amiri" w:eastAsia="Amiri" w:cs="Amiri"/>
          <w:color w:val="111111"/>
          <w:sz w:val="28"/>
          <w:sz w:val="28"/>
          <w:szCs w:val="28"/>
          <w:rtl w:val="true"/>
          <w:lang w:bidi="ar-SA"/>
        </w:rPr>
        <w:t>حواشي كتبهم ينسبونها إلى بعض المتأخّرين</w:t>
      </w:r>
      <w:r>
        <w:rPr>
          <w:rStyle w:val="FootnoteAnchor"/>
          <w:rtl w:val="true"/>
        </w:rPr>
        <w:footnoteReference w:id="62"/>
      </w:r>
      <w:r>
        <w:rPr>
          <w:rFonts w:ascii="Amiri" w:hAnsi="Amiri" w:eastAsia="Amiri" w:cs="Amiri"/>
          <w:color w:val="111111"/>
          <w:sz w:val="28"/>
          <w:sz w:val="28"/>
          <w:szCs w:val="28"/>
          <w:rtl w:val="true"/>
          <w:lang w:bidi="ar-SA"/>
        </w:rPr>
        <w:t>تقتضي جوازَ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قد عرفت بما أو دَعْناه في مطاوي هذه الرسالة ما يَحْسِمُ مادّة الشبهة، ويُزيلُ العِلَّةَ، ويَكشِفُ عن فسادِ هذه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زيادةً على ما ذكرناه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غيرُ مصحَّحة النسبة متّصلة السند الصحيح إلى من تُعزى إليه</w:t>
      </w:r>
      <w:r>
        <w:rPr>
          <w:rStyle w:val="FootnoteAnchor"/>
          <w:rtl w:val="true"/>
        </w:rPr>
        <w:footnoteReference w:id="63"/>
      </w:r>
      <w:r>
        <w:rPr>
          <w:rFonts w:ascii="Amiri" w:hAnsi="Amiri" w:eastAsia="Amiri" w:cs="Amiri"/>
          <w:color w:val="111111"/>
          <w:sz w:val="28"/>
          <w:sz w:val="28"/>
          <w:szCs w:val="28"/>
          <w:rtl w:val="true"/>
          <w:lang w:bidi="ar-SA"/>
        </w:rPr>
        <w:t>، وإنّما أخَذَها الناقِلُ عن شَيخِهِ من غيرِ علمِ طريقِهِ فيها إلى مَن يَزْعَمُ أنّه أفتى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شأنه لا يَسُوعُ إدخاله في الدين، ومعارَضَتُهُ لِما قد شاع وذاعَ وَمَلأ الأسماع من كلام علمائنا وأجلّاء فقهائنا في كتب الأُصول والفروع بما يُخالِفُ 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على تقدير أن يكون لها سندٌ في نفس الأمر فهو غير مذكور، فلابدّ من بيانه حتّى يُنظَرَ في رجاله على الوجه الذي حَرَّرناه سابقاً، ليُمكِنَ التعليلُ بها، مع أنّها خالية عن كُتب من نُسِبَتْ إليه ولو كانت حقّاً لكان إيداعه لها في كتبه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المعتاد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في مقابلة أقوال باقي العلماء</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مشتملة على جواز الحكم والقضاء للقاصر عن درجة الاجتهاد، وقد عرفت أن الإجماع واقع على بطلان ذلك، منقولٌ مصرَّح، فكفى بها عاراً و مَنْقصةً وشَناراً </w:t>
      </w:r>
      <w:r>
        <w:rPr>
          <w:rStyle w:val="FootnoteAnchor"/>
          <w:rtl w:val="true"/>
        </w:rPr>
        <w:footnoteReference w:id="64"/>
      </w:r>
      <w:r>
        <w:rPr>
          <w:rFonts w:ascii="Amiri" w:hAnsi="Amiri" w:eastAsia="Amiri" w:cs="Amiri"/>
          <w:color w:val="111111"/>
          <w:sz w:val="28"/>
          <w:sz w:val="28"/>
          <w:szCs w:val="28"/>
          <w:rtl w:val="true"/>
          <w:lang w:bidi="ar-SA"/>
        </w:rPr>
        <w:t>لإفضائها إلى مخالفة ما قد أجمع العلماء عليه، وذلك وحدَهُ كافٍ في فَسادها، وبطلانِ ما أدَّت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على تقديرِ صُدُورِها عن فقيهِ فهي الآن فتوى ميّتٍ، فجواز العمل بفتوى الميّت موقوف عليها، وجواز العمل بها موقوف على جواز النقل عن الميّت وذلك دور ظاهر، ولا تحصل السلامة منه إلّا إذا وافقها فقيه مجتهد حيُّ، بحيثُ لا يلزم من حُكمِهِ مخالَفَةُ الإجماع، وحينئذٍ يسقط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الجواز فيها مشروط بتعذر الفقيه الحي، وحينئذٍ فإن كان موجوداً فهي ساقطة، وإن كان معدوماً فالواجبُ على أهل العصرِ استفراغُ الوُسْعِ وبَذْلُ الجُهْدِ في تحصيل الواجب الذي أقلّه كَوْنُه كِفائياً؛ فتركُهُم للاشتغال به وتقاعُدُهم عنه يُخرِجُهُم عن التأهّل للمناصِبِ المذكورة، والاتصاف بالعدالة المبرورة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ما قَدَّمناه من الأدلّة واردٌ على هذه الفتوى التي بأيديهم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وهب أنّ الشبهة قد تَعْرِضُ فى واحدٍ من هذه الوجوه أو في أكثرها أليس أحَدُها كافياً فيما أردناه، وافياً بما ذكرناه، شافياً من العلّةِ لِمَن ألقى نفسه في هذه اللُجَّةِ، وتَوَرَّطَ في التَعَلَّق بهذِهِ المِحنةِ ؟ ولقد اشتَهَرَ وتَفَرَّعَ على ذلك بين أهل العصرِ ما تَضْحَكُ منه الثكلى وتَشَفّى فينا الأعداءُ؛ لرداءته وبُعدِهِ عن قبولِ العقول السليمةِ والآراء المستقيمَةِ؛ حيثُ صارَ أمرُ الحُكمِ والولاية على الوظائف المختصة بحاكم الشرع لا ضابط له يُرجعُ إليه، ولا حد له من العلم يَقِفُ عليه، فنجد في كلّ عصر من هذه الأعصار يُعيِّنون هذه الأحكام في قومِ مخصوصين على وجه يعتقدُونَ صحّة حكمهم ونفوذه وإنفاذه، وبطلان حكم من عداهم ممَّن قَصُرَ في الرتبة عنهم يسيراً، وربما ساواهم، ثمّ في وقتٍ آخَرَ يصيرُ ذلك الذي كان حكمه باطلاً حاكماً بينهم بموت من كان منهم معدوداً أعلى منه 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إلى أنْ ينتهي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وتتقاعَدَ الهِمَمُ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يصير الحاكم من يَعرِفُ الكتابة، ويَفْهَمُ أنّ البيّنة على المدّعي واليمين على المنكر؛ ونظائر ذلك من المسائل الواضحة من غير معرفة بمستَنَدِ ذلك ولا خِبْرَةٍ بدليله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هذا إِلَّا بِمَعْزِلٍ بعيدٍ عن الحقّ ؟ وكلُّ ذلك نَشَأ من هذا النقل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نَشَأ ما هو أعظمُ ممَّا حَكَيْتُهُ وأَوْضَحْتُهُ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تعلّق بعضهم في جواز تقليد الموتى بقول الشهيد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العلماء قال بجوازه</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يُبَيِّن ذلك القائل، فدل ذلك على أنّ في المسألة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كافٍ في عدمِ الإجماع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في التعلّق بها ما في مخالفة الإجماع من الحَظْرِ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شبهة واهيةٌ؛ فإنّ مجرّد حكاية القول عن بعض العلماء لا يوجِبُ كونَهُ من أصحابنا أو من غيرِهم؛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معرَّف فتُفيدُ العموم، كما تحقّق في الأُصول، فيكون بعضُهم أعم من بعض علمائنا؛ لأنّ بعض الأعمّ أعمّ من بعض الأخصّ، فلا دلالة فيه على أنّ المخالف لا يكون من من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يوضح عن أن المخالف قد علمائنا أنّ هذه مسألة أُصوليّة، والمعلوم من أصحابنا وغيرهم في كتب الأُصول أنْ يَذكروا الخلاف في المسألة مع من خالفهم في المذاهب، بل يَحْكُونَ فيه أقوالاً واهية وآراء فاسدةً، ليُثبتوا الحقّ في ذلك والجواب عن شبهة المخالف وان ضعفت</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الأمر لا يخفى على من نظر في كتب الأُصول واطّلع على مصطَلَحهم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العلّامة الفاضل جمال الدين لمّا ذكر المسألة في كتاب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عِظَمه وكثرة ما يَذْكُر فيه من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المسألةَ ونَقَلَ ما فيها من الأقوال ونسبه إلى قائله من الجمهور، ثمّ اختار المنع من تقليدِ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لأصحابنا في ذلك قولاً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ذكرها في منتهى الأُصول جازماً بحكمها من غير نقل خلاف عن أحدٍ</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ذَكَرَ </w:t>
      </w:r>
      <w:bookmarkStart w:id="75" w:name="pg10113_91904"/>
    </w:p>
    <w:p>
      <w:pPr>
        <w:pStyle w:val="BookText"/>
        <w:rPr/>
      </w:pPr>
      <w:bookmarkEnd w:id="75"/>
      <w:r>
        <w:rPr>
          <w:rFonts w:ascii="Amiri" w:hAnsi="Amiri" w:eastAsia="Amiri" w:cs="Amiri"/>
          <w:color w:val="111111"/>
          <w:sz w:val="28"/>
          <w:sz w:val="28"/>
          <w:szCs w:val="28"/>
          <w:rtl w:val="true"/>
          <w:lang w:bidi="ar-SA"/>
        </w:rPr>
        <w:t xml:space="preserve">المسألةَ في التهذيب </w:t>
      </w:r>
      <w:r>
        <w:rPr>
          <w:rStyle w:val="FootnoteAnchor"/>
          <w:rtl w:val="true"/>
        </w:rPr>
        <w:footnoteReference w:id="68"/>
      </w:r>
      <w:r>
        <w:rPr>
          <w:rFonts w:ascii="Amiri" w:hAnsi="Amiri" w:eastAsia="Amiri" w:cs="Amiri"/>
          <w:color w:val="111111"/>
          <w:sz w:val="28"/>
          <w:sz w:val="28"/>
          <w:szCs w:val="28"/>
          <w:rtl w:val="true"/>
          <w:lang w:bidi="ar-SA"/>
        </w:rPr>
        <w:t>وغيره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أنه لا يجوز تقليد الميّت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لم يَذْكُر أحدٌ من شُرّاح الكتاب في ذلك قولاً لأصحابنا يُقابِلُ ما أفتى به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مَن نسبه إلى أصحابنا بيانُهُ على وجه يجوز لنا التعويل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أن في ذلك قولاً لأصحابنا فمجرّد وجودِ القولِ سَوَّغَ لكم التعويل عليه من غير حجّةٍ ولا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لَشَيء عَجيب، مع أنّ هذا كلّه فيما لا يتعلق بالقضايا والأحكام كما بيّناه؛ فإنّه موضِعُ وفاقٍ بالتصريح بخلافِ ما نحن بصددِهِ؛ فإنّه ممّا لم تعلم فيه المخالف، ولا يَسوعُ لنا فيه دعوى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المصير إلى ما ذكرَهُ الأصحاب متعيّن إلى أنْ يَثْبُتَ خلافه</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375231_1067777946"/>
      <w:bookmarkStart w:id="77" w:name="_Toc24"/>
      <w:bookmarkEnd w:id="76"/>
      <w:r>
        <w:rPr>
          <w:rtl w:val="true"/>
        </w:rPr>
        <w:t>جواز القضاء للقاصر عن الاجتهاد والردّ علیه</w:t>
      </w:r>
      <w:bookmarkEnd w:id="77"/>
    </w:p>
    <w:p>
      <w:pPr>
        <w:pStyle w:val="BookText"/>
        <w:rPr/>
      </w:pPr>
      <w:r>
        <w:rPr>
          <w:rFonts w:ascii="Amiri" w:hAnsi="Amiri" w:eastAsia="Amiri" w:cs="Amiri"/>
          <w:color w:val="111111"/>
          <w:sz w:val="28"/>
          <w:sz w:val="28"/>
          <w:szCs w:val="28"/>
          <w:rtl w:val="true"/>
          <w:lang w:bidi="ar-SA"/>
        </w:rPr>
        <w:t>ومن غَريب ما تعلَّق بِهِ بعضُهُم في جواز القضاء للقاصر عن درجة الاجتهاد أنّه حينَ سُئِلَ عن الوجهِ المُسوِّع لذلك اسْتَنَد إلى قول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تراضى الخَصمانِ بواحدٍ من الرعِيَّةِ فَحَكَمَ عليهما لَزِمَهُما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نقلوه في قاضي 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نَنْصِبُ أَنفُسَنَا لِلقَضاءِ، لكن إذا أتانا خَصمانِ وتَراضَيا بِنا حَكَمْنا بينَهُما، فنحن قُضاة تحكيم وإن لم نكن من أهل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الاستناد من أفْحَشِ الأغلاط وأقْبَح الأخلاط ؛ فإنّ المراد بقاضي التحكيم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الفقهاء في كتاب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الفقيه المجتهد العدلُ في حال حضور الإمام لكنّ الإمام لم يُوَلِّهِ القضاء، وإنّما وَلَّى في البلدِ غيرَهُ من المجتهدين فتراضى الخصمانِ بالمجتهد غير المنصوب</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وتحرير المسألة أنّ القضاءَ لا يَنْفُذُ لِغَيْرِ المجتهدِ من الرعية، سواء كان ذلك في حال حضور الإمام أو حال غَيْبَته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حال حضورِهِ لا يَنْفُذُ قضاءُ كلّ مجتهد، بل إذا نَصَبَهُ الإمام قاضياً، فإذا نَصَبَ مجتهداً جامعاً لباقي الشرائط المعتبرة في القاضي تعيَّن الترافع إليه، وكان الممتنع عنه عاصياً، وحكمه على الناس نافذاً سَواءٌ رَضِيَ به الخصم ابتداءً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غيرُ المنصوب من المجتهدين في تلك الحال فلا يتعيَّن الترافع إليه، ولا يَنْفُذُ حكمهُ إلّا إذا تَراضَى الخصمانِ به قبل القضاء، فحينئذٍ يَنْفُذُ قضاؤُه عليهما، وإنْ سَخِطَ الخَصْمُ بعد ذلك، وهذا هو المعبر عنه بقاضي التحكيم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فى حال الغَيْبة فلا يُتَصَوَّرُ قاضي التحكيم؛ لأنّ الفقية الجامع لشرائط الفتوى في تلك الحال بحكم المنصوب في حال الحضور على الخصوص، فيجب الترافع إليه، ويَنْفُذُ حكمه كالمنصوب حالة الحضور، ولا يجوز لمن دونه التعرُّضُ للقضاء إجماعاً وهذا الذي فَصَّلْتُه موجود مصرَّح به في كُتُبِ الأصحابِ الفقهيّة مختصرَةً ومطوّلَةً، تكفي مراجَعَتُها عن نَقْلِ ألفاظهم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بمطالعتها في أوّل كتاب القضاء، خصوصاً كتاب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بلاغاً وافياً وبياناً شافياً</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أنّه قد وقع في كُتُب الأصحاب وغيرهم الأُصوليّة، وربما ذُكِرَ أيضاً في الفرعيّة، أنّ من علاماتِ الفقيه المجتهد المسوغةِ لرجوع العامّي إليه، وتعويله على ما يَعْتَمِدُ عليه، أنْ يراه مُنتَصِباً للفتوى بمَشْهَد من الخلق وهم منقادُونَ إليه من غير نكير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علامة من علاماته لا خلاف فيها بين الفريقين، وكفى بها دلالةً واضحةً و علامةً فاضحةً على أنّ مَنْ لم يَتَّصِفْ بالوصفِ المذكور، ويَتَأهل لمنصب الدليل لا يُتَصَوَّرُ فيه عندهم أنْ يُحَلَّى نفسه بهذه المَنْقَبَةِ، ويتعرّض لهذه المرتبة، بحيث صار عندهم مجرّد التعرّض لها مع عدم النكير دليلاً على صحّة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الأمر في زماننا قد صار بخلاف ذلك، بل هذه العلّامة قد امَّحَى أثرها، ولم يَبْقَ في الكتب إلّا خَبَرُها؛ فإنّ كلّ مَنْ قَرَأ الشرائع، أو بعضها أو مازاد عليها يسيراً يجلِسُ في زماننا ويَتَصَدَّرُ ويُفْتي الناس إلى غير ذلك من وظائف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ما ذكروه من العلّامة حقاً حُكم ببلوغ هؤلاء درجة الفتوى، أو خَطَئِهم فيما يصنعونه، </w:t>
      </w:r>
    </w:p>
    <w:p>
      <w:pPr>
        <w:pStyle w:val="BookText"/>
        <w:rPr/>
      </w:pPr>
      <w:r>
        <w:rPr>
          <w:rFonts w:ascii="IRNazanin" w:hAnsi="IRNazanin" w:eastAsia="IRNazanin"/>
          <w:color w:val="111111"/>
          <w:sz w:val="28"/>
          <w:sz w:val="28"/>
          <w:szCs w:val="28"/>
          <w:rtl w:val="true"/>
          <w:lang w:bidi="fa-IR"/>
        </w:rPr>
        <w:t>وخروجهم عن الحقِّ، وانسلاخهم من التقوى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الحالتين أنّ المتصدِّر هنا لا يَدَّعي الفقه والاستدلال به، وإنّما يعترفُ بأنّ فتواه تبع لفتوى غيره، وأنّه أخَذَ ذلك عن مشايخه والتبعَةُ في ذلك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ذكره الفقهاء من علامة الفقيه؛ فإنّ المراد أنّه يَدَّعِي أن تلك الفتوى صادرة عنه، ومُسْتَندة إلى ما ثَبَتَ عنده وتربَّحَ بالدليل التفصيلي، فالعلّامة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عبارات الأصحاب وغيرهم في ذلك، على كثرتها في الأُصول الفقهيّة متوناً وشروحاً، خالية من هذه القيود، دالة على مطلق التصدر والفتوى، وذلك قاطع لمادّةِ هذا التكلُّف، حاسم لهذهِ الشبهةِ، دال على فساد هذه الطريقة المألوفة، فإن اغتراك شكٍ، أو حَصَلَ لك،ريب فراجع أنت عباراتهم، وأغننا عن نقلها إليك وتلاوتها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بالحقوق في حال الغَيْبة وتعذُّرِ الفقيه مع قيام البيّنة الكاملة العادلة بها ؟ وهل في ترك مساعدة صاحبها على تحصيلها إلّا الضرر العظيم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الحقوقِ على ذلك التقدير حُكمُ الحُدودِ والتعزيرات المعطلة؛ لعدم الحاكم المتمكّن من القيام بها، وليست هذه الحقوق يبدع من الأحكام المعطّلة والشرائع المهملة في حال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وجودُ ألفِ فقيه وهم لا يتمكنون من إنفاذها على وجهها، أليست تكونُ مُعَطَّلَةً ؟ والضرر واحد، ولا يلزم من حصوله تسويعُ رَفْعِهِ لِمَنِ اتَّفق كالحدود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حُكْمُ عبادةِ الخلق من صلاة وصيام وحج وغيرها، ومعاملتهم وأحكامهم إذا لم تكن مُسْتَنِدةً إلى من له أهلية الفتوى ؟ فإنّ اللازم من ذلك فَسادُها، سيّما العبادة؛ لعدم الإتيان بها على الوجه المأمور به شرعاً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كلام الأصحاب وفتاواهم أنّ الأمر على ما ذكرت من البطلان في فعل كلّ عبادة اشتملتْ كلُّها، أو بعض أجزائها، على مسألةٍ مُخْتَلَفٍ فيها؛ لاستحالة الترجيح من غير مرجّح، وبطلان قول الفريقين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في الصحّة من الاستناد </w:t>
      </w:r>
      <w:bookmarkStart w:id="78" w:name="pg10113_91907"/>
    </w:p>
    <w:p>
      <w:pPr>
        <w:pStyle w:val="BookText"/>
        <w:rPr/>
      </w:pPr>
      <w:bookmarkEnd w:id="78"/>
      <w:r>
        <w:rPr>
          <w:rFonts w:ascii="Amiri" w:hAnsi="Amiri" w:eastAsia="Amiri" w:cs="Amiri"/>
          <w:color w:val="111111"/>
          <w:sz w:val="28"/>
          <w:sz w:val="28"/>
          <w:szCs w:val="28"/>
          <w:rtl w:val="true"/>
          <w:lang w:bidi="ar-SA"/>
        </w:rPr>
        <w:t>في أحدِ الوجهين إلى أهلِهِ، سيّما الصلاة؛ فإنّه لا يُمكن إيقاعُ صلاةٍ على وجهِ مُجْمَعٍ على صحتِهِ، فإنّ من جملة أفعالها قراءة السورة، وقد اختُلِفَ في وجوبها واستحبابها، فإذا أتى بها المُصلِّي اختياراً ونوى بها الوجوب تكون صلاته باطلة عند القائل بالندبيَّة؛ لأنه زاد واجباً في الصلاة، وقد نصَّ الأصحابُ على أن من أتى بذكرٍ مندوب بنية الوجوب فى أثناء الصلاة تكون صلاته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نَوى بها الندب تكون صلاته باطلةً عند القائل بالوجوب ؛ لأن الواجب لا يتأدّى بنيّة الندب، بل يجب إيقاعُهُ على وجه الوجوب</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375233_1067777946"/>
      <w:bookmarkStart w:id="80" w:name="_Toc25"/>
      <w:bookmarkEnd w:id="79"/>
      <w:r>
        <w:rPr>
          <w:rtl w:val="true"/>
        </w:rPr>
        <w:t>فتوی صریحة في بطلان الصلاة مع الإخلال بالتقلید</w:t>
      </w:r>
      <w:bookmarkEnd w:id="80"/>
    </w:p>
    <w:p>
      <w:pPr>
        <w:pStyle w:val="BookText"/>
        <w:rPr/>
      </w:pPr>
      <w:r>
        <w:rPr>
          <w:rFonts w:ascii="Amiri" w:hAnsi="Amiri" w:eastAsia="Amiri" w:cs="Amiri"/>
          <w:color w:val="111111"/>
          <w:sz w:val="28"/>
          <w:sz w:val="28"/>
          <w:szCs w:val="28"/>
          <w:rtl w:val="true"/>
          <w:lang w:bidi="ar-SA"/>
        </w:rPr>
        <w:t xml:space="preserve">ومن الفتاوى الصريحة في بطلان الصلاة مع الإخلال بالتقليد في جميع أفعالها، أو الاجتهادِ لأهله، عبارةُ الرسالة الألفيّة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أنّ المكلّف بها الآن من الرعيّة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مجتهد؛ وفرضُهُ أخذُ الأفعال بطريق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ومقلّد؛ ويكفيه التقليد فيها للمجتهد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يأخُذكما وصفناه فلا صلاة له</w:t>
      </w:r>
      <w:r>
        <w:rPr>
          <w:rFonts w:eastAsia="Amiri" w:cs="Amiri" w:ascii="Amiri" w:hAnsi="Amiri"/>
          <w:color w:val="111111"/>
          <w:sz w:val="28"/>
          <w:szCs w:val="28"/>
          <w:rtl w:val="true"/>
          <w:lang w:bidi="ar-SA"/>
        </w:rPr>
        <w:t>»</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فعَبَّرَ عن بطلان صلاة مَن خرج من القسمين بأبلغ كلامٍ وأوجَزِهِ؛ فإنّه نفى عنه ماهيّة الصلاة رأساً، وأراد به نفي الصحّة؛ فإنّه أقربُ المَجازاتِ إلى نفي الحقيقة حيث لا يكون مُراداً، كما هو مقرَّرُ في مواضعه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الصوم والحج فلا يَبْعُدُ أنْ يقال بإمكان صحتِهِ إذا أوقعه على وجه يحصل الإجماع عليه بأنْ يَتْرُكَ كلّ ما قيل بتحريمه، ويَفْعَلَ كلّ ما قيل بوجوبه؛ فإنّ واجباتهما غير مرتبطة بماهيّتهما ارتباط واجباتِ الصلاة،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القولُ في العقود والإيقاعات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الحكم متوجّه على القادر على تحصيل العبادات بأحد الطريقين، فما يصنَعُ مَن لا يقدِرُ على الاجتهاد قطعاً عند تعذّر المجتهد، كالشيخ الفاني الذي نَشَأ على الجَهالَةِ، والمرأة القاصرة عن النظر في ذلك، والرجل البليدِ الذي يَقطَّعُ أهلُ النظر </w:t>
      </w:r>
    </w:p>
    <w:p>
      <w:pPr>
        <w:pStyle w:val="BookText"/>
        <w:rPr/>
      </w:pPr>
      <w:r>
        <w:rPr>
          <w:rFonts w:ascii="Amiri" w:hAnsi="Amiri" w:eastAsia="Amiri" w:cs="Amiri"/>
          <w:color w:val="111111"/>
          <w:sz w:val="28"/>
          <w:sz w:val="28"/>
          <w:szCs w:val="28"/>
          <w:rtl w:val="true"/>
          <w:lang w:bidi="ar-SA"/>
        </w:rPr>
        <w:t>بأنّه لو صَرَفَ دَهْرَهُ على تحصيل العلوم لم يَبْلُغ تلك المرتبة، ونظائرهم ؟ وكيف حُكْمُ المشتغِلِ بطلبِ المقدِّماتِ المشترطة عند تعذَّرِ المجتهد ؟ فإنّ الحكم ببطلان عبادة هؤلاء كادَ أنْ يكونَ من أفراد التكليف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على ما ذَكَرتَ من الحَرَج والضَرَرِ، ولكن لم أقِفْ لأحدٍ من أصحابنا في ذلك على شيءٍ يقتضي صحّة تقليدهم للأموات مطلقاً، والقول بالجواز ممكن لو قال به أحدٌ من المعتبرين مع مراعاة جانب الاحتياط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تَعَرَّضَ لهذه المسألة المحقّق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حاشية الشرائع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ليس ببعيدٍ في هذه الحالة الاستعانة بكتب المتقدّمين على معرفة بعض الأحكام، نعم، يجبُ عليهم عند ضيق الوقتِ الإتيان بها على حسب الممكن، كحالة من لا يُحْسِنُ القِراءةَ والذكر عند ضيق الوقتِ</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لو قُطِعَ بفَسادِ صلاةِ مَنْ قَدَرَ على التفقّه في سالف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تعذّر تقليده الآن، وإنْ كان مشتغلاً بالمقدّمات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بعيداً، كيف لا ؟ والموجِبُ لهذِهِ الحَيرةِ ونزول هذه البليّةِ إنّما هو تقاعُدهم عن تحصيل الحقِّ، وفُتور عزيمتهم، وانحطاط نفوسهم عن الغيرة على صلاح الدين وتحصيل مداركِ اليقين، حتّى آل الحال إلى انتقاض هذا البناء، وفَسادِ هذه الطريقة السواءِ</w:t>
      </w:r>
      <w:r>
        <w:rPr>
          <w:rStyle w:val="FootnoteAnchor"/>
          <w:rtl w:val="true"/>
        </w:rPr>
        <w:footnoteReference w:id="73"/>
      </w:r>
      <w:r>
        <w:rPr>
          <w:rFonts w:ascii="Amiri" w:hAnsi="Amiri" w:eastAsia="Amiri" w:cs="Amiri"/>
          <w:color w:val="111111"/>
          <w:sz w:val="28"/>
          <w:sz w:val="28"/>
          <w:szCs w:val="28"/>
          <w:rtl w:val="true"/>
          <w:lang w:bidi="ar-SA"/>
        </w:rPr>
        <w:t>، واندَرَسَتْ معالمُ هذا الشأن بينَ أهل الإيمان، وقَلَّتْ أو عَدِمَتْ كُتُبُ الرجالِ والحديثِ التي هي أُصول الشريعة الغراء، وشرط التوصل إلى تلك المرتبة الزهراء حتّى أنّ الرجل من فضلاء هذا العصر ربما انقضى زمانُهُ، وفَنِيَ عمرُهُ، ومَضى دهرُهُ، وهو لم يَنظُرْ في كتاب من كُتُبِ الحديثِ مثلِ الكافي والتهذيب والفقيه وغيرها، ولا سعى على تملكه مع قدرته عليه، ولا رآه، بل كثيراً ما يكون شيخه وشيخ شيخه بهذه المثابة وعلى 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أرادَ الرجلُ </w:t>
      </w:r>
    </w:p>
    <w:p>
      <w:pPr>
        <w:pStyle w:val="BookText"/>
        <w:rPr/>
      </w:pPr>
      <w:r>
        <w:rPr>
          <w:rFonts w:ascii="Amiri" w:hAnsi="Amiri" w:eastAsia="Amiri" w:cs="Amiri"/>
          <w:color w:val="111111"/>
          <w:sz w:val="28"/>
          <w:sz w:val="28"/>
          <w:szCs w:val="28"/>
          <w:rtl w:val="true"/>
          <w:lang w:bidi="ar-SA"/>
        </w:rPr>
        <w:t>المُسْتَيْقِظُ الآن أنْ يَتَوَصَّل إلى تحصيل هذه الأُصول لم يكدْ يَقْدِرُ عليها، مع الإجماع على أنّ كتابة هذه الأُصول ونظائرها وحفظها ومقابلتها وتصحيحها وضبطها ونقلها من الواجبات الكفائية؛ لتوقف الواجب، وهو التفقّه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الواجب الكفائي إذا لم يَقُمْ به أحدٌ، تَوَجَّهَ العِقابُ على جميع المكلّفين، وكان في ذلك كالواجب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القلوبُ المستَيْقِظَةُ ؟ وأين الألبابُ المتَنَبِّهةُ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النفوس المتوجّهة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الهمم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لِتَنوح على هذه البلية، وتُكثِر العويل على هذه الرزيّة، التى لا يَلْحَظها إلّا المّتقون،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التقصير نَشَأ هذا القُصُورُ، ومن هذِهِ الغَفْلَةِ حَدَثَ هذا الفتورُ، وانْدَرَسَتْ مَعالِمُ الشريعة في سائر الجهات، وصارت الملة المصطفوية في حيّز الشتات، وصار الأمر كما تراه يروي إنسانُ هذا الزمانِ ما لا يَدْري معناه ولا يَعْرِفُ مَن رواه على نفسه، فليَبْكِ مَنْ ضاع عُمْرُه، وليس له إلا الندامة والحشرة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الأمر قبل ذلك على حالةٍ تضيق الأوراق ببيانها، والأوقاتُ في تحقيق شأنها، حتّى أن رجلاً من ذُرِّيَّة الصدوق ابن بابويه هو ولد تلميذ الشيخ أبي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اسمه عليُّ بْنُ عُبيد اللّه بن الحسنِ بنِ بابويه جَمَعَ كتاباً </w:t>
      </w:r>
      <w:r>
        <w:rPr>
          <w:rStyle w:val="FootnoteAnchor"/>
          <w:rtl w:val="true"/>
        </w:rPr>
        <w:footnoteReference w:id="75"/>
      </w:r>
      <w:r>
        <w:rPr>
          <w:rFonts w:ascii="Amiri" w:hAnsi="Amiri" w:eastAsia="Amiri" w:cs="Amiri"/>
          <w:color w:val="111111"/>
          <w:sz w:val="28"/>
          <w:sz w:val="28"/>
          <w:szCs w:val="28"/>
          <w:rtl w:val="true"/>
          <w:lang w:bidi="ar-SA"/>
        </w:rPr>
        <w:t>في أسماءِ علماء الشيعة الذين تأخَّروا عن الشيخ أبي جعفر الطوسي إلى زمانه، ليكون تكملةً لفهرست الشيخ، جَمَعَ فيه ما يَزِيد على خمسمائة فقيه في أقلَّ مِن عصرين، وأكثرُهُم أصحابُ مصنّفات عِظام وعلماءُ أَجِلاءُ أعلام ومَن تَأمَّلَ زمانَهم ووَقَفَ على سِيرهم يَعْلَمُ أن توفيقهم ما كان أكثر من توفيق أهل زماننا وإنّما أو جَبَ التخلَّفَ عنهم قصور الهمّة وعدمُ الديانة، وأوجَبَ هذه البلوى قلةُ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تتوجّه المؤاخَذَهُ، ونَسْتَحِقُّ نزول البلية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ونَسْتَوجِبُ بُطلانَ العِبادة ؟ إنْ لم يَتَدارَكنا اللّه سبحانه بفضله ورحمته وجُوده وكرمه</w:t>
      </w:r>
      <w:r>
        <w:rPr>
          <w:rFonts w:eastAsia="Amiri" w:cs="Amiri" w:ascii="Amiri" w:hAnsi="Amiri"/>
          <w:color w:val="111111"/>
          <w:sz w:val="28"/>
          <w:szCs w:val="28"/>
          <w:rtl w:val="true"/>
          <w:lang w:bidi="ar-SA"/>
        </w:rPr>
        <w:t xml:space="preserve">. </w:t>
      </w:r>
      <w:bookmarkStart w:id="81" w:name="pg10113_91910"/>
    </w:p>
    <w:p>
      <w:pPr>
        <w:pStyle w:val="Heading4"/>
        <w:numPr>
          <w:ilvl w:val="3"/>
          <w:numId w:val="1"/>
        </w:numPr>
        <w:rPr/>
      </w:pPr>
      <w:bookmarkStart w:id="82" w:name="__RefHeading___Toc375235_1067777946"/>
      <w:bookmarkStart w:id="83" w:name="_Toc26"/>
      <w:bookmarkEnd w:id="81"/>
      <w:bookmarkEnd w:id="82"/>
      <w:r>
        <w:rPr>
          <w:rtl w:val="true"/>
        </w:rPr>
        <w:t>نصیحة الشهید لطلبة زمانه و غیرهم</w:t>
      </w:r>
      <w:bookmarkEnd w:id="83"/>
    </w:p>
    <w:p>
      <w:pPr>
        <w:pStyle w:val="BookText"/>
        <w:rPr/>
      </w:pPr>
      <w:r>
        <w:rPr>
          <w:rFonts w:ascii="Amiri" w:hAnsi="Amiri" w:eastAsia="Amiri" w:cs="Amiri"/>
          <w:color w:val="111111"/>
          <w:sz w:val="28"/>
          <w:sz w:val="28"/>
          <w:szCs w:val="28"/>
          <w:rtl w:val="true"/>
          <w:lang w:bidi="ar-SA"/>
        </w:rPr>
        <w:t xml:space="preserve">وأعْظَمُ مِن هذا مِحْنَةٌ، وأكبرُ مصيبةً، وأوجب على مرتكبه إثماً، ما يتداوله كثير من المُتَّسِمينَ بالعلم من أهل بلاد العجم، وما ناسبها من غيرهم في هذا الزمان؛ حيث يصرِفُون عمرَهُم ويَقْضون دهرَهُم على تحصيل علوم الحكمة، كعلم المنطق والفلسفة وغيرهما، ممّا يَحْرُمُ لذاتِهِ أو لمنافاته للواجب، على وجه لوصَرَفوا جزءاً منه على تحصيل العلم الديني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يسألُهُمُ اللّه تعالى عنه يوم القيامةِ سؤالاً حثيثاً، ويُناقِشُهُم على التفريط فيه نقاشاً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لحَصَّلوا ما يجِبُ عليهم من علم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هم 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يَحْسَبُونَ أَنَّهُمْ يُحْسِنُونَ صُنْعا</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بل يَزْعُمُونَ أنّ ما هم فيه أعظم فضيلةً وأتمُّ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عينُ الخذلانِ من اللّه سبحانه والبعد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الانسلاخ من الدين رأساً أنْ يُحْيِيَ من يَزْعُمُ أنّه مِن أتباع سيّد المرسلين محمدٍ وآله الطاهرين دين أرسطو ومَنْ شاكَلَه من الحكماء، ويُهْمِلَ الدين الذي دانَ اللّه به أهل الأرض والسماء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هذه الغفلة ونسأله العفو والرحمة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فاسْتَيْقِظُوا أيُّها الإخوانُ من رَقْدَتِكُم، وأفيقوا من سَكْرَتِكُم، وتَلافُوا تَفْرِيطَكُم في أيّام هذه المهلة قبل حلول المنيّة ونزولِ البَليّة، وقبل أنْ تُسْألَ الإقالة ولات حين مقيل، وتطلبون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الرجعة ولا يوجَدُ إليها سبيل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تَقُولَ نَفْسُ يَا حَسْرَتَىٰ عَلَى مَا فَرَّطتُ فِي جَنْبِ اللّه وَإِن كُنتُ لَمِنَ السَّاخِرِينَ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 لَوْ أَنَّ اللّه هَدَانِي لَكُنتُ مِنَ الْمُتَّقِينَ</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وإيّاكم أنْ تَغُرَّكم النفس الأمارَةُ المُحِبَّةُ للكَسَلِ والخَسارة، وتقول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الاشتغال بالفقه هذا الخطرُ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وأبوابه مسدودَةٌ فى هذا الزمان ورجاله قليلةً في هذا الأوان، وطُلابه قليلة الأنصار والأعوان وتحصيل المرتبة الصالحةِ قد عَزَّ إليها المثال، وفيما دونها من المرتبة ما ذكرت من الأهوال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فالاشتغال بعبادة اللّه تعالى </w:t>
      </w:r>
    </w:p>
    <w:p>
      <w:pPr>
        <w:pStyle w:val="BookText"/>
        <w:rPr/>
      </w:pPr>
      <w:r>
        <w:rPr>
          <w:rFonts w:ascii="Amiri" w:hAnsi="Amiri" w:eastAsia="Amiri" w:cs="Amiri"/>
          <w:color w:val="111111"/>
          <w:sz w:val="28"/>
          <w:sz w:val="28"/>
          <w:szCs w:val="28"/>
          <w:rtl w:val="true"/>
          <w:lang w:bidi="ar-SA"/>
        </w:rPr>
        <w:t>أولى دنياً، وأخرى وأحوطُ للمتّقين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خَطْرةً رديّةٌ، وغرورات نفسانية، ومكايد شيطانية، وإلّا فأينَ لنا البناء على غير أساس، والمَشْيُ في ظلمة الدين بغير مقباس؟ وكيف تكون العِبادَةُ صحيحةً مع ما قد عَدَدْناه من الخطرات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تصحُ العِبادةُ مع تَرْكِ هذه الفرائضِ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تَقْصُرُ هِمَهُ العاقل على اكتسابِ فَلْسٍ إِنْ حَصَلَ، وهو قادرٌ على اكتساب نفائس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يخافُ اللّه من قَصَّرَ مع وقوفِهِ على هذا الدليل الباهر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مرتبة العبادة الخالية عن العلم من العلم الذي هو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روح العبادة، بل العلمُ المُخْلَص علم وعبادةٌ على تقدير سلامة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يَقْصِدِ العاقلُ لِنفسِهِ تحصيل منفعةٍ بالعلم فليقصِد دفعَ المَضَرَّة؛ فإنّ دفع المَضَرَّةِ أولى من جلبِ النفع، كما هو من المقدِّماتِ المتَّفقِ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وقد ورد في ثوابه ما قد أغنى عن التدوين والإظهار لمزيد الاشتهار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رُوِّيْنا بإسنادنا إلى مولانا وإمامنا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من شيعتنا عالماً بشريعتنا فأَخْرَجَ ضُعَفَاءَ شيعتنا من ظُلْمَةِ جهلهم إلى نور العلم الذي حبوناه به، جاء يوم القيامة على رأسه تاج من نور يُضِيءُ لأهل جميع العرصات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حُلَّةٌ لا تَقومُ لأقلّ سِلْكٍ منها الدنيا بحذافيرها، ويُنادي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عالِمٌ من بعض تلامذة علماء آل محمد؛ ألا فمنْ أخْرَجَهُ من ظُلمة جهله في الدنيا فَلْيَتَشَبَّتْ به يُخْرِجْه من حَيْرَةِ ظُلْمَةِ هذه الْعَرَصاتِ إلى نُزهِ الجِنان، فَيَخْرُجُ كلّ من كان عَلَّمَه في الدنيا خيراً، أو فَتَحَ عن قلبه من الجهل قُفْلاً، أو أوضَحَ له عن شبهةٍ</w:t>
      </w:r>
      <w:r>
        <w:rPr>
          <w:rFonts w:eastAsia="Amiri" w:cs="Amiri" w:ascii="Amiri" w:hAnsi="Amiri"/>
          <w:color w:val="111111"/>
          <w:sz w:val="28"/>
          <w:szCs w:val="28"/>
          <w:rtl w:val="true"/>
          <w:lang w:bidi="ar-SA"/>
        </w:rPr>
        <w:t>»</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مولانا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أشدُّ من 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 يتيمُ انْقَطَعَ عن إمامه ولا يَقْدِرُ على الوصول إليه، فلا يَدْري كيف حُكْمُه فيما ابْتُلِي به من شرائع دينِهِ ألا فَمَنْ كان من </w:t>
      </w:r>
    </w:p>
    <w:p>
      <w:pPr>
        <w:pStyle w:val="BookText"/>
        <w:rPr/>
      </w:pPr>
      <w:r>
        <w:rPr>
          <w:rFonts w:ascii="Amiri" w:hAnsi="Amiri" w:eastAsia="Amiri" w:cs="Amiri"/>
          <w:color w:val="111111"/>
          <w:sz w:val="28"/>
          <w:sz w:val="28"/>
          <w:szCs w:val="28"/>
          <w:rtl w:val="true"/>
          <w:lang w:bidi="ar-SA"/>
        </w:rPr>
        <w:t>شيعتنا عالماً بعلومنا، فَهَدى الجاهِلَ بشريعتنا كان معنا في الرفيق الأعلى</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وعماد ذلك كلّه وملاكه تصحيح النيّة، وإخلاص الطويّة، وتوجيه المقاصدِ نحو المحبوبِ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المعاملة إلا بالقلوب؛ فإنّ اللّه تعالى لا يَنْظُرُ إِلى صُوَرِكم، وإِنَّما يَنْظُرُ إلى قُلُوبكم</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رَزَقَنا اللّه تعالى وإيّاكم نَيْلَ هذه المرتبةِ، وحَلّانا بأنوارِ هذه المنقبةِ، وَجَعَلَ ما بَقِيَ من أيّام هذه المُهْلَة على الخيراتِ موقوفاً، وعن البَليّات مصروفاً، وأَيْقَظَنا من سِنةِ الغافلين، وأخْرَجَنا عن عِداد الجاهلين؛ إنه أكرم الأكرمين وأجودُ الأجودين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أنا قد أدَّيْتُ الأمانة حسبما أُمِرتُ، وما أرَدْتُ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الْإِصْلَاحَ مَا اسْتَطَعْتُ وَمَا تَوْفِيقِيَ إِلَّا بِاللّه عَلَيْهِ تَوَكَّلْتُ وَإِلَيْهِ أُنِيبُ</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وها هنا نقطعُ الكلامَ حامدين للّه تعالى على آلائه، شاكرين على نعمائه، صابرين على بلائِهِ، مُصَلِّينَ على أَكْرمِ رُسُلِهِ وَأَشْرِفِ أحِبَائِهِ محمد النبيّ المصطفى وعلى عترته النُجَباء، مُسَلِّمِينَ مُسْتَغْفِرِينَ، والحمد للّه رب العالمين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فرغ من تسويد هذه الرسالة الفقير إلى عفو اللّه تعالى وغُفْرانه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عليّ بن أحمد، الشهير بابن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تجاوَزَ اللّه تعالى عن سيئاتِه ووَفَّقه لمرضاته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زمان تأليفها ورقمها من أوّلها إلى آخرها في جزء يسير من يوم قصير، وهو الخامس عشر من شهر شوّال من شهور سنة تسع وأربعين وتسعمائة من الهجرة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مشرفها السلام والتحيّة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حامِداً مُصَلِّياً مُسَلِّماً مُستغفراً، ربِّ اختِمُ بخير، آمين رب العالمين، والحمد للّه وحده، وصلّى اللّه على مَن لا نَبِيَّ بعده محمّدٍ وآلِه</w:t>
      </w:r>
      <w:r>
        <w:rPr>
          <w:rFonts w:eastAsia="Amiri" w:cs="Amiri" w:ascii="Amiri" w:hAnsi="Amiri"/>
          <w:color w:val="111111"/>
          <w:sz w:val="28"/>
          <w:szCs w:val="28"/>
          <w:rtl w:val="true"/>
          <w:lang w:bidi="ar-SA"/>
        </w:rPr>
        <w:t xml:space="preserve">. </w:t>
      </w:r>
      <w:bookmarkStart w:id="84" w:name="pg10113_91913"/>
    </w:p>
    <w:p>
      <w:pPr>
        <w:pStyle w:val="Heading3"/>
        <w:numPr>
          <w:ilvl w:val="2"/>
          <w:numId w:val="1"/>
        </w:numPr>
        <w:rPr/>
      </w:pPr>
      <w:bookmarkStart w:id="85" w:name="__RefHeading___Toc375237_1067777946"/>
      <w:bookmarkStart w:id="86" w:name="_Toc27"/>
      <w:bookmarkEnd w:id="84"/>
      <w:bookmarkEnd w:id="85"/>
      <w:r>
        <w:rPr/>
        <w:t>9</w:t>
      </w:r>
      <w:r>
        <w:rPr>
          <w:rtl w:val="true"/>
        </w:rPr>
        <w:t xml:space="preserve">. </w:t>
      </w:r>
      <w:r>
        <w:rPr>
          <w:rtl w:val="true"/>
        </w:rPr>
        <w:t>العدالة</w:t>
      </w:r>
      <w:bookmarkEnd w:id="86"/>
    </w:p>
    <w:p>
      <w:pPr>
        <w:pStyle w:val="Heading4"/>
        <w:numPr>
          <w:ilvl w:val="3"/>
          <w:numId w:val="1"/>
        </w:numPr>
        <w:rPr/>
      </w:pPr>
      <w:bookmarkStart w:id="87" w:name="__RefHeading___Toc375239_1067777946"/>
      <w:bookmarkStart w:id="88" w:name="_Toc28"/>
      <w:bookmarkEnd w:id="87"/>
      <w:r>
        <w:rPr>
          <w:rtl w:val="true"/>
        </w:rPr>
        <w:t>إشارة</w:t>
      </w:r>
      <w:r>
        <w:rPr>
          <w:rtl w:val="true"/>
        </w:rPr>
        <w:t>:</w:t>
      </w:r>
      <w:bookmarkEnd w:id="88"/>
    </w:p>
    <w:p>
      <w:pPr>
        <w:pStyle w:val="BookText"/>
        <w:rPr/>
      </w:pPr>
      <w:r>
        <w:rPr>
          <w:rFonts w:ascii="Amiri" w:hAnsi="Amiri" w:eastAsia="Amiri" w:cs="Amiri"/>
          <w:color w:val="111111"/>
          <w:sz w:val="28"/>
          <w:sz w:val="28"/>
          <w:szCs w:val="28"/>
          <w:rtl w:val="true"/>
          <w:lang w:bidi="ar-SA"/>
        </w:rPr>
        <w:t>تحقيق أحمد العابدي</w:t>
      </w:r>
    </w:p>
    <w:p>
      <w:pPr>
        <w:pStyle w:val="BookText"/>
        <w:rPr/>
      </w:pPr>
      <w:r>
        <w:rPr>
          <w:rFonts w:ascii="Amiri" w:hAnsi="Amiri" w:eastAsia="Amiri" w:cs="Amiri"/>
          <w:color w:val="111111"/>
          <w:sz w:val="28"/>
          <w:sz w:val="28"/>
          <w:szCs w:val="28"/>
          <w:rtl w:val="true"/>
          <w:lang w:bidi="ar-SA"/>
        </w:rPr>
        <w:t>مراجعة</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أسعد الطيّب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العدالة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الاستواء</w:t>
      </w:r>
      <w:r>
        <w:rPr>
          <w:rStyle w:val="FootnoteAnchor"/>
          <w:rtl w:val="true"/>
        </w:rPr>
        <w:footnoteReference w:id="82"/>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عِدلُ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مُساءٍ له، 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عادَلْتُ بين كذا وكذا فاعْتَدَلا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الاصطلاح العملي هي تعديل القوى النفسانيّة وتقويم أفعالها، بحيث لا يَغْلِبُ بعضُها على بعض، ثمّ تعديل ما خرج من ذاته من العلامات</w:t>
      </w:r>
      <w:r>
        <w:rPr>
          <w:rStyle w:val="FootnoteAnchor"/>
          <w:rtl w:val="true"/>
        </w:rPr>
        <w:footnoteReference w:id="83"/>
      </w:r>
      <w:r>
        <w:rPr>
          <w:rFonts w:ascii="Amiri" w:hAnsi="Amiri" w:eastAsia="Amiri" w:cs="Amiri"/>
          <w:color w:val="111111"/>
          <w:sz w:val="28"/>
          <w:sz w:val="28"/>
          <w:szCs w:val="28"/>
          <w:rtl w:val="true"/>
          <w:lang w:bidi="ar-SA"/>
        </w:rPr>
        <w:t>والكرامات اقتناء للفضيلة لا لغرض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 أنّ للنفس الناطقة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قوّةً عاقلةً هي مبدأ الفكر والتمييز والشوق إلى النظر في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وقوّةً غضبيّةً هي مبدأ الغضب والجُرأةِ لدفع المضارّ والإقدام على الأهوال والشوق إلى التسلط على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وقوّةً شهويّةً هي مبدأ طلب الشهوة للمنافع من المآكِلِ والمشارب وباقي الملاذّ البدنيّة واللذَّاتِ الحسيّة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القوى الثلاث متباينةٌ جداً، فمتى غلبَتْ إحداها انْقَهَرتِ الباقيتان، وربما أبْطَلَ بعضُها فعلَ البعض</w:t>
      </w:r>
      <w:r>
        <w:rPr>
          <w:rFonts w:eastAsia="Amiri" w:cs="Amiri" w:ascii="Amiri" w:hAnsi="Amiri"/>
          <w:color w:val="111111"/>
          <w:sz w:val="28"/>
          <w:szCs w:val="28"/>
          <w:rtl w:val="true"/>
          <w:lang w:bidi="ar-SA"/>
        </w:rPr>
        <w:t xml:space="preserve">. </w:t>
      </w:r>
      <w:bookmarkStart w:id="89" w:name="pg10113_91916"/>
    </w:p>
    <w:p>
      <w:pPr>
        <w:pStyle w:val="BookText"/>
        <w:rPr/>
      </w:pPr>
      <w:bookmarkEnd w:id="89"/>
      <w:r>
        <w:rPr>
          <w:rFonts w:ascii="Amiri" w:hAnsi="Amiri" w:eastAsia="Amiri" w:cs="Amiri"/>
          <w:color w:val="111111"/>
          <w:sz w:val="28"/>
          <w:sz w:val="28"/>
          <w:szCs w:val="28"/>
          <w:rtl w:val="true"/>
          <w:lang w:bidi="ar-SA"/>
        </w:rPr>
        <w:t>والفضيلةُ للإنسان تَحْصُلُ بتعديل هذه القُوى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فالعاقلةُ تَحْصُلُ مِن تعديلها فضيلة العلم والحكمة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والغضبيّةُ تَحْصُلُ من تعديلها فضيلة الحِلْم والشجاعة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والشهويّةُ تَحْصُلُ من تعديلها فضيلةُ العِفّةِ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فالحكمه حينئذٍ مَلَكَةُ تَحْصُلُ للنفس عند اعتدال حركتها تحت سلطان العقل، بها يكون شوقها إلى المعارف الصحيحة تَصْدُرُ عنها الأفعال المتوسّطة بين أفعال الجزيزَةِ، التي هي استعمال الفكر فيما لا يجب، وهي طرف الإفراط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والغباوة، التي هي تعطيل قوة الفكر بالاختيار لا بالخلقة، وهي طرف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فضيلة القوّةِ السَبُعيّةِ الغضبيّةِ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مَلَكَةٌ تَحْصُلُ عند اعتدال هذه القوّة تحت تصرُّف العقل بها تَصْدُرُ الأفعال المتوسطة بين أفعال التهورِ الذي هو الإقدام على ما لا ينبغي الإقدام عليه لحصول أمارة الهلاك أو غير ذلك، وهو طرف الإفراط لهذه القوة؛ والجُبْنِ الذي هو الخوفُ ممّا لا ينبغي الخوف منه، وهو طرف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والعفّة مَلَكَةٌ تَصْدُرُ عن اعتدال حركة القوة الشهوية تحت تصرف العقل، بها تكون الأفعالُ المتوسطة بين أفعال الشَرَةِ، وهو الانهماك في اللّذات والخروج فيها إلى ما لا ينبغي، وهو طرف الإفراط ؛ والخُمُودِ الذي هو سكون النفس عن اللّذة الجميلة التي يحتاج إليها لمصالح البدن ممّا رَخَّصَتْ فيه الشريعةُ</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375241_1067777946"/>
      <w:bookmarkStart w:id="91" w:name="_Toc29"/>
      <w:bookmarkEnd w:id="90"/>
      <w:r>
        <w:rPr>
          <w:rtl w:val="true"/>
        </w:rPr>
        <w:t>تعریف العدالة</w:t>
      </w:r>
      <w:bookmarkEnd w:id="9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حَصَلَتْ هذه الفضائلُ الثلاث وتَسالَمَتْ باعتدال القوى الثلاثِ، حَدَثَتْ منها مَلَكَةُ رابعة هي تمامُ الفضائلِ الخُلُقية، وهي المعبر عنها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مَلَكةٌ نفسانيّةٌ تَصْدُرُ عنها المساواة في الأمور الواقعة من صاحبها</w:t>
      </w:r>
      <w:r>
        <w:rPr>
          <w:rFonts w:eastAsia="Amiri" w:cs="Amiri" w:ascii="Amiri" w:hAnsi="Amiri"/>
          <w:color w:val="111111"/>
          <w:sz w:val="28"/>
          <w:szCs w:val="28"/>
          <w:rtl w:val="true"/>
          <w:lang w:bidi="ar-SA"/>
        </w:rPr>
        <w:t xml:space="preserve">». </w:t>
      </w:r>
      <w:bookmarkStart w:id="92" w:name="pg10113_91917"/>
    </w:p>
    <w:p>
      <w:pPr>
        <w:pStyle w:val="BookText"/>
        <w:rPr/>
      </w:pPr>
      <w:bookmarkEnd w:id="92"/>
      <w:r>
        <w:rPr>
          <w:rFonts w:ascii="Amiri" w:hAnsi="Amiri" w:eastAsia="Amiri" w:cs="Amiri"/>
          <w:color w:val="111111"/>
          <w:sz w:val="28"/>
          <w:sz w:val="28"/>
          <w:szCs w:val="28"/>
          <w:rtl w:val="true"/>
          <w:lang w:bidi="ar-SA"/>
        </w:rPr>
        <w:t>و تحت كلّ واحدة من هذه الفضائل فضائل أُخرى، وكلُّها داخلة تحت العدالة كما قُرِّر في محلّه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 دائرة الكمال وجماعُ أمر الفضائل</w:t>
      </w:r>
      <w:r>
        <w:rPr>
          <w:rStyle w:val="FootnoteAnchor"/>
          <w:rtl w:val="true"/>
        </w:rPr>
        <w:footnoteReference w:id="8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قامت 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الخبر</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مفهومُها شرعاً الذي هو المقصود بالذات فالمشهور بين الفقهاء في تعريفها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ملكةٌ نفسانيةٌ تبعثُ على ملازمة التقوى والمروءة</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واحترزوا بالملكة عن الحال المنتقلة بسرعةٍ كحُمْرة الخَجِلِ وصُفْرة الوَجِل، بمعنى أن الاتّصاف بالوصف المذكور لا بد أن يصير من الملكات الراسخة بحيث يَعْسُرُ زوالها، و تَصِيرُ كالطبيعة المستقِرَّة غالباً</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375243_1067777946"/>
      <w:bookmarkStart w:id="94" w:name="_Toc30"/>
      <w:bookmarkEnd w:id="93"/>
      <w:r>
        <w:rPr>
          <w:rtl w:val="true"/>
        </w:rPr>
        <w:t>تعریف التقوی</w:t>
      </w:r>
      <w:bookmarkEnd w:id="94"/>
    </w:p>
    <w:p>
      <w:pPr>
        <w:pStyle w:val="BookText"/>
        <w:rPr/>
      </w:pPr>
      <w:r>
        <w:rPr>
          <w:rFonts w:ascii="Amiri" w:hAnsi="Amiri" w:eastAsia="Amiri" w:cs="Amiri"/>
          <w:color w:val="111111"/>
          <w:sz w:val="28"/>
          <w:sz w:val="28"/>
          <w:szCs w:val="28"/>
          <w:rtl w:val="true"/>
          <w:lang w:bidi="ar-SA"/>
        </w:rPr>
        <w:t>وأمّا التقوى فقد اخْتَلَفَ فيها كلام الأصحاب</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اجتناب الكبائر والصغائر من المكلّف الكامِل العقل</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اختيارُ جَماعة </w:t>
      </w:r>
    </w:p>
    <w:p>
      <w:pPr>
        <w:pStyle w:val="BookText"/>
        <w:rPr/>
      </w:pPr>
      <w:r>
        <w:rPr>
          <w:rFonts w:ascii="Amiri" w:hAnsi="Amiri" w:eastAsia="Amiri" w:cs="Amiri"/>
          <w:color w:val="111111"/>
          <w:sz w:val="28"/>
          <w:sz w:val="28"/>
          <w:szCs w:val="28"/>
          <w:rtl w:val="true"/>
          <w:lang w:bidi="ar-SA"/>
        </w:rPr>
        <w:t>من أجلاتنا كالمفيد</w:t>
      </w:r>
      <w:r>
        <w:rPr>
          <w:rStyle w:val="FootnoteAnchor"/>
          <w:rtl w:val="true"/>
        </w:rPr>
        <w:footnoteReference w:id="89"/>
      </w:r>
      <w:r>
        <w:rPr>
          <w:rFonts w:ascii="Amiri" w:hAnsi="Amiri" w:eastAsia="Amiri" w:cs="Amiri"/>
          <w:color w:val="111111"/>
          <w:sz w:val="28"/>
          <w:sz w:val="28"/>
          <w:szCs w:val="28"/>
          <w:rtl w:val="true"/>
          <w:lang w:bidi="ar-SA"/>
        </w:rPr>
        <w:t>، وأبي الصلاح</w:t>
      </w:r>
      <w:r>
        <w:rPr>
          <w:rStyle w:val="FootnoteAnchor"/>
          <w:rtl w:val="true"/>
        </w:rPr>
        <w:footnoteReference w:id="90"/>
      </w:r>
      <w:r>
        <w:rPr>
          <w:rFonts w:ascii="IRNazanin" w:hAnsi="IRNazanin" w:eastAsia="IRNazanin"/>
          <w:color w:val="111111"/>
          <w:sz w:val="28"/>
          <w:sz w:val="28"/>
          <w:szCs w:val="28"/>
          <w:rtl w:val="true"/>
          <w:lang w:bidi="fa-IR"/>
        </w:rPr>
        <w:t>، وابن البراج</w:t>
      </w:r>
      <w:r>
        <w:rPr>
          <w:rStyle w:val="FootnoteAnchor"/>
          <w:rtl w:val="true"/>
        </w:rPr>
        <w:footnoteReference w:id="91"/>
      </w:r>
      <w:r>
        <w:rPr>
          <w:rFonts w:ascii="Amiri" w:hAnsi="Amiri" w:eastAsia="Amiri" w:cs="Amiri"/>
          <w:color w:val="111111"/>
          <w:sz w:val="28"/>
          <w:sz w:val="28"/>
          <w:szCs w:val="28"/>
          <w:rtl w:val="true"/>
          <w:lang w:bidi="ar-SA"/>
        </w:rPr>
        <w:t>، وابن إدريس</w:t>
      </w:r>
      <w:r>
        <w:rPr>
          <w:rStyle w:val="FootnoteAnchor"/>
          <w:rtl w:val="true"/>
        </w:rPr>
        <w:footnoteReference w:id="92"/>
      </w:r>
      <w:r>
        <w:rPr>
          <w:rFonts w:ascii="Amiri" w:hAnsi="Amiri" w:eastAsia="Amiri" w:cs="Amiri"/>
          <w:color w:val="111111"/>
          <w:sz w:val="28"/>
          <w:sz w:val="28"/>
          <w:szCs w:val="28"/>
          <w:rtl w:val="true"/>
          <w:lang w:bidi="ar-SA"/>
        </w:rPr>
        <w:t>، وأبي الفضل الطبرسي، حاكياً ذلك عن أصحابنا من غير تفصيل</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اجتناب الكبائر كُلّها وعدم الإصرار على الصغائر أو عدم كونها أغلب</w:t>
      </w:r>
      <w:r>
        <w:rPr>
          <w:rStyle w:val="FootnoteAnchor"/>
          <w:rtl w:val="true"/>
        </w:rPr>
        <w:footnoteReference w:id="94"/>
      </w:r>
      <w:r>
        <w:rPr>
          <w:rFonts w:ascii="Amiri" w:hAnsi="Amiri" w:eastAsia="Amiri" w:cs="Amiri"/>
          <w:color w:val="111111"/>
          <w:sz w:val="28"/>
          <w:sz w:val="28"/>
          <w:szCs w:val="28"/>
          <w:rtl w:val="true"/>
          <w:lang w:bidi="ar-SA"/>
        </w:rPr>
        <w:t>، فلا تَقْدَحُ الصغيرة النادرة، ويَلْحَقُ به ما يَؤُول إليه بالعَرَض وإن غايَرَه بالأصل كتركِ المندوبات المؤدّي إلى التهاوُنِ بالسُنَن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المشهور خصوصاً بين المتأخّرين وتحقيقه يتوقّف على بيان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فيها أقوال الأصحاب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معصيةٍ توجِبُ الحَدَّ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توجِبُه في جنسها</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تُوُعَدَ عليه بخصوصه في الكتاب أو السنّة</w:t>
      </w:r>
      <w:r>
        <w:rPr>
          <w:rStyle w:val="FootnoteAnchor"/>
          <w:rtl w:val="true"/>
        </w:rPr>
        <w:footnoteReference w:id="97"/>
      </w:r>
      <w:r>
        <w:rPr>
          <w:rFonts w:ascii="Amiri" w:hAnsi="Amiri" w:eastAsia="Amiri" w:cs="Amiri"/>
          <w:color w:val="111111"/>
          <w:sz w:val="28"/>
          <w:sz w:val="28"/>
          <w:szCs w:val="28"/>
          <w:rtl w:val="true"/>
          <w:lang w:bidi="ar-SA"/>
        </w:rPr>
        <w:t xml:space="preserve">، كالشرك باللّه، والقَتْلِ بغير حقِّ، والزنى، واللواط والفِرارِ مِن الزَحْفِ والسِحْرِ، والربا، وأكل مال اليتيم، وقَذْفِ </w:t>
      </w:r>
    </w:p>
    <w:p>
      <w:pPr>
        <w:pStyle w:val="BookText"/>
        <w:rPr/>
      </w:pPr>
      <w:r>
        <w:rPr>
          <w:rFonts w:ascii="Amiri" w:hAnsi="Amiri" w:eastAsia="Amiri" w:cs="Amiri"/>
          <w:color w:val="111111"/>
          <w:sz w:val="28"/>
          <w:sz w:val="28"/>
          <w:szCs w:val="28"/>
          <w:rtl w:val="true"/>
          <w:lang w:bidi="ar-SA"/>
        </w:rPr>
        <w:t>المُحْصَنات، والغِيبة بغير حق، واليمين الغَموسِ</w:t>
      </w:r>
      <w:r>
        <w:rPr>
          <w:rStyle w:val="FootnoteAnchor"/>
          <w:rtl w:val="true"/>
        </w:rPr>
        <w:footnoteReference w:id="98"/>
      </w:r>
      <w:r>
        <w:rPr>
          <w:rFonts w:ascii="Amiri" w:hAnsi="Amiri" w:eastAsia="Amiri" w:cs="Amiri"/>
          <w:color w:val="111111"/>
          <w:sz w:val="28"/>
          <w:sz w:val="28"/>
          <w:szCs w:val="28"/>
          <w:rtl w:val="true"/>
          <w:lang w:bidi="ar-SA"/>
        </w:rPr>
        <w:t>، وشهادة الزور، وشُرب الخمرِ، والسرقة، والغَصْبِ واليأسِ مِنْ رَوْح اللّه، والأمْنِ مِنْ مَكْر اللّه، وعُقوق الوالدين، وقطيعة الرّحِمِ، وخيانة الكَيْل والميزان، ومَنْعِ الزكاة، وغير ذلك ممّا وَقَعَ عليه الوعيد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أنّها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 وقتلُ النفس التي حَرَّمَ اللّه، وقَذْفُ المُحْصَنَةِ، وأكلُ مال اليتيم، والربا، والفِرارُ مِن الزَّحْفِ، وعقوقس الوالدين</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 على بيان المحتاج إليه فيها وقتَ ذكره؛ لقول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إلى سبعين أقرب</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وروي عنه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إلى سبعمائة أقرب منها إلى سبعة</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جماعةٌ مِن أصحابنا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الذنوب كُلُّها كبائر، وإنّما صِغَرُ الذَنْبِ وكبَرهُ بالإضافة إلى ما فوقه وما تحته، فأكبرُ الكبائر الشرك باللّه، وأصغره حديث النفس، وبينهما وسائط يَصْدُقُ عليها الأمران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فالقبلة بالنسبة إلى الزنى صغيرة وإلى النظر كبيرة، وكذا سرقة درهم صغير بالنسبة إلى الدينار وكبير بالنسبة إلى الدائق، وهكذا</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التهذيب وغيره بالإسناد عن ابن أبي يَعْفُورٍ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تُعْرَفُ عَدالة الرجل بين المسلمين حتّى تُقْبَلَ شهادته لهم وعليهم ؟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تَعْرِفُوه بالسَتْرِ والعفاف والكفّ عن البَطْنِ والفَرْج واليد واللسان، ويُعْرَفُ باجتناب الكبائر التي أوْعَدَ اللّه عليها النارَ مِنْ شُرب الخمر، والزنى والربا، وعقوق </w:t>
      </w:r>
    </w:p>
    <w:p>
      <w:pPr>
        <w:pStyle w:val="BookText"/>
        <w:rPr/>
      </w:pPr>
      <w:r>
        <w:rPr>
          <w:rFonts w:ascii="Amiri" w:hAnsi="Amiri" w:eastAsia="Amiri" w:cs="Amiri"/>
          <w:color w:val="111111"/>
          <w:sz w:val="28"/>
          <w:sz w:val="28"/>
          <w:szCs w:val="28"/>
          <w:rtl w:val="true"/>
          <w:lang w:bidi="ar-SA"/>
        </w:rPr>
        <w:t>الوالدين، والفرار من الزَحْفِ،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والدالّ على ذلك كلّه والساترُ لجميع عيوبه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يَحْرُمَ على المسلمين تفتيشُ ما وراء ذلك مِن عَثراتِهِ وغيبته، ويجب عليهم تولّيه وإظهار عدالته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التعاهد للصلوات الخمس إذا واظب عليهن وحافظ مواقيتهنَّ بإحضار جَماعةِ المسلمين، وأن لا يتخلَّفَ عن جَماعتهم في مُصَلاهم إِلَّا مِنْ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الصلاة سَتْرُ وكفّارة للذنوب، ولولا ذلك لم يكن لأحدٍ أنْ يَشْهَدَ على أحدٍ بالصلاح؛ لأنّ مَنْ لم يُصَلِّ فلا صَلاحَ له بين المسلمين، لأن الحكم جرى فيه من اللّه ومِن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بالحَرْقِ في جوف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لمن لا يُصلّي في المسجد مع المسلمين إلّا مِن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غِيبةَ لَمَنْ يُصَلِّي في بيته ورَغِبَ عن جَمَاعَتنا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رَغِبَ عن جماعة المسلمين وجب على المسلمين غِيبَتُه وسَقَطَ بينهم عدالته وَوَجَبَ هِجرانه، وإذا رُفِعَ إلى إمام المسلمين أنْذَرَه وحَذَرَه، فإِنْ حَضَرَ جَمَاعَةَ المسلمين وإلّا أحْرَقَ عليه بَيْتَه ومَنْ حَضَرَ جَمَاعَتهم حَرُمَ عليهم غِيبَتُه وتَنْبُتُ عَدالته بينهم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الحديث يَخْرُجُ شاهداً على القول الثالث وإن كان القول بظاهره أعم باعتبار استناد التوحد فيه إلى اللّه ورسوله واختصاص الحديث بوعيد اللّه؛ فإنّ مآلهما واحد، فإنّ ما قاله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إلى اللّه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xml:space="preserve">وقد رُوِيَ ما يَدُلُّ عليه </w:t>
      </w:r>
      <w:r>
        <w:rPr>
          <w:rStyle w:val="FootnoteAnchor"/>
          <w:rtl w:val="true"/>
        </w:rPr>
        <w:footnoteReference w:id="105"/>
      </w:r>
      <w:r>
        <w:rPr>
          <w:rFonts w:ascii="Amiri" w:hAnsi="Amiri" w:eastAsia="Amiri" w:cs="Amiri"/>
          <w:color w:val="111111"/>
          <w:sz w:val="28"/>
          <w:sz w:val="28"/>
          <w:szCs w:val="28"/>
          <w:rtl w:val="true"/>
          <w:lang w:bidi="ar-SA"/>
        </w:rPr>
        <w:t xml:space="preserve">وعلى 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تقدير الفرق بين الصغائر والكبائر فلا تَقْدَحُ الصغيرة إلّا مع الإصرار عليها</w:t>
      </w:r>
      <w:r>
        <w:rPr>
          <w:rFonts w:eastAsia="Amiri" w:cs="Amiri" w:ascii="Amiri" w:hAnsi="Amiri"/>
          <w:color w:val="111111"/>
          <w:sz w:val="28"/>
          <w:szCs w:val="28"/>
          <w:rtl w:val="true"/>
          <w:lang w:bidi="ar-SA"/>
        </w:rPr>
        <w:t xml:space="preserve">. </w:t>
      </w:r>
      <w:bookmarkStart w:id="95" w:name="pg10113_91921"/>
    </w:p>
    <w:p>
      <w:pPr>
        <w:pStyle w:val="BookText"/>
        <w:rPr/>
      </w:pPr>
      <w:bookmarkEnd w:id="95"/>
      <w:r>
        <w:rPr>
          <w:rFonts w:ascii="Amiri" w:hAnsi="Amiri" w:eastAsia="Amiri" w:cs="Amiri"/>
          <w:color w:val="111111"/>
          <w:sz w:val="28"/>
          <w:sz w:val="28"/>
          <w:szCs w:val="28"/>
          <w:rtl w:val="true"/>
          <w:lang w:bidi="ar-SA"/>
        </w:rPr>
        <w:t xml:space="preserve">كما يَزول أثر الكبيرة مع التوبة عنها، وهو معنى ما ورد في الحديث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صغيرة مع الإصرار ولا كبيرة مع الاستغفار</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فإنّ الإصرار على الصغيرة يُلْحِقُها بالكبائر، والاستغفار من الكبيرة على وجهه يُسْقِطها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جارٍ على عمومه، والثاني بذنوبٍ مقيَّد مخصوصةٍ؛ فإنّ الاستغفار لا يُسْقِط كلّ كبيرةٍ، بل قد يحتاج معه إلى أمر آخر كحدِّ القَذفِ ورَدُّ المالِ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بالإصرار على الصغيرة العَزْمُ على فعلها بعد الفراغ منها، أو على معاودتها قبله ولو من نوعٍ آخر</w:t>
      </w:r>
      <w:r>
        <w:rPr>
          <w:rStyle w:val="FootnoteAnchor"/>
          <w:rtl w:val="true"/>
        </w:rPr>
        <w:footnoteReference w:id="108"/>
      </w:r>
      <w:r>
        <w:rPr>
          <w:rFonts w:ascii="Amiri" w:hAnsi="Amiri" w:eastAsia="Amiri" w:cs="Amiri"/>
          <w:color w:val="111111"/>
          <w:sz w:val="28"/>
          <w:sz w:val="28"/>
          <w:szCs w:val="28"/>
          <w:rtl w:val="true"/>
          <w:lang w:bidi="ar-SA"/>
        </w:rPr>
        <w:t>، ومنه المداومة على نوعٍ واحدٍ من الصغائر بلا توبة، والإكثار من جنس الصغائر بلاتوبةٍ</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فَعَلَ الصغيرة ولم يَخْطُرْ بباله بعدها توبةٌ، ولا عَزَمَ على فعلها ولا أكثر منها، ثم عاد إليها فليس بِمُصِرٍّ، ولعلّه ممّا يُكَفِّره الأعمال الصالحة من الصلاة والصيام كما جاء في الأخبار</w:t>
      </w:r>
      <w:r>
        <w:rPr>
          <w:rStyle w:val="FootnoteAnchor"/>
          <w:rtl w:val="true"/>
        </w:rPr>
        <w:footnoteReference w:id="110"/>
      </w:r>
      <w:r>
        <w:rPr>
          <w:rFonts w:ascii="Amiri" w:hAnsi="Amiri" w:eastAsia="Amiri" w:cs="Amiri"/>
          <w:color w:val="111111"/>
          <w:sz w:val="28"/>
          <w:sz w:val="28"/>
          <w:szCs w:val="28"/>
          <w:rtl w:val="true"/>
          <w:lang w:bidi="ar-SA"/>
        </w:rPr>
        <w:t>ويظهر من الآية</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 w:name="__RefHeading___Toc375245_1067777946"/>
      <w:bookmarkStart w:id="97" w:name="_Toc31"/>
      <w:bookmarkEnd w:id="96"/>
      <w:r>
        <w:rPr>
          <w:rtl w:val="true"/>
        </w:rPr>
        <w:t>تعریف المروءة</w:t>
      </w:r>
      <w:bookmarkEnd w:id="9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المروءة فالمراد بها تنزيه النفس عن الدناءة التي لا تَليقُ بأمثاله، ويُسْتَهْجَنُ ممّن هو على مثل حاله، وَيَحْصُلُ ذلك بالتزام محاسنِ العادات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الزمان والمكان والرتبة، فربما كان الشيء مطلوباً في وقتٍ مرغوباً عنه في آخَرَ، ومنها ملاحظة الحال في اللبس والهيئة، ومن هنا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يَقْدَحُ فيها لُبْسُ الفقيهِ أُهْبَة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الجندي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الرذائل المباحة كالبول والأكل في الأسواق وكثرة الضحك والسخرية والإفراط في المِزاح، وكشف الرأس بين الناس وهم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Style w:val="FootnoteAnchor"/>
          <w:rtl w:val="true"/>
        </w:rPr>
        <w:footnoteReference w:id="114"/>
      </w:r>
      <w:r>
        <w:rPr>
          <w:rFonts w:ascii="Amiri" w:hAnsi="Amiri" w:eastAsia="Amiri" w:cs="Amiri"/>
          <w:color w:val="111111"/>
          <w:sz w:val="28"/>
          <w:sz w:val="28"/>
          <w:szCs w:val="28"/>
          <w:rtl w:val="true"/>
          <w:lang w:bidi="ar-SA"/>
        </w:rPr>
        <w:t xml:space="preserve">، وكشفِ العَوْرة التي يَتَأكَّد استحبابُ سَتْرِها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الصلاة</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وهو ما بَينَ السُرَّة والرَّكْبَة كذلك، ونظائر ذلك ممّا يُسقط المحل والعِزَّةَ مِن القلوب، ويدلُّ على عدم الحياء وقِلَّةِ المبالاة بالاستنقاص وهو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التزام محاسن العاداتِ إنّما هو في المباحات وما ناسَبَها، أمّا ما وَرَدَ الشرعُ برجحانِهِ واستحبابه فلا يَقْدَحُ ارتكابه، وإنْ هَجَرَه العامّة وَاسْتَهْجَنَهُ المُعْظَمُ كالاكتحال بالإثْمِدِ </w:t>
      </w:r>
      <w:r>
        <w:rPr>
          <w:rStyle w:val="FootnoteAnchor"/>
          <w:rtl w:val="true"/>
        </w:rPr>
        <w:footnoteReference w:id="116"/>
      </w:r>
      <w:r>
        <w:rPr>
          <w:rFonts w:ascii="Amiri" w:hAnsi="Amiri" w:eastAsia="Amiri" w:cs="Amiri"/>
          <w:color w:val="111111"/>
          <w:sz w:val="28"/>
          <w:sz w:val="28"/>
          <w:szCs w:val="28"/>
          <w:rtl w:val="true"/>
          <w:lang w:bidi="ar-SA"/>
        </w:rPr>
        <w:t xml:space="preserve">والحَنَكِ </w:t>
      </w:r>
      <w:r>
        <w:rPr>
          <w:rStyle w:val="FootnoteAnchor"/>
          <w:rtl w:val="true"/>
        </w:rPr>
        <w:footnoteReference w:id="117"/>
      </w:r>
      <w:r>
        <w:rPr>
          <w:rFonts w:ascii="Amiri" w:hAnsi="Amiri" w:eastAsia="Amiri" w:cs="Amiri"/>
          <w:color w:val="111111"/>
          <w:sz w:val="28"/>
          <w:sz w:val="28"/>
          <w:szCs w:val="28"/>
          <w:rtl w:val="true"/>
          <w:lang w:bidi="ar-SA"/>
        </w:rPr>
        <w:t xml:space="preserve">والحنّاء </w:t>
      </w:r>
      <w:r>
        <w:rPr>
          <w:rStyle w:val="FootnoteAnchor"/>
          <w:rtl w:val="true"/>
        </w:rPr>
        <w:footnoteReference w:id="118"/>
      </w:r>
      <w:r>
        <w:rPr>
          <w:rFonts w:ascii="Amiri" w:hAnsi="Amiri" w:eastAsia="Amiri" w:cs="Amiri"/>
          <w:color w:val="111111"/>
          <w:sz w:val="28"/>
          <w:sz w:val="28"/>
          <w:szCs w:val="28"/>
          <w:rtl w:val="true"/>
          <w:lang w:bidi="ar-SA"/>
        </w:rPr>
        <w:t>في بعض البلاد؛ لأنّ الشرع في وروده أصل للعادة لا فرع عليها، وإنّما يُرْجَعُ إليها مع عدم دَلالته على شيءٍ بخصوصه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خلا قيد المروءة من عبارات بعض الأصحاب</w:t>
      </w:r>
      <w:r>
        <w:rPr>
          <w:rStyle w:val="FootnoteAnchor"/>
          <w:rtl w:val="true"/>
        </w:rPr>
        <w:footnoteReference w:id="119"/>
      </w:r>
      <w:r>
        <w:rPr>
          <w:rFonts w:ascii="Amiri" w:hAnsi="Amiri" w:eastAsia="Amiri" w:cs="Amiri"/>
          <w:color w:val="111111"/>
          <w:sz w:val="28"/>
          <w:sz w:val="28"/>
          <w:szCs w:val="28"/>
          <w:rtl w:val="true"/>
          <w:lang w:bidi="ar-SA"/>
        </w:rPr>
        <w:t>، وليس في الأدلّة الشرعيّة ما يُدْخِلُها صريحاً، ولا ريب أن اعتبارها مع كونه هو المشهور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bookmarkStart w:id="98" w:name="pg10113_91923"/>
    </w:p>
    <w:p>
      <w:pPr>
        <w:pStyle w:val="Heading2"/>
        <w:numPr>
          <w:ilvl w:val="1"/>
          <w:numId w:val="1"/>
        </w:numPr>
        <w:rPr/>
      </w:pPr>
      <w:bookmarkStart w:id="99" w:name="__RefHeading___Toc375247_1067777946"/>
      <w:bookmarkStart w:id="100" w:name="_Toc32"/>
      <w:bookmarkEnd w:id="98"/>
      <w:bookmarkEnd w:id="99"/>
      <w:r>
        <w:rPr>
          <w:rtl w:val="true"/>
        </w:rPr>
        <w:t>القسم الثاني</w:t>
      </w:r>
      <w:r>
        <w:rPr>
          <w:rtl w:val="true"/>
        </w:rPr>
        <w:t xml:space="preserve">: </w:t>
      </w:r>
      <w:r>
        <w:rPr>
          <w:rtl w:val="true"/>
        </w:rPr>
        <w:t>الطهارة</w:t>
      </w:r>
      <w:bookmarkEnd w:id="100"/>
    </w:p>
    <w:p>
      <w:pPr>
        <w:pStyle w:val="Heading3"/>
        <w:numPr>
          <w:ilvl w:val="2"/>
          <w:numId w:val="1"/>
        </w:numPr>
        <w:rPr/>
      </w:pPr>
      <w:bookmarkStart w:id="101" w:name="__RefHeading___Toc375249_1067777946"/>
      <w:bookmarkStart w:id="102" w:name="_Toc33"/>
      <w:bookmarkEnd w:id="101"/>
      <w:r>
        <w:rPr>
          <w:rtl w:val="true"/>
        </w:rPr>
        <w:t>إشارة</w:t>
      </w:r>
      <w:r>
        <w:rPr>
          <w:rtl w:val="true"/>
        </w:rPr>
        <w:t>:</w:t>
      </w:r>
      <w:bookmarkEnd w:id="102"/>
    </w:p>
    <w:p>
      <w:pPr>
        <w:pStyle w:val="BookText"/>
        <w:rPr/>
      </w:pPr>
      <w:r>
        <w:rPr>
          <w:rFonts w:ascii="Amiri" w:hAnsi="Amiri" w:eastAsia="Amiri" w:cs="Amiri"/>
          <w:color w:val="111111"/>
          <w:sz w:val="28"/>
          <w:sz w:val="28"/>
          <w:szCs w:val="28"/>
          <w:rtl w:val="true"/>
          <w:lang w:bidi="ar-SA"/>
        </w:rPr>
        <w:t>ويَضُمُّ ثلاث رسائل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البئر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تيقُنُ الطهارة والحدث والشكُّ في السابق منهما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الأصغر أثناء غُسل الجنابة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10113_91925"/>
      <w:bookmarkStart w:id="104" w:name="pg10113_91925"/>
      <w:bookmarkEnd w:id="104"/>
    </w:p>
    <w:p>
      <w:pPr>
        <w:pStyle w:val="Heading3"/>
        <w:numPr>
          <w:ilvl w:val="2"/>
          <w:numId w:val="1"/>
        </w:numPr>
        <w:rPr/>
      </w:pPr>
      <w:bookmarkStart w:id="105" w:name="pg10113_91925"/>
      <w:bookmarkStart w:id="106" w:name="__RefHeading___Toc375251_1067777946"/>
      <w:bookmarkStart w:id="107" w:name="_Toc34"/>
      <w:bookmarkEnd w:id="105"/>
      <w:bookmarkEnd w:id="106"/>
      <w:r>
        <w:rPr/>
        <w:t>10</w:t>
      </w:r>
      <w:r>
        <w:rPr>
          <w:rtl w:val="true"/>
        </w:rPr>
        <w:t xml:space="preserve">. </w:t>
      </w:r>
      <w:r>
        <w:rPr>
          <w:rtl w:val="true"/>
        </w:rPr>
        <w:t>ماء البئر</w:t>
      </w:r>
      <w:bookmarkEnd w:id="107"/>
    </w:p>
    <w:p>
      <w:pPr>
        <w:pStyle w:val="Heading4"/>
        <w:numPr>
          <w:ilvl w:val="3"/>
          <w:numId w:val="1"/>
        </w:numPr>
        <w:rPr/>
      </w:pPr>
      <w:bookmarkStart w:id="108" w:name="__RefHeading___Toc375253_1067777946"/>
      <w:bookmarkStart w:id="109" w:name="_Toc35"/>
      <w:bookmarkEnd w:id="108"/>
      <w:r>
        <w:rPr>
          <w:rtl w:val="true"/>
        </w:rPr>
        <w:t>إشارة</w:t>
      </w:r>
      <w:r>
        <w:rPr>
          <w:rtl w:val="true"/>
        </w:rPr>
        <w:t>:</w:t>
      </w:r>
      <w:bookmarkEnd w:id="109"/>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 xml:space="preserve">رضا المختاري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غلامرضا النقيّ</w:t>
      </w:r>
    </w:p>
    <w:p>
      <w:pPr>
        <w:pStyle w:val="BookText"/>
        <w:rPr/>
      </w:pPr>
      <w:r>
        <w:rPr>
          <w:rFonts w:ascii="Amiri" w:hAnsi="Amiri" w:eastAsia="Amiri" w:cs="Amiri"/>
          <w:color w:val="111111"/>
          <w:sz w:val="28"/>
          <w:sz w:val="28"/>
          <w:szCs w:val="28"/>
          <w:rtl w:val="true"/>
          <w:lang w:bidi="ar-SA"/>
        </w:rPr>
        <w:t>مراجعة</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لطيف فرادي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10113_91927"/>
      <w:bookmarkStart w:id="111" w:name="pg10113_91927"/>
      <w:bookmarkEnd w:id="111"/>
    </w:p>
    <w:p>
      <w:pPr>
        <w:pStyle w:val="BookText"/>
        <w:rPr/>
      </w:pPr>
      <w:bookmarkStart w:id="112" w:name="pg10113_91927"/>
      <w:bookmarkEnd w:id="112"/>
      <w:r>
        <w:rPr>
          <w:rFonts w:ascii="Amiri" w:hAnsi="Amiri" w:eastAsia="Amiri" w:cs="Amiri"/>
          <w:color w:val="111111"/>
          <w:sz w:val="28"/>
          <w:sz w:val="28"/>
          <w:szCs w:val="28"/>
          <w:rtl w:val="true"/>
          <w:lang w:bidi="ar-SA"/>
        </w:rPr>
        <w:t>بسم اللّه الرحمن الرحيم وبه نستعين</w:t>
      </w:r>
    </w:p>
    <w:p>
      <w:pPr>
        <w:pStyle w:val="BookText"/>
        <w:rPr/>
      </w:pPr>
      <w:r>
        <w:rPr>
          <w:rFonts w:ascii="Amiri" w:hAnsi="Amiri" w:eastAsia="Amiri" w:cs="Amiri"/>
          <w:color w:val="111111"/>
          <w:sz w:val="28"/>
          <w:sz w:val="28"/>
          <w:szCs w:val="28"/>
          <w:rtl w:val="true"/>
          <w:lang w:bidi="ar-SA"/>
        </w:rPr>
        <w:t>الحمد للّه رب العالمين، وصلاته على سيدنا محمّد وآله الطاهرين</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375255_1067777946"/>
      <w:bookmarkStart w:id="114" w:name="_Toc36"/>
      <w:bookmarkEnd w:id="113"/>
      <w:r>
        <w:rPr>
          <w:rtl w:val="true"/>
        </w:rPr>
        <w:t>اختلاف أصحابنا في نجاسة البئر بمجرّد الملاقاة</w:t>
      </w:r>
      <w:bookmarkEnd w:id="11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نَجاسةِ البئرِ بمجرّد ملاقاة النَجاسةِ له كالقليل وعدمها على أقوال أشهرها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ادّعى عليه جماعة الإجماع، منهم السيّد أبو المكارم حمزة بن زُهْرَةَ في كتابه غنية النزوع</w:t>
      </w:r>
      <w:r>
        <w:rPr>
          <w:rStyle w:val="FootnoteAnchor"/>
          <w:rtl w:val="true"/>
        </w:rPr>
        <w:footnoteReference w:id="120"/>
      </w:r>
      <w:r>
        <w:rPr>
          <w:rFonts w:ascii="Amiri" w:hAnsi="Amiri" w:eastAsia="Amiri" w:cs="Amiri"/>
          <w:color w:val="111111"/>
          <w:sz w:val="28"/>
          <w:sz w:val="28"/>
          <w:szCs w:val="28"/>
          <w:rtl w:val="true"/>
          <w:lang w:bidi="ar-SA"/>
        </w:rPr>
        <w:t>، ومال إليه الشهيد في شرح الإرشاد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 أن يكون إجماعاً ولعلّه الحجّةُ</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آخرون منهم ابن أبي عقيل </w:t>
      </w:r>
      <w:r>
        <w:rPr>
          <w:rStyle w:val="FootnoteAnchor"/>
          <w:rtl w:val="true"/>
        </w:rPr>
        <w:footnoteReference w:id="122"/>
      </w:r>
      <w:r>
        <w:rPr>
          <w:rFonts w:ascii="Amiri" w:hAnsi="Amiri" w:eastAsia="Amiri" w:cs="Amiri"/>
          <w:color w:val="111111"/>
          <w:sz w:val="28"/>
          <w:sz w:val="28"/>
          <w:szCs w:val="28"/>
          <w:rtl w:val="true"/>
          <w:lang w:bidi="ar-SA"/>
        </w:rPr>
        <w:t>من المتقدّمين، والشيخ جمال الدين بن المطهر من المتأخّرين إلى عدم انفعاله</w:t>
      </w:r>
      <w:r>
        <w:rPr>
          <w:rStyle w:val="FootnoteAnchor"/>
          <w:rtl w:val="true"/>
        </w:rPr>
        <w:footnoteReference w:id="123"/>
      </w:r>
      <w:r>
        <w:rPr>
          <w:rFonts w:ascii="Amiri" w:hAnsi="Amiri" w:eastAsia="Amiri" w:cs="Amiri"/>
          <w:color w:val="111111"/>
          <w:sz w:val="28"/>
          <w:sz w:val="28"/>
          <w:szCs w:val="28"/>
          <w:rtl w:val="true"/>
          <w:lang w:bidi="ar-SA"/>
        </w:rPr>
        <w:t>بدون التغير كالكثير أو كالجاري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والقولان للشيخ، أوّلهما هو المشهور من مذهبه</w:t>
      </w:r>
      <w:r>
        <w:rPr>
          <w:rStyle w:val="FootnoteAnchor"/>
          <w:rtl w:val="true"/>
        </w:rPr>
        <w:footnoteReference w:id="124"/>
      </w:r>
      <w:r>
        <w:rPr>
          <w:rFonts w:ascii="Amiri" w:hAnsi="Amiri" w:eastAsia="Amiri" w:cs="Amiri"/>
          <w:color w:val="111111"/>
          <w:sz w:val="28"/>
          <w:sz w:val="28"/>
          <w:szCs w:val="28"/>
          <w:rtl w:val="true"/>
          <w:lang w:bidi="ar-SA"/>
        </w:rPr>
        <w:t>، والثاني نَقَلَهُ عنه جماعةٌ</w:t>
      </w:r>
      <w:r>
        <w:rPr>
          <w:rStyle w:val="FootnoteAnchor"/>
          <w:rtl w:val="true"/>
        </w:rPr>
        <w:footnoteReference w:id="125"/>
      </w:r>
      <w:r>
        <w:rPr>
          <w:rFonts w:ascii="Amiri" w:hAnsi="Amiri" w:eastAsia="Amiri" w:cs="Amiri"/>
          <w:color w:val="111111"/>
          <w:sz w:val="28"/>
          <w:sz w:val="28"/>
          <w:szCs w:val="28"/>
          <w:rtl w:val="true"/>
          <w:lang w:bidi="ar-SA"/>
        </w:rPr>
        <w:t xml:space="preserve">، وله في كتاب الحديث قول </w:t>
      </w:r>
      <w:bookmarkStart w:id="115" w:name="pg10113_91928"/>
    </w:p>
    <w:p>
      <w:pPr>
        <w:pStyle w:val="BookText"/>
        <w:rPr/>
      </w:pPr>
      <w:bookmarkEnd w:id="115"/>
      <w:r>
        <w:rPr>
          <w:rFonts w:ascii="Amiri" w:hAnsi="Amiri" w:eastAsia="Amiri" w:cs="Amiri"/>
          <w:color w:val="111111"/>
          <w:sz w:val="28"/>
          <w:sz w:val="28"/>
          <w:szCs w:val="28"/>
          <w:rtl w:val="true"/>
          <w:lang w:bidi="ar-SA"/>
        </w:rPr>
        <w:t>ثالث، وهو أنّه يَنْجَسُ ويجب النزح المقدَّرُ، لكن لا تجب إعادة الصلاة، ولا غَسْلُ ما لاقاة قبل العلم بالنّجاسة،</w:t>
      </w:r>
      <w:r>
        <w:rPr>
          <w:rStyle w:val="FootnoteAnchor"/>
          <w:rtl w:val="true"/>
        </w:rPr>
        <w:footnoteReference w:id="126"/>
      </w:r>
      <w:r>
        <w:rPr>
          <w:rFonts w:ascii="Amiri" w:hAnsi="Amiri" w:eastAsia="Amiri" w:cs="Amiri"/>
          <w:color w:val="111111"/>
          <w:sz w:val="28"/>
          <w:sz w:val="28"/>
          <w:szCs w:val="28"/>
          <w:rtl w:val="true"/>
          <w:lang w:bidi="ar-SA"/>
        </w:rPr>
        <w:t>وله قول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يَنْجَسُ، ولكن يجب النَزْحُ تَعَبداً؛ جمعاً بين النصوص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المسألة قولٌ خامسٌ للشيخ أبي الحسن محمَّدِ بنِ محمَّدٍ البُصْرَوي، وهو اعتبار الكُرَّيَةِ فيه وعدمها، فإنْ بَلَغَ كُرّاً لم يَنْجَس إلّا بالتغيّر وإلّا يَنْجَسُ بالملاقاة</w:t>
      </w:r>
      <w:r>
        <w:rPr>
          <w:rStyle w:val="FootnoteAnchor"/>
          <w:rtl w:val="true"/>
        </w:rPr>
        <w:footnoteReference w:id="128"/>
      </w:r>
      <w:r>
        <w:rPr>
          <w:rFonts w:ascii="Amiri" w:hAnsi="Amiri" w:eastAsia="Amiri" w:cs="Amiri"/>
          <w:color w:val="111111"/>
          <w:sz w:val="28"/>
          <w:sz w:val="28"/>
          <w:szCs w:val="28"/>
          <w:rtl w:val="true"/>
          <w:lang w:bidi="ar-SA"/>
        </w:rPr>
        <w:t>، وهذا في الحقيقة مذهب العلّامة جمال الدين أيضاً وإن لم يُصَرح به؛ لأنّه اعتبر كرية الجاري في عدم انفعاله بالملاقاة</w:t>
      </w:r>
      <w:r>
        <w:rPr>
          <w:rStyle w:val="FootnoteAnchor"/>
          <w:rtl w:val="true"/>
        </w:rPr>
        <w:footnoteReference w:id="129"/>
      </w:r>
      <w:r>
        <w:rPr>
          <w:rFonts w:ascii="Amiri" w:hAnsi="Amiri" w:eastAsia="Amiri" w:cs="Amiri"/>
          <w:color w:val="111111"/>
          <w:sz w:val="28"/>
          <w:sz w:val="28"/>
          <w:szCs w:val="28"/>
          <w:rtl w:val="true"/>
          <w:lang w:bidi="ar-SA"/>
        </w:rPr>
        <w:t>، وماء البئر في معناه، بل أضعَفُ منه، فيقتضي اعتباره فيه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ومنشأ هذه الأقوال اختلافُ الروايات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xml:space="preserve">بعد اتّفاقهم جميعاً على ورود النزح له شرعاً بدون التغيُّر حتّى تواترتْ به الأخبار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ليست صريحةً في النّجاسَةِ، فمِنْ ثَمَّ حَمَلَها مَنْ حَكَمَ بعدم نَجاستِهِ على الاستحباب</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375257_1067777946"/>
      <w:bookmarkStart w:id="117" w:name="_Toc37"/>
      <w:bookmarkEnd w:id="116"/>
      <w:r>
        <w:rPr>
          <w:rtl w:val="true"/>
        </w:rPr>
        <w:t>الأخبارُ الدالّة على النجاسة</w:t>
      </w:r>
      <w:bookmarkEnd w:id="117"/>
    </w:p>
    <w:p>
      <w:pPr>
        <w:pStyle w:val="BookText"/>
        <w:rPr/>
      </w:pPr>
      <w:r>
        <w:rPr>
          <w:rFonts w:ascii="Amiri" w:hAnsi="Amiri" w:eastAsia="Amiri" w:cs="Amiri"/>
          <w:color w:val="111111"/>
          <w:sz w:val="28"/>
          <w:sz w:val="28"/>
          <w:szCs w:val="28"/>
          <w:rtl w:val="true"/>
          <w:lang w:bidi="ar-SA"/>
        </w:rPr>
        <w:t>وأمّا الأخبارُ الدالّة على الأقوال المذكورة فهي على أقسام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 ما دلّ على النّجاسَةِ، وهي صحيحةُ محمّد بن إسماعيل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كتب إلى رجلٍ يَسأله أن يسأل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البئرِ تَقْطُرُ فيها قَطَراتٌ من بولٍ أو دم، ما الذي يُطَهِّرُها حتّى يَحِلُّ الوضوء منها للصلاةِ؟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كتابي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يُنزَحُ منها دلاء</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bookmarkStart w:id="118" w:name="pg10113_91929"/>
    </w:p>
    <w:p>
      <w:pPr>
        <w:pStyle w:val="BookText"/>
        <w:rPr/>
      </w:pPr>
      <w:bookmarkEnd w:id="118"/>
      <w:r>
        <w:rPr>
          <w:rFonts w:ascii="Amiri" w:hAnsi="Amiri" w:eastAsia="Amiri" w:cs="Amiri"/>
          <w:color w:val="111111"/>
          <w:sz w:val="28"/>
          <w:sz w:val="28"/>
          <w:szCs w:val="28"/>
          <w:rtl w:val="true"/>
          <w:lang w:bidi="ar-SA"/>
        </w:rPr>
        <w:t>وهي في قوة طهرها بذلك، وتقريبهُ ما تقدَّمَ</w:t>
      </w:r>
      <w:r>
        <w:rPr>
          <w:rStyle w:val="FootnoteAnchor"/>
          <w:rtl w:val="true"/>
        </w:rPr>
        <w:footnoteReference w:id="132"/>
      </w:r>
      <w:r>
        <w:rPr>
          <w:rFonts w:ascii="Amiri" w:hAnsi="Amiri" w:eastAsia="Amiri" w:cs="Amiri"/>
          <w:color w:val="111111"/>
          <w:sz w:val="28"/>
          <w:sz w:val="28"/>
          <w:szCs w:val="28"/>
          <w:rtl w:val="true"/>
          <w:lang w:bidi="ar-SA"/>
        </w:rPr>
        <w:t>، وطُهْرُها بالتزح يدلُّ على نَجاستِها قبله، وإلّا لزم إيجاد الموجود أو اجتماع الأمثال، وقريب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يحلَّ الوضوء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وصحيحة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البئر تَقَعُ فيها الحَمامَةُ أو الدَجاجة أو الفأرة أو الكلب أو الهرَّةُ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يُجزئُكَ أنْ تَنْزَحَ منها دِلاء؛ فإنّ ذلك يُطَهِّرُها إن شاء اللّه تعالى</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والإجزاء ظاهر في الخروج عن العُهدَةِ، وتطهيرها بذلك يدلُّ على نَجاستها بدونه،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عبد اللّه بن أبي يَعْفُورٍ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أتَيْتَ البئر وأنت جُنُب ولم تجد دَلواً، ولا شيئاً تَغْرِفُ به فَتَيَّمْم بالصعيد الطيِّبِ؛ فإنّ ربَّ الماء ربُّ الصعيد، ولا تَقَع في البئر، ولا تُفْسِدُ على القومِ ماءَهم</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أوْجَبَ التيمّم بصيغة الأمر المشروط بعدم الماء الطاهر، فلا يكون الماء طاهراً على تقدير الوقوع والاغتسال؛ ونهى عن الوقوع في البئر وعن إفساد الماء، والمفهوم من الإفساد النّجاسة، وحَمْلُه على نَجاسةِ تُغَيّره بعيد؛ لأنّ ظاهره استناد الإفساد إلى الوقوع وهو غير مُغَيّر لحالها، وللزوم تأخُّر البيان عن وقت الحاجة</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 w:name="__RefHeading___Toc375259_1067777946"/>
      <w:bookmarkStart w:id="120" w:name="_Toc38"/>
      <w:bookmarkEnd w:id="119"/>
      <w:r>
        <w:rPr>
          <w:rtl w:val="true"/>
        </w:rPr>
        <w:t>الأخبارُ الدالّة على عدم النجاسة</w:t>
      </w:r>
      <w:bookmarkEnd w:id="12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عدمها، وهي صحيحة محمد بن إسماعيل بن بزيع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رجلٍ أسأله أنْ يَسأل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ماء البئرِ واسعٌ لا يُفسده </w:t>
      </w:r>
    </w:p>
    <w:p>
      <w:pPr>
        <w:pStyle w:val="BookText"/>
        <w:rPr/>
      </w:pPr>
      <w:r>
        <w:rPr>
          <w:rFonts w:ascii="Amiri" w:hAnsi="Amiri" w:eastAsia="Amiri" w:cs="Amiri"/>
          <w:color w:val="111111"/>
          <w:sz w:val="28"/>
          <w:sz w:val="28"/>
          <w:szCs w:val="28"/>
          <w:rtl w:val="true"/>
          <w:lang w:bidi="ar-SA"/>
        </w:rPr>
        <w:t>شيءٌ، إلّا أنْ يَتَغَيَّر ريحه أو طَعْمُه فَيُنْزَح حتّى يذهب الريح ويطيب الطعم؛ لأنّ له مادةً</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أقوى حُجَجِ القائلين بالطهارة؛ لحُكمِهِ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الماء بالسِعَةِ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ويُفهَمُ منها عدم الانفعال بالملاقاة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 إفسادِ شيءٍ له، وهو عام لأنّه نَكِرَةٌ في سياقٍ النفي، واشتمالها على الحصر المستفاد من الاستثناء في سياق النفي، ووجود التعليل بالمادَّة والمُعَلَّلُ مقدَّم على غيره </w:t>
      </w:r>
      <w:r>
        <w:rPr>
          <w:rStyle w:val="FootnoteAnchor"/>
          <w:rtl w:val="true"/>
        </w:rPr>
        <w:footnoteReference w:id="137"/>
      </w:r>
      <w:r>
        <w:rPr>
          <w:rFonts w:ascii="Amiri" w:hAnsi="Amiri" w:eastAsia="Amiri" w:cs="Amiri"/>
          <w:color w:val="111111"/>
          <w:sz w:val="28"/>
          <w:sz w:val="28"/>
          <w:szCs w:val="28"/>
          <w:rtl w:val="true"/>
          <w:lang w:bidi="ar-SA"/>
        </w:rPr>
        <w:t>ولدلالتها على المراد نصاً؛ وللإكتفاء مع تغيُّره بمزيل التَغَيّرِ ولو كان نَجِساً ويوجب نزح ما قُدِّر لكان مع تَغَيرِ المُقَدَّر يوجب نزحَ أكثَرِ الأمرين من المقدَّرِ وما يُزيلُ التَغَيُّر، وإلّا فلا يُعقَلُ الاكتفاء بزوال التغير لو حصل قبل استيفاء المقدَّر، ولو فرض كون النّجاسَةِ المغيرة لا مقدر لها لم يَتِمُّ الاكتفاء أيضاً بمُزيل التَغَيُّرِ ؛ لأنّ الحقّ وجوب نزح الجميع لما لا نصَّ فيه بدون التَغَيرِ، فكيف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لا يجامع القول بالنّجاسَةِ، ولا يصحّ مع تأويل الإفساد بما أوَّلَ به القائل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بئر ماءٍ وقع فيها زِنْبيلٌ من عَذِرَةٍ رَطْبَةٍ أو يابسة، أو زنبيل من سرقين أيَصْلَحُ الوضوء منها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من العَذِرَةِ والسرقينِ النَّجِسُ ؛ لأنّ الفقيه لا يَسْأَلُ عن ملاقاة الطاهر، وإنْ سُلَّم فترك الاستفصال في العَذِرَة دليل استواء الطاهرة والنجسة في الحكم باعتبار الوقوع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ورواية حمّادٍ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يُغْسَلُ الثوبُ ولا تُعاد الصلاة ممّا وقع في البئر، إلا أنْ يُنْتِنَ، فإنْ أنْتَنَ غسل الثوب وأعاد الصلاة ونُزِحَتِ البئرُ</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الفأرة تقع في البئر فَيَتَوضّاً الرجل منها ويُصَلِّي وهو لا يعلم أيعيدُ الصلاةَ ويَغْسِلُ ثوبه؟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يُعِيدُ الصلاةَ ولا يَغْسِلُ ثوبَه</w:t>
      </w:r>
      <w:r>
        <w:rPr>
          <w:rFonts w:eastAsia="Amiri" w:cs="Amiri" w:ascii="Amiri" w:hAnsi="Amiri"/>
          <w:color w:val="111111"/>
          <w:sz w:val="28"/>
          <w:szCs w:val="28"/>
          <w:rtl w:val="true"/>
          <w:lang w:bidi="ar-SA"/>
        </w:rPr>
        <w:t>»</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منها رواية أبان بن عُثمانَ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xml:space="preserve">، وروايةُ عُيَيْنَةَ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 وروايةُ يعقوبَ بْنِ عُثَيْمٍ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الرواياتُ الأخيرةُ حُجَّةُ الشيخ في كتابي الأخبار على نَجاستِهِ وعدم وجوب إعادة الصلاة وتطهير الثوب منها قبل العلم بحالها</w:t>
      </w:r>
      <w:r>
        <w:rPr>
          <w:rStyle w:val="FootnoteAnchor"/>
          <w:rtl w:val="true"/>
        </w:rPr>
        <w:footnoteReference w:id="144"/>
      </w:r>
      <w:r>
        <w:rPr>
          <w:rFonts w:ascii="Amiri" w:hAnsi="Amiri" w:eastAsia="Amiri" w:cs="Amiri"/>
          <w:color w:val="111111"/>
          <w:sz w:val="28"/>
          <w:sz w:val="28"/>
          <w:szCs w:val="28"/>
          <w:rtl w:val="true"/>
          <w:lang w:bidi="ar-SA"/>
        </w:rPr>
        <w:t xml:space="preserve">، وحُجَّةَ البُصْرَوي روايةُ الحسن بن صالح الثؤري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في الركيِّ كراً لم يُنَجِّسه شيءٌ</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والمراد من الرّكي الآبار لغةً</w:t>
      </w:r>
      <w:r>
        <w:rPr>
          <w:rStyle w:val="FootnoteAnchor"/>
          <w:rtl w:val="true"/>
        </w:rPr>
        <w:footnoteReference w:id="146"/>
      </w:r>
      <w:r>
        <w:rPr>
          <w:rFonts w:ascii="Amiri" w:hAnsi="Amiri" w:eastAsia="Amiri" w:cs="Amiri"/>
          <w:color w:val="111111"/>
          <w:sz w:val="28"/>
          <w:sz w:val="28"/>
          <w:szCs w:val="28"/>
          <w:rtl w:val="true"/>
          <w:lang w:bidi="ar-SA"/>
        </w:rPr>
        <w:t>، وعرفاً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الرواياتِ التي استَدَلَّ بها الشيخ على عدم الإعادة ظاهرةٌ في الطهارة، عاضدة لما دلَّ عليها منها والحُكمُ بالنّجاسَةِ مع عدم وجوب إعادة الطهارة وغَسْلِ الثوب الذي باشَرَها مخالف لأُصول المذهب، فهذا القول ساقط، وكذا الآخر من حيث </w:t>
      </w:r>
    </w:p>
    <w:p>
      <w:pPr>
        <w:pStyle w:val="BookText"/>
        <w:rPr/>
      </w:pPr>
      <w:r>
        <w:rPr>
          <w:rFonts w:ascii="Amiri" w:hAnsi="Amiri" w:eastAsia="Amiri" w:cs="Amiri"/>
          <w:color w:val="111111"/>
          <w:sz w:val="28"/>
          <w:sz w:val="28"/>
          <w:szCs w:val="28"/>
          <w:rtl w:val="true"/>
          <w:lang w:bidi="ar-SA"/>
        </w:rPr>
        <w:t>الاستدلال بالخبر؛ فإنّ طريقَهُ ضعيف بالحسن بن صالح؛ فإنّه زيديٌ بُتريٌ</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يمكن الاحتجاج له بعموم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كُرّاً لم يُنَجِّسه شيء</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فإنّه متّفقٌ على معناه وعلى العمل بمفهومه، وتُحْمَل أخبار النّجاسَةِ على ما لا يبلغ منه الكُرّ ؛ وأخبار الطهارة على ما بلغ منه كراً؛ جمعاً، وبقرينة قوله في صحيح ابن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البئرِ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149"/>
      </w:r>
      <w:r>
        <w:rPr>
          <w:rFonts w:ascii="Amiri" w:hAnsi="Amiri" w:eastAsia="Amiri" w:cs="Amiri"/>
          <w:color w:val="111111"/>
          <w:sz w:val="28"/>
          <w:sz w:val="28"/>
          <w:szCs w:val="28"/>
          <w:rtl w:val="true"/>
          <w:lang w:bidi="ar-SA"/>
        </w:rPr>
        <w:t>، وهذا طريق حسن في الاستدلال لم يذكروه، ولعلّه أقوى من الجانبين لولا ما نُقَرّرهُ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نُسِبَ هذا القول إلى البُصرَوي</w:t>
      </w:r>
      <w:r>
        <w:rPr>
          <w:rStyle w:val="FootnoteAnchor"/>
          <w:rtl w:val="true"/>
        </w:rPr>
        <w:footnoteReference w:id="150"/>
      </w:r>
      <w:r>
        <w:rPr>
          <w:rFonts w:ascii="Amiri" w:hAnsi="Amiri" w:eastAsia="Amiri" w:cs="Amiri"/>
          <w:color w:val="111111"/>
          <w:sz w:val="28"/>
          <w:sz w:val="28"/>
          <w:szCs w:val="28"/>
          <w:rtl w:val="true"/>
          <w:lang w:bidi="ar-SA"/>
        </w:rPr>
        <w:t>، وكأنّه عندهم مختصٌّ به، مع أنّه لازم لكُلِّ من اعتبر كُرّيَّةَ الجاري وحَكَمَ بعدم نَجاسةِ البئر بالملاقاة؛ فإنّ دليل اعتبار كُريّةِ الجاري وارد هنا، وأيضاً اعتباره في الجاري يدل على اعتباره في البئر بطريق أولى؛ لأنّ كثير الجاري لا يَنفَعِلُ بالمُلاقاة إجماعاً، وكثيرُ البئر مختلف فيه، فيكون أضعف منه، فإذا حُكِمَ بانفعال قليل الجاري بالملاقاة لزم القول بانفعال البئر بطريق أولى، مضافاً إلى ما دلّ عليه من الأخبار المتناول لهما ولغيرهما من أفراد المياه، وحينئذٍ فيكون قول البُصْرَوي قولاً للعلّامة</w:t>
      </w:r>
      <w:r>
        <w:rPr>
          <w:rStyle w:val="FootnoteAnchor"/>
          <w:rtl w:val="true"/>
        </w:rPr>
        <w:footnoteReference w:id="151"/>
      </w:r>
      <w:r>
        <w:rPr>
          <w:rFonts w:ascii="Amiri" w:hAnsi="Amiri" w:eastAsia="Amiri" w:cs="Amiri"/>
          <w:color w:val="111111"/>
          <w:sz w:val="28"/>
          <w:sz w:val="28"/>
          <w:szCs w:val="28"/>
          <w:rtl w:val="true"/>
          <w:lang w:bidi="ar-SA"/>
        </w:rPr>
        <w:t>، ولمن قال بمقالته في المسألتين وهو واضح وإنْ لم يُصَرِّحوا به، فيبقى الكلام في القولين المتقابلين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أَورَدَ كلّ من الفريقين على حُجَّةِ الآخرِ مناقضات ومعارضاتٍ نحن نُشِيرُ إليها مع ما يَرِدُ عليها</w:t>
      </w:r>
      <w:r>
        <w:rPr>
          <w:rFonts w:eastAsia="Amiri" w:cs="Amiri" w:ascii="Amiri" w:hAnsi="Amiri"/>
          <w:color w:val="111111"/>
          <w:sz w:val="28"/>
          <w:szCs w:val="28"/>
          <w:rtl w:val="true"/>
          <w:lang w:bidi="ar-SA"/>
        </w:rPr>
        <w:t xml:space="preserve">. </w:t>
      </w:r>
      <w:bookmarkStart w:id="121" w:name="pg10113_91933"/>
    </w:p>
    <w:p>
      <w:pPr>
        <w:pStyle w:val="Heading4"/>
        <w:numPr>
          <w:ilvl w:val="3"/>
          <w:numId w:val="1"/>
        </w:numPr>
        <w:rPr/>
      </w:pPr>
      <w:bookmarkStart w:id="122" w:name="__RefHeading___Toc375261_1067777946"/>
      <w:bookmarkStart w:id="123" w:name="_Toc39"/>
      <w:bookmarkEnd w:id="121"/>
      <w:bookmarkEnd w:id="122"/>
      <w:r>
        <w:rPr>
          <w:rtl w:val="true"/>
        </w:rPr>
        <w:t>مناقشة أدلّة القائلین بعدم النجاسة</w:t>
      </w:r>
      <w:bookmarkEnd w:id="123"/>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أصحاب القول المشهور فقد أجابوا عن الحديث الأوّل من أحاديث الطهارة بأنّه مكاتبةٌ يَضْعُفُ عن الدلالة؛ وبعدم التصريح بأنّ المُجيب الإمامُ؛ وبأن المراد بالفَسادِ المنفي فسادُ الكُلِّ دون الفَسادِ الكُلّي؛ أي لا يُفْسِدُه فَساداً يوجِبُ التعطيل، كما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لا يَخْبُثُ</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xml:space="preserve">أي لا يصيرُ في نفسه خَبَناً، وكقول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الحمّام لا يَخْبُتُ</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يجوز أنْ تَعْرِضَ له النّجاسَةُ</w:t>
      </w:r>
      <w:r>
        <w:rPr>
          <w:rStyle w:val="FootnoteAnchor"/>
          <w:rtl w:val="true"/>
        </w:rPr>
        <w:footnoteReference w:id="154"/>
      </w:r>
      <w:r>
        <w:rPr>
          <w:rFonts w:ascii="Amiri" w:hAnsi="Amiri" w:eastAsia="Amiri" w:cs="Amiri"/>
          <w:color w:val="111111"/>
          <w:sz w:val="28"/>
          <w:sz w:val="28"/>
          <w:szCs w:val="28"/>
          <w:rtl w:val="true"/>
          <w:lang w:bidi="ar-SA"/>
        </w:rPr>
        <w:t>، وهذا وإنْ كان خلاف الظاهِر إلّا أنّ فيه جمعاً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الخبرين الآخرين بأنّ البئر يقع على النابعة والغدير، فلعلَّ السؤال عن بئر ماؤها محقونٌ</w:t>
      </w:r>
      <w:r>
        <w:rPr>
          <w:rStyle w:val="FootnoteAnchor"/>
          <w:rtl w:val="true"/>
        </w:rPr>
        <w:footnoteReference w:id="155"/>
      </w:r>
      <w:r>
        <w:rPr>
          <w:rFonts w:ascii="Amiri" w:hAnsi="Amiri" w:eastAsia="Amiri" w:cs="Amiri"/>
          <w:color w:val="111111"/>
          <w:sz w:val="28"/>
          <w:sz w:val="28"/>
          <w:szCs w:val="28"/>
          <w:rtl w:val="true"/>
          <w:lang w:bidi="ar-SA"/>
        </w:rPr>
        <w:t>، فتكون الأخبارُ الداله على وجوب نزح البئر عن أعيان المنزوحاتِ مختصَّةً بالنابعة، ويكون هذا مُتَناوِلاً لغيرها ممّا هو محقون، وعن الثاني بالخصوص بأنّ العَذِرَة والسرقين أعمُّ من النجس، فلا يدلّ على الخاصّ؛ وبأنّ السؤال وقع عن وقوع الزنبيل المشتمل عليهما، وذلك لا يستلزم إصابتهما الماءَ؛ وإنّما المُتحقِّقُ إصابة الزنبيل خاصَّةً، وبإمكان أنْ يُراد لا بأس بعد نزح الخمسين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الثالث بأنّ حمّادَ، الراوي عن معاوية، مقول بالاشتراك على جَماعةٍ، منهم الثقةُ وغَيرُهُ فلعله غيرُ الثقة؛ وبأنّه يَدُلُّ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 فيما لا يَعْقِلُ، فيكون الترجيح لجانب الأحاديث الدالّة على أعيان المنزوحات تقديماً للخاص على العامّ</w:t>
      </w:r>
      <w:r>
        <w:rPr>
          <w:rStyle w:val="FootnoteAnchor"/>
          <w:rtl w:val="true"/>
        </w:rPr>
        <w:footnoteReference w:id="156"/>
      </w:r>
      <w:r>
        <w:rPr>
          <w:rFonts w:ascii="Amiri" w:hAnsi="Amiri" w:eastAsia="Amiri" w:cs="Amiri"/>
          <w:color w:val="111111"/>
          <w:sz w:val="28"/>
          <w:sz w:val="28"/>
          <w:szCs w:val="28"/>
          <w:rtl w:val="true"/>
          <w:lang w:bidi="ar-SA"/>
        </w:rPr>
        <w:t xml:space="preserve">ولمعارضة </w:t>
      </w:r>
    </w:p>
    <w:p>
      <w:pPr>
        <w:pStyle w:val="BookText"/>
        <w:rPr/>
      </w:pPr>
      <w:r>
        <w:rPr>
          <w:rFonts w:ascii="Amiri" w:hAnsi="Amiri" w:eastAsia="Amiri" w:cs="Amiri"/>
          <w:color w:val="111111"/>
          <w:sz w:val="28"/>
          <w:sz w:val="28"/>
          <w:szCs w:val="28"/>
          <w:rtl w:val="true"/>
          <w:lang w:bidi="ar-SA"/>
        </w:rPr>
        <w:t>الأخبار الكثيرة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هذه الأجوبة للمحقق في المعتبر</w:t>
      </w:r>
      <w:r>
        <w:rPr>
          <w:rStyle w:val="FootnoteAnchor"/>
          <w:rtl w:val="true"/>
        </w:rPr>
        <w:footnoteReference w:id="157"/>
      </w:r>
      <w:r>
        <w:rPr>
          <w:rFonts w:ascii="Amiri" w:hAnsi="Amiri" w:eastAsia="Amiri" w:cs="Amiri"/>
          <w:color w:val="111111"/>
          <w:sz w:val="28"/>
          <w:sz w:val="28"/>
          <w:szCs w:val="28"/>
          <w:rtl w:val="true"/>
          <w:lang w:bidi="ar-SA"/>
        </w:rPr>
        <w:t>، 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 المُكاتَبَةَ معمولٌ بها، وظاهر الضمير عوده إلى الإمام؛ لأنّه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يتعلق بالحديثِ المتنازع مع أنّ الشيخ في زيادات التهذيب روى عن محمد بن بزيع في الصحيح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البئر واسع لا يُفْسِدُهُ شَيءٌ إِلَّا أَنْ يَتَغَيَّرَ</w:t>
      </w:r>
      <w:r>
        <w:rPr>
          <w:rFonts w:eastAsia="Amiri" w:cs="Amiri" w:ascii="Amiri" w:hAnsi="Amiri"/>
          <w:color w:val="111111"/>
          <w:sz w:val="28"/>
          <w:szCs w:val="28"/>
          <w:rtl w:val="true"/>
          <w:lang w:bidi="ar-SA"/>
        </w:rPr>
        <w:t>»</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حجَّةٌ قويَّةٌ لا يَرِدُ عليها شيء ممّا ذُكر، إذ ليس فيها تَعرّض للمكاتَبَةِ، ولكنّه لم يُذكر فيه التعليلُ بأنّ له مادَّةً، وأمره سهل بالنسبة إلى البئر وإنْ كان ينفع في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وأبلغ منه ما رواه الشيخ في الاستبصار عن محمد بن بزيع في الصحيح أيضاً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صريحاً،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البئرِ واسع لا يُنَجِّسُهُ شَيْءٌ إِلَّا أَنْ يَتَغَيَّرَ رِيحُه أو طَعْمُه فَيُنْزَح حتّى يذهب الريحُ ويَطِيب طعمُهُ؛ لأنّ له مادّة</w:t>
      </w:r>
      <w:r>
        <w:rPr>
          <w:rFonts w:eastAsia="Amiri" w:cs="Amiri" w:ascii="Amiri" w:hAnsi="Amiri"/>
          <w:color w:val="111111"/>
          <w:sz w:val="28"/>
          <w:szCs w:val="28"/>
          <w:rtl w:val="true"/>
          <w:lang w:bidi="ar-SA"/>
        </w:rPr>
        <w:t>»</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بلفظ الحديث السابق أجمع، وزاد تحقيق الرواية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مكاتبةٍ، ولا يَقدَحُ في ذلك كون الاستبصار منحصراً في رواياتِ التهذيب المتعارضة، كما هو الظاهرُ من حاله والباعتُ لِتَصنِيفِه كما أشار إليه في خُطبَتِهِ </w:t>
      </w:r>
      <w:r>
        <w:rPr>
          <w:rStyle w:val="FootnoteAnchor"/>
          <w:rtl w:val="true"/>
        </w:rPr>
        <w:footnoteReference w:id="160"/>
      </w:r>
      <w:r>
        <w:rPr>
          <w:rFonts w:ascii="Amiri" w:hAnsi="Amiri" w:eastAsia="Amiri" w:cs="Amiri"/>
          <w:color w:val="111111"/>
          <w:sz w:val="28"/>
          <w:sz w:val="28"/>
          <w:szCs w:val="28"/>
          <w:rtl w:val="true"/>
          <w:lang w:bidi="ar-SA"/>
        </w:rPr>
        <w:t xml:space="preserve">لأنّ ذلك لا يَبلُغ حدَّ اللزوم على وجه يتطرّق القدحُ فيما صَرَّحَ فيه بالمتن الواضح والسند الصحيح، فلعلّه حقّقه من محلّ آخَرَ، فإنّ الطرق لم تنحصر في التهذيب، ولو قَدَحَ مثل ذلك فيه لأدّى إلى الطَّعْنِ على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وحاشاه من ذلك، وكثيراً ما يَتَّفق لي تصحيح بعض طرق التهذيب من الكافي للكليني مع تقدّمه عليه وغفلة الشيخ في التهذيب عن مراعاة الطريق الصحيح السابق عليه، فَتَفَطَّن لذلك</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وبقي الكلام على الحديثِ من جهة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يُفْسِدُهُ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الإفساد أعمُّ من </w:t>
      </w:r>
    </w:p>
    <w:p>
      <w:pPr>
        <w:pStyle w:val="BookText"/>
        <w:rPr/>
      </w:pPr>
      <w:r>
        <w:rPr>
          <w:rFonts w:ascii="Amiri" w:hAnsi="Amiri" w:eastAsia="Amiri" w:cs="Amiri"/>
          <w:color w:val="111111"/>
          <w:sz w:val="28"/>
          <w:sz w:val="28"/>
          <w:szCs w:val="28"/>
          <w:rtl w:val="true"/>
          <w:lang w:bidi="ar-SA"/>
        </w:rPr>
        <w:t>النجاسة؛ إذ المراد به خروجه عن حَدٌ الانتفاع به سَواءٌ كان بسبب النّجاسَة أم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المتبادر كون المراد به هنا النّجاسَةَ بدلالة المقام وقرينة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يَتَغَيَّرَ طَعْمُهُ أو ريحُه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تَغَيَّرَه كذلك إنّما يوجب فَسادَه مِن جِهةِ النَّجاسَةِ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يَنْدفِعُ تأويلُ القائلينَ بالنّجاسَة بأنّ المراد فَسادُهُ بسبب ثورانِ الحَمْأَةِ ونحوه من حيث إنه أعم من النجاسة؛ لعدم صحّة الاستثناء حينئذٍ، لأنّ التغير في أحد الأوصاف لا يقتضي فَسادَهُ مطلقاً، ولكان التعليل بالمادَّةِ ضائعاً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قيل من أنّ المراد بالفَسادِ فَسادُ الكُلِّ، وهو مستند إلى التغير، ولا يَلزَمُ منه عدم استنادِ الفَسادِ الكُلِّي إلى المُلاقاة</w:t>
      </w:r>
      <w:r>
        <w:rPr>
          <w:rStyle w:val="FootnoteAnchor"/>
          <w:rtl w:val="true"/>
        </w:rPr>
        <w:footnoteReference w:id="161"/>
      </w:r>
      <w:r>
        <w:rPr>
          <w:rFonts w:ascii="Amiri" w:hAnsi="Amiri" w:eastAsia="Amiri" w:cs="Amiri"/>
          <w:color w:val="111111"/>
          <w:sz w:val="28"/>
          <w:sz w:val="28"/>
          <w:szCs w:val="28"/>
          <w:rtl w:val="true"/>
          <w:lang w:bidi="ar-SA"/>
        </w:rPr>
        <w:t xml:space="preserve">لأنّ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خلاف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 للتعليل بالمادَّةِ، مع أنّ الذي يُفسده بالمُلاقاةِ 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فَساده مطلقاً قبل النزح ونَجاسته على كلّ حالٍ، وإنّما يرجعُ إلى الظُّهْرِ بالنزح وكذا بما غَيَّرَهُ، فَإِنَّ المُطَهِّرَ له عندهم هو مُزِيلُ التغيرِ أو أكثر الأمرين، أو ما شاكلهما على اختلاف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فالفَسادُ ابتداءً للجميع وبعد نزح وبعد نزح ما يعتبر فيه يَطْهُرُ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نَزْحَ المعتبر حينئذٍ قد يأتي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في غير ما يوجب التغيُّرَ؛ فإنّ منه جملة توجب نزح الجميع من غير تغيّر وقد أطلقه، فدلَّ على فَسادِ هذا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لا يُفْسِدُه فَساداً يوجب التعطيل</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مع كونه خلاف الظاهر يُنتَقَضُ بما ذكرناه؛ فإنّ التعطيل لا يتحقّق مع التغير وقد يتحقّق مع عدمه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فالقَدْحُ المعتبر في هذا الحديث إنّما كان احتمال انقطاعه، حيث لم يُصَرَّحْ فيه بأنّ القائل الإمامُ، وحيث ثبت ذلك صار دليلاً قوياً على الطهارة بغير إشكال وثبوته على الوجه الذي قرَّرناه لم يَتَفَطَّنْ إليه أحدٌ من الأصحاب قبل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الحَمدُ والمِنّةُ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واعْلَمْ أنّ بعد تحقيق صحته واتصاله يُستفاد منه فائدة جليلة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له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جَعْلُ المادَّةِ علَّةٌ لعدم انفعاله بدون التغيّر، وقد تحقّق في الأُصول أنّ العِلَّةَ المنصوصة تتعدّى إلى كلّ ما تحقّق فيه العلّة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فيلزم منه أنّ الماء النَابع مطلقاً لا يَنْجَسُ إلا بالتغيّر؛ لأنّ له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حُجَّةً للقول المشهور بين الأصحاب من عدم اعتبار الكُرِّيةِ في الجاري من حيث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هذا الحديث مُخَصِّصاً أو مُقَيّداً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كُرّاً لم يُنَجِّسه شيء</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 الشامل للجاري، الدالِّ بمفهومه على تنجيس ما دون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حُجَّةٌ قوية على ذلك لم يذكرها أحدٌ منهم، وإنّما استندوا إلى أدلّة واهيةٍ لا تُثبت مطلوبهم، وقد نبّهنا عليها في مواضعها منها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 وَرَدَ على نَفي البأس بالبول في الجاري</w:t>
      </w:r>
      <w:r>
        <w:rPr>
          <w:rStyle w:val="FootnoteAnchor"/>
          <w:rtl w:val="true"/>
        </w:rPr>
        <w:footnoteReference w:id="165"/>
      </w:r>
      <w:r>
        <w:rPr>
          <w:rFonts w:ascii="Amiri" w:hAnsi="Amiri" w:eastAsia="Amiri" w:cs="Amiri"/>
          <w:color w:val="111111"/>
          <w:sz w:val="28"/>
          <w:sz w:val="28"/>
          <w:szCs w:val="28"/>
          <w:rtl w:val="true"/>
          <w:lang w:bidi="ar-SA"/>
        </w:rPr>
        <w:t>، والنهي عنه في الراكد</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عليك عدم دلالة ذلك على عدم النّجاسَةِ ؛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نفى البأس المراد به نفى التحريم؛ لأنّ ذلك هو المعنى الصالح من معانيه هنا، ومُقتضاه أن الفعل المذكور لا يَحرُمُ سَواءٌ حصلتِ النّجاسَةُ أم لا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الجاري قد يَنْجَسُ بالبول كما لو كان قليلاً جداً، والبول متغيّراً بحيث يتغيّر الماءُ به، وقد لا يَنْجَسُ والراكدُ قد يَنْجَسُ أيضاً به على تقدير قلَّتِهِ، وقد لا يَنْجَسُ على تقدير كَثرَتِهِ، فإطلاق النهي عنه والإذن في الآخر ليس للنّجاسَةِ،وعدمها وإلّا لزم التفصيل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ورد أيضاً النهي عن البول في الماء مطلقاً</w:t>
      </w:r>
      <w:r>
        <w:rPr>
          <w:rStyle w:val="FootnoteAnchor"/>
          <w:rtl w:val="true"/>
        </w:rPr>
        <w:footnoteReference w:id="167"/>
      </w:r>
      <w:r>
        <w:rPr>
          <w:rFonts w:ascii="Amiri" w:hAnsi="Amiri" w:eastAsia="Amiri" w:cs="Amiri"/>
          <w:color w:val="111111"/>
          <w:sz w:val="28"/>
          <w:sz w:val="28"/>
          <w:szCs w:val="28"/>
          <w:rtl w:val="true"/>
          <w:lang w:bidi="ar-SA"/>
        </w:rPr>
        <w:t>، وقد حَمَلُوهُ على إطلاقه، وحكموا بتأكُّدِ الكَراهَةِ فى الواقف وثبوت أصل الكراهة في الجاري من غير تأكيدٍ؛ جمعاً، وهذا لا يطابق ما علَّلوا به من النّجاسَةِ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الحكم ظاهر في أحكام الخَلْوَةِ، ولا تعرُّضَ له إلى حكم النّجاسَةِ وعدمها بوجه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لو كان للنّجاسَةِ لزم النهي عن تنجيس الإنسانِ مِلكَهُ أو المباح، خصوصاً إذا كان ذلك لضرورةٍ أو غَرَض صَحيح، وهذا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لا تدل على زيادة عن آداب الخَلوَةِ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 ذلك ما استدلوا به على عدم نَجاسةِ الجاري بالملاقاة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التعليل بالجريان يُشعِرُ بالعليَّة، وإنّ النّجاسَةَ لا تستقر في الجاري</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لا يجوز تأسيس الأحكام الشرعيّة به، نعم هذا الحديث المعلَّلُ بالمادَّةِ </w:t>
      </w:r>
      <w:r>
        <w:rPr>
          <w:rStyle w:val="FootnoteAnchor"/>
          <w:rtl w:val="true"/>
        </w:rPr>
        <w:footnoteReference w:id="169"/>
      </w:r>
      <w:r>
        <w:rPr>
          <w:rFonts w:ascii="Amiri" w:hAnsi="Amiri" w:eastAsia="Amiri" w:cs="Amiri"/>
          <w:color w:val="111111"/>
          <w:sz w:val="28"/>
          <w:sz w:val="28"/>
          <w:szCs w:val="28"/>
          <w:rtl w:val="true"/>
          <w:lang w:bidi="ar-SA"/>
        </w:rPr>
        <w:t>صَحيحُ الدَلالة على ذلك، ولكن لم يتفطَّنْ إليه أحَدٌ منهم قبل يومنا هذا فيما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تحقّق لي صِرْتُ إلى القول بمضمونه في الأمرين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هَدَانَا لِهَذَا وَمَا كُنَّا لِنَهْتَدِيَ لَوْلَا أَنْ هَدَانَا اللّه</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ولنرجع إلى القول في بقيّةِ أدلّة الطهارة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الحديث الثاني </w:t>
      </w:r>
      <w:r>
        <w:rPr>
          <w:rStyle w:val="FootnoteAnchor"/>
          <w:rtl w:val="true"/>
        </w:rPr>
        <w:footnoteReference w:id="171"/>
      </w:r>
      <w:r>
        <w:rPr>
          <w:rFonts w:ascii="Amiri" w:hAnsi="Amiri" w:eastAsia="Amiri" w:cs="Amiri"/>
          <w:color w:val="111111"/>
          <w:sz w:val="28"/>
          <w:sz w:val="28"/>
          <w:szCs w:val="28"/>
          <w:rtl w:val="true"/>
          <w:lang w:bidi="ar-SA"/>
        </w:rPr>
        <w:t>فلا يخفى ما في تلك الاعتراضات من التكلُّفِ، والحامل لهم على ذلك دَفعُ المنافاة بينه وبين أخبار النجاسة، وحيث قد حقَّقنا القول بالطهارة بالحديث الأوّل صار غيرُه عاضداً وشاهِداً، فلا يَضرُّ القدَحُ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w:t>
      </w:r>
    </w:p>
    <w:p>
      <w:pPr>
        <w:pStyle w:val="BookText"/>
        <w:rPr/>
      </w:pPr>
      <w:r>
        <w:rPr>
          <w:rFonts w:ascii="Amiri" w:hAnsi="Amiri" w:eastAsia="Amiri" w:cs="Amiri"/>
          <w:color w:val="111111"/>
          <w:sz w:val="28"/>
          <w:sz w:val="28"/>
          <w:szCs w:val="28"/>
          <w:rtl w:val="true"/>
          <w:lang w:bidi="ar-SA"/>
        </w:rPr>
        <w:t>أعمُّ من النَّجِسِ فلا يدلُّ على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يدلُّ من حيث إطلاقهما الشامل للنجس، وجَوابِ الإمام برفع البأس مطلقاً، وإلا لاستفصل وبأن الظاهر السؤال عن النجس، لأنّ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لا يسأَلُ عن ملاقاة الطاهر ولا عمّا يحتملُه، ولأنّ الظاهر من العَذِرَةِ عَذِرَةُ الإنسان النَّجِسَةُ كما نصَّ عليه أهل اللغة في وجه تسميتها</w:t>
      </w:r>
      <w:r>
        <w:rPr>
          <w:rStyle w:val="FootnoteAnchor"/>
          <w:rtl w:val="true"/>
        </w:rPr>
        <w:footnoteReference w:id="172"/>
      </w:r>
      <w:r>
        <w:rPr>
          <w:rFonts w:ascii="Amiri" w:hAnsi="Amiri" w:eastAsia="Amiri" w:cs="Amiri"/>
          <w:color w:val="111111"/>
          <w:sz w:val="28"/>
          <w:sz w:val="28"/>
          <w:szCs w:val="28"/>
          <w:rtl w:val="true"/>
          <w:lang w:bidi="ar-SA"/>
        </w:rPr>
        <w:t>، ودَلالة العرف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الجواب عن كون السؤال وقع عن إصابة الزنبيل خاصَّةً؛ فإنّ مثل هذا الرجل الجليل لا يسأل عن وقوع الزنبيل مجرّداً عن إصابة النّجاسة، وحمل البئر المُطلق شرعاً على النابع المخصوص على المَصْنَعِ </w:t>
      </w:r>
      <w:r>
        <w:rPr>
          <w:rStyle w:val="FootnoteAnchor"/>
          <w:rtl w:val="true"/>
        </w:rPr>
        <w:footnoteReference w:id="173"/>
      </w:r>
      <w:r>
        <w:rPr>
          <w:rFonts w:ascii="Amiri" w:hAnsi="Amiri" w:eastAsia="Amiri" w:cs="Amiri"/>
          <w:color w:val="111111"/>
          <w:sz w:val="28"/>
          <w:sz w:val="28"/>
          <w:szCs w:val="28"/>
          <w:rtl w:val="true"/>
          <w:lang w:bidi="ar-SA"/>
        </w:rPr>
        <w:t>عُدول عن الظاهر بغير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وأبعَدُ من الجميعِ التأويل الآخر</w:t>
      </w:r>
      <w:r>
        <w:rPr>
          <w:rStyle w:val="FootnoteAnchor"/>
          <w:rtl w:val="true"/>
        </w:rPr>
        <w:footnoteReference w:id="174"/>
      </w:r>
      <w:r>
        <w:rPr>
          <w:rFonts w:ascii="Amiri" w:hAnsi="Amiri" w:eastAsia="Amiri" w:cs="Amiri"/>
          <w:color w:val="111111"/>
          <w:sz w:val="28"/>
          <w:sz w:val="28"/>
          <w:szCs w:val="28"/>
          <w:rtl w:val="true"/>
          <w:lang w:bidi="ar-SA"/>
        </w:rPr>
        <w:t>فإنّ فيه تأخير البيان عن وقت الخطاب بل الحاجَةِ؛ لأنّ السائل يُريدُ بالجواب ما يحكم به على الواقع ويعتقده ويعمل بمضمونه حيث كان واقعاً، ويُفتي به غيره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الحديث الثالث</w:t>
      </w:r>
      <w:r>
        <w:rPr>
          <w:rStyle w:val="FootnoteAnchor"/>
          <w:rtl w:val="true"/>
        </w:rPr>
        <w:footnoteReference w:id="175"/>
      </w:r>
      <w:r>
        <w:rPr>
          <w:rFonts w:ascii="Amiri" w:hAnsi="Amiri" w:eastAsia="Amiri" w:cs="Amiri"/>
          <w:color w:val="111111"/>
          <w:sz w:val="28"/>
          <w:sz w:val="28"/>
          <w:szCs w:val="28"/>
          <w:rtl w:val="true"/>
          <w:lang w:bidi="ar-SA"/>
        </w:rPr>
        <w:t xml:space="preserve">، فالقدح فيه باشتراك حمّادٍ </w:t>
      </w:r>
      <w:r>
        <w:rPr>
          <w:rStyle w:val="FootnoteAnchor"/>
          <w:rtl w:val="true"/>
        </w:rPr>
        <w:footnoteReference w:id="176"/>
      </w:r>
      <w:r>
        <w:rPr>
          <w:rFonts w:ascii="Amiri" w:hAnsi="Amiri" w:eastAsia="Amiri" w:cs="Amiri"/>
          <w:color w:val="111111"/>
          <w:sz w:val="28"/>
          <w:sz w:val="28"/>
          <w:szCs w:val="28"/>
          <w:rtl w:val="true"/>
          <w:lang w:bidi="ar-SA"/>
        </w:rPr>
        <w:t xml:space="preserve">جَيِّدٌ، مع أن الظاهر الغالب على الظنّ أنّ المراد به حمّاد بن عيسى أو حمّاد بن عثمان؛ لأنهما كثيراً ما يُروى عنهما ويَرويان عن معاوية بن عمّار، ومَنْ شاركهما في الاسم واختُصَّ بالضعفِ قَليلُ الرواية جداً، إلّا أنّ أصل القدح لا يزول بهذا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قولهم في مرجوحيتها باشتمالها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 فيما لا يَعقِلُ، ودلالة أخبار النّجاسَةِ على أعيان المنزوحاتِ والخاص مقدّم</w:t>
      </w:r>
      <w:r>
        <w:rPr>
          <w:rStyle w:val="FootnoteAnchor"/>
          <w:rtl w:val="true"/>
        </w:rPr>
        <w:footnoteReference w:id="178"/>
      </w:r>
      <w:r>
        <w:rPr>
          <w:rFonts w:ascii="Amiri" w:hAnsi="Amiri" w:eastAsia="Amiri" w:cs="Amiri"/>
          <w:color w:val="111111"/>
          <w:sz w:val="28"/>
          <w:sz w:val="28"/>
          <w:szCs w:val="28"/>
          <w:rtl w:val="true"/>
          <w:lang w:bidi="ar-SA"/>
        </w:rPr>
        <w:t xml:space="preserve">، فَسَنُورِدُ عليك جُملَةَ ما في الروايات الدالّة على أعيان المنزوحاتِ على وجهِ يَرتَفعُ </w:t>
      </w:r>
      <w:bookmarkStart w:id="124" w:name="pg10113_91939"/>
    </w:p>
    <w:p>
      <w:pPr>
        <w:pStyle w:val="BookText"/>
        <w:rPr/>
      </w:pPr>
      <w:bookmarkEnd w:id="124"/>
      <w:r>
        <w:rPr>
          <w:rFonts w:ascii="Amiri" w:hAnsi="Amiri" w:eastAsia="Amiri" w:cs="Amiri"/>
          <w:color w:val="111111"/>
          <w:sz w:val="28"/>
          <w:sz w:val="28"/>
          <w:szCs w:val="28"/>
          <w:rtl w:val="true"/>
          <w:lang w:bidi="ar-SA"/>
        </w:rPr>
        <w:t>ترجيحها، بل صلاحيّتها للدلالة رأساً، مع ما في هذه من الدلالة نصّاً، وإفادة الحصر المستفاد من الاستثناء مع اعتضاد الجميع بالأصل والاستصحاب، وعموم الأدلّة الدالّة على طهوريّة مطلق الماء وإنْ تَخَصَّصَتْ بموارد؛ فإنّ ذلك غير قادح في العموم بالنسبةِ إلى الباقي، وبمساواة البئرِ للجاري بالنسبة إلى النبع، وغير ذلك من الاعتبار</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375263_1067777946"/>
      <w:bookmarkStart w:id="126" w:name="_Toc40"/>
      <w:bookmarkEnd w:id="125"/>
      <w:r>
        <w:rPr>
          <w:rtl w:val="true"/>
        </w:rPr>
        <w:t>للقائلين بالطهارة اعتبارات ظنّية على قولهم</w:t>
      </w:r>
      <w:bookmarkEnd w:id="126"/>
    </w:p>
    <w:p>
      <w:pPr>
        <w:pStyle w:val="BookText"/>
        <w:rPr/>
      </w:pPr>
      <w:r>
        <w:rPr>
          <w:rFonts w:ascii="Amiri" w:hAnsi="Amiri" w:eastAsia="Amiri" w:cs="Amiri"/>
          <w:color w:val="111111"/>
          <w:sz w:val="28"/>
          <w:sz w:val="28"/>
          <w:szCs w:val="28"/>
          <w:rtl w:val="true"/>
          <w:lang w:bidi="ar-SA"/>
        </w:rPr>
        <w:t>بقى للقائلين بالطهارة أدلّة أخرى واعتبارات ظنّية على مذهبهم مدخولةٌ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لو نَجِسَتِ البئرُ بالمُلاقاة لما طَهُرَتْ، والتالي ظاهر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الدّلْوَ والرشاء</w:t>
      </w:r>
      <w:r>
        <w:rPr>
          <w:rStyle w:val="FootnoteAnchor"/>
          <w:rtl w:val="true"/>
        </w:rPr>
        <w:footnoteReference w:id="179"/>
      </w:r>
      <w:r>
        <w:rPr>
          <w:rFonts w:ascii="Amiri" w:hAnsi="Amiri" w:eastAsia="Amiri" w:cs="Amiri"/>
          <w:color w:val="111111"/>
          <w:sz w:val="28"/>
          <w:sz w:val="28"/>
          <w:szCs w:val="28"/>
          <w:rtl w:val="true"/>
          <w:lang w:bidi="ar-SA"/>
        </w:rPr>
        <w:t>، وجوانب البئر تَنْجَسُ بالمُلاقاة، أي بمُلاقاة الماء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ونَجاستها مانعة من حصول الطهارة في الماء بالنزح لدوام ملاقاتها، وكذا المُتَساقط من الدَّلْوِ حالَ النزح خصوصاً الدَلْوَ الأخير</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وجوابه أنّ هذا كلّه مُغتفر بالنصّ الدال على طُهرها مطلقاً بالنزح، وقد صرَّحَ به القائلونَ بالنّجاسَةِ</w:t>
      </w:r>
      <w:r>
        <w:rPr>
          <w:rStyle w:val="FootnoteAnchor"/>
          <w:rtl w:val="true"/>
        </w:rPr>
        <w:footnoteReference w:id="181"/>
      </w:r>
      <w:r>
        <w:rPr>
          <w:rFonts w:ascii="Amiri" w:hAnsi="Amiri" w:eastAsia="Amiri" w:cs="Amiri"/>
          <w:color w:val="111111"/>
          <w:sz w:val="28"/>
          <w:sz w:val="28"/>
          <w:szCs w:val="28"/>
          <w:rtl w:val="true"/>
          <w:lang w:bidi="ar-SA"/>
        </w:rPr>
        <w:t>، ووافقهم القائلونَ بالطَّهارَةِ على مثل هذا الحكم في آنية الخمر وغِطائها، وفي آلاتِ العَصير العِنَبي بعد ذهاب ثُلثَيهِ مع اتّفاقهم على عدم ظهور نصّ على حُكْمِهِ؛ وعلَّلوه بأنّه لولا الحكم بطهارتها لما أمكن الحكم بطهارة العصير، وعدّوا الحكم إلى ثياب المباشر ومزاوليه فهلا حكموا هنا بذلك مع دلالة ظاهر النصوص الكثيرة عليه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نَجِسَتِ البئرُ بالملاقاة لكان وقوع الكُرّ من الماء المُصاحِبِ للنّجاسَةِ موجباً لنَجاسةِ جميع الماء، والتالي ظاهرُ البطلان؛ لأنّ المُلاقي للنّجاسَةِ إذا لم يتغير بها قبل وقوعه محكوم بطهارته، فتمتنع نَجاسَتُهُ بغير مُنَجِّس؛ وللاستصحاب، بيان </w:t>
      </w:r>
    </w:p>
    <w:p>
      <w:pPr>
        <w:pStyle w:val="BookText"/>
        <w:rPr/>
      </w:pPr>
      <w:r>
        <w:rPr>
          <w:rFonts w:ascii="Amiri" w:hAnsi="Amiri" w:eastAsia="Amiri" w:cs="Amiri"/>
          <w:color w:val="111111"/>
          <w:sz w:val="28"/>
          <w:sz w:val="28"/>
          <w:szCs w:val="28"/>
          <w:rtl w:val="true"/>
          <w:lang w:bidi="ar-SA"/>
        </w:rPr>
        <w:t>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نَجاسة ماء البئر بمُلاقاةِ النّجاسَةِ تقتضي نَجاسة الماء الواقع، لاستحالة أن يكونَ بعض الماء الواحد طاهراً، وبعضُهُ نَجِساً مع عدم التغيّر</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النّجاسَةَ إِنِ اسْتُهْلِكَتْ قبل وصول الماء إلى البئر ارتفعَ حُكمُها برأسها ولم تؤثر في البئر حينئذٍ، وإنْ بَقِيَتْ عَيْنُها كما هو ظاهرُ كلامهم فبوقوع الكُرّ في البئر يتّحد الماءانِ ويصيرُ المجموع ماء بئرٍ عُرفاً، والأحكام الشرعيّة معلّقة على الأسماءِ اللُّغويّة أو العُرفيّة كالأصل، وكما لو وقع قليل من الماء الطاهر فيه، وخلاف ذلك مجرّد استبعادٍ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انتزع من البئرِ مقدارُ كُرّ قبل مُلاقاة النّجاسَةِ لم يَنجَسُ إِلَّا بِالتَغَيّرِ، ولو بقي في البئر مائة كُرّ مثلاً نَجِسَ بالمُلاقاة؛ فيلزم زيادة الفرع على أصله، وكون الجزء أقوى من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غير مسموع بعد ورود النص، والكُرّ المنتزع خرج عن اسم البئر فَلَحِقَهُ حُكمُ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بجريانِهِ من منابعه أشبَة الماء الجاري فيتساويان</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المساواة بعد فَرقِ الشارع بينهما، وهو مُتحقق على تقدير الحكم بالطهارة أيضاً؛ فإنّه يحكم باستحباب النزح للبئر دون غيره فلم يحصل 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بنجاسة البئرِ بالمُلاقاة دون المَصْنَعِ إذا كان كثيراً مما لا يجتمعان، والثاني ثابتٌ إجماعاً فينتفي الأوّل، بيان التنافي أنه لا فرق بينه وبين البئر سوى المادة، وهي ممّا تؤكّد عَدَمَ نَجاستها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كلّه مجرّد استبعاد، فلا يُسمَعُ بعد ورودِ النصّ بالفَرقِ، وتحقّقه </w:t>
      </w:r>
    </w:p>
    <w:p>
      <w:pPr>
        <w:pStyle w:val="BookText"/>
        <w:rPr/>
      </w:pPr>
      <w:r>
        <w:rPr>
          <w:rFonts w:ascii="Amiri" w:hAnsi="Amiri" w:eastAsia="Amiri" w:cs="Amiri"/>
          <w:color w:val="111111"/>
          <w:sz w:val="28"/>
          <w:sz w:val="28"/>
          <w:szCs w:val="28"/>
          <w:rtl w:val="true"/>
          <w:lang w:bidi="ar-SA"/>
        </w:rPr>
        <w:t>بينهما باعترافِ الخَصمِ باستحباب النزح كما ذكرناه، فقد تحقّق الاتّفاق على عدم 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يَمرُّ مع أصحابه بآبار المشركين ويأخذون منها الماء، ولم يَنقُلْ عنهم أنهم كانوا يَنزَحون منها شيئاً، أو يأمرهم باجتنابها</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مع تسليمه لا يَدلُّ على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بوقوع النجاسة فيها، وذلك كافٍ في عدم وجوب الاجتناب، وكثيراً ما كان يُعهَدُ من شَرْعِهِ وفِعِلِهِ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الأصل والإعراض عن الظنِّ والتفحص عن هذه الأمور، مع أنّه يَحتَمِلُ أمراً آخَرَ،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مجموع هذه الأمور تُفيدُ ظنَّ عدم الانفعال بالملاقاة، لا ثبوته شرعاً، وإنّما الاعتماد على النصّ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إجماعيّة قبل ظهور المخالف، كما ادّعاه السيّد ابنُ زُهرة</w:t>
      </w:r>
      <w:r>
        <w:rPr>
          <w:rStyle w:val="FootnoteAnchor"/>
          <w:rtl w:val="true"/>
        </w:rPr>
        <w:footnoteReference w:id="185"/>
      </w:r>
      <w:r>
        <w:rPr>
          <w:rFonts w:ascii="Amiri" w:hAnsi="Amiri" w:eastAsia="Amiri" w:cs="Amiri"/>
          <w:color w:val="111111"/>
          <w:sz w:val="28"/>
          <w:sz w:val="28"/>
          <w:szCs w:val="28"/>
          <w:rtl w:val="true"/>
          <w:lang w:bidi="ar-SA"/>
        </w:rPr>
        <w:t xml:space="preserve">، أو معلوم النسب كما يظهرُ من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وغيره</w:t>
      </w:r>
      <w:r>
        <w:rPr>
          <w:rStyle w:val="FootnoteAnchor"/>
          <w:rtl w:val="true"/>
        </w:rPr>
        <w:footnoteReference w:id="187"/>
      </w:r>
      <w:r>
        <w:rPr>
          <w:rFonts w:ascii="Amiri" w:hAnsi="Amiri" w:eastAsia="Amiri" w:cs="Amiri"/>
          <w:color w:val="111111"/>
          <w:sz w:val="28"/>
          <w:sz w:val="28"/>
          <w:szCs w:val="28"/>
          <w:rtl w:val="true"/>
          <w:lang w:bidi="ar-SA"/>
        </w:rPr>
        <w:t>، فلا يصحّ إحداث القول بالطهارة وإنْ قام عليه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الإجماع سابقاً ولاحقاً، ومَنعُ حجيَّتِهِ على تقديره بهذا المعنى، وأولى منه مَنعُ حجيَّة ما يظهر فيه المخالف المعلوم النَسبُ</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وتحقيق هذه المقدمات محَقَّق في موضع آخَرَ، مع ما يظهر على صفحاتها من مخايل الفَسادِ والبُعْدِ في حُجيَّتها عن السدادِ، وقد تقدّم على دعوى السيّد خلافُ ابن أبي عقيل</w:t>
      </w:r>
      <w:r>
        <w:rPr>
          <w:rStyle w:val="FootnoteAnchor"/>
          <w:rtl w:val="true"/>
        </w:rPr>
        <w:footnoteReference w:id="188"/>
      </w:r>
      <w:r>
        <w:rPr>
          <w:rFonts w:ascii="Amiri" w:hAnsi="Amiri" w:eastAsia="Amiri" w:cs="Amiri"/>
          <w:color w:val="111111"/>
          <w:sz w:val="28"/>
          <w:sz w:val="28"/>
          <w:szCs w:val="28"/>
          <w:rtl w:val="true"/>
          <w:lang w:bidi="ar-SA"/>
        </w:rPr>
        <w:t>، وأبي عبد اللّه الحسين بن عُبيد اللّه الغضائري</w:t>
      </w:r>
      <w:r>
        <w:rPr>
          <w:rStyle w:val="FootnoteAnchor"/>
          <w:rtl w:val="true"/>
        </w:rPr>
        <w:footnoteReference w:id="189"/>
      </w:r>
      <w:r>
        <w:rPr>
          <w:rFonts w:ascii="IRNazanin" w:hAnsi="IRNazanin" w:eastAsia="IRNazanin"/>
          <w:color w:val="111111"/>
          <w:sz w:val="28"/>
          <w:sz w:val="28"/>
          <w:szCs w:val="28"/>
          <w:rtl w:val="true"/>
          <w:lang w:bidi="fa-IR"/>
        </w:rPr>
        <w:t xml:space="preserve">، وتأخّر عنها خلاف </w:t>
      </w:r>
      <w:bookmarkStart w:id="127" w:name="pg10113_91942"/>
    </w:p>
    <w:p>
      <w:pPr>
        <w:pStyle w:val="BookText"/>
        <w:rPr/>
      </w:pPr>
      <w:bookmarkEnd w:id="127"/>
      <w:r>
        <w:rPr>
          <w:rFonts w:ascii="Amiri" w:hAnsi="Amiri" w:eastAsia="Amiri" w:cs="Amiri"/>
          <w:color w:val="111111"/>
          <w:sz w:val="28"/>
          <w:sz w:val="28"/>
          <w:szCs w:val="28"/>
          <w:rtl w:val="true"/>
          <w:lang w:bidi="ar-SA"/>
        </w:rPr>
        <w:t>مفيد الدين بن جُهَيْمٍ</w:t>
      </w:r>
      <w:r>
        <w:rPr>
          <w:rStyle w:val="FootnoteAnchor"/>
          <w:rtl w:val="true"/>
        </w:rPr>
        <w:footnoteReference w:id="190"/>
      </w:r>
      <w:r>
        <w:rPr>
          <w:rFonts w:ascii="Amiri" w:hAnsi="Amiri" w:eastAsia="Amiri" w:cs="Amiri"/>
          <w:color w:val="111111"/>
          <w:sz w:val="28"/>
          <w:sz w:val="28"/>
          <w:szCs w:val="28"/>
          <w:rtl w:val="true"/>
          <w:lang w:bidi="ar-SA"/>
        </w:rPr>
        <w:t xml:space="preserve">، وتلميذه العلّامة </w:t>
      </w:r>
      <w:r>
        <w:rPr>
          <w:rStyle w:val="FootnoteAnchor"/>
          <w:rtl w:val="true"/>
        </w:rPr>
        <w:footnoteReference w:id="191"/>
      </w:r>
      <w:r>
        <w:rPr>
          <w:rFonts w:ascii="Amiri" w:hAnsi="Amiri" w:eastAsia="Amiri" w:cs="Amiri"/>
          <w:color w:val="111111"/>
          <w:sz w:val="28"/>
          <w:sz w:val="28"/>
          <w:szCs w:val="28"/>
          <w:rtl w:val="true"/>
          <w:lang w:bidi="ar-SA"/>
        </w:rPr>
        <w:t>وولده السعيد فخر المحقّقين</w:t>
      </w:r>
      <w:r>
        <w:rPr>
          <w:rStyle w:val="FootnoteAnchor"/>
          <w:rtl w:val="true"/>
        </w:rPr>
        <w:footnoteReference w:id="192"/>
      </w:r>
      <w:r>
        <w:rPr>
          <w:rFonts w:ascii="Amiri" w:hAnsi="Amiri" w:eastAsia="Amiri" w:cs="Amiri"/>
          <w:color w:val="111111"/>
          <w:sz w:val="28"/>
          <w:sz w:val="28"/>
          <w:szCs w:val="28"/>
          <w:rtl w:val="true"/>
          <w:lang w:bidi="ar-SA"/>
        </w:rPr>
        <w:t>والمحقّق الشيخ عليّ</w:t>
      </w:r>
      <w:r>
        <w:rPr>
          <w:rStyle w:val="FootnoteAnchor"/>
          <w:rtl w:val="true"/>
        </w:rPr>
        <w:footnoteReference w:id="193"/>
      </w:r>
      <w:r>
        <w:rPr>
          <w:rFonts w:ascii="Amiri" w:hAnsi="Amiri" w:eastAsia="Amiri" w:cs="Amiri"/>
          <w:color w:val="111111"/>
          <w:sz w:val="28"/>
          <w:sz w:val="28"/>
          <w:szCs w:val="28"/>
          <w:rtl w:val="true"/>
          <w:lang w:bidi="ar-SA"/>
        </w:rPr>
        <w:t>، وغيرهم</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 w:name="__RefHeading___Toc375265_1067777946"/>
      <w:bookmarkStart w:id="129" w:name="_Toc41"/>
      <w:bookmarkEnd w:id="128"/>
      <w:r>
        <w:rPr>
          <w:rtl w:val="true"/>
        </w:rPr>
        <w:t>مناقشة أدلّة القائلين بالنّجاسَةِ</w:t>
      </w:r>
      <w:bookmarkEnd w:id="129"/>
    </w:p>
    <w:p>
      <w:pPr>
        <w:pStyle w:val="BookText"/>
        <w:rPr/>
      </w:pPr>
      <w:r>
        <w:rPr>
          <w:rFonts w:ascii="Amiri" w:hAnsi="Amiri" w:eastAsia="Amiri" w:cs="Amiri"/>
          <w:color w:val="111111"/>
          <w:sz w:val="28"/>
          <w:sz w:val="28"/>
          <w:szCs w:val="28"/>
          <w:rtl w:val="true"/>
          <w:lang w:bidi="ar-SA"/>
        </w:rPr>
        <w:t>وأمّا أصحاب هذا القول فقد أجابوا عن أدلّة القائلين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صحيحة ابن بزيعٍ، قبأنّها معارَضَةٌ بروايته الأولى بالطهارة؛ وإذا تعارض الخبرانِ فأقَلُّ مراتبهما السقوط والرجوع إلى حكم الأصل، وهو هنا الطهارة</w:t>
      </w:r>
      <w:r>
        <w:rPr>
          <w:rStyle w:val="FootnoteAnchor"/>
          <w:rtl w:val="true"/>
        </w:rPr>
        <w:footnoteReference w:id="195"/>
      </w:r>
      <w:r>
        <w:rPr>
          <w:rFonts w:ascii="Amiri" w:hAnsi="Amiri" w:eastAsia="Amiri" w:cs="Amiri"/>
          <w:color w:val="111111"/>
          <w:sz w:val="28"/>
          <w:sz w:val="28"/>
          <w:szCs w:val="28"/>
          <w:rtl w:val="true"/>
          <w:lang w:bidi="ar-SA"/>
        </w:rPr>
        <w:t>، أو بأنّها مكاتبةٌ، وغاية الأمرِ سقوطهما والرجوع إلى الأصل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حقّقناه فالترجيح متحقّق بالمُشافَهَةِ على المكاتَبَةِ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 الترجيح في جانب الطهارة من جهة موافقتها للأصل، ودَلالتها نصاً بخلاف هذه؛ فإنّها تفتقر إلى تقدير محذوف، وهو ما تقدّم من أنّ ذلك طُهْرُها؛ وبإمكان حمل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اللُغَويّة، وهذا وإنْ أمكن في تأويلِ الفَسادِ مع اشتراكهما في خلاف الظاهر أو المجاز، إلّا أنّ الأنسب في الجملتين اختصاص الجانب المرجوح ليَسلَمَ من التناقض، وقد ظهر أنّه في هذا الجانب</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صحيحةُ ابن يقطين، ففيها عدم الدلالة نصَّاً أيضاً؛ لاحتمال الإجزاء الخروج عن عُهدة الندب والتطهير التنظيف غايته دَلالتها ظاهراً والنص مقدَّم</w:t>
      </w:r>
      <w:r>
        <w:rPr>
          <w:rStyle w:val="FootnoteAnchor"/>
          <w:rtl w:val="true"/>
        </w:rPr>
        <w:footnoteReference w:id="196"/>
      </w:r>
      <w:r>
        <w:rPr>
          <w:rFonts w:ascii="Amiri" w:hAnsi="Amiri" w:eastAsia="Amiri" w:cs="Amiri"/>
          <w:color w:val="111111"/>
          <w:sz w:val="28"/>
          <w:sz w:val="28"/>
          <w:szCs w:val="28"/>
          <w:rtl w:val="true"/>
          <w:lang w:bidi="ar-SA"/>
        </w:rPr>
        <w:t>والأولى من ذلك أنّ حَمْلَها على ظاهرها لا يستقيم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فلاقتضائه الإجزاء في التطهير من جميع ما ذُكِرَ من النجاسات بنزح ثلاث دِلاء؛ لأنّها أقلُّ الجَمع، ولا يقدح كونها جَمعَ </w:t>
      </w:r>
    </w:p>
    <w:p>
      <w:pPr>
        <w:pStyle w:val="BookText"/>
        <w:rPr/>
      </w:pPr>
      <w:r>
        <w:rPr>
          <w:rFonts w:ascii="Amiri" w:hAnsi="Amiri" w:eastAsia="Amiri" w:cs="Amiri"/>
          <w:color w:val="111111"/>
          <w:sz w:val="28"/>
          <w:sz w:val="28"/>
          <w:szCs w:val="28"/>
          <w:rtl w:val="true"/>
          <w:lang w:bidi="ar-SA"/>
        </w:rPr>
        <w:t>كَثرَةٍ؛ لأنّ الفرق بين الجمعين غيرُ معتبر في الاستعمال العُرفي والشرعي، سلَّمنا لكن يجب على ذلك أحدَ عَشَرَ، ولم يقل به أحَدٌ، 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يلزم استواء الكلب والفأرة في الحكم وهو فاسد، وحملها على تفشخ الفأرة وخروج الكلب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بُعْدِهِ جداً عن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حَمْلَ الجمع المطلق على السَبْعِ، والجمع بينه وبين النصّ الآخر المقيد بذلك سيأتي ما فيه، ومع ذلك فهذا الحَمْلُ ليس أولى من حمله على التنظيف أو الاستحباب أو التغيّر ونحو ذلك؛ لاشتراك الجميع في خلاف الظاهر، والجواز مراعاةً للجمع، فيكون ذلك هو المُرَجّح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القول بدَلالتها على النّجاسَةِ في الجُملة و إنْ لم يُعْمَلْ بظاهره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إلّا أنّه حيث يُطرح العمل بظاهره تَسْقُطُ دلالته الظاهرة، ويَصيرُ تأويله أولى من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صحيحةُ ابن أبي يعفور</w:t>
      </w:r>
      <w:r>
        <w:rPr>
          <w:rStyle w:val="FootnoteAnchor"/>
          <w:rtl w:val="true"/>
        </w:rPr>
        <w:footnoteReference w:id="197"/>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يتم الاحتجاج بها على النجاسةِ؛ لأنّ بدن الجُنُبِ إذا كان طاهراً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المفروض، والمفهوم من الحديث والمعلوم من غَيرِهِ كحديث الحلبي المتضمّن نزح سبعِ دِلاءٍ</w:t>
      </w:r>
      <w:r>
        <w:rPr>
          <w:rStyle w:val="FootnoteAnchor"/>
          <w:rtl w:val="true"/>
        </w:rPr>
        <w:footnoteReference w:id="198"/>
      </w:r>
      <w:r>
        <w:rPr>
          <w:rFonts w:ascii="Amiri" w:hAnsi="Amiri" w:eastAsia="Amiri" w:cs="Amiri"/>
          <w:color w:val="111111"/>
          <w:sz w:val="28"/>
          <w:sz w:val="28"/>
          <w:szCs w:val="28"/>
          <w:rtl w:val="true"/>
          <w:lang w:bidi="ar-SA"/>
        </w:rPr>
        <w:t xml:space="preserve">إذ نَجاسَةُ المَني توجب عند القائلين بالتنجيس نزحَ الجميع وبه صَرَّحوا كُلّهم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يُحْكَمُ بنَجاسةِ الماء بمجرّد الملاقاة ؟ مع أنّ نَجاسَةَ بدن الجنب حُكميّةٌ،وهميَّةٌ، ومثلُها لا يتعدّى؛ فإنّ الجنبَ إذا اغتسل في ماءٍ قليل لم يَنْجَسُ إجماعاً فالبئر أولى لمكان المادَّةِ والكَثرَةِ في كثيرٍ من أفراده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يقال من أنّ ذلك مجرّد استبعادٍ وأنّ البئر قد اسْتَمَلَ على أحكام مختلفةٍ، واتّفاق حكم نجاساتٍ متباينة، وأن تأثير النّجاسَةِ مَرجِعُهُ إلى الشارع، وقد فَرَضَها هنا </w:t>
      </w:r>
    </w:p>
    <w:p>
      <w:pPr>
        <w:pStyle w:val="BookText"/>
        <w:rPr/>
      </w:pPr>
      <w:r>
        <w:rPr>
          <w:rFonts w:ascii="Amiri" w:hAnsi="Amiri" w:eastAsia="Amiri" w:cs="Amiri"/>
          <w:color w:val="111111"/>
          <w:sz w:val="28"/>
          <w:sz w:val="28"/>
          <w:szCs w:val="28"/>
          <w:rtl w:val="true"/>
          <w:lang w:bidi="ar-SA"/>
        </w:rPr>
        <w:t>فيجوز انفعالُ البئر بذلك وإنْ لم نَقُل بانفعال المستعمل القليل يمكن احتماله لوقوي دليل النّجاسَةِ أمّا بمجرّد هذا فلا، وحَيثُ قد رُدَّ ما تقدّم من الأخبار، فلا يجوز التعلَّق بهذا وَحْدَهُ في هذا الحكم المخالف للأصل والظاهر والعقل، مع أن الإفساد أعم من النّجاسَة كما أسلفناه، وإنّما صِرْنا إلى تخصيصه ثُمَّ بالنّجاسَةِ لعارض، وبقرينة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الفارقُ بين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جوابُ ما يقال من أنّ الإفساد قد ورد في الجانبين، فمهما قيل به في أحدهما يقال في الآخر؛ لظهور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بالتيمم فلا يدلُّ على نَجاسةِ الماء؛ لأنه أعم منها، لجواز التيمّم مع وجود الماء الطاهر إذا اضطرّ إلى شُرب حيوان محترم له، والظاهر أن الأمر هنا كذلك؛ لأنّ نزول الجنب في البئرِ يُثِيرُ الحَماةَ ويُغَيِّر الماء ويُفسِده على الشارب غالباً، ولو فُرِضَ عدم حصول ذلك في بعض الآبار حملنا مورد الرواية على ذلك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استدلَّ به القائلون بالنّجاسَةِ من حيث الاعتبار، من أنّ البئر لو لم ينجس لم يكن للنزح فائدة فيكون عبئاً، والتالي ظاهِرُ البطلان؛ لصدوره عمَّن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يَنطِقُ عَنِ الْهَوَى</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فالمقدَّمُ مثله</w:t>
      </w:r>
      <w:r>
        <w:rPr>
          <w:rStyle w:val="FootnoteAnchor"/>
          <w:rtl w:val="true"/>
        </w:rPr>
        <w:footnoteReference w:id="202"/>
      </w:r>
      <w:r>
        <w:rPr>
          <w:rFonts w:ascii="Amiri" w:hAnsi="Amiri" w:eastAsia="Amiri" w:cs="Amiri"/>
          <w:color w:val="111111"/>
          <w:sz w:val="28"/>
          <w:sz w:val="28"/>
          <w:szCs w:val="28"/>
          <w:rtl w:val="true"/>
          <w:lang w:bidi="ar-SA"/>
        </w:rPr>
        <w:t>، والملازمة ظاهِرةً؛ ففيه منع الملازمة؛ إذ لا يَلْزَمُ من انتفاء فائدة مخصوصة انتفاؤها مطلقاً، ولا يَلْزَمُ من عدم العلم بها عدمها، ومن ثم قالوا بالاستحباب، وهو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في التهذيب، بأنه تعبُّد</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فالأخبار متعارضة، والاعتبار قائم، وباب التأويل مُتَّسِع، والرجحان على ما ظَهَرَ لنا الآنَ في جانب الطهارة، كما استفيد من مطاوي ما قَرَّرناه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 على تقدير القول بالنجاسةِ يُشكِلُ القول بالطهارة بالنزح على الوجه </w:t>
      </w:r>
      <w:bookmarkStart w:id="130" w:name="pg10113_91945"/>
    </w:p>
    <w:p>
      <w:pPr>
        <w:pStyle w:val="BookText"/>
        <w:rPr/>
      </w:pPr>
      <w:bookmarkEnd w:id="130"/>
      <w:r>
        <w:rPr>
          <w:rFonts w:ascii="Amiri" w:hAnsi="Amiri" w:eastAsia="Amiri" w:cs="Amiri"/>
          <w:color w:val="111111"/>
          <w:sz w:val="28"/>
          <w:sz w:val="28"/>
          <w:szCs w:val="28"/>
          <w:rtl w:val="true"/>
          <w:lang w:bidi="ar-SA"/>
        </w:rPr>
        <w:t>الذي اشتهر بين الأصحابِ؛ لما اعتبرناه من عدم صحّة الآثار الواردة بذلك، بل عدمِها أصلاً في كثيرٍ منها، فيلزم القول بعدم الطهارة بالنزح في غير ما اعتبر حديثُهُ وهو قليل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فلم يَقُلْ أحد من الأصحاب بهذا القول، وهو قرينة كبيرة على عدم النّجاسَةِ، وسنشير إلى جُملةٍ من المواضع التي ذكروها وقدروا لها منزُوحاً، استناداً إلى ما لا يصلح سنداً</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375267_1067777946"/>
      <w:bookmarkStart w:id="132" w:name="_Toc42"/>
      <w:bookmarkEnd w:id="131"/>
      <w:r>
        <w:rPr>
          <w:rtl w:val="true"/>
        </w:rPr>
        <w:t>الأقوال في نزح البئر</w:t>
      </w:r>
      <w:bookmarkEnd w:id="132"/>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أوجبوا به نزحَ الجَميعِ، وهو وقوع الخَمرِ وغيره من المُسكرات المائعة والفُقّاعِ والمنيّ ودَمِ الحَيضِ والاستحاضة والنفاسِ وموتِ البعير والثور والحالُ أنّ المنيَّ والدماء الثلاثة لم يَرِدْ بها نَصُّ مطلقاً، نعم، وَرَدَ في وقوع الدمِ نَزْحُ مقدارٍ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الكلام فيه، وهو شامل بإطلاقه أو عمومه لها، وإنّما ألحقها الشيخ بالخمرِ</w:t>
      </w:r>
      <w:r>
        <w:rPr>
          <w:rStyle w:val="FootnoteAnchor"/>
          <w:rtl w:val="true"/>
        </w:rPr>
        <w:footnoteReference w:id="204"/>
      </w:r>
      <w:r>
        <w:rPr>
          <w:rFonts w:ascii="Amiri" w:hAnsi="Amiri" w:eastAsia="Amiri" w:cs="Amiri"/>
          <w:color w:val="111111"/>
          <w:sz w:val="28"/>
          <w:sz w:val="28"/>
          <w:szCs w:val="28"/>
          <w:rtl w:val="true"/>
          <w:lang w:bidi="ar-SA"/>
        </w:rPr>
        <w:t>، لِغِلَظِ نَجاستِها، وتبعه الجماعة</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لا يَصلَحُ لتأسيس الأحكام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المُسكِرُ والفَقاعُ فلم يرد به أيضاً نصّ، وإنّما وَرَدَ في الخمر</w:t>
      </w:r>
      <w:r>
        <w:rPr>
          <w:rStyle w:val="FootnoteAnchor"/>
          <w:rtl w:val="true"/>
        </w:rPr>
        <w:footnoteReference w:id="206"/>
      </w:r>
      <w:r>
        <w:rPr>
          <w:rFonts w:ascii="Amiri" w:hAnsi="Amiri" w:eastAsia="Amiri" w:cs="Amiri"/>
          <w:color w:val="111111"/>
          <w:sz w:val="28"/>
          <w:sz w:val="28"/>
          <w:szCs w:val="28"/>
          <w:rtl w:val="true"/>
          <w:lang w:bidi="ar-SA"/>
        </w:rPr>
        <w:t>، ولكن الأمر فيه سهل حيث ورد أنّ الفُقَّاعَ خمرٌ مَجهولٌ</w:t>
      </w:r>
      <w:r>
        <w:rPr>
          <w:rStyle w:val="FootnoteAnchor"/>
          <w:rtl w:val="true"/>
        </w:rPr>
        <w:footnoteReference w:id="207"/>
      </w:r>
      <w:r>
        <w:rPr>
          <w:rFonts w:ascii="Amiri" w:hAnsi="Amiri" w:eastAsia="Amiri" w:cs="Amiri"/>
          <w:color w:val="111111"/>
          <w:sz w:val="28"/>
          <w:sz w:val="28"/>
          <w:szCs w:val="28"/>
          <w:rtl w:val="true"/>
          <w:lang w:bidi="ar-SA"/>
        </w:rPr>
        <w:t>، وأنّ كلّ ما فَعَلَ فِعْلَ الخَمر فهو بمنزلته</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العجيب ما علَّلَ به بَعضُ الفُضَلاء حُكْمَ الدِماء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اعترافِهِ بعدم النصّ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بمنزلة المنيّ</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أثبتَ حُكم المنى حتّى يُلْحِقَ به الدماء الثلاثة ؟ </w:t>
      </w:r>
    </w:p>
    <w:p>
      <w:pPr>
        <w:pStyle w:val="BookText"/>
        <w:rPr/>
      </w:pPr>
      <w:r>
        <w:rPr>
          <w:rFonts w:ascii="Amiri" w:hAnsi="Amiri" w:eastAsia="Amiri" w:cs="Amiri"/>
          <w:color w:val="111111"/>
          <w:sz w:val="28"/>
          <w:sz w:val="28"/>
          <w:szCs w:val="28"/>
          <w:rtl w:val="true"/>
          <w:lang w:bidi="ar-SA"/>
        </w:rPr>
        <w:t>وبقي الكلام في الخَمرِ والبَعِيرِ والثّورِ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الخَمرُ فقد ورد فيه روايات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الحلبي وعبد اللّه بن سَنانٍ ومعاوية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بنزح الماء كلّه ؛ لكن في رواية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البئرُ يَبولُ فيها الصبيّ أو يُصَبُّ فيها بول أو خَمرٌ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الماء كُلُّه</w:t>
      </w:r>
      <w:r>
        <w:rPr>
          <w:rFonts w:eastAsia="Amiri" w:cs="Amiri" w:ascii="Amiri" w:hAnsi="Amiri"/>
          <w:color w:val="111111"/>
          <w:sz w:val="28"/>
          <w:szCs w:val="28"/>
          <w:rtl w:val="true"/>
          <w:lang w:bidi="ar-SA"/>
        </w:rPr>
        <w:t>»</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والأصحاب لا يعملون بذلك في بول الصبيّ ولا في مطلق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مات فيها ثورٌ أو نحوه أو صُبَّ فيها 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نُزِحَ الماء كُلّه</w:t>
      </w:r>
      <w:r>
        <w:rPr>
          <w:rFonts w:eastAsia="Amiri" w:cs="Amiri" w:ascii="Amiri" w:hAnsi="Amiri"/>
          <w:color w:val="111111"/>
          <w:sz w:val="28"/>
          <w:szCs w:val="28"/>
          <w:rtl w:val="true"/>
          <w:lang w:bidi="ar-SA"/>
        </w:rPr>
        <w:t>»</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الثور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والبغل والدابّة، وهم لا يقولونَ بتساويها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سقط في البئرِ شيءٌ صغير فمات فيها فانزح منها دِلاءً، وإنْ مات فيها بعيرٌ أو صُبَّ فيها خمرٌ فلينزح</w:t>
      </w:r>
      <w:r>
        <w:rPr>
          <w:rFonts w:eastAsia="Amiri" w:cs="Amiri" w:ascii="Amiri" w:hAnsi="Amiri"/>
          <w:color w:val="111111"/>
          <w:sz w:val="28"/>
          <w:szCs w:val="28"/>
          <w:rtl w:val="true"/>
          <w:lang w:bidi="ar-SA"/>
        </w:rPr>
        <w:t>»</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بالاكتفاء في مطلق الحيوان الصغير بدلاء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يقتضي الاكتفاء بثلاثة أو أحَدَ عَشَرَ، ولا يقولون به مطلقاً كذلك، فظاهِرُ الثلاثِ متروك وإن كانت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زُرارَةَ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 والدَمُ والخَمرُ ولَحمُ الخِنزيرِ في ذلك كلّه واحدٌ يُنزَحُ منه عشرونَ دَلواً، فإن غلبت الريحُ نُزِحَتْ حتّى يطيب</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كُرْدَوَيْه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البئر يَقَعُ فيها قطرة دم أو نبيذ مُسكرٍ أو بول أو خمر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منها ثلاثونَ دَلواً</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التسوية بين هذه الأُمور واختلاف الأخبار على هذا الوجه، والاكتفاء مع التغيّرِ بنزحها حتّى تتطيب، مع أنّه أعم من بلوغ المقدَّرِ وعدمه، قرينة قوية على القول بعدم النّجاسَةِ وتأدّي السنّة بجميع ما وَرَدَ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Style w:val="FootnoteAnchor"/>
          <w:rtl w:val="true"/>
        </w:rPr>
        <w:footnoteReference w:id="215"/>
      </w:r>
      <w:r>
        <w:rPr>
          <w:rFonts w:ascii="Amiri" w:hAnsi="Amiri" w:eastAsia="Amiri" w:cs="Amiri"/>
          <w:color w:val="111111"/>
          <w:sz w:val="28"/>
          <w:sz w:val="28"/>
          <w:szCs w:val="28"/>
          <w:rtl w:val="true"/>
          <w:lang w:bidi="ar-SA"/>
        </w:rPr>
        <w:t>في هذا الاختلافِ تأويلات بعيدة وجمع غريب، كحمل الشيخ بول الصبيّ ومطلق البول على المُغَيّر للبئرِ، وحَمْلِهِ الأخبار الأخيرة التي لا يوجب نزح الجميع للخمر على أنها خبر واحدٍ وغير ذلك</w:t>
      </w:r>
      <w:r>
        <w:rPr>
          <w:rStyle w:val="FootnoteAnchor"/>
          <w:rtl w:val="true"/>
        </w:rPr>
        <w:footnoteReference w:id="216"/>
      </w:r>
      <w:r>
        <w:rPr>
          <w:rFonts w:ascii="Amiri" w:hAnsi="Amiri" w:eastAsia="Amiri" w:cs="Amiri"/>
          <w:color w:val="111111"/>
          <w:sz w:val="28"/>
          <w:sz w:val="28"/>
          <w:szCs w:val="28"/>
          <w:rtl w:val="true"/>
          <w:lang w:bidi="ar-SA"/>
        </w:rPr>
        <w:t xml:space="preserve">، ومتى ترك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بخبر الواحدِ الضعيف والمجهول ؟ حتّى يَرُدَّ الخبر الواحد مطلقاً، كما يفعله المرتضى </w:t>
      </w:r>
      <w:r>
        <w:rPr>
          <w:rStyle w:val="FootnoteAnchor"/>
          <w:rtl w:val="true"/>
        </w:rPr>
        <w:footnoteReference w:id="217"/>
      </w:r>
      <w:r>
        <w:rPr>
          <w:rFonts w:ascii="Amiri" w:hAnsi="Amiri" w:eastAsia="Amiri" w:cs="Amiri"/>
          <w:color w:val="111111"/>
          <w:sz w:val="28"/>
          <w:sz w:val="28"/>
          <w:szCs w:val="28"/>
          <w:rtl w:val="true"/>
          <w:lang w:bidi="ar-SA"/>
        </w:rPr>
        <w:t>و من تابَعَهُ عليه</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البَعيرُ فقد سَمِعتَ ما فيه من إيجاب نزح الجميع، وروى عَمرُو بنُ سعيد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يَقَعُ في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أشياءَ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بَلَغَت الحمار والجَمَل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 من ماءٍ</w:t>
      </w:r>
      <w:r>
        <w:rPr>
          <w:rFonts w:eastAsia="Amiri" w:cs="Amiri" w:ascii="Amiri" w:hAnsi="Amiri"/>
          <w:color w:val="111111"/>
          <w:sz w:val="28"/>
          <w:szCs w:val="28"/>
          <w:rtl w:val="true"/>
          <w:lang w:bidi="ar-SA"/>
        </w:rPr>
        <w:t>»</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جَمَعَ بينهما هنا بأنه إذا نَزَحَ الجميع فقد نزح الكُرَّ فعمل بالخبرين</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الثَوْرُ فقد عَرفْتَ إيجابَه نَزْحَ الجميع فيما سَلَفَ، وقد حَكَمَ الأصحابُ بأنّ البقرة وشبهها من الدواب يُنْزَحُ له كُرّ</w:t>
      </w:r>
      <w:r>
        <w:rPr>
          <w:rStyle w:val="FootnoteAnchor"/>
          <w:rtl w:val="true"/>
        </w:rPr>
        <w:footnoteReference w:id="221"/>
      </w:r>
      <w:r>
        <w:rPr>
          <w:rFonts w:ascii="Amiri" w:hAnsi="Amiri" w:eastAsia="Amiri" w:cs="Amiri"/>
          <w:color w:val="111111"/>
          <w:sz w:val="28"/>
          <w:sz w:val="28"/>
          <w:szCs w:val="28"/>
          <w:rtl w:val="true"/>
          <w:lang w:bidi="ar-SA"/>
        </w:rPr>
        <w:t>، لخبر عمرو بن سَعيد السابق، فهو شامل للثّوْرِ؛ مع أنّ في دلالة الخبر على ذلك نظراً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عمّار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سوى ذلك ممّا يَقَعُ في الماء فيموتُ فيه فأكثرَهُ الإِنسانُ، يُنزَحُ منها سبعونَ دَلواً وأقلُّها العُصفورُ يُنْزَح منها دَلوٌ واحد، وما سوى ذلك فيما بين هذين</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يتناول الثور وغيره، ويدلّ على أنّه لا يبلغ السبعينَ دَلْواً، مع أنّ هذا الخبر مستندُ </w:t>
      </w:r>
    </w:p>
    <w:p>
      <w:pPr>
        <w:pStyle w:val="BookText"/>
        <w:rPr/>
      </w:pPr>
      <w:r>
        <w:rPr>
          <w:rFonts w:ascii="Amiri" w:hAnsi="Amiri" w:eastAsia="Amiri" w:cs="Amiri"/>
          <w:color w:val="111111"/>
          <w:sz w:val="28"/>
          <w:sz w:val="28"/>
          <w:szCs w:val="28"/>
          <w:rtl w:val="true"/>
          <w:lang w:bidi="ar-SA"/>
        </w:rPr>
        <w:t>الأصحاب في موت الإنسان والعُصفور المذكورَيْنِ فيه، وفي سَنَدِهِ ضَعَفٌ بِجَمَاعَةٍ</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حُكْمُهُم بالتراوح على البئر يوماً عند تعذرِ نزجه أجمعُ، وطُهْرٍ ما يَتَخَلَّفُ منه بعد ذلك واسْتَندوا في هذا الحكم المخالفِ للأصل إلى رواية أحمد بن فضالة عن عمرو بن سعيد، عن مصدقٍ عن عمّار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بئرٍ يقعُ فيها كلب أو فأرةٌ أو خنزير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تُنْزَفُ كُلَّها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غلب عليه الماء فَليُنْزَفْ منه يوماً إلى الليل، ثمّ يُقامُ عليها قومٌ يَتراوَحُونَ اثنين اثنينِ فَيَنزِفون يوماً إلى الليل، وقد طَهُرَت</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عليك قُصُور هذا الخبر عن إثبات هذا الحكم تطهيره لما حُكِمَ بنَجاستِهِ، مع ما فيه من ضعفِ السند واشتماله على الأحكام المخالفة لغيره من الأخبار والفتاوى، وحَمْلُ مطلَقِه على تَغيُّرِ البئر بالكلب والفأرة والخنزير 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حُكمُهُم بِنَزْحٍ كُرٍ لموت الدابَّةِ أو الحمار أو البقرة أو البغل، مع أنّ ماعدا الحِمار لم يُوجَدُ في النصّ، وقد وُجِد الحمارُ مقروناً بالْجَمَلِ فيه</w:t>
      </w:r>
      <w:r>
        <w:rPr>
          <w:rStyle w:val="FootnoteAnchor"/>
          <w:rtl w:val="true"/>
        </w:rPr>
        <w:footnoteReference w:id="225"/>
      </w:r>
      <w:r>
        <w:rPr>
          <w:rFonts w:ascii="Amiri" w:hAnsi="Amiri" w:eastAsia="Amiri" w:cs="Amiri"/>
          <w:color w:val="111111"/>
          <w:sz w:val="28"/>
          <w:sz w:val="28"/>
          <w:szCs w:val="28"/>
          <w:rtl w:val="true"/>
          <w:lang w:bidi="ar-SA"/>
        </w:rPr>
        <w:t>، ولم يعملوا بظاهره هناك، وإدخالهم لغيره نظراً إلى ظاهر الخبر يقتضى إلحاق كلّ ما بين الحمار والجَمَلِ في الحكم، وهم لا يقولونَ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 سَنَدِ الحديث من الجهالة أو الضعفِ</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الأولى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يعملون 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الحمار على ما فيه من الإشكال الذي قرّرناه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حُكمُهُم بِنَزح سبعين لموت الإنسان، وقد عرفت أن مستنده ضعيفٌ، والعمل </w:t>
      </w:r>
    </w:p>
    <w:p>
      <w:pPr>
        <w:pStyle w:val="BookText"/>
        <w:rPr/>
      </w:pPr>
      <w:r>
        <w:rPr>
          <w:rFonts w:ascii="Amiri" w:hAnsi="Amiri" w:eastAsia="Amiri" w:cs="Amiri"/>
          <w:color w:val="111111"/>
          <w:sz w:val="28"/>
          <w:sz w:val="28"/>
          <w:szCs w:val="28"/>
          <w:rtl w:val="true"/>
          <w:lang w:bidi="ar-SA"/>
        </w:rPr>
        <w:t>بظاهره معدول عنه؛ مع ما فيه من الإشكال في إطلاق الإنسان على ما يعمّ المسلم والكافر، والبحث فيه خارج عن مطلوبنا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 خمسينَ ِللعَذِرَةِ الرَطْبَةِ والدم الكثير، مع أنّ قيد الرطوبة لم يُوجَدْ في النصوص، وإنّما الموجود في رواية عبد اللّه بن بَحْرٍ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العَذِرَة تَقَعُ في البئر،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منها عَشْرُ دِلاء، فإنْ ذابَتْ فأربعونَ أو خمسون دَلواً</w:t>
      </w:r>
      <w:r>
        <w:rPr>
          <w:rFonts w:eastAsia="Amiri" w:cs="Amiri" w:ascii="Amiri" w:hAnsi="Amiri"/>
          <w:color w:val="111111"/>
          <w:sz w:val="28"/>
          <w:szCs w:val="28"/>
          <w:rtl w:val="true"/>
          <w:lang w:bidi="ar-SA"/>
        </w:rPr>
        <w:t>»</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وطريقه ضعيف بعبد اللّه بن بَحْرٍ بن بَحْرٍ جدّاً، ومع ذلك فَمُقتضاه التخيير بين الأربعين والخمسين لا تَعَيُّن الخمسين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ومفروضه العَذِرَةُ الذائبة لا الرطبَةُ، فَذِكرُ الرَطْبَةِ ليس بِجَيِّد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الدم الكثيرُ فلا نصَّ عليه بخصوصه أصلاً، نعم، في مقطوعة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ذَبَحَ شاءً فاضطربتْ فَوَقَعَتْ في بئر ماءٍ وأوداجها تَشْخَبُ دماً، هل يُتَوَضَاً من ذلك البئر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منها ما بين الثلاثين إلى الأربعين دلواً</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مع كونها مقطوعةً لا تدلُّ على مطلوبهم من جهة الكثرَةِ ولا من جهة العدد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حُكمُهُم بأربعين لموتِ التَعْلَبِ والأرنب والخنزير والسنَّور والكلبِ وشبهه، ولا دليل على هذا التقدير بخصوصه، نعم، في رواية عليّ بن أبي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السنَّورِ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عشرونَ أو ثلاثون أو أربعون دلواً، والكلب وشبهه</w:t>
      </w:r>
      <w:r>
        <w:rPr>
          <w:rFonts w:eastAsia="Amiri" w:cs="Amiri" w:ascii="Amiri" w:hAnsi="Amiri"/>
          <w:color w:val="111111"/>
          <w:sz w:val="28"/>
          <w:szCs w:val="28"/>
          <w:rtl w:val="true"/>
          <w:lang w:bidi="ar-SA"/>
        </w:rPr>
        <w:t>»</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حال علي بن أبي حمزة مشهورٌ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سماعة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سنّوراً أو أكبَرَ منها نَزَحْتَ منها ثلاثينَ دَلواً أو </w:t>
      </w:r>
    </w:p>
    <w:p>
      <w:pPr>
        <w:pStyle w:val="BookText"/>
        <w:rPr/>
      </w:pPr>
      <w:r>
        <w:rPr>
          <w:rFonts w:ascii="Amiri" w:hAnsi="Amiri" w:eastAsia="Amiri" w:cs="Amiri"/>
          <w:color w:val="111111"/>
          <w:sz w:val="28"/>
          <w:sz w:val="28"/>
          <w:szCs w:val="28"/>
          <w:rtl w:val="true"/>
          <w:lang w:bidi="ar-SA"/>
        </w:rPr>
        <w:t>أربعينَ دَلواً</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xml:space="preserve">، وفي الطريق عثمان بن عيسى وسماعة وفي صحيحة زُرَارَةَ ومحمَّدِ بن سالم ويُريد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البئر يَقَعُ فيها الدابَّةُ والفأرة والكلب والخنزيرُ والطَّيرُ فيموتُ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ثمّ يُنْزَحُ مِن البئر دِلاء ثمّ اشْرَبْ وتوضّأ</w:t>
      </w:r>
      <w:r>
        <w:rPr>
          <w:rFonts w:eastAsia="Amiri" w:cs="Amiri" w:ascii="Amiri" w:hAnsi="Amiri"/>
          <w:color w:val="111111"/>
          <w:sz w:val="28"/>
          <w:szCs w:val="28"/>
          <w:rtl w:val="true"/>
          <w:lang w:bidi="ar-SA"/>
        </w:rPr>
        <w:t>»</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منها رواية الفضل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 xml:space="preserve">، ومقتضاها الاكتفاء بمسمّى الدِلاء وهي مع صحّتها أنسبُ بمذهب القائل بطُهرها، حيث اجتزأ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على أعدادٍ كَثيرةٍ ولم يستفصل وجَعَلَه حكم نَجاساتٍ مُختلفة في الحكم والفتوى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عمّار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بئرٍ يقع فيها كلب أو فأرة أو خنزيرٌ،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كُلُّها</w:t>
      </w:r>
      <w:r>
        <w:rPr>
          <w:rFonts w:eastAsia="Amiri" w:cs="Amiri" w:ascii="Amiri" w:hAnsi="Amiri"/>
          <w:color w:val="111111"/>
          <w:sz w:val="28"/>
          <w:szCs w:val="28"/>
          <w:rtl w:val="true"/>
          <w:lang w:bidi="ar-SA"/>
        </w:rPr>
        <w:t>»</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عبد اللّه بن المُغِيرَةِ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الكلب في البئرِ نُزِحَت</w:t>
      </w:r>
      <w:r>
        <w:rPr>
          <w:rFonts w:eastAsia="Amiri" w:cs="Amiri" w:ascii="Amiri" w:hAnsi="Amiri"/>
          <w:color w:val="111111"/>
          <w:sz w:val="28"/>
          <w:szCs w:val="28"/>
          <w:rtl w:val="true"/>
          <w:lang w:bidi="ar-SA"/>
        </w:rPr>
        <w:t>»</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لترجيح تلك الأخبار على هذه، بل اللائق بطريق الشيخ ومن تَبِعَهُ العكسُ والقولُ بِنزح الجميع، لدخول مقدَّر تلك في الجميع كما ذكره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حُكْمُهُم بالأربعين أيضاً لوقوع بول الرجل، مستنده رواية علي بن أبي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بول الصبيّ الفطيم،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 الرجل؟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منها أربعونَ دَلواً</w:t>
      </w:r>
      <w:r>
        <w:rPr>
          <w:rFonts w:eastAsia="Amiri" w:cs="Amiri" w:ascii="Amiri" w:hAnsi="Amiri"/>
          <w:color w:val="111111"/>
          <w:sz w:val="28"/>
          <w:szCs w:val="28"/>
          <w:rtl w:val="true"/>
          <w:lang w:bidi="ar-SA"/>
        </w:rPr>
        <w:t>»</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المستندُ ضَعِيفُ السندِ كما تقدَّمَ، وقد تقدَّمَتْ روايةُ كُرْدَوَيْه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يُنْزَحُ للبول مطلقاً ثلاثون 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أقربُ سنداً مِن هذه لأنّ الراوي المجهول أقرب من معلوم الضعف</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حُكْمُهُم بنزح ثلاثين لماء المَطَرِ المُخالِط للبول والعَذِرَةِ وخُرْءِ الكِلابِ </w:t>
      </w:r>
    </w:p>
    <w:p>
      <w:pPr>
        <w:pStyle w:val="BookText"/>
        <w:rPr/>
      </w:pPr>
      <w:r>
        <w:rPr>
          <w:rFonts w:ascii="Amiri" w:hAnsi="Amiri" w:eastAsia="Amiri" w:cs="Amiri"/>
          <w:color w:val="111111"/>
          <w:sz w:val="28"/>
          <w:sz w:val="28"/>
          <w:szCs w:val="28"/>
          <w:rtl w:val="true"/>
          <w:lang w:bidi="ar-SA"/>
        </w:rPr>
        <w:t xml:space="preserve">مستنده رواية كُرْدَوَيْه الديلمي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وكُرْدَويه مجهولٌ لا يُعْرَفُ هذا الاسم في الرجال</w:t>
      </w:r>
      <w:r>
        <w:rPr>
          <w:rStyle w:val="FootnoteAnchor"/>
          <w:rtl w:val="true"/>
        </w:rPr>
        <w:footnoteReference w:id="237"/>
      </w:r>
      <w:r>
        <w:rPr>
          <w:rFonts w:ascii="Amiri" w:hAnsi="Amiri" w:eastAsia="Amiri" w:cs="Amiri"/>
          <w:color w:val="111111"/>
          <w:sz w:val="28"/>
          <w:sz w:val="28"/>
          <w:szCs w:val="28"/>
          <w:rtl w:val="true"/>
          <w:lang w:bidi="ar-SA"/>
        </w:rPr>
        <w:t>، فكيف ثَبَتَ به هذا الحُكْمُ المخالف للأصل من حيث وجوب الثلاثين لهذه النجاسات التي فيها ما يوجب منفرداً أزيد من هذا المقدار كالعَذِرَةِ وبعض الأبوالِ، وفيها ما لا نصَّ فيه كخُرْء الكلاب والقول بأن ماء المطر أضْعَفَ حُكْمَها جائز لوصح الخبر، أما مع هذا الحال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عَشْرِ العَذِرَةِ اليابسة، مستنده رواية أبي بصير السابقة</w:t>
      </w:r>
      <w:r>
        <w:rPr>
          <w:rStyle w:val="FootnoteAnchor"/>
          <w:rtl w:val="true"/>
        </w:rPr>
        <w:footnoteReference w:id="238"/>
      </w:r>
      <w:r>
        <w:rPr>
          <w:rFonts w:ascii="Amiri" w:hAnsi="Amiri" w:eastAsia="Amiri" w:cs="Amiri"/>
          <w:color w:val="111111"/>
          <w:sz w:val="28"/>
          <w:sz w:val="28"/>
          <w:szCs w:val="28"/>
          <w:rtl w:val="true"/>
          <w:lang w:bidi="ar-SA"/>
        </w:rPr>
        <w:t>، وفي الطريق عبد اللّه بنُ بَحرٍ وهو ضعيفٌ مرتفع القول، وفيها من جهة المتن أنّها تَضَمَّنَتْ إيجاب العَشْرِ لوقوع العَذِرَةِ ما لم تَذُبْ، فإنْ ذابت فأربعون أو خمسون، وعدم ذَوَبانِها أعمّ من كونها رطبةً لم تَذُبْ ويابسةً، وتُعارضها رواية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البئر يقع فيها زنبيلُ عَذِرةٍ يابسةٍ أو رطبةٍ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كان الماء كثيراً</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بئرٍ وقع فيها زِنبيل من عَذِرةٍ يابسةٍ أو رطبةٍ أو زِنبيل مِن سِرقين أيَصْلَحُ الوضوء منها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حسن كما سَلَفَ</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إيجابها أيضاً للدم القليل، ومُسْتَنَدهُ مقطوعة عليّ بن جعفر السابقة في الدم الكثير، وفيها قال</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وسألته عن رجلٍ ذَبَحَ دَجاجةً أو حَمامةً فوقعت في بئرٍ هل يَصْلَحُ أنْ يُتَوضّأ منها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منها دِلاءٌ يسيرةٌ ثم يُتَوَضَّاً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يَسْتَقي من بئرٍ فَرَعَفَ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منها دِلاءٌ يسيرة</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على تقدير العمل بها لا تدلُّ على اعتبار العشر بوجه؛ لأنّ الدِلاء اليسيرة أعمّ منها تَصْدُق على الثلاثِ فَصاعِداً بل هي على الثلاث أدلُّ منها على العَشَر؛ لما عرفتَ مِن أنّ الفرق بين جَمْع الكثرَةِ والقِلَّةِ في مثل ذلك غير معتبر، وقد صرّح به الأصحاب وغيرهم في كثيرٍ من أبواب الفقه كالأقارير وغيرها </w:t>
      </w:r>
      <w:r>
        <w:rPr>
          <w:rStyle w:val="FootnoteAnchor"/>
          <w:rtl w:val="true"/>
        </w:rPr>
        <w:footnoteReference w:id="243"/>
      </w:r>
      <w:r>
        <w:rPr>
          <w:rFonts w:ascii="Amiri" w:hAnsi="Amiri" w:eastAsia="Amiri" w:cs="Amiri"/>
          <w:color w:val="111111"/>
          <w:sz w:val="28"/>
          <w:sz w:val="28"/>
          <w:szCs w:val="28"/>
          <w:rtl w:val="true"/>
          <w:lang w:bidi="ar-SA"/>
        </w:rPr>
        <w:t xml:space="preserve">، وعلى تقدير تسليم العمل بمدلولها النحوي فهي جمعُ كَثرَةٍ أقله أحدَ عَشَرَ، فحمله على العَشْرِ غير صحيح، وقد تقدّم في ذلك مُكاتَبَةُ ابن بزيع الصحيحةُ التي استدلّ بها على النجاسة، وهي المتضمنة للسؤال عن البئر تَقْطُرُ فيها قطرات بولٍ أو دم أو يَسْقُطُ فيها شيءٌ مِن عَذِرَةٍ، ما الذي يُطهرها ؟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منها دِلاء</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العجيب الغريب هنا ما اتَّفق لجماعة من المحقّقين في كيفية الاستدلال، قال الشيخ في التهذيب بعد نقله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الاستدلال من هذا الخبر على العشر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منها 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عددٍ يُضاف إلى هذا الجمع عَشَرةً، فيجب أن نأخذ به ونصير إليه؛ إذ لا دليل على ما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الكلامُ يُغطي أنه جَعَلَه جَمْعَ قِلَّةٍ، وَحَمَلَه على أكثره، وكلاهما ليس بصحيح أمّا الأوّل فلأنّ جَمْعَ القِلَّةِ منحصر في أوزانِ أربعةٍ مشهورة، أو خمسة عند سيبويه</w:t>
      </w:r>
      <w:r>
        <w:rPr>
          <w:rStyle w:val="FootnoteAnchor"/>
          <w:rtl w:val="true"/>
        </w:rPr>
        <w:footnoteReference w:id="24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وهذا ليس منها فهو جَمْعُ كَثرَةٍ بغير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فلانه على تقدير حمله على جَمْعِ القِلَّة وإطلاقه في الخبر يُجزئ الاقتصار على أقلّ مدلولاته، وهو ثلاثة، كغيره من الأبواب والمُحاورات، لا على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لادليل على ما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بل الدليل موجود على الاجتزاء بأي مرتبةٍ أريد من هذا الجمع عملاً بالإطلاق، كما لوقال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عندي 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يُقْبَلُ تفسيرُه بما شاءَ بعد أنْ لا يَنْقُصَ عن ثلاثة، إنْ لم نَقُلْ بإطلاقه على اثنين خصوصاً، وقد أيَّدَه في الخبر الأوّل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والمحقّق في المعتبر اعترض كلام الشيخ بأنّ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إنّما يكون مع الإضافة، أما مع تجريده عنها فلا؛ إذ لا يُعلم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يُخْبِرْ عن زيادةٍ عن عَشَرَةٍ، ولا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أعطه دراهم</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العلّامة في المنتهى بأنّ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الإضافة هنا وإنْ جُرَّدَتْ </w:t>
      </w:r>
      <w:r>
        <w:rPr>
          <w:rStyle w:val="FootnoteAnchor"/>
          <w:rtl w:val="true"/>
        </w:rPr>
        <w:footnoteReference w:id="248"/>
      </w:r>
      <w:r>
        <w:rPr>
          <w:rFonts w:ascii="Amiri" w:hAnsi="Amiri" w:eastAsia="Amiri" w:cs="Amiri"/>
          <w:color w:val="111111"/>
          <w:sz w:val="28"/>
          <w:sz w:val="28"/>
          <w:szCs w:val="28"/>
          <w:rtl w:val="true"/>
          <w:lang w:bidi="ar-SA"/>
        </w:rPr>
        <w:t>لفظاً لكنَّها مقدرَةٌ، وإلّا لزم تأخيرُ البَيانِ عن وقت الحاجة، ولا بُدَّ من إضمارِ عَدَدٍ يضاف إليه تقديراً فيُحْمَلُ على العَشَرةِ التي هي أقلُّ ما يَصلَحُ إضافته لهذا الجمع؛ أخذاً بالمتيقن، وحوالة على الأصل من بَراءَة الذمّة</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نَظَرٌ ؛ إذ لا يلزم من عدم تقدير الإضافَةِ هنا تأخيرُ البيانِ، وإنّما يَلزَمُ ذلك لو لم يكن له معنى بدون هذا التقدير، والحالُ أنّ له معنى كسائر أمثاله من صِيَغِ الجُمُوعِ، ولو سُلّم وجوب التقدير لم تتعيَّن العَشَرَةُ، وقد عرفتَ فَساد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أقلَّ ما يصلح إضافته لهذا الجَمعِ عَشَرة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وأعجَبُ منه قولُ العلّامة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يحتج به من وجه آخرٍ، وهو أنّ هذا جَمعُ كَثرَةٍ، وأقله ما زاد على العَشَرةِ بواحدٍ، فيحمل عليه عملاً بالبراءة الأصليّة</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عليك أنّ هذا الدليل لا ينطبق على الدعوى؛ لاستلزامه وجوبَ أحَدَ عَشَرَ، ومدعاه الاكتفاء بعشَرَةٍ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 من ذلك قوله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جَمْعُ كَثرَةٍ،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على أقلها وهو العشرة</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والمعلوم عند النحاة أنّ أقل مراتب جمع الكثرة ما زاد على أكثر من مراتب جمع القِلَّة بواحدٍ، وأكثرُ مراتبِ جمع القِلَّة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هذين الخبرين دالان على الاجتزاء بثلاثِ دِلاءِ، ولكن الأصحاب مُعْرِضُونَ عن العمل بذلك تبعاً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وحيث يقال بالاستحباب فلا شُبهة في تأديهِ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القول بأنه مُطَهِّرٌ فيتوقّف على تحقّق الإجماع على خلافه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العَجَبِ أيضاً أنّ الشيخ في الاستبصار لمّا ذَكَرَ خبر علي بن يقطين السابقِ الذي استدلوا به على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 وقوع الكلب والفأرة يوجب نزحَ دِلاء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كَثرَةٍ، وهو ما زاد على العَشَرَةِ، فلا يُمْنَعُ أنْ يكونَ المراد أربعينَ دَلواً كما تضمّنه غيرُهُ من الأخبار</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جَعَلَ مدلوله عَشْراً، واسْتَدلَّ عليه بأنّه أكثر مدلوله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 سَبْعٍ لموت الطير، ومُستنده رواية علي بن أبي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الطَّيرِ والدَجَاجَةِ يَقَعُ في البئر،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 دلاء</w:t>
      </w:r>
      <w:r>
        <w:rPr>
          <w:rFonts w:eastAsia="Amiri" w:cs="Amiri" w:ascii="Amiri" w:hAnsi="Amiri"/>
          <w:color w:val="111111"/>
          <w:sz w:val="28"/>
          <w:szCs w:val="28"/>
          <w:rtl w:val="true"/>
          <w:lang w:bidi="ar-SA"/>
        </w:rPr>
        <w:t>»</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 </w:t>
      </w:r>
    </w:p>
    <w:p>
      <w:pPr>
        <w:pStyle w:val="BookText"/>
        <w:rPr/>
      </w:pPr>
      <w:r>
        <w:rPr>
          <w:rFonts w:ascii="Amiri" w:hAnsi="Amiri" w:eastAsia="Amiri" w:cs="Amiri"/>
          <w:color w:val="111111"/>
          <w:sz w:val="28"/>
          <w:sz w:val="28"/>
          <w:szCs w:val="28"/>
          <w:rtl w:val="true"/>
          <w:lang w:bidi="ar-SA"/>
        </w:rPr>
        <w:t>عليّ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الوَقفِ وأَشَدُّ الخلق عداوةً للوليّ</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فقد روى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الدَجَاجَةُ ومثلها يموتُ في البئر يُنْزَحُ منها دَلْوانِ أو ثلاثة</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وطريق هذه الرواية أقربُ مِن تلك؛ لأنّ فيه غياتُ بنُ كَلُوب، وهو مجهول الحال مشهورُ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زيد الشحّام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خَمسٍ لموت الدَجَاجَةِ والكلبِ والطَّيرِ إذا لم تتفسّخ أو يَتَغَيَّرُ طعمُ الماء</w:t>
      </w:r>
      <w:r>
        <w:rPr>
          <w:rStyle w:val="FootnoteAnchor"/>
          <w:rtl w:val="true"/>
        </w:rPr>
        <w:footnoteReference w:id="256"/>
      </w:r>
      <w:r>
        <w:rPr>
          <w:rFonts w:ascii="Amiri" w:hAnsi="Amiri" w:eastAsia="Amiri" w:cs="Amiri"/>
          <w:color w:val="111111"/>
          <w:sz w:val="28"/>
          <w:sz w:val="28"/>
          <w:szCs w:val="28"/>
          <w:rtl w:val="true"/>
          <w:lang w:bidi="ar-SA"/>
        </w:rPr>
        <w:t>، وهي أولى بالمراعاة من الجميع</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السبع للفأرة مع التفسُّخ أو الانتفاخ، فإن لم يحصل أحد الوصفين فثلاث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ومستند الأوّل رواية أبي سعيد المُكاري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وقعت الفأرَةُ في البئرِ فَتَسَلَّحَتْ فانْزَحْ منها سَبعَ دِلاء</w:t>
      </w:r>
      <w:r>
        <w:rPr>
          <w:rFonts w:eastAsia="Amiri" w:cs="Amiri" w:ascii="Amiri" w:hAnsi="Amiri"/>
          <w:color w:val="111111"/>
          <w:sz w:val="28"/>
          <w:szCs w:val="28"/>
          <w:rtl w:val="true"/>
          <w:lang w:bidi="ar-SA"/>
        </w:rPr>
        <w:t>»</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رواية معاوية بن عمّار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الفأرَةِ والوَزَغَةِ تقع في البئر،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منها ثلاثُ دِلاء</w:t>
      </w:r>
      <w:r>
        <w:rPr>
          <w:rFonts w:eastAsia="Amiri" w:cs="Amiri" w:ascii="Amiri" w:hAnsi="Amiri"/>
          <w:color w:val="111111"/>
          <w:sz w:val="28"/>
          <w:szCs w:val="28"/>
          <w:rtl w:val="true"/>
          <w:lang w:bidi="ar-SA"/>
        </w:rPr>
        <w:t>»</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بحملها على ما إذا لم يحصل التَسَلَّخ؛ جمعاً بينها وبين الأولى، كما حُمِلَ إطلاق رواية عليّ 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الفأرَةِ والوزَغَةِ تقع في البئر،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 دِلاء</w:t>
      </w:r>
      <w:r>
        <w:rPr>
          <w:rFonts w:eastAsia="Amiri" w:cs="Amiri" w:ascii="Amiri" w:hAnsi="Amiri"/>
          <w:color w:val="111111"/>
          <w:sz w:val="28"/>
          <w:szCs w:val="28"/>
          <w:rtl w:val="true"/>
          <w:lang w:bidi="ar-SA"/>
        </w:rPr>
        <w:t>»</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الانفساخ، جمعاً، وقد عَرَفْتَ حال عليّ بن أبي حمزة؛ وقريب منه حال أبي سعيد المُكاري</w:t>
      </w:r>
      <w:r>
        <w:rPr>
          <w:rStyle w:val="FootnoteAnchor"/>
          <w:rtl w:val="true"/>
        </w:rPr>
        <w:footnoteReference w:id="260"/>
      </w:r>
      <w:r>
        <w:rPr>
          <w:rFonts w:ascii="Amiri" w:hAnsi="Amiri" w:eastAsia="Amiri" w:cs="Amiri"/>
          <w:color w:val="111111"/>
          <w:sz w:val="28"/>
          <w:sz w:val="28"/>
          <w:szCs w:val="28"/>
          <w:rtl w:val="true"/>
          <w:lang w:bidi="ar-SA"/>
        </w:rPr>
        <w:t xml:space="preserve">، وطَريقُ رواية معاوية أقرب وإن كان فيه جَهالَةٌ، وفي صحيح زَيدِ الشَحّام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تَتَفَسَّخْ أو يَتَغَيَّر طعم الماء فيكفيكَ خمسُ دِلاء</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وسيأتي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مقطوعة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نزح سبع إن لم تُنْتِن</w:t>
      </w:r>
      <w:r>
        <w:rPr>
          <w:rFonts w:eastAsia="Amiri" w:cs="Amiri" w:ascii="Amiri" w:hAnsi="Amiri"/>
          <w:color w:val="111111"/>
          <w:sz w:val="28"/>
          <w:szCs w:val="28"/>
          <w:rtl w:val="true"/>
          <w:lang w:bidi="ar-SA"/>
        </w:rPr>
        <w:t>»</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أبي خديجة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نزحُ أربعين إذا لم تُنْتِن</w:t>
      </w:r>
      <w:r>
        <w:rPr>
          <w:rFonts w:eastAsia="Amiri" w:cs="Amiri" w:ascii="Amiri" w:hAnsi="Amiri"/>
          <w:color w:val="111111"/>
          <w:sz w:val="28"/>
          <w:szCs w:val="28"/>
          <w:rtl w:val="true"/>
          <w:lang w:bidi="ar-SA"/>
        </w:rPr>
        <w:t>»</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آخَرُ مرسل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موتها يُنجِّسُهُ مطلقاً</w:t>
      </w:r>
      <w:r>
        <w:rPr>
          <w:rFonts w:eastAsia="Amiri" w:cs="Amiri" w:ascii="Amiri" w:hAnsi="Amiri"/>
          <w:color w:val="111111"/>
          <w:sz w:val="28"/>
          <w:szCs w:val="28"/>
          <w:rtl w:val="true"/>
          <w:lang w:bidi="ar-SA"/>
        </w:rPr>
        <w:t>»</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الاختلاف كلّه قرينة على عدم التنجيس، وقد عرفت أنّ وصف الانتفاخ ليس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 السَبْع لبول الصبيّ دونَ البُلُوغِ وفوق الفطام، ولو كانَ دونَ الفِطامِ فَدَلو، ومستند الأوّل رواية منصور بن حازمٍ عن عِدَّةٍ،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يُنزَحُ منه سبعُ دِلاء إذا بالَ فيها الصبيّ أو وقعت فأرَةٌ أو نحوها</w:t>
      </w:r>
      <w:r>
        <w:rPr>
          <w:rFonts w:eastAsia="Amiri" w:cs="Amiri" w:ascii="Amiri" w:hAnsi="Amiri"/>
          <w:color w:val="111111"/>
          <w:sz w:val="28"/>
          <w:szCs w:val="28"/>
          <w:rtl w:val="true"/>
          <w:lang w:bidi="ar-SA"/>
        </w:rPr>
        <w:t>»</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والثانى رواية علي بن أبي حمزة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بول الصبيّ والفطيمِ يَقَعُ في البئر،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دَلو واحدٌ</w:t>
      </w:r>
      <w:r>
        <w:rPr>
          <w:rFonts w:eastAsia="Amiri" w:cs="Amiri" w:ascii="Amiri" w:hAnsi="Amiri"/>
          <w:color w:val="111111"/>
          <w:sz w:val="28"/>
          <w:szCs w:val="28"/>
          <w:rtl w:val="true"/>
          <w:lang w:bidi="ar-SA"/>
        </w:rPr>
        <w:t>»</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الثاني على صبي لم يأكُلِ الطعام،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مرسل، وحال الثاني قد عُلِمَ، وأنّ الظاهر من حال الفطيمِ المَفطُوم؛ لأنّه فعيل بمعنى مفعول، وهو يُنافي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إيجابها لاغتسال الجُنُبِ، والمراد الخالى بدتُه من نَجاسة خبثيّة ومستنده قد سَبَقَ في أخبار القائل بالتنجيس، وأنّه لا يدلّ عليها، وأنه لا وجه للحكمِ بالنّجاسَةِ حينئذٍ، لعدم حصولِ ما يوجبها، وقد تقدّم تحقيق ذلك</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إيجابها لخروج الكلب حيّاً، ومستنده رواية عبدِ اللّه بنِ المُغِيرَة عن </w:t>
      </w:r>
    </w:p>
    <w:p>
      <w:pPr>
        <w:pStyle w:val="BookText"/>
        <w:rPr/>
      </w:pP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 الكلبُ فيها ثمّ أُخْرِجَ منها حيّاً نُزِحَ منها سَبعُ دِلاء</w:t>
      </w:r>
      <w:r>
        <w:rPr>
          <w:rFonts w:eastAsia="Amiri" w:cs="Amiri" w:ascii="Amiri" w:hAnsi="Amiri"/>
          <w:color w:val="111111"/>
          <w:sz w:val="28"/>
          <w:szCs w:val="28"/>
          <w:rtl w:val="true"/>
          <w:lang w:bidi="ar-SA"/>
        </w:rPr>
        <w:t>»</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 في الخبر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الكلب فى البئر تُزحَتْ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حكمُهُم بخلافه؛ وأن في صحيحةِ زَيدِ الشحام عن أبي عبد اللّه في الفأرَةِ والسِنُّور والدّجَاجَةِ والكلب والطير،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لم تَتَفَسَّخْ أو يَتَغَيّر طعم الماء فيكفيكَ خَمسُ دِلاء</w:t>
      </w:r>
      <w:r>
        <w:rPr>
          <w:rFonts w:eastAsia="Amiri" w:cs="Amiri" w:ascii="Amiri" w:hAnsi="Amiri"/>
          <w:color w:val="111111"/>
          <w:sz w:val="28"/>
          <w:szCs w:val="28"/>
          <w:rtl w:val="true"/>
          <w:lang w:bidi="ar-SA"/>
        </w:rPr>
        <w:t>»</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الخبر أولى بالعمل،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الخَمس مجزئة والسَبعُ أفضل، وقد أطلَقُوا القول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 وجوبُ الخَمسِ لموت الدَجَاجَة وغيرها، وقد تقدّم القولُ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خَمسٍ ِلذَرْقِ الدُجَاج، وفيه أنّه لا نصَّ عليه مطلقاً، ومع ذلك فقد أطلق جماعة منهم الدُجَاجَ</w:t>
      </w:r>
      <w:r>
        <w:rPr>
          <w:rStyle w:val="FootnoteAnchor"/>
          <w:rtl w:val="true"/>
        </w:rPr>
        <w:footnoteReference w:id="269"/>
      </w:r>
      <w:r>
        <w:rPr>
          <w:rFonts w:ascii="Amiri" w:hAnsi="Amiri" w:eastAsia="Amiri" w:cs="Amiri"/>
          <w:color w:val="111111"/>
          <w:sz w:val="28"/>
          <w:sz w:val="28"/>
          <w:szCs w:val="28"/>
          <w:rtl w:val="true"/>
          <w:lang w:bidi="ar-SA"/>
        </w:rPr>
        <w:t>، وهو أقوى إشكالاً من حيثُ إنّ غيرَ الجَلالِ ذَرْقُهُ طاهر على الصحيح، فلا وجه للحكم بوجوب النزح له مطلقاً ولو قيل بنَجاستِهِ فهو ما لا نصَّ فيه، ومنهم مَن قَيَّدَه بالجَلالِ</w:t>
      </w:r>
      <w:r>
        <w:rPr>
          <w:rStyle w:val="FootnoteAnchor"/>
          <w:rtl w:val="true"/>
        </w:rPr>
        <w:footnoteReference w:id="270"/>
      </w:r>
      <w:r>
        <w:rPr>
          <w:rFonts w:ascii="Amiri" w:hAnsi="Amiri" w:eastAsia="Amiri" w:cs="Amiri"/>
          <w:color w:val="111111"/>
          <w:sz w:val="28"/>
          <w:sz w:val="28"/>
          <w:szCs w:val="28"/>
          <w:rtl w:val="true"/>
          <w:lang w:bidi="ar-SA"/>
        </w:rPr>
        <w:t>، ليكون نَجِساً، وحيثُ لا نصَّ فيه ينبغي إلحاقه به أو بالعَذِرَةِ على ما فيها من التفصيل فأما ما ذَكَرُوهُ مِن الخَمسِ مطلقاً فلا وجه له أصلاً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ثلاث للحيَّةِ والفأرَةِ مع عدم الوصفين، وقد تقدّم الكلام على حكم الفأرة، وأمّا الحيَّةُ فلا نصَّ عليها بالخصوص وفي الذكرى أحال حكمها على الفأرَةِ والدَجَاجَةِ المَروي فيهما دَلوان وثلاث</w:t>
      </w:r>
      <w:r>
        <w:rPr>
          <w:rStyle w:val="FootnoteAnchor"/>
          <w:rtl w:val="true"/>
        </w:rPr>
        <w:footnoteReference w:id="271"/>
      </w:r>
      <w:r>
        <w:rPr>
          <w:rFonts w:ascii="Amiri" w:hAnsi="Amiri" w:eastAsia="Amiri" w:cs="Amiri"/>
          <w:color w:val="111111"/>
          <w:sz w:val="28"/>
          <w:sz w:val="28"/>
          <w:szCs w:val="28"/>
          <w:rtl w:val="true"/>
          <w:lang w:bidi="ar-SA"/>
        </w:rPr>
        <w:t>، وهو مأخذُ ضَعيفٌ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المحقّق في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أنْ يُسْتَدَلّ على الحيَّةِ بما رواه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سقط في البئر حيوان صغير فمات فيها فانْزَحْ منها دِلاء</w:t>
      </w:r>
      <w:r>
        <w:rPr>
          <w:rFonts w:eastAsia="Amiri" w:cs="Amiri" w:ascii="Amiri" w:hAnsi="Amiri"/>
          <w:color w:val="111111"/>
          <w:sz w:val="28"/>
          <w:szCs w:val="28"/>
          <w:rtl w:val="true"/>
          <w:lang w:bidi="ar-SA"/>
        </w:rPr>
        <w:t>»</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فينزَّلُ على الثلاث؛ لأنّه أقلّ محتملاته</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ما فيه، ولا يقولون به في مطلق الحيوان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 الثلاث للعَقْرَب والوزغة، كما ذكره الشيخ </w:t>
      </w:r>
      <w:r>
        <w:rPr>
          <w:rStyle w:val="FootnoteAnchor"/>
          <w:rtl w:val="true"/>
        </w:rPr>
        <w:footnoteReference w:id="274"/>
      </w:r>
      <w:r>
        <w:rPr>
          <w:rFonts w:ascii="Amiri" w:hAnsi="Amiri" w:eastAsia="Amiri" w:cs="Amiri"/>
          <w:color w:val="111111"/>
          <w:sz w:val="28"/>
          <w:sz w:val="28"/>
          <w:szCs w:val="28"/>
          <w:rtl w:val="true"/>
          <w:lang w:bidi="ar-SA"/>
        </w:rPr>
        <w:t>وجماعة</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الوارد بالوزغة في طريقه حمّادٌ</w:t>
      </w:r>
      <w:r>
        <w:rPr>
          <w:rStyle w:val="FootnoteAnchor"/>
          <w:rtl w:val="true"/>
        </w:rPr>
        <w:footnoteReference w:id="276"/>
      </w:r>
      <w:r>
        <w:rPr>
          <w:rFonts w:ascii="Amiri" w:hAnsi="Amiri" w:eastAsia="Amiri" w:cs="Amiri"/>
          <w:color w:val="111111"/>
          <w:sz w:val="28"/>
          <w:sz w:val="28"/>
          <w:szCs w:val="28"/>
          <w:rtl w:val="true"/>
          <w:lang w:bidi="ar-SA"/>
        </w:rPr>
        <w:t>، وهو مشترك</w:t>
      </w:r>
      <w:r>
        <w:rPr>
          <w:rStyle w:val="FootnoteAnchor"/>
          <w:rtl w:val="true"/>
        </w:rPr>
        <w:footnoteReference w:id="277"/>
      </w:r>
      <w:r>
        <w:rPr>
          <w:rFonts w:ascii="Amiri" w:hAnsi="Amiri" w:eastAsia="Amiri" w:cs="Amiri"/>
          <w:color w:val="111111"/>
          <w:sz w:val="28"/>
          <w:sz w:val="28"/>
          <w:szCs w:val="28"/>
          <w:rtl w:val="true"/>
          <w:lang w:bidi="ar-SA"/>
        </w:rPr>
        <w:t>، ومُعارَضُ برواية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السامّ أبرص يقع في البئر؛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بشيء، حرّك الماء بالدلو في البئر</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يعقوب بن عُتَيْمٍ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 أبرصُ وجدناه قد تَفَسَّخَ في البئر،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عليك أنْ تَنْزَحَ منها سبعَ دِلاء</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ذلك كلّه فالوزغ بأنواعه ليس له نفس فلا يَنجَسُ بالموتِ ولا يُنَجِّسُ الماء</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العقرب فلا نصَّ عليه بخصوصه ويمكن إدخاله في رواية الحلبي السالفة، مع أنّها لا نَفْسَ لها فلا تَنجسُ ولا تُنَجِّسُ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دَلدٍ واحدٍ للعُصفور، ومستنده روايةُ عماد السالفة في موت الإنسان</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ضعفها بجماعة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إيجابه لبول الرضيعِ قَبلَ اغتذائه بالطعام، ومستنده رواية علي بن أبي حمزة السالفة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ضعفها وعدم دَلالتها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جُملةٌ ممَّا اتَّفَقَ ذكرُه مِن النجاساتِ المشهورة التي بَحَث عنها القائلونَ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عليك ضَعفُ مستَنَدِها، وإنا لو قلنا بالنّجاسَةِ لما أمكننا العمل بها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غايةُ ما يُمكنُ أنْ يقال إنّه مع تحقّق نَجاسةِ الماء لا يَطْهُرُ إِلَّا بِما يُعْلَم به المُطَهِّر مِن اتّصاله بالكثير ونحوه، وإلّا بقي على النّجاسَةِ، وفيه خروج عن الاتّفاق ظاهراً، فكان ذلك أقوى قرينة على عدم النّجاسَةِ، مضافاً إلى ما 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القولُ بالاستحباب سهل للتسامح بأدلّته وما يقال من أن ضعف الأخبار منجَبِرٌ بالشُهرة، وأنّه يمكن إثباتُ المذهب بالخبر الضعيف</w:t>
      </w:r>
      <w:r>
        <w:rPr>
          <w:rStyle w:val="FootnoteAnchor"/>
          <w:rtl w:val="true"/>
        </w:rPr>
        <w:footnoteReference w:id="282"/>
      </w:r>
      <w:r>
        <w:rPr>
          <w:rFonts w:ascii="Amiri" w:hAnsi="Amiri" w:eastAsia="Amiri" w:cs="Amiri"/>
          <w:color w:val="111111"/>
          <w:sz w:val="28"/>
          <w:sz w:val="28"/>
          <w:szCs w:val="28"/>
          <w:rtl w:val="true"/>
          <w:lang w:bidi="ar-SA"/>
        </w:rPr>
        <w:t>، قول ضعيف منجبرٌ بالشهرة، وإثبات المذهب به إثبات له بالخبر الضعيف</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هذا كلّه فينبغي رعاية النزح وغاية الاحتياط في ذلك لما تواتر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الأمر بالنزح لوقوع النجاساتِ في الجُملَةِ، وإنْ لم يثبت بالتفصيل؛ وهَبْ أنّ ما ذكرنا من أفراد الروايات ضعيفٌ، أليس بعضُه صحيحاً وبعضُه حَسناً؟ وجملة ما يجتمع منه ومن الضعيف يَثْبُتُ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جملة ما ورد في كُتُبِ الحديث مِن الأخبارِ الواردة بالنزح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التواتر المعنوي، كشَجاعة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وكَرَمِ حاتم، مضافاً إلى عمل أكثر الليل الأصحاب به، وقد وافقنا على القول بالنزح، بل بنَجاسةِ البئر في الجُملَةِ، أبو حنيفة من </w:t>
      </w:r>
    </w:p>
    <w:p>
      <w:pPr>
        <w:pStyle w:val="BookText"/>
        <w:rPr/>
      </w:pPr>
      <w:r>
        <w:rPr>
          <w:rFonts w:ascii="Amiri" w:hAnsi="Amiri" w:eastAsia="Amiri" w:cs="Amiri"/>
          <w:color w:val="111111"/>
          <w:sz w:val="28"/>
          <w:sz w:val="28"/>
          <w:szCs w:val="28"/>
          <w:rtl w:val="true"/>
          <w:lang w:bidi="ar-SA"/>
        </w:rPr>
        <w:t xml:space="preserve">العامّة </w:t>
      </w:r>
      <w:r>
        <w:rPr>
          <w:rStyle w:val="FootnoteAnchor"/>
          <w:rtl w:val="true"/>
        </w:rPr>
        <w:footnoteReference w:id="283"/>
      </w:r>
      <w:r>
        <w:rPr>
          <w:rFonts w:ascii="Amiri" w:hAnsi="Amiri" w:eastAsia="Amiri" w:cs="Amiri"/>
          <w:color w:val="111111"/>
          <w:sz w:val="28"/>
          <w:sz w:val="28"/>
          <w:szCs w:val="28"/>
          <w:rtl w:val="true"/>
          <w:lang w:bidi="ar-SA"/>
        </w:rPr>
        <w:t xml:space="preserve">لروايات وردت عندهم فيه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فتبيَّنَ بذلك مخالفة حكم ماء البئر لغيره من المياه القليلةِ والكَثيرة في الجملة إجماعاً، سواءٌ جعلناه واجباً أم 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كذلك فلا يبعد القول بأنه ينفعل بالنجاسة بما لا ينفعل غيره بها، وليس للعقل مدخل في إثبات حكم النجاسة والطهارة، بل المرجِعُ فيه إلى النقل عن صاحب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فاستبعاد أحكام البئر لا وجه له أصلاً خصوصاً بعدَ تُبوتِها في الجُملَة؛ فإنّ الحكم باستحباب النزح أيضاً يوجب الحكم للبئرِ بما لا يثبت لغيره من المياه، نعم، لما لم يَتِمَّ الدليل على النّجاسَةِ نَفَيناها، وبَقِيَ جانبُ الاحتياط مُراعي، ورعاية النزح مناسبة جداً خصوصاً مع ترتب العبادات الشرعيّة، وأعظم أركان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الصلاة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واللّه تعالى أعْلَمُ بأسرار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اقتضاه الحالُ الحاضِرُ من بحث المسألة على سبيل الارتجال وضيق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ولي التوفيق</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علَّقها مؤلّفها الفقير إلى اللّه تعالى زين الدين بن عليّ بن أحمد الشامي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عامله اللّه بفضله وسامحه عن هَفَواته بمنّه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ضحى يوم الإثنين خامس شهر صفر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ختمه اللّه بالخير والظفر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عام تسع وخمسين وتسعمائة حامداً مُصَلِّياً مُسَلِّماً</w:t>
      </w:r>
      <w:r>
        <w:rPr>
          <w:rFonts w:eastAsia="Amiri" w:cs="Amiri" w:ascii="Amiri" w:hAnsi="Amiri"/>
          <w:color w:val="111111"/>
          <w:sz w:val="28"/>
          <w:szCs w:val="28"/>
          <w:rtl w:val="true"/>
          <w:lang w:bidi="ar-SA"/>
        </w:rPr>
        <w:t xml:space="preserve">. </w:t>
      </w:r>
      <w:bookmarkStart w:id="133" w:name="pg10113_91961"/>
    </w:p>
    <w:p>
      <w:pPr>
        <w:pStyle w:val="Heading3"/>
        <w:numPr>
          <w:ilvl w:val="2"/>
          <w:numId w:val="1"/>
        </w:numPr>
        <w:rPr/>
      </w:pPr>
      <w:bookmarkStart w:id="134" w:name="__RefHeading___Toc375269_1067777946"/>
      <w:bookmarkStart w:id="135" w:name="_Toc43"/>
      <w:bookmarkEnd w:id="133"/>
      <w:bookmarkEnd w:id="134"/>
      <w:r>
        <w:rPr/>
        <w:t>11</w:t>
      </w:r>
      <w:r>
        <w:rPr>
          <w:rtl w:val="true"/>
        </w:rPr>
        <w:t xml:space="preserve">. </w:t>
      </w:r>
      <w:r>
        <w:rPr>
          <w:rtl w:val="true"/>
        </w:rPr>
        <w:t>تَيَقُنُ الطهارة والحدث والشكّ في السابق منهما</w:t>
      </w:r>
      <w:bookmarkEnd w:id="135"/>
    </w:p>
    <w:p>
      <w:pPr>
        <w:pStyle w:val="Heading4"/>
        <w:numPr>
          <w:ilvl w:val="3"/>
          <w:numId w:val="1"/>
        </w:numPr>
        <w:rPr/>
      </w:pPr>
      <w:bookmarkStart w:id="136" w:name="__RefHeading___Toc375271_1067777946"/>
      <w:bookmarkStart w:id="137" w:name="_Toc44"/>
      <w:bookmarkEnd w:id="136"/>
      <w:r>
        <w:rPr>
          <w:rtl w:val="true"/>
        </w:rPr>
        <w:t>إشارة</w:t>
      </w:r>
      <w:r>
        <w:rPr>
          <w:rtl w:val="true"/>
        </w:rPr>
        <w:t>:</w:t>
      </w:r>
      <w:bookmarkEnd w:id="137"/>
    </w:p>
    <w:p>
      <w:pPr>
        <w:pStyle w:val="BookText"/>
        <w:rPr/>
      </w:pPr>
      <w:r>
        <w:rPr>
          <w:rFonts w:ascii="Amiri" w:hAnsi="Amiri" w:eastAsia="Amiri" w:cs="Amiri"/>
          <w:color w:val="111111"/>
          <w:sz w:val="28"/>
          <w:sz w:val="28"/>
          <w:szCs w:val="28"/>
          <w:rtl w:val="true"/>
          <w:lang w:bidi="ar-SA"/>
        </w:rPr>
        <w:t>تحقيق محمدرضا النعمتي</w:t>
      </w:r>
    </w:p>
    <w:p>
      <w:pPr>
        <w:pStyle w:val="BookText"/>
        <w:rPr/>
      </w:pPr>
      <w:r>
        <w:rPr>
          <w:rFonts w:ascii="Amiri" w:hAnsi="Amiri" w:eastAsia="Amiri" w:cs="Amiri"/>
          <w:color w:val="111111"/>
          <w:sz w:val="28"/>
          <w:sz w:val="28"/>
          <w:szCs w:val="28"/>
          <w:rtl w:val="true"/>
          <w:lang w:bidi="ar-SA"/>
        </w:rPr>
        <w:t>مراجعة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أسعد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المختاري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 w:name="pg10113_91963"/>
      <w:bookmarkStart w:id="139" w:name="pg10113_91963"/>
      <w:bookmarkEnd w:id="139"/>
    </w:p>
    <w:p>
      <w:pPr>
        <w:pStyle w:val="BookText"/>
        <w:rPr/>
      </w:pPr>
      <w:bookmarkStart w:id="140" w:name="pg10113_91963"/>
      <w:bookmarkEnd w:id="140"/>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مسألة شريفةٌ</w:t>
      </w:r>
    </w:p>
    <w:p>
      <w:pPr>
        <w:pStyle w:val="BookText"/>
        <w:rPr/>
      </w:pPr>
      <w:r>
        <w:rPr>
          <w:rFonts w:ascii="Amiri" w:hAnsi="Amiri" w:eastAsia="Amiri" w:cs="Amiri"/>
          <w:color w:val="111111"/>
          <w:sz w:val="28"/>
          <w:sz w:val="28"/>
          <w:szCs w:val="28"/>
          <w:rtl w:val="true"/>
          <w:lang w:bidi="ar-SA"/>
        </w:rPr>
        <w:t xml:space="preserve">إذا تَيَقَّنَ الطهارة والحدث، وشَكَ في السابق منهما، كما لَوْ تَيَقَّنَ عند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أَحْدَثَ حَدَثاً يوجِبُ الوضوءَ وتَوَضَّاً، ولكِنْ جَهِلَ السابق، بحيث شَكٍّ في حاله عند القيام إلى الصلاةِ، هَلْ هو مُتَطَهِّرُ أمْ لا ؟ فَهَلْ تَجِبُ عليه الطهارة أم لا ؟</w:t>
      </w:r>
    </w:p>
    <w:p>
      <w:pPr>
        <w:pStyle w:val="BookText"/>
        <w:rPr/>
      </w:pPr>
      <w:r>
        <w:rPr>
          <w:rFonts w:ascii="Amiri" w:hAnsi="Amiri" w:eastAsia="Amiri" w:cs="Amiri"/>
          <w:color w:val="111111"/>
          <w:sz w:val="28"/>
          <w:sz w:val="28"/>
          <w:szCs w:val="28"/>
          <w:rtl w:val="true"/>
          <w:lang w:bidi="ar-SA"/>
        </w:rPr>
        <w:t xml:space="preserve">أَطْلَقَ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المتقدّمين كالشَّيْخَيْنِ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الوجوب</w:t>
      </w:r>
      <w:r>
        <w:rPr>
          <w:rStyle w:val="FootnoteAnchor"/>
          <w:rtl w:val="true"/>
        </w:rPr>
        <w:footnoteReference w:id="285"/>
      </w:r>
      <w:r>
        <w:rPr>
          <w:rFonts w:ascii="Amiri" w:hAnsi="Amiri" w:eastAsia="Amiri" w:cs="Amiri"/>
          <w:color w:val="111111"/>
          <w:sz w:val="28"/>
          <w:sz w:val="28"/>
          <w:szCs w:val="28"/>
          <w:rtl w:val="true"/>
          <w:lang w:bidi="ar-SA"/>
        </w:rPr>
        <w:t>، وعَلَّلوه بأنّ يقين الطهارةِ مُكافِيٌّ ليقينِ الحَدَثِ، فَلَمْ يَبْقَ المكلّف على يقين من الطهارة، فلا يَسُوعُ له الدخول في الصلاة بدون طهارةٍ متَيَقَّنَةٍ؛ ولأنّهما بتكافيهما تساقطا، فَلَمْ يكن الآن مُتَطَهِّراً، وللاحتياط</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375273_1067777946"/>
      <w:bookmarkStart w:id="142" w:name="_Toc45"/>
      <w:bookmarkEnd w:id="141"/>
      <w:r>
        <w:rPr>
          <w:rtl w:val="true"/>
        </w:rPr>
        <w:t>مناقشة قول الأکثر في وجوب الطهارة</w:t>
      </w:r>
      <w:bookmarkEnd w:id="14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بحث فإنّهم إن أرادوا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يَسُوعُ الدخول في الصلاة بدونها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الرافعة المستمِرَّةَ الحكم ولو بالاستصحاب فهي متحقّقة هنا؛ وإن أرادوا بها الطهارة المتيقنة الاستمرار الحكمي، مَنَعْنا اشتراط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المنع الاتّفاق على أن مَنْ تَيَقَّن </w:t>
      </w:r>
    </w:p>
    <w:p>
      <w:pPr>
        <w:pStyle w:val="BookText"/>
        <w:rPr/>
      </w:pPr>
      <w:r>
        <w:rPr>
          <w:rFonts w:ascii="Amiri" w:hAnsi="Amiri" w:eastAsia="Amiri" w:cs="Amiri"/>
          <w:color w:val="111111"/>
          <w:sz w:val="28"/>
          <w:sz w:val="28"/>
          <w:szCs w:val="28"/>
          <w:rtl w:val="true"/>
          <w:lang w:bidi="ar-SA"/>
        </w:rPr>
        <w:t>الطهارة وشَكٍّ في الحدث، يجوز له الدخول في الصلاة</w:t>
      </w:r>
      <w:r>
        <w:rPr>
          <w:rStyle w:val="FootnoteAnchor"/>
          <w:rtl w:val="true"/>
        </w:rPr>
        <w:footnoteReference w:id="286"/>
      </w:r>
      <w:r>
        <w:rPr>
          <w:rFonts w:ascii="Amiri" w:hAnsi="Amiri" w:eastAsia="Amiri" w:cs="Amiri"/>
          <w:color w:val="111111"/>
          <w:sz w:val="28"/>
          <w:sz w:val="28"/>
          <w:szCs w:val="28"/>
          <w:rtl w:val="true"/>
          <w:lang w:bidi="ar-SA"/>
        </w:rPr>
        <w:t>استصحاباً لِلْمُتَيَقَّن، ولأصالة عدم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 الطهارة في مسألةِ تَيَقَّنها مع الشكّ في الحدث لا يُعارِضُه إِلا يقين مِثْلُه، فبدونِهِ يَعْمَلُ عَمَلَه ويَطْرَحُ الشكُ؛ بخلاف مسألة النزاع، لتكافؤ اليقينين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كَوْنِ مَحَلِّ النزاع أضعف ممّا مُثْلَ به، لكنهما يشتركان في أصل واحدٍ يقتضي جواز الدخول في الصلاة، وهو تَيَقُنُ الطهارة مع الشك في الناقِضِ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 الطهارة هنا لمّا كان مُعارَضاً بمثله في الحَدَثِ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أيضاً مُتَيَقِّنُ الحَدَثِ، شاكٌ في الطهارةِ، فَيَنْبَغي على هذا أنْ لا يَسُوعَ له الدخول في الصلاة إلّا بطهارة باقية ولو بالاستصحاب، وحصولها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تَعارَضَ الأصلانِ تساقطا، فَلَمْ يَبْقَ تأثير الحدث المذكور متحقِّقَ المَنْعِ من الدخول في الصلاة، والأحداث السابقة على الطهارة كلُّها ارتفعت بها جَزْماً، فموجِبُ الطهارة حينئذٍ غَيْرُ معلوم؛ لأنّه إمّا الأحداث السابقة وقد ارْتَفَعَتْ بغير شبهة، وإمّا الحَدَثُ المفروض وقد سَقَطَ حُكْمُه بمعارَضَةِ يقين الطهارةِ، فَيَقَعُ الشكُ في موجِبِ الطهارة الآن؛ لأنّ الدخول في الصلاة إنّما يَجِبُ بطهارةٍ مع سَبْقِ حَدَثٍ يوجِبُها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بالتساقط المذكورِ لَمْ يَبْقَ للحدث أثرٌ متيقن كذلك لم يَبْقَ للطهارة أثرٌ متيقن فنرجع في الوجوب إلى الأدلّة العامّة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إِلَى الصَّلَوَةِ فَاغْسِلُوا وُجُوهَكُمْ</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وغَيْرِه من الأدلّة</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الأوامِرَ المُطْلَقَة بوجوب الطهاراتِ مشروطةٌ بسَبْقٍ حَدَثٍ يوجبها؛ فإنّ الطهارة لا تجب لذاتها، بل بسببِ سَبْقِ الحدثِ وإن كان قبل التكليف </w:t>
      </w:r>
    </w:p>
    <w:p>
      <w:pPr>
        <w:pStyle w:val="BookText"/>
        <w:rPr/>
      </w:pPr>
      <w:r>
        <w:rPr>
          <w:rFonts w:ascii="Amiri" w:hAnsi="Amiri" w:eastAsia="Amiri" w:cs="Amiri"/>
          <w:color w:val="111111"/>
          <w:sz w:val="28"/>
          <w:sz w:val="28"/>
          <w:szCs w:val="28"/>
          <w:rtl w:val="true"/>
          <w:lang w:bidi="ar-SA"/>
        </w:rPr>
        <w:t>على تقدير المخاطَبَةِ بالصلاة في حالةٍ لَمْ يَقَعْ منه حَدَثُ بَعْدَه، بناءً على أنّ الأحداث مِنْ قَبيلِ الأَسْباب المُعَرَّفَةِ للوجوب، وهو من باب خطاب الوضع الذي لا يتوقّف على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وتَخَلَّفُ السبب عن المُسَبَّبِ قَدْ يكون لفقد شرط، أو وجودِ مانع، كما حُقِّقَ في الأُصول</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حَصَلَ الشرطُ عَمِلَ السَبَبُ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حكموا بوجوب الغُسْلِ على البالغ المُجْنِبِ بالإيلاج قَبْلَ البلوغ، إذا خُوطِبَ بعبادةٍ مشروطةٍ بالغُسْلِ</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السرُّ في إطلاق الأمر في الآية</w:t>
      </w:r>
      <w:r>
        <w:rPr>
          <w:rStyle w:val="FootnoteAnchor"/>
          <w:rtl w:val="true"/>
        </w:rPr>
        <w:footnoteReference w:id="291"/>
      </w:r>
      <w:r>
        <w:rPr>
          <w:rFonts w:ascii="Amiri" w:hAnsi="Amiri" w:eastAsia="Amiri" w:cs="Amiri"/>
          <w:color w:val="111111"/>
          <w:sz w:val="28"/>
          <w:sz w:val="28"/>
          <w:szCs w:val="28"/>
          <w:rtl w:val="true"/>
          <w:lang w:bidi="ar-SA"/>
        </w:rPr>
        <w:t xml:space="preserve">بالوضوء للصلاة، مِنْ غيرِ تقييد بالحَدَثِ؛ بناءً على أن الخطاب المستفاد من الأمرِ تَعَلَّقَ بالمكلّف، وهو لا يَنْفَكُّ طَبْعاً من الأقذار الموجبة للوضوء فيما سَبَقَ على التكليف في زمان صِغَرِه، ولمّا كان موجِبُ الغُسْلِ قَدْ يَحْصُلُ الانفكاك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ضرورياً بِحَسَبِ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وجوب الغسل في الآية بالجنابة،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جُنُبا فَاطَّهَّرُوا</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حُكِمَ بتساقط الطهارة والحدث اللاحقيْنِ، بَقِيَتِ الطهارة في حكم المعدوم؛ فلو كانت مؤثّرةً في رَفْعِ حدث في الجملة لم تكن ساقطةً، وحينئذٍ فلا بُدَّ مِنْ طهارة رافعة للحدث؛ لأنّه واقع قطعاً، وهو يقتضي نقيض ما ذكروه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الحدث السابق أمر مقطوع به قبل الحكم بالتساقط بغير شبهة، وإنّما الكلام في ارتفاع جميعِ الأحداث السابقة على زمان الشكّ، فإنّه يُحْتَمَلُ سَبْقُ الحدثِ المفروض على الطهارة، فتكون جميعُ الأحداثِ مُرْتَفِعَةٌ وتَأخُرُهُ، فتكون السابقة خاصةً مُرْتَفِعَةً، فارتفاع السابقة أمرٌ ثابت على كلّ تقدير، فلا مجال للشك فيه؛ ويَبْقى </w:t>
      </w:r>
    </w:p>
    <w:p>
      <w:pPr>
        <w:pStyle w:val="BookText"/>
        <w:rPr/>
      </w:pPr>
      <w:r>
        <w:rPr>
          <w:rFonts w:ascii="Amiri" w:hAnsi="Amiri" w:eastAsia="Amiri" w:cs="Amiri"/>
          <w:color w:val="111111"/>
          <w:sz w:val="28"/>
          <w:sz w:val="28"/>
          <w:szCs w:val="28"/>
          <w:rtl w:val="true"/>
          <w:lang w:bidi="ar-SA"/>
        </w:rPr>
        <w:t xml:space="preserve">الكلام في اللاحق، فإذا كافأ الطهارة، فكما لا يبقى على يقين من الطهارة، كذلك لا يبقى على يقين من الحدث، واحتمال الاستصحاب قائم فيهما، وحيئنذ فتنزيلُ الطهارة منزلَةَ المعدومِ مطلقاً غيرُ جيِّدٍ، بَلْ هي مؤثرةٌ في رفعِ غير الحدث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وجوده قطعاً وفيه على 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أمرٌ مُحَقَّق فى الخارج، كما أن الحدث المفروض كذلك، ولا ترجيحَ بَيْنَهُما مِنْ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أمْكَنَ ترجيح جانب الطهارة وزيادة الإشكال بوَجْهِ آخَرَ، وهو أن الطهارة الرافعة للحدث حاصِلَةٌ قَطعاً، والحدث الناقِضُ للطهارة غَيْرُ متحقق؛ لاحتمالِ تقدّمه، فيكون المكلّف داخلاً في الصلاة بطهارة رافعة،</w:t>
      </w:r>
    </w:p>
    <w:p>
      <w:pPr>
        <w:pStyle w:val="BookText"/>
        <w:rPr/>
      </w:pPr>
      <w:r>
        <w:rPr>
          <w:rFonts w:ascii="Amiri" w:hAnsi="Amiri" w:eastAsia="Amiri" w:cs="Amiri"/>
          <w:color w:val="111111"/>
          <w:sz w:val="28"/>
          <w:sz w:val="28"/>
          <w:szCs w:val="28"/>
          <w:rtl w:val="true"/>
          <w:lang w:bidi="ar-SA"/>
        </w:rPr>
        <w:t>وهو موافق لمراد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دَفْعُه بأن نقول ما تَعْنون بالطهارة،الرافعة هل هو بالنسبة إلى الحدث السابق أو مطلقاً ؟ الثاني ممنوع لإمكان تأخّره، والأوّل مسلَّم لكنه غير نافع؛ لأنّ الكلام في جواز الصلاةِ مع تَيَقُنِ هذا الحدث والشَكٍّ في رافِعِهِ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أنّ الطهارة الرافِعةَ متحقّقة أصلاً؛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كونه مُحْدِثاً قَبْلَ الطهارة فتكون رافعة للحدثِ السابق المُدَّعى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قَبْلَ الطهارة المفروضةِ مُتَطَهِّراً، فلا تكون رافعة، فالطهارة الرافعة مشكوك فيها، والحدث المانع مُتَحَقِّقُ الوقوع على تقدير عدم العلم بحاله قبلهما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كونَ الطهارة رافعةً في الجملة، لكن وقوعُ الحَدَثِ المانع من الدخول في الصلاةِ أمْرٌ مُحَقَّق، كما أن الطهارة كذلك، وتساقطهما بسبب تكافؤ الاحتمالَيْن لَمْ يُصَيِّر الحدث في حكم المعدوم، كَيْفَ ؟ وهو متيقَّنُ الوقوع والتأثير في وجوب الطهارة للصلاة، ونَقْض ما تقدّمه منها؛ غاية ما فى الباب أنّ بقاءه كما لا يُعْلَمُ، كذلك لا يُعْلَمُ بقاءُ الطهارة، فليس المكلّف الآن على حالةٍ يَسُوعُ معها الدخول في الصلاة شرعاً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يَقْتَضي أن الحدث المتيقن لا يَرْتَفِعُ إلَّا بطهارةٍ مُتَيَقَنَةٍ بعده؛ لأنّ اليقينَ لا يَرْفَعُه إِلَّا مِثْلُه خَرَجَ مِنْ ذلك ظَنُّ بقاء الطهارة عند تيقنها والشَكٍّ في بقائها </w:t>
      </w:r>
      <w:r>
        <w:rPr>
          <w:rFonts w:eastAsia="Amiri" w:cs="Amiri" w:ascii="Amiri" w:hAnsi="Amiri"/>
          <w:color w:val="111111"/>
          <w:sz w:val="28"/>
          <w:szCs w:val="28"/>
          <w:rtl w:val="true"/>
          <w:lang w:bidi="ar-SA"/>
        </w:rPr>
        <w:t xml:space="preserve">- </w:t>
      </w:r>
      <w:bookmarkStart w:id="143" w:name="pg10113_91967"/>
    </w:p>
    <w:p>
      <w:pPr>
        <w:pStyle w:val="BookText"/>
        <w:rPr/>
      </w:pPr>
      <w:bookmarkEnd w:id="143"/>
      <w:r>
        <w:rPr>
          <w:rFonts w:ascii="Amiri" w:hAnsi="Amiri" w:eastAsia="Amiri" w:cs="Amiri"/>
          <w:color w:val="111111"/>
          <w:sz w:val="28"/>
          <w:sz w:val="28"/>
          <w:szCs w:val="28"/>
          <w:rtl w:val="true"/>
          <w:lang w:bidi="ar-SA"/>
        </w:rPr>
        <w:t xml:space="preserve">بَلْ تجويز بقائها كذلك وإنْ لَمْ يظنّه عَمَلاً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الباقي على أضل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المُطْلَقَةُ والعامّة بوجوب الوضوء للصلاة مقيَّدةٌ بسَبْقِ حَدَثٍ يوجِبُه، وسبق الحدث مشكوك فيه، فدخول هذا المصلّي تَحْتَ الأمْرِ مشكوك فيه أيضاً والأصلُ بَراءَةُ الذمّة مِنْ وجوب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سَبْقُ الحدثِ الموجبِ مُتَحَقِّق، وإنّما الشكُّ الآن في رافعه، فَيَدْخُلُ تحت الأوامر بسبب هذا الشك، وحينئذٍ فلا يُعارِضُه أنّ الطهارة متحقّقة، والناقِضُ لها مَشْكوك فيه الآن فَتَسْتَصْحِبُها؛ لأنّ استصحابَها على هذا الوجْهِ غَيْرُ مأذون فيه، بخلاف الحكم بوجوب الطهارة؛ لدخولهِ تَحْتَ ذلك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حَضَرَ ممَّا يَتَعَلَّقُ بالحكم بوجوب الطهارَةِ مُطلَقاً</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375275_1067777946"/>
      <w:bookmarkStart w:id="145" w:name="_Toc46"/>
      <w:bookmarkEnd w:id="144"/>
      <w:r>
        <w:rPr>
          <w:rtl w:val="true"/>
        </w:rPr>
        <w:t>قولان آخران في المسألة</w:t>
      </w:r>
      <w:bookmarkEnd w:id="145"/>
    </w:p>
    <w:p>
      <w:pPr>
        <w:pStyle w:val="BookText"/>
        <w:rPr/>
      </w:pPr>
      <w:r>
        <w:rPr>
          <w:rFonts w:ascii="Amiri" w:hAnsi="Amiri" w:eastAsia="Amiri" w:cs="Amiri"/>
          <w:color w:val="111111"/>
          <w:sz w:val="28"/>
          <w:sz w:val="28"/>
          <w:szCs w:val="28"/>
          <w:rtl w:val="true"/>
          <w:lang w:bidi="ar-SA"/>
        </w:rPr>
        <w:t>وبقي في المسألة قولان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يَنْظُرَ إلى حالِهِ قَبْل الطهارة المفروضة والحَدَثِ؛ فإنْ جَهلها بأنْ لَمْ يَدْرِ هَلْ كان مُتَطَهِّراً أو مُحْدِثاً ؟ فالحكمُ كما ذَكَرَه المتقدّمون، لِعَيْن ما ذُكِرَ من الدليل</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عَلِمَ حالَهُ قبلهما أَخَذَ بِضِدٌ ما عَلِمَه من الحالة؛ فإنْ عَلِمَ أنه كان مُتَطَهِّراً فهو الآنَ مُحدث، أو مُحْدِثاً فهو الآن مُتَطَهِّرُ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هذا القولِ َمالَ المحقّق في المعتبر</w:t>
      </w:r>
      <w:r>
        <w:rPr>
          <w:rStyle w:val="FootnoteAnchor"/>
          <w:rtl w:val="true"/>
        </w:rPr>
        <w:footnoteReference w:id="294"/>
      </w:r>
      <w:r>
        <w:rPr>
          <w:rFonts w:ascii="Amiri" w:hAnsi="Amiri" w:eastAsia="Amiri" w:cs="Amiri"/>
          <w:color w:val="111111"/>
          <w:sz w:val="28"/>
          <w:sz w:val="28"/>
          <w:szCs w:val="28"/>
          <w:rtl w:val="true"/>
          <w:lang w:bidi="ar-SA"/>
        </w:rPr>
        <w:t>، لكنّه لَمْ يُفْتِ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واشْتَهَرَ بين المتأخّرين نسبته إليه من غير تحقيق</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ووَجْهُهُ أنه إن كان قبلهما متطهراً فَقَدْ عَلِمَ انتقاله عن تلك الحالة وهي الطهارة </w:t>
      </w:r>
    </w:p>
    <w:p>
      <w:pPr>
        <w:pStyle w:val="BookText"/>
        <w:rPr/>
      </w:pPr>
      <w:r>
        <w:rPr>
          <w:rFonts w:ascii="Amiri" w:hAnsi="Amiri" w:eastAsia="Amiri" w:cs="Amiri"/>
          <w:color w:val="111111"/>
          <w:sz w:val="28"/>
          <w:sz w:val="28"/>
          <w:szCs w:val="28"/>
          <w:rtl w:val="true"/>
          <w:lang w:bidi="ar-SA"/>
        </w:rPr>
        <w:t>بالحدث المفروض، وأنّ تلك الطهارة انْتَقَضَتْ قطعاً، وارتفاع هذا الحدث بالطهارة المفروضةِ غَيْرُ معلوم؛ لجواز كون الطهارة سابقةً عليه، بأن وَقَعَتْ تجديداً للطهارة السابقة أو مع الذهول عنها، فتأثير الحدث في نقض الطهارة أمرٌ معلوم، وتأثير الطهارة في رفع الحدث غير معلوم، فيُسْتَصْحَبُ المعلومُ ويُحْكَمُ عليه الآن بالحدث، وهو ضدُّ الحالةِ التي عَلِمَها قبلهما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قبلهما مُحْدِثاً فقد عُلِمَ ارتفاعُ الحدثِ بالطهارة المفروضة قطعاً، وانتقاضُها بالحدث المفروض غير معلوم؛ لجواز معاقبته للحدث السابق، فتأثير الطهارة في رفع الحدث أمر معلوم، وتأثير الحدث فيها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فَيُسْتَصْحَبُ حكمُ المعلوم </w:t>
      </w:r>
      <w:r>
        <w:rPr>
          <w:rStyle w:val="FootnoteAnchor"/>
          <w:rtl w:val="true"/>
        </w:rPr>
        <w:footnoteReference w:id="296"/>
      </w:r>
      <w:r>
        <w:rPr>
          <w:rFonts w:ascii="Amiri" w:hAnsi="Amiri" w:eastAsia="Amiri" w:cs="Amiri"/>
          <w:color w:val="111111"/>
          <w:sz w:val="28"/>
          <w:sz w:val="28"/>
          <w:szCs w:val="28"/>
          <w:rtl w:val="true"/>
          <w:lang w:bidi="ar-SA"/>
        </w:rPr>
        <w:t>على طريقة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 بما إذا جُوِّزَ في الصورة الأولى التجديد، وفي الثانية معاقَبَةُ الحدث للحدث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لوعُلِمَ عدم التجديد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مِنْ عادته مطلقاً أو في ذلك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له بالطهارة في الصورة الأولى وهي حالةٌ موافقة للسابق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ظَاهِرُ؛ لأنّه بِنَفْي احتمال التجديد يُعْلَمُ أنّ الحدث المفروض واقع قبل الطهارة، فيكون ناقضاً للسابقة، ويَتَخَلَّلُ بينها وبين اللاحقة فهو الآن متطهَّرُ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الحقيقة يَؤول إلى اليقين، وليس من الشكّ في شيءٍ فكان يُمْكِنُ الغناءُ عَنْهُ، فَمِنْ ثَمَّ أَطْلَقَه جَماعةٌ</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شَكٍّ باعتبار مبدئه، وإنْ آلَ الحالُ فيه إلى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 من مسائل الشك ما ذكروه في باب السعي مِنْ أنه لو شَكَ فيما به بَدَأَ مِن الصفا أو المروة مع تحصيله للعدد، فإن كان على المُزْدَوِج وهو على المروة بَطَلَ، وعلى الصفا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وبالعكس لو حَفِظَ وتراً </w:t>
      </w:r>
      <w:r>
        <w:rPr>
          <w:rStyle w:val="FootnoteAnchor"/>
          <w:rtl w:val="true"/>
        </w:rPr>
        <w:footnoteReference w:id="298"/>
      </w:r>
      <w:r>
        <w:rPr>
          <w:rFonts w:ascii="Amiri" w:hAnsi="Amiri" w:eastAsia="Amiri" w:cs="Amiri"/>
          <w:color w:val="111111"/>
          <w:sz w:val="28"/>
          <w:sz w:val="28"/>
          <w:szCs w:val="28"/>
          <w:rtl w:val="true"/>
          <w:lang w:bidi="ar-SA"/>
        </w:rPr>
        <w:t xml:space="preserve">فإنّه شَكٍّ بحسب مبدإ الأمر قبلَ التَرَوّي، وبأدنى توجيه </w:t>
      </w:r>
    </w:p>
    <w:p>
      <w:pPr>
        <w:pStyle w:val="BookText"/>
        <w:rPr/>
      </w:pPr>
      <w:r>
        <w:rPr>
          <w:rFonts w:ascii="Amiri" w:hAnsi="Amiri" w:eastAsia="Amiri" w:cs="Amiri"/>
          <w:color w:val="111111"/>
          <w:sz w:val="28"/>
          <w:sz w:val="28"/>
          <w:szCs w:val="28"/>
          <w:rtl w:val="true"/>
          <w:lang w:bidi="ar-SA"/>
        </w:rPr>
        <w:t>الذهن يصيرُ من باب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القَوْلُ في الصورة الثانية، لو عَلِمَ عدم التعاقب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عادته أنْ يَتَطَهَّرَ حين يُحدِثُ ولا يَتَكَرَّر منه حَدَثانِ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مع علم حاله مُحْدِثاً قَبْلَهما يَعْلَمُ أنه الآنَ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الوضوء المجدَّدَ لا يَرْفَعُ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لوقلنا بكونه رافعاً كما ذهب إليه جماعة </w:t>
      </w:r>
      <w:r>
        <w:rPr>
          <w:rStyle w:val="FootnoteAnchor"/>
          <w:rtl w:val="true"/>
        </w:rPr>
        <w:footnoteReference w:id="299"/>
      </w:r>
      <w:r>
        <w:rPr>
          <w:rFonts w:ascii="Amiri" w:hAnsi="Amiri" w:eastAsia="Amiri" w:cs="Amiri"/>
          <w:color w:val="111111"/>
          <w:sz w:val="28"/>
          <w:sz w:val="28"/>
          <w:szCs w:val="28"/>
          <w:rtl w:val="true"/>
          <w:lang w:bidi="ar-SA"/>
        </w:rPr>
        <w:t>تكافاً الاحتمالان، ووجبت الطهارة على نحو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تحرير التفصيل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التعليل في الصورة الثانية بأنّ تأثير الطهارة في الحدث أمرٌ معلوم وتأثير الحدث في الطهارةِ غَيْرُ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موضع المنع؛ إذ لا شُبهة في أنه في زَمَنِ الحَدَثِ المفروض على حالةٍ لا يَسُوعُ معها الدخول في الصلاة، وكذا بَعْدَه بلا فَضْلٍ، سواءٌ أَوَقَعَ بعد الطهارة أم،قبلها ولا معنى لتأثير الحدثِ في المنعِ من الدخول في الصلاة إلّا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فتأثير الطهارة في رفع الحدث، كما يُحْتَمَلُ كونه في الحدثِ السابق خاصةً بأن يكون هذا الحدث متأخراً عنها، يُحْتَمَلُ كون تأثيرها فيهما معاً؛ وكذلك، كما يُحْتَمَلُ كونُ تأثير هذا الحدثِ وَقَعَ في هذه الطهارة بأنْ كان متأخّراً،عنها يُحْتَمَلُ كونه سابقاً، وقد ارتفع القَدْرُ المشترك بَيْنَهُ وبَيْنَ السابق فيقينُ الطهارة الرافعة مُعارَضَ بيقين الحدث المانع، وكلُّ منهما مُسْتَصْحَبٌ</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المذكورُ إذا كان متقدماً على الطهارة لا يكون له أثرٌ ؛ لسبق الحدثِ المانع، فيكون هذا الحدث غَيْرَ مؤثرٍ؛ لاستحالة تحصيل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قُلْنا في التعليل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تأثير الطهارة في رفع الحدث أمرٌ معلوم، وتأثير الحدثِ في المنع غَيْرُ معلوم؛ لاحتمالِ سَبْقِه</w:t>
      </w:r>
      <w:r>
        <w:rPr>
          <w:rFonts w:eastAsia="Amiri" w:cs="Amiri" w:ascii="Amiri" w:hAnsi="Amiri"/>
          <w:color w:val="111111"/>
          <w:sz w:val="28"/>
          <w:szCs w:val="28"/>
          <w:rtl w:val="true"/>
          <w:lang w:bidi="ar-SA"/>
        </w:rPr>
        <w:t xml:space="preserve">. </w:t>
      </w:r>
      <w:bookmarkStart w:id="146" w:name="pg10113_91970"/>
    </w:p>
    <w:p>
      <w:pPr>
        <w:pStyle w:val="BookText"/>
        <w:rPr/>
      </w:pPr>
      <w:bookmarkEnd w:id="146"/>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تأثيره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معاقَبَتِهِ لِمِثْلِه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 بل لكلٍ من السابق واللاحق تأثير في المنع غاية ما في الباب ارتفاع المنع الحاصل منهما بطهارة واحدة؛ ولهذا نَصَّ الفقهاء على أنه لو نوى بالطهارة رَفْعَ حدث معيَّنٍ مع تعدّد الأحداث يرتفعُ الجميع</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أنّ لكلّ واحدٍ أثراً لما أفاد نيّة الآخر، بل ماعدا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الأحداث المذكورة ليست في الحقيقة عِلَلاً مؤثرةً في المنع من الدخول في الصلاة، وإنّما هي مُعَرِّفات للمنع؛ ولهذا جاز اجتماع أحداث متعدّدةٍ مع عدمِ جواز اجتماعِ العِللِ التامة على المعلول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المانع من الدخول في الصلاة المعبر عنه بالحدث أمراً واحداً، وكان كلّ واحدٍ من الأحداث المذكورة معرّفاً لحصوله، كان نيّة رَفْعِ كلّ واحدٍ منها في قُوَّةِ رَفع المانع من الدخول في العبادة المشروطة برفعه، فالمنويُّ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رَفْعَ المانع المدلول عليه بهذه الأحداث، وهو أمرٌ واحدٌ له مُعَرِّفات متعدّدةُ؛ ومِنْ ثَمَّ لو نَوى رَفْعَ حَدَثٍ معيَّنِ وعَدَمَ رفع غيره لَمْ يرتفع منها شيء، وذلك لأنّ المُرْتَفِعَ ليس إلا المانع وهو أمرٌ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 عليه بالأحداث المذكورة فنية رفع أحدهما دون الآخرِ في قُوَّةِ نيّة رفع المانع لا رَفْعُه، وهو تَناقُض، فتَبْطُلُ النيّة</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375277_1067777946"/>
      <w:bookmarkStart w:id="148" w:name="_Toc47"/>
      <w:bookmarkEnd w:id="147"/>
      <w:r>
        <w:rPr>
          <w:rtl w:val="true"/>
        </w:rPr>
        <w:t>معنی الحدث في عرف الفقهاء</w:t>
      </w:r>
      <w:bookmarkEnd w:id="148"/>
    </w:p>
    <w:p>
      <w:pPr>
        <w:pStyle w:val="BookText"/>
        <w:rPr/>
      </w:pPr>
      <w:r>
        <w:rPr>
          <w:rFonts w:ascii="Amiri" w:hAnsi="Amiri" w:eastAsia="Amiri" w:cs="Amiri"/>
          <w:color w:val="111111"/>
          <w:sz w:val="28"/>
          <w:sz w:val="28"/>
          <w:szCs w:val="28"/>
          <w:rtl w:val="true"/>
          <w:lang w:bidi="ar-SA"/>
        </w:rPr>
        <w:t>وقد ظَهَرَ من ذلك أنّ الحدثَ يُطْلَقُ في عُرْف الفقهاء على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الأعداد المذكورة من البول والغائط والريح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مِن الدخول فى الصلاة، وهوأمرٌ معنويٌّ تكون هذه الأمور دليلاً على حصوله، وتَعَلَّقُهُ بِبَدَنِ المكلّف يَرْتَفِعُ بِغَسْلِ أعضائه المذكورة ومَسْحِها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المُرْتَفِعَ بالوضوء وغيره ليس إلّا المعنى الثاني دون الأوّل، وإطلاق الحَدَثِ </w:t>
      </w:r>
    </w:p>
    <w:p>
      <w:pPr>
        <w:pStyle w:val="BookText"/>
        <w:rPr/>
      </w:pPr>
      <w:r>
        <w:rPr>
          <w:rFonts w:ascii="Amiri" w:hAnsi="Amiri" w:eastAsia="Amiri" w:cs="Amiri"/>
          <w:color w:val="111111"/>
          <w:sz w:val="28"/>
          <w:sz w:val="28"/>
          <w:szCs w:val="28"/>
          <w:rtl w:val="true"/>
          <w:lang w:bidi="ar-SA"/>
        </w:rPr>
        <w:t xml:space="preserve">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المجاز لا الحقيقة، تسمية للسبب باسم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كونها معرّفات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يجوز كَوْنُ كلّ واحدٍ من الأحداث المذكورة معرفاً لمانع آخَرَ غير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تماثلا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المعرف لا ينافي التعدُّد؛ فإنّ المراد به أنّه ليس مؤثّراً بنفسه ومُحْدِثاً للمنع، بَلْ معرفاً بأنّ اللّه تعالى أحْدَثَ بِبَدَنِ المكلّف أثراً يَمْنَعُ من الدخول في الصلاة لا يَرْتَفِعُ إلا بالطهارة، فكما يجوز أن يقال في الحدث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عَرَفَ بوقوع ذلك المعنى المانع وليس هو المؤثر، كذلك يجوز أن يُقال فيما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أحْدَثَ التعريف بمانع ثانٍ وثالث وهَلُمَّ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ما في الباب أنّ هذه الموانع قد تتداخل الطهاراتُ الرافعة لها، ويُكتفى بطهارة واحدة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يُكتفى بوضوء واحد عند اجتماع أحداث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 يُكتفى كما إذا اختلفت الموانع قوَّةً وضَعْفاً على بعض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اختلف الفقهاء في تَداخُلِ الأغْسالِ عند اجتماع الأحداث</w:t>
      </w:r>
      <w:r>
        <w:rPr>
          <w:rStyle w:val="FootnoteAnchor"/>
          <w:rtl w:val="true"/>
        </w:rPr>
        <w:footnoteReference w:id="301"/>
      </w:r>
      <w:r>
        <w:rPr>
          <w:rFonts w:ascii="Amiri" w:hAnsi="Amiri" w:eastAsia="Amiri" w:cs="Amiri"/>
          <w:color w:val="111111"/>
          <w:sz w:val="28"/>
          <w:sz w:val="28"/>
          <w:szCs w:val="28"/>
          <w:rtl w:val="true"/>
          <w:lang w:bidi="ar-SA"/>
        </w:rPr>
        <w:t>، وهو يَدُلُّكَ على أنه لا منافاة بين كون الحدث مُعَرِّفاً، وبين الحكم بتعدد الأحداث</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تَقَرَّرَ ذلك فنقول في الحدث المفروض الذي هو موضِعُ النزاع وهو الطارئ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تأثيراً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حقّقناه آخراً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تأثير له في المنع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المكلّف في زمان ذلك الحدث وبَعْدَه بلا فَصْلِ ممنوع من الدخول في الصلاة، محكوم عليه بالحدث، سواء كان الحَدَثُ المذكور سابقاً على الطهارة أم لاحقاً؛ لأنّه إن كان لاحقاً لها فواضح؛ لأنه مستمر إلى الآن، وإن كان سابقاً فالمنع متحقق حالته وبعدها، فكما يُحْتَمَلُ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المانع ارْتَفَعَ بالطهارة، لجواز سَبْقِهِ، كذا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تَأْخُرُهُ </w:t>
      </w:r>
      <w:bookmarkStart w:id="149" w:name="pg10113_91972"/>
    </w:p>
    <w:p>
      <w:pPr>
        <w:pStyle w:val="BookText"/>
        <w:rPr/>
      </w:pPr>
      <w:bookmarkEnd w:id="149"/>
      <w:r>
        <w:rPr>
          <w:rFonts w:ascii="Amiri" w:hAnsi="Amiri" w:eastAsia="Amiri" w:cs="Amiri"/>
          <w:color w:val="111111"/>
          <w:sz w:val="28"/>
          <w:sz w:val="28"/>
          <w:szCs w:val="28"/>
          <w:rtl w:val="true"/>
          <w:lang w:bidi="ar-SA"/>
        </w:rPr>
        <w:t>عنها، فهو الآنَ باقٍ، وهذا القَدْرُ مكافِيُّ لِما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الطهارة المذكورة كما يُحْتَمَلُ كَوْنُها متقدِّمةً على الحدث فلا أَثَرَ لها الآنَ يُحْتَمَلُ تَأْخُرُها عنه، فَيَتَكافَأُ اليقينانِ، ويَشْتَبِه الحالُ، ويتوجّه وجوبُ الطهارة في هذه الصورة أيضاً، كما يجب في الصورة السابقة</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375279_1067777946"/>
      <w:bookmarkStart w:id="151" w:name="_Toc48"/>
      <w:bookmarkEnd w:id="150"/>
      <w:r>
        <w:rPr>
          <w:rtl w:val="true"/>
        </w:rPr>
        <w:t>ردّ علی أحد قولي التفصیل</w:t>
      </w:r>
      <w:bookmarkEnd w:id="151"/>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البَحْتُ آتٍ في صورة سَبْقِ الطهارة أيضاً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الطهارة المفروضة وإن احْتَمَلَتِ التجديد لتكونَ غَيْرَ،رافعة، 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المكلّف حالة الطهارة يكون على حالة تباحُ الصلاة معها قطعاً؛ لأنها إنْ كانَتْ متقدمةً على الحدث فالطهارة السابقة باقية، والإباحة بسببها ؛ وإن كانت لاحقةً للحدث فهي رافعةً، فالمكلّف حالتها مستبيح للصلاة جَزْماً، فَتُسْتَصْحَبُ الإباحة كما تُسْتَصْحَبُ حالة الحدث المفروض الذي حُكِمَ فِيهِ بِتَيَقُنِ المنع، فَيَتَكَافَآنِ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أيضاً حَقٌّ، ووُروده متوجّه إلّا أنّه لا يُزيلُ ما نحن بِصَدَدِ إثباتِهِ مِنْ وجوب الطهارة؛ لأنّ المسألةَ حينئذٍ تَصيرُ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تَيَقُنِ الْأَمْرَيْنِ مع الشكّ في المتأخّر، فتجب الطهارة، وهو معنى تأثير الحدث وإن اخْتَلَفَ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القول بوجوب الطهارة مطلقاً أقوى من القول الأوّل من قولي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يبقى ما لو تَيَقَّنَ الطهارة والحدث متحدَيْنِ متعاقِبَيْنِ، وعَلِمَ حاله قبل زمانهما على وجه يحكم يقيناً بأحدهما الآن، كما فَرَضَه العلّامة فى القواعد </w:t>
      </w:r>
      <w:r>
        <w:rPr>
          <w:rStyle w:val="FootnoteAnchor"/>
          <w:rtl w:val="true"/>
        </w:rPr>
        <w:footnoteReference w:id="302"/>
      </w:r>
      <w:r>
        <w:rPr>
          <w:rFonts w:ascii="Amiri" w:hAnsi="Amiri" w:eastAsia="Amiri" w:cs="Amiri"/>
          <w:color w:val="111111"/>
          <w:sz w:val="28"/>
          <w:sz w:val="28"/>
          <w:szCs w:val="28"/>
          <w:rtl w:val="true"/>
          <w:lang w:bidi="ar-SA"/>
        </w:rPr>
        <w:t>وهذا أمرٌ خارج عن باب الشكّ، كما حقّقناه، يُسْتَغْنى عن استثنائه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الثاني </w:t>
      </w:r>
      <w:r>
        <w:rPr>
          <w:rStyle w:val="FootnoteAnchor"/>
          <w:rtl w:val="true"/>
        </w:rPr>
        <w:footnoteReference w:id="303"/>
      </w:r>
      <w:r>
        <w:rPr>
          <w:rFonts w:ascii="Amiri" w:hAnsi="Amiri" w:eastAsia="Amiri" w:cs="Amiri"/>
          <w:color w:val="111111"/>
          <w:sz w:val="28"/>
          <w:sz w:val="28"/>
          <w:szCs w:val="28"/>
          <w:rtl w:val="true"/>
          <w:lang w:bidi="ar-SA"/>
        </w:rPr>
        <w:t>من قولي التفصيل وهو يقابل ما قبله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على ما عَلِمَه من حاله قبلهما إن كان مُتَطَهِّراً فهو الآنَ مُتَطَهِّرُ، وإن كان محدِثاً فهو الآنَ مُحْدِث، وإنْ </w:t>
      </w:r>
    </w:p>
    <w:p>
      <w:pPr>
        <w:pStyle w:val="BookText"/>
        <w:rPr/>
      </w:pPr>
      <w:r>
        <w:rPr>
          <w:rFonts w:ascii="Amiri" w:hAnsi="Amiri" w:eastAsia="Amiri" w:cs="Amiri"/>
          <w:color w:val="111111"/>
          <w:sz w:val="28"/>
          <w:sz w:val="28"/>
          <w:szCs w:val="28"/>
          <w:rtl w:val="true"/>
          <w:lang w:bidi="ar-SA"/>
        </w:rPr>
        <w:t>لَمْ يَعْلَمْ حاله 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ذهب إليه العلّامة في المختلف، ووَجَّهَه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مع عِلْمٍ حاله سابقاً بالطهارة يكون قد تَيَقَّنَ أنَّه نَقَضَ تلك الطهارة، ثمّ تَوَضَّأَ، ولا يمكن أنْ يَتَوَضَّأَ عن حدث مع بقاء تلك الطهارة، ونَقْصُ الطهارة الثانية مشكوك فيه فلا يزول عن اليقين بالشك، ومع علم حاله بالحدث يكون قدتَيَقَّنَ أنّه قد انْتَقَلَ عنه إلى الطهارة، ثمّ نَقَضَها، والطهارة بعد نقضها مشكوك فيها، والناقض متيقَّن</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التوجيه ينادي على نفسه بالفساد، سيّما بعد الإحاطة بما حقّقناه؛ فإنه إذا كان مُتَطَّهراً سابقاً لا يلزم وقوع طهارة بعدها رافعة للحدث، بل المسألة أعمّ من ذلك، وكذلك إذا كان محدثاً لا يلزم من حدثه اللاحق كَوْنُه ناقضاً للطهارة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مدّعاه وإن كان مطلقاً، لكنّه مخصوص بما دَلَّ عليه دليلُه مِنْ فَرْض المسألة في اشتباه الحال بين طهارةٍ رافعة وحدثِ ناقض، وهذا جزئي مِنْ جزئيات المسألة، والحكم فيه صحيح، مع ملاحظة تخصيصه بما فُهِمَ مِن تعليله، إلّا أنّ إطلاق الحكم غير صحيح؛ إذ لو تَيَقَّنَ طهارة مطلقةً وحدثاً مطلقاً لَمْ تتمّ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وَجَهَهُ بعضُهم مطلقاً بأن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الطهارة والحدث الطارئان تَعارَضا فَتَساقطا؛ لاستحالة الترجيح من غير مُرَجّح، ورَجَعَ الحكم إلى الحال السابق من طهارة أو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هو الذي أوجب التعبير في المسألة باستصحاب السابق بطريق الحقيقة، واستعاره العلّامة في القواعد</w:t>
      </w:r>
      <w:r>
        <w:rPr>
          <w:rStyle w:val="FootnoteAnchor"/>
          <w:rtl w:val="true"/>
        </w:rPr>
        <w:footnoteReference w:id="305"/>
      </w:r>
      <w:r>
        <w:rPr>
          <w:rFonts w:ascii="IRNazanin" w:hAnsi="IRNazanin" w:eastAsia="IRNazanin"/>
          <w:color w:val="111111"/>
          <w:sz w:val="28"/>
          <w:sz w:val="28"/>
          <w:szCs w:val="28"/>
          <w:rtl w:val="true"/>
          <w:lang w:bidi="fa-IR"/>
        </w:rPr>
        <w:t xml:space="preserve">والمختلف </w:t>
      </w:r>
      <w:r>
        <w:rPr>
          <w:rStyle w:val="FootnoteAnchor"/>
          <w:rtl w:val="true"/>
        </w:rPr>
        <w:footnoteReference w:id="306"/>
      </w:r>
      <w:r>
        <w:rPr>
          <w:rFonts w:ascii="Amiri" w:hAnsi="Amiri" w:eastAsia="Amiri" w:cs="Amiri"/>
          <w:color w:val="111111"/>
          <w:sz w:val="28"/>
          <w:sz w:val="28"/>
          <w:szCs w:val="28"/>
          <w:rtl w:val="true"/>
          <w:lang w:bidi="ar-SA"/>
        </w:rPr>
        <w:t>في الحكم بمثل السابق لا عينه</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التوجيه غَلَط كالقَوْل به، وقد أَشَرْنا إلى دفعه سابقاً، وكيف يُحْكَمُ بالحال السابق مع العلم بانتقاضه بما بعده من طهارة أو حدث ؟</w:t>
      </w:r>
    </w:p>
    <w:p>
      <w:pPr>
        <w:pStyle w:val="BookText"/>
        <w:rPr/>
      </w:pPr>
      <w:r>
        <w:rPr>
          <w:rFonts w:ascii="Amiri" w:hAnsi="Amiri" w:eastAsia="Amiri" w:cs="Amiri"/>
          <w:color w:val="111111"/>
          <w:sz w:val="28"/>
          <w:sz w:val="28"/>
          <w:szCs w:val="28"/>
          <w:rtl w:val="true"/>
          <w:lang w:bidi="ar-SA"/>
        </w:rPr>
        <w:t>فهذا ما اقتضاه الحالُ من تحقيق هذه المسألة مُطلقةً ومفصلةً، وهو مَبْحَثُ دَقيق و تقريرٌ رَشيقٌ لَمْ يَحُمْ حَوْلَ حِماهُ أحدٌ مِمَّنْ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به قوّةُ القول بوجوب الطهارة مُطلقاً؛ حيث لا يُستفاد من الاتحاد والتعاقب حكم يُخالِفُه، وهو في الحقيقة غَيْرُ منافٍ للإطلاق كما حقّقناه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في المسألة بَحْثٌ،آخر نَخْتِمُ به الكلام ونُحَقِّقُ به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فَرْضَ أصحاب التفصيل في المسألة اشتباه الحال قَبْلَ الفعلين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الحدث والطهارة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يقع فيه التباس بسبب أنه مع الاشتباه يَنْتَقِلُ إلى حالةٍ سابقةٍ زماناً قَبْلَ زمانٍ إلى أن يُحَصِّلَ أنّه تَطَهَّر أو أحْدَتَ إِذْ لا يَتَّفِقُ أنّ الإنسان في جميع عُمره السابق لا يَعْلَمُ هَلْ أَحْدَثَ أمْ لا ؟ أو تَطَهَّرَ أمْ لا ؟ فلابدّ أنْ يَذْكُرَ حالةً مِن الحالتَيْنِ، وأَيَّتُهُما ذَكَرَها وشَكَ في وقوع الأُخرى بَعْدَها، اسْتَصْحَبَ الحالة المتيقنة، إن حدثاً وإن طهارة إجماعاً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المتصل بالفعلَيْنِ المبحوث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محكوم بطهارته شرعاً ولو بالاستصحاب إنْ ذَكَرَ أنه فى الآنات السابقة أوْقَعَ طهارةً وشَكٍّ في الحدث بعدها، أو محكوم بحدثه إنْ ذَكَرَ حَدَثاً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 في لحوق الطهارة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يتحقّق فى هذه المسألة اشتباه حال المكلّف قبلهما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بالاشتباه المفروض هنا اشتباه الحالة يقيناً، بمعنى أنه بعد الزوال مثلاً إذا وَقَعَ منه طهارة وحدثُ لا يَعْلَمُ يقيناً هَلْ كان في الحالة السابقة عليهما بلا فَضْلٍ مُتَطَهِّراً أو مُحْدِثاً ؟ وإنْ كان الاستصحاب يَحْكُمُ له بأحدهما؛ فإنّ ذلك غير كافٍ في هذه المسألة، وذلك لأنه إذا تحقّق أنه عند الصبح مثلاً تَطَهَّرَ ولا يَعْلَمُ هَلْ أحْدَثَ بعد ذلك أم لا ؟ فهو عند الزوالِ الذي هو زمانُ الحدث والطهارة المشتبهين لا يَعْلَمُ هَلْ هو مُتَطَهِّرُ يقيناً ؟ فتكون تلك الطهارة التي وقعت عند الزوال مُجَدَّدَةً </w:t>
      </w:r>
    </w:p>
    <w:p>
      <w:pPr>
        <w:pStyle w:val="BookText"/>
        <w:rPr/>
      </w:pPr>
      <w:r>
        <w:rPr>
          <w:rFonts w:ascii="Amiri" w:hAnsi="Amiri" w:eastAsia="Amiri" w:cs="Amiri"/>
          <w:color w:val="111111"/>
          <w:sz w:val="28"/>
          <w:sz w:val="28"/>
          <w:szCs w:val="28"/>
          <w:rtl w:val="true"/>
          <w:lang w:bidi="ar-SA"/>
        </w:rPr>
        <w:t>فلا تكون رافعةً؛ أو مُحْدِثُ ؟ فتكون رافعةً، فقد اشْتَبَهَتِ الطهارة الثانيةُ هَلْ هي رافعة أمْ لا ؟ كما في الطهارة الواقعة بعد حالته التي عَلِمَها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الحدث؛ فإنّه يُحْتَمَلُ أنْ يكون واقعاً بعد الطهارة، وحينئذٍ إن كانت مستمرّةً إلى الزوال فيكون مؤثِّراً في إبطال الطهارة وتأثير الطهارة فيه بعد ذلك غَيْرُ معلوم؛ ويُحْتَمَلُ أنْ يكون واقعاً بعد حدث، فلا يكون له تأثير في الطهارة فَيَتَكافَاً هو والطهارة في احتمال التأثير في الضد وعدمه، فلا ترجيح، فتجب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مبنى على القول بالتفصيل الأوّل المبنى على عدم تأثير الحدث إذا وَقَعَ بعد حَدَثٍ، وإنْ كان قَدْ تقدّم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الاستصحاب الشكّ فى طُروء الضدّ يُفيد بقاء السابق شرعاً فَلِمَ لا يكون حُكْمُه عند الزوالِ بِحُكْمِ المُتَطَهِّر إن كان المتيقن سابقاً هو الطهارة، أو الحَدَثِ إنْ كان</w:t>
      </w:r>
      <w:r>
        <w:rPr>
          <w:rStyle w:val="FootnoteAnchor"/>
          <w:rtl w:val="true"/>
        </w:rPr>
        <w:footnoteReference w:id="308"/>
      </w:r>
      <w:r>
        <w:rPr>
          <w:rFonts w:ascii="Amiri" w:hAnsi="Amiri" w:eastAsia="Amiri" w:cs="Amiri"/>
          <w:color w:val="111111"/>
          <w:sz w:val="28"/>
          <w:sz w:val="28"/>
          <w:szCs w:val="28"/>
          <w:rtl w:val="true"/>
          <w:lang w:bidi="ar-SA"/>
        </w:rPr>
        <w:t>المُتَيَقَّنُ هو الحَدَثُ ؟ نَظَراً إلى أنّ الشارع قد حَكَمَ عليه في تلك الحالة بذلك الوصف فيكون كالمُتَيَقَّن للحالة، ويَلْزَمُهُ حُكْمُها؛ إذْ لا فَرْقَ في الشرع بين المُتَطَهِّر يقيناً واستصحاباً كما في نظائره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مُشتركةً بين الرافعة للحدث المُبيحة للصلاة وبَيْنَ غَيْرِها، كان مُطْلقُ الطهارة الواقعة من المكلّف غَيْرَ مستلزم لرفع الحدث؛ لأنه حُكْمٌ مُغاير لها، وهى أعمُّ منه، فما لَم يَتَيَقَّنْ كَوْنَه مُتَطَهِّراً قبل الزمان المشكوك فيه بلا فَضْل، أو مُخدثاً، لا يَتَيَقَّنُ كَوْنَ الطهارة رافعةً أو غَيْرَ رافعةٍ، وإنْ حُكم باستصحاب الحالة السابقة؛ لجواز أنْ يكونَ الحالُ في نَفْس الأمر بخلاف ما حُكِمَ له باستصحابه، فلا تكون الطهارة رافعة فى نَفْسِ الأمر، فَشَكُهُ حينئذٍ يرجع إلى أنّي إن كُنْتُ في نَفْس الأمر في تلك الحالة مُحدثاً، فالطهارة رافعة، وإلّا فليست برافعة، وهذا </w:t>
      </w:r>
    </w:p>
    <w:p>
      <w:pPr>
        <w:pStyle w:val="BookText"/>
        <w:rPr/>
      </w:pPr>
      <w:r>
        <w:rPr>
          <w:rFonts w:ascii="Amiri" w:hAnsi="Amiri" w:eastAsia="Amiri" w:cs="Amiri"/>
          <w:color w:val="111111"/>
          <w:sz w:val="28"/>
          <w:sz w:val="28"/>
          <w:szCs w:val="28"/>
          <w:rtl w:val="true"/>
          <w:lang w:bidi="ar-SA"/>
        </w:rPr>
        <w:t>لا يوجِبُ كَوْنَها رافعةً كما لا يخفى ؛ فإنّ النافع إنما هو الطهارة الرافعة لا مطلق الطهارة، كما قَدْ عَرَفْته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اخترناه لا يَفْتَقِرُ إلى هذا التكلُّف؛ وإنّما حَرَّرْناه تحقيقاً لقولي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الشبهة لا تَنْحَسِمُ عنهما بذلك أصلاً، وإنْ تَرَجَّحَ ذلك الجانب بوجه ما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تعالى أعلم بحقائق أحكامه، وحَسْبُنا اللّه ونعم الوكيل</w:t>
      </w:r>
      <w:r>
        <w:rPr>
          <w:rFonts w:eastAsia="Amiri" w:cs="Amiri" w:ascii="Amiri" w:hAnsi="Amiri"/>
          <w:color w:val="111111"/>
          <w:sz w:val="28"/>
          <w:szCs w:val="28"/>
          <w:rtl w:val="true"/>
          <w:lang w:bidi="ar-SA"/>
        </w:rPr>
        <w:t xml:space="preserve">. </w:t>
      </w:r>
      <w:bookmarkStart w:id="152" w:name="pg10113_91977"/>
    </w:p>
    <w:p>
      <w:pPr>
        <w:pStyle w:val="Heading3"/>
        <w:numPr>
          <w:ilvl w:val="2"/>
          <w:numId w:val="1"/>
        </w:numPr>
        <w:rPr/>
      </w:pPr>
      <w:bookmarkStart w:id="153" w:name="__RefHeading___Toc375281_1067777946"/>
      <w:bookmarkStart w:id="154" w:name="_Toc49"/>
      <w:bookmarkEnd w:id="152"/>
      <w:bookmarkEnd w:id="153"/>
      <w:r>
        <w:rPr/>
        <w:t>12</w:t>
      </w:r>
      <w:r>
        <w:rPr>
          <w:rtl w:val="true"/>
        </w:rPr>
        <w:t xml:space="preserve">. </w:t>
      </w:r>
      <w:r>
        <w:rPr>
          <w:rtl w:val="true"/>
        </w:rPr>
        <w:t>الحَدَثُ الأصغرُ أثناء غُسل الجنابة</w:t>
      </w:r>
      <w:bookmarkEnd w:id="154"/>
    </w:p>
    <w:p>
      <w:pPr>
        <w:pStyle w:val="Heading4"/>
        <w:numPr>
          <w:ilvl w:val="3"/>
          <w:numId w:val="1"/>
        </w:numPr>
        <w:rPr/>
      </w:pPr>
      <w:bookmarkStart w:id="155" w:name="__RefHeading___Toc375283_1067777946"/>
      <w:bookmarkStart w:id="156" w:name="_Toc50"/>
      <w:bookmarkEnd w:id="155"/>
      <w:r>
        <w:rPr>
          <w:rtl w:val="true"/>
        </w:rPr>
        <w:t>إشارة</w:t>
      </w:r>
      <w:r>
        <w:rPr>
          <w:rtl w:val="true"/>
        </w:rPr>
        <w:t>:</w:t>
      </w:r>
      <w:bookmarkEnd w:id="156"/>
    </w:p>
    <w:p>
      <w:pPr>
        <w:pStyle w:val="BookText"/>
        <w:rPr/>
      </w:pPr>
      <w:r>
        <w:rPr>
          <w:rFonts w:ascii="IRNazanin" w:hAnsi="IRNazanin" w:eastAsia="IRNazanin"/>
          <w:color w:val="111111"/>
          <w:sz w:val="28"/>
          <w:sz w:val="28"/>
          <w:szCs w:val="28"/>
          <w:rtl w:val="true"/>
          <w:lang w:bidi="fa-IR"/>
        </w:rPr>
        <w:t>تحقیق</w:t>
      </w:r>
    </w:p>
    <w:p>
      <w:pPr>
        <w:pStyle w:val="BookText"/>
        <w:rPr/>
      </w:pPr>
      <w:r>
        <w:rPr>
          <w:rFonts w:ascii="Amiri" w:hAnsi="Amiri" w:eastAsia="Amiri" w:cs="Amiri"/>
          <w:color w:val="111111"/>
          <w:sz w:val="28"/>
          <w:sz w:val="28"/>
          <w:szCs w:val="28"/>
          <w:rtl w:val="true"/>
          <w:lang w:bidi="ar-SA"/>
        </w:rPr>
        <w:t xml:space="preserve">غلامحسين الدهقان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المختاري</w:t>
      </w:r>
    </w:p>
    <w:p>
      <w:pPr>
        <w:pStyle w:val="BookText"/>
        <w:rPr/>
      </w:pPr>
      <w:r>
        <w:rPr>
          <w:rFonts w:ascii="Amiri" w:hAnsi="Amiri" w:eastAsia="Amiri" w:cs="Amiri"/>
          <w:color w:val="111111"/>
          <w:sz w:val="28"/>
          <w:sz w:val="28"/>
          <w:szCs w:val="28"/>
          <w:rtl w:val="true"/>
          <w:lang w:bidi="ar-SA"/>
        </w:rPr>
        <w:t>مراجعة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أيمن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10113_91979"/>
      <w:bookmarkStart w:id="158" w:name="pg10113_91979"/>
      <w:bookmarkEnd w:id="158"/>
    </w:p>
    <w:p>
      <w:pPr>
        <w:pStyle w:val="BookText"/>
        <w:rPr/>
      </w:pPr>
      <w:bookmarkStart w:id="159" w:name="pg10113_91979"/>
      <w:bookmarkEnd w:id="159"/>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160" w:name="__RefHeading___Toc375285_1067777946"/>
      <w:bookmarkStart w:id="161" w:name="_Toc51"/>
      <w:bookmarkEnd w:id="160"/>
      <w:r>
        <w:rPr>
          <w:rtl w:val="true"/>
        </w:rPr>
        <w:t>في المسألة ثلاثة أقوال</w:t>
      </w:r>
      <w:bookmarkEnd w:id="16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أحدث المُجنِبُ في أثناء غُسل الجنابة حدثاً أصغر، فلا نصَّ ظاهراً</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وقال العلّامة التستري في النجعة،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الرواية عن المدارك وبعينه عبّر عليّ بن بابويه على ما نقل ابنه في فقيهه في آخر صفة غُسل جنابته، ومثله في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كتاب الشلمغاني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أواخر باب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بصحّة ما فيه إلّا مواضع ليس هذا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جمعاً من المتأخّرين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نقف على الخبر في عرض المجالس، فالظاهر أنّهم توهّموا بعرض المجالس الأمالي المعروف بالمجالس وعرض المجالس غير المجالس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الأصحابُ فيه بسبب ذلك على أقوال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أوّلُ الأقوالِ بحسب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إعادةِ الغُسل من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 الصدوقانِ </w:t>
      </w:r>
      <w:r>
        <w:rPr>
          <w:rStyle w:val="FootnoteAnchor"/>
          <w:rtl w:val="true"/>
        </w:rPr>
        <w:footnoteReference w:id="310"/>
      </w:r>
      <w:r>
        <w:rPr>
          <w:rFonts w:ascii="Amiri" w:hAnsi="Amiri" w:eastAsia="Amiri" w:cs="Amiri"/>
          <w:color w:val="111111"/>
          <w:sz w:val="28"/>
          <w:sz w:val="28"/>
          <w:szCs w:val="28"/>
          <w:rtl w:val="true"/>
          <w:lang w:bidi="ar-SA"/>
        </w:rPr>
        <w:t xml:space="preserve">والشيخ في النهاية </w:t>
      </w:r>
      <w:r>
        <w:rPr>
          <w:rStyle w:val="FootnoteAnchor"/>
          <w:rtl w:val="true"/>
        </w:rPr>
        <w:footnoteReference w:id="311"/>
      </w:r>
      <w:r>
        <w:rPr>
          <w:rFonts w:ascii="Amiri" w:hAnsi="Amiri" w:eastAsia="Amiri" w:cs="Amiri"/>
          <w:color w:val="111111"/>
          <w:sz w:val="28"/>
          <w:sz w:val="28"/>
          <w:szCs w:val="28"/>
          <w:rtl w:val="true"/>
          <w:lang w:bidi="ar-SA"/>
        </w:rPr>
        <w:t>والعلّامة جمال الدين</w:t>
      </w:r>
      <w:r>
        <w:rPr>
          <w:rStyle w:val="FootnoteAnchor"/>
          <w:rtl w:val="true"/>
        </w:rPr>
        <w:footnoteReference w:id="312"/>
      </w:r>
      <w:r>
        <w:rPr>
          <w:rFonts w:ascii="IRNazanin" w:hAnsi="IRNazanin" w:eastAsia="IRNazanin"/>
          <w:color w:val="111111"/>
          <w:sz w:val="28"/>
          <w:sz w:val="28"/>
          <w:szCs w:val="28"/>
          <w:rtl w:val="true"/>
          <w:lang w:bidi="fa-IR"/>
        </w:rPr>
        <w:t xml:space="preserve">، وولده </w:t>
      </w:r>
      <w:bookmarkStart w:id="162" w:name="pg10113_91980"/>
    </w:p>
    <w:p>
      <w:pPr>
        <w:pStyle w:val="BookText"/>
        <w:rPr/>
      </w:pPr>
      <w:bookmarkEnd w:id="162"/>
      <w:r>
        <w:rPr>
          <w:rFonts w:ascii="Amiri" w:hAnsi="Amiri" w:eastAsia="Amiri" w:cs="Amiri"/>
          <w:color w:val="111111"/>
          <w:sz w:val="28"/>
          <w:sz w:val="28"/>
          <w:szCs w:val="28"/>
          <w:rtl w:val="true"/>
          <w:lang w:bidi="ar-SA"/>
        </w:rPr>
        <w:t xml:space="preserve">فخر المحقّقين </w:t>
      </w:r>
      <w:r>
        <w:rPr>
          <w:rStyle w:val="FootnoteAnchor"/>
          <w:rtl w:val="true"/>
        </w:rPr>
        <w:footnoteReference w:id="313"/>
      </w:r>
      <w:r>
        <w:rPr>
          <w:rFonts w:ascii="Amiri" w:hAnsi="Amiri" w:eastAsia="Amiri" w:cs="Amiri"/>
          <w:color w:val="111111"/>
          <w:sz w:val="28"/>
          <w:sz w:val="28"/>
          <w:szCs w:val="28"/>
          <w:rtl w:val="true"/>
          <w:lang w:bidi="ar-SA"/>
        </w:rPr>
        <w:t>والشهيد</w:t>
      </w:r>
      <w:r>
        <w:rPr>
          <w:rStyle w:val="FootnoteAnchor"/>
          <w:rtl w:val="true"/>
        </w:rPr>
        <w:footnoteReference w:id="314"/>
      </w:r>
      <w:r>
        <w:rPr>
          <w:rFonts w:ascii="Amiri" w:hAnsi="Amiri" w:eastAsia="Amiri" w:cs="Amiri"/>
          <w:color w:val="111111"/>
          <w:sz w:val="28"/>
          <w:sz w:val="28"/>
          <w:szCs w:val="28"/>
          <w:rtl w:val="true"/>
          <w:lang w:bidi="ar-SA"/>
        </w:rPr>
        <w:t>وأكثر المتأخّرين</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البطلان به بل عدم تأثيره أصلاً فيُتِمُّ الغُسل ولا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القاضي ابنُ البرّاج</w:t>
      </w:r>
      <w:r>
        <w:rPr>
          <w:rStyle w:val="FootnoteAnchor"/>
          <w:rtl w:val="true"/>
        </w:rPr>
        <w:footnoteReference w:id="316"/>
      </w:r>
      <w:r>
        <w:rPr>
          <w:rFonts w:ascii="Amiri" w:hAnsi="Amiri" w:eastAsia="Amiri" w:cs="Amiri"/>
          <w:color w:val="111111"/>
          <w:sz w:val="28"/>
          <w:sz w:val="28"/>
          <w:szCs w:val="28"/>
          <w:rtl w:val="true"/>
          <w:lang w:bidi="ar-SA"/>
        </w:rPr>
        <w:t>، وابن إدريس</w:t>
      </w:r>
      <w:r>
        <w:rPr>
          <w:rStyle w:val="FootnoteAnchor"/>
          <w:rtl w:val="true"/>
        </w:rPr>
        <w:footnoteReference w:id="317"/>
      </w:r>
      <w:r>
        <w:rPr>
          <w:rFonts w:ascii="Amiri" w:hAnsi="Amiri" w:eastAsia="Amiri" w:cs="Amiri"/>
          <w:color w:val="111111"/>
          <w:sz w:val="28"/>
          <w:sz w:val="28"/>
          <w:szCs w:val="28"/>
          <w:rtl w:val="true"/>
          <w:lang w:bidi="ar-SA"/>
        </w:rPr>
        <w:t xml:space="preserve">، ونَصَرَه مِن المتأخّرين المحقّق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وثالثها عدم البطلان به ويَكفي إتمامه لكن يجب عليه الوضوء لهذا الحدثِ الطارئ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 السيّد المرتضى </w:t>
      </w:r>
      <w:r>
        <w:rPr>
          <w:rStyle w:val="FootnoteAnchor"/>
          <w:rtl w:val="true"/>
        </w:rPr>
        <w:footnoteReference w:id="319"/>
      </w:r>
      <w:r>
        <w:rPr>
          <w:rFonts w:ascii="Amiri" w:hAnsi="Amiri" w:eastAsia="Amiri" w:cs="Amiri"/>
          <w:color w:val="111111"/>
          <w:sz w:val="28"/>
          <w:sz w:val="28"/>
          <w:szCs w:val="28"/>
          <w:rtl w:val="true"/>
          <w:lang w:bidi="ar-SA"/>
        </w:rPr>
        <w:t>من المتقدّمين، والمحقّق أبو القاسم</w:t>
      </w:r>
      <w:r>
        <w:rPr>
          <w:rStyle w:val="FootnoteAnchor"/>
          <w:rtl w:val="true"/>
        </w:rPr>
        <w:footnoteReference w:id="320"/>
      </w:r>
      <w:r>
        <w:rPr>
          <w:rFonts w:ascii="Amiri" w:hAnsi="Amiri" w:eastAsia="Amiri" w:cs="Amiri"/>
          <w:color w:val="111111"/>
          <w:sz w:val="28"/>
          <w:sz w:val="28"/>
          <w:szCs w:val="28"/>
          <w:rtl w:val="true"/>
          <w:lang w:bidi="ar-SA"/>
        </w:rPr>
        <w:t>وبعض المتأخّرين</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 w:name="__RefHeading___Toc375287_1067777946"/>
      <w:bookmarkStart w:id="164" w:name="_Toc52"/>
      <w:bookmarkEnd w:id="163"/>
      <w:r>
        <w:rPr>
          <w:rtl w:val="true"/>
        </w:rPr>
        <w:t>أدلّة الأقوال الثلاثة</w:t>
      </w:r>
      <w:bookmarkEnd w:id="164"/>
    </w:p>
    <w:p>
      <w:pPr>
        <w:pStyle w:val="BookText"/>
        <w:rPr/>
      </w:pPr>
      <w:r>
        <w:rPr>
          <w:rFonts w:ascii="Amiri" w:hAnsi="Amiri" w:eastAsia="Amiri" w:cs="Amiri"/>
          <w:color w:val="111111"/>
          <w:sz w:val="28"/>
          <w:sz w:val="28"/>
          <w:szCs w:val="28"/>
          <w:rtl w:val="true"/>
          <w:lang w:bidi="ar-SA"/>
        </w:rPr>
        <w:t xml:space="preserve">حجّة الأوّل أمورٌ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الحدث الأصغر سبب تام في إيجاب الوضوء، كما أن الجنابة سببٌ تامٌّ في إيجابِ الغُسلِ، لكن إذا اجتمعا دخل الأصغرُ تحت الأكبر، فإذا وقع الأصغر في أثناء الغسل وقع وهو جنب؛ إذ لا تَرتَفِعُ الجَنابةُ إلّا بتمامِ الغُسل فلابدّ له من رافع، وهو إما الوضوء أو الغُسل، لكنَّ الوضوء ممتنع مع غُسل الجنابة بالنصّ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والإجماع</w:t>
      </w:r>
      <w:r>
        <w:rPr>
          <w:rStyle w:val="FootnoteAnchor"/>
          <w:rtl w:val="true"/>
        </w:rPr>
        <w:footnoteReference w:id="323"/>
      </w:r>
      <w:r>
        <w:rPr>
          <w:rFonts w:ascii="Amiri" w:hAnsi="Amiri" w:eastAsia="Amiri" w:cs="Amiri"/>
          <w:color w:val="111111"/>
          <w:sz w:val="28"/>
          <w:sz w:val="28"/>
          <w:szCs w:val="28"/>
          <w:rtl w:val="true"/>
          <w:lang w:bidi="ar-SA"/>
        </w:rPr>
        <w:t>، فتجب إعادةُ الغُسلِ؛ لأنّ الباقي من الغُسلِ جزء الرافع لا الرافع، وما مضى مِن الغُسلِ قبل طُروء الحدثِ لا يُعقل تأثيره في رفع الحدث الطارئ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الحدث لو وقع بعد تمام الغُسلِ نقضه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أبطل تأثيره في إباحة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فلأبعاضِهِ أولى، فإذا انْتَقَضَ ما فعله بالنسبة إلى الإباحة وجب عليه إعادةُ الغُسلِ؛ لأنّه جنب حيث لم يَرتَفِعْ حكمُ جَنابتِهِ بغَسل بعض أعضائه، ولا أثر للحدث الأصغر مع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الحدث يمتنع خُلوّه عن أثر مع تأثيره بعد الكمال، فأثره إن كان الوضوء اندفَعَ بالإجماع والأخبار المطلقة على امتناع الوضوء مع غُسل الجنابة</w:t>
      </w:r>
      <w:r>
        <w:rPr>
          <w:rStyle w:val="FootnoteAnchor"/>
          <w:rtl w:val="true"/>
        </w:rPr>
        <w:footnoteReference w:id="324"/>
      </w:r>
      <w:r>
        <w:rPr>
          <w:rFonts w:ascii="Amiri" w:hAnsi="Amiri" w:eastAsia="Amiri" w:cs="Amiri"/>
          <w:color w:val="111111"/>
          <w:sz w:val="28"/>
          <w:sz w:val="28"/>
          <w:szCs w:val="28"/>
          <w:rtl w:val="true"/>
          <w:lang w:bidi="ar-SA"/>
        </w:rPr>
        <w:t>فلم يبقَ إِلَّا إعادةُ الغُسل؛ إذ الأثر المُبِيحُ هنا منحصر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وحجة الثاني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الحدث الأصغر لا يوجب الغسل إجماعاً</w:t>
      </w:r>
      <w:r>
        <w:rPr>
          <w:rStyle w:val="FootnoteAnchor"/>
          <w:rtl w:val="true"/>
        </w:rPr>
        <w:footnoteReference w:id="325"/>
      </w:r>
      <w:r>
        <w:rPr>
          <w:rFonts w:ascii="Amiri" w:hAnsi="Amiri" w:eastAsia="Amiri" w:cs="Amiri"/>
          <w:color w:val="111111"/>
          <w:sz w:val="28"/>
          <w:sz w:val="28"/>
          <w:szCs w:val="28"/>
          <w:rtl w:val="true"/>
          <w:lang w:bidi="ar-SA"/>
        </w:rPr>
        <w:t>، فلا معنى لإيجاب الإعادة، والوضوء مُنْتَفٍ مع غُسل الجنابة إجماعاً؛ فلا يُمكن المصير إليه فلم يبقَ إلّا إكماله بغير وضوء</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الحدث الأصغر لا حكم له مع الأكبر ولا تأثير، والغُسلُ لا يُرفَعُ الحدثين ابتداءً، ولا يُبيحُ منهما كذلك، وإلَّا لَوَجَبَ نيّتهما مِن أوّلِ الغُسل، ولم يُكتفَ بنية أحدهما عن الآخر؛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لكل امرئ ما نوى</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 xml:space="preserve">، وهو باطل بغير خلافٍ، وإنما المرتفع </w:t>
      </w:r>
    </w:p>
    <w:p>
      <w:pPr>
        <w:pStyle w:val="BookText"/>
        <w:rPr/>
      </w:pPr>
      <w:r>
        <w:rPr>
          <w:rFonts w:ascii="Amiri" w:hAnsi="Amiri" w:eastAsia="Amiri" w:cs="Amiri"/>
          <w:color w:val="111111"/>
          <w:sz w:val="28"/>
          <w:sz w:val="28"/>
          <w:szCs w:val="28"/>
          <w:rtl w:val="true"/>
          <w:lang w:bidi="ar-SA"/>
        </w:rPr>
        <w:t>بالغُسل هو الحدث الأكبر المنوي؛ ورفعه يقتضي رفع الأصغر على طريق الاستتباع، وحينئذٍ فلا يكون الأصغرُ مُبْطِلاً؛ لصلاحيّة تأثيرِ البعض في الإباحة منه لانتفاء الصلاحيّةِ حينئذٍ أصلاً ورأساً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 من وجوب الإعادة والوضوء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تُبْطِلُواْ أَعْمَلَكُمْ</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 والنهى للتحريم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 فإنّ الصحّة معلومة قبل تخلّل الحدثِ فكذا بعده؛ لانتفاء ما يدّلُ على الإبطال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الإعادة في غُسلِ الجَنابةِ مع العدم في غيره مما لا يجتمعان، والثاني ثابت فينتفي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التنافي أن القائلين بوجوب إعادةِ الغُسلِ بتخلل الحدثِ لم يُفَرِّقوا بينَ الجنابة وغيرها؛ وأمّا ثبوت الثاني فلانتفاء المقتضي للإعادة في غير الجنابة؛ لأنّ الحدث يقارنه ويبقى بعده؛ إذ لا يَرتَفِعُ به، فلا تَنافي بينهما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الحدث الأصغر موجب للوضوء وليس موجباً للغسل ولا لبعضه، فيَسْقُطُ وجوبُ الإعادة، ولا يسقط حكم الحدثِ بما بقي من الغُسل، فيجب له الوضوء</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الأمر أنّ الأصل فى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أصغر أم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يُفيد المنعَ مِن الصلاة إلى أن تحصل بعده طهارةٌ مُبِيحةٌ أو رافعةً، فما لم يحصل ذلك يبقى الحدث على حكم المنع وتداخُلُ الأسباب عند اجتماعها متماثلة، أو دخول الأضعف تحت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الحدث الأصغرِ المجامع للجنابة قبل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يُخرجها عن أصل السببية والمانعيّة في غير مورد الاجتماع الثابت بالنصّ والإجماع، فما وقع من الحدث </w:t>
      </w:r>
      <w:bookmarkStart w:id="165" w:name="pg10113_91983"/>
    </w:p>
    <w:p>
      <w:pPr>
        <w:pStyle w:val="BookText"/>
        <w:rPr/>
      </w:pPr>
      <w:bookmarkEnd w:id="165"/>
      <w:r>
        <w:rPr>
          <w:rFonts w:ascii="Amiri" w:hAnsi="Amiri" w:eastAsia="Amiri" w:cs="Amiri"/>
          <w:color w:val="111111"/>
          <w:sz w:val="28"/>
          <w:sz w:val="28"/>
          <w:szCs w:val="28"/>
          <w:rtl w:val="true"/>
          <w:lang w:bidi="ar-SA"/>
        </w:rPr>
        <w:t>في هذه الصورة من جملة الأحداث التي قد نصَّ الشارع على كونه سبباً لوجوب الطهارة، فيجب له الوضوء؛ إذ لم يبقَ غسل كامل حتّى يدخل معه، كما لو تقدّم، وإذا كان هذا الحدثُ لا يَزالُ إلّا بالغُسل أو الوضوء، فلو وجبت الإعادة لزِمَ كونه من موجبات الغُسل وليس كذلك، أو اكتفى بالإكمال لزم ارتفاع الحدث الأصغر ببعض الغُسل، وهو منفي قطعاً؛ إذ رافعه منحصر في الوضوء، أو الغُسل التامين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أيضاً أنه لو طرأ قبل جزء لا يتجزأ من الجانب الأيسر، أنْ يكفي غسلُ ذلك الجزء عن الوضوء والغسل، وهو باطل، وكذا يلزمُ القائل بالإعادة وجوبُ الغُسل مع بقاء جزء من الجانب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ظَهَرَ بعد تحرير الحال أن قول السيّد سيد الأقوال</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عن حجج القَوْلَيْنِ</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375289_1067777946"/>
      <w:bookmarkStart w:id="167" w:name="_Toc53"/>
      <w:bookmarkEnd w:id="166"/>
      <w:r>
        <w:rPr>
          <w:rtl w:val="true"/>
        </w:rPr>
        <w:t>مناقشة أدلة القول الأوّل</w:t>
      </w:r>
      <w:bookmarkEnd w:id="167"/>
    </w:p>
    <w:p>
      <w:pPr>
        <w:pStyle w:val="BookText"/>
        <w:rPr/>
      </w:pPr>
      <w:r>
        <w:rPr>
          <w:rFonts w:ascii="Amiri" w:hAnsi="Amiri" w:eastAsia="Amiri" w:cs="Amiri"/>
          <w:color w:val="111111"/>
          <w:sz w:val="28"/>
          <w:sz w:val="28"/>
          <w:szCs w:val="28"/>
          <w:rtl w:val="true"/>
          <w:lang w:bidi="ar-SA"/>
        </w:rPr>
        <w:t>قوله فى الأوّلِ</w:t>
      </w:r>
      <w:r>
        <w:rPr>
          <w:rStyle w:val="FootnoteAnchor"/>
          <w:rtl w:val="true"/>
        </w:rPr>
        <w:footnoteReference w:id="3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الحدث الأصغر سبب تام فى إيجاب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ويحتاج حينئذٍ إلى رافع وهو الوضوء؛ لعدم اجتماعه مع تمام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ممتنع مع غُسل الجنابة بالنصّ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امتناعه معه بهما إنما هو مع اجتماع موجبِ الوضوء وموجبِ الغُسل قبل الشروع في الغُسل، أمّا مع تقدّم بعض الغُسلِ على الحدث الأصغر فلا، وكيف يكون موضع الإجماع وهو عين النزاع، وقد خالف فيه من المتقدّمين مثلُ المرتضى ومن المتأخّرين مثل المحقّق ؟</w:t>
      </w:r>
      <w:r>
        <w:rPr>
          <w:rFonts w:eastAsia="Amiri" w:cs="Amiri" w:ascii="Amiri" w:hAnsi="Amiri"/>
          <w:color w:val="111111"/>
          <w:sz w:val="28"/>
          <w:szCs w:val="28"/>
          <w:rtl w:val="true"/>
          <w:lang w:bidi="ar-SA"/>
        </w:rPr>
        <w:t xml:space="preserve">! </w:t>
      </w:r>
      <w:r>
        <w:rPr>
          <w:rStyle w:val="FootnoteAnchor"/>
          <w:rtl w:val="true"/>
        </w:rPr>
        <w:footnoteReference w:id="33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معلوما الأصل والنسب فلا يقدحان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القائل بكلّ من القولين الآخَرَينِ معلومُ الأصل والنسب فلا يقدح في الإجماع على خلافه، فيُمكنُ دعوى الإجماع في مقابلهما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 أحد الإجماع في هذا الجانب بخلافه هناك، فيكون ذلك هو المرجّح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الإجماع مشتركة من الجانبين، وحيث لم يُؤثر في أحدهما لا يُؤثر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أنّ النصّ والإجماع إنما وقعا على الوجه المتقدّم وهو غير المتنازع النصّ فروى ابن أبي عُمَيرٍ في الصحيح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غُسل قبله وضوءٌ إِلَّا غُسل الجنابة</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محمّد بن مسلم في الصحيح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يُجزئ عن الوضوء، وأيُّ وضوءٍ أطْهَرُ من الغُسلِ ؟</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عن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غُسل وضوء إلّا الجنابة</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وباقي الأحاديث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دلّت على أنّ غُسل الجنابة يُجزئ عن الوضوء، بمعنى أنه يرفع حدث الجنابة وحدَهُ إنْ لم يكن هناك حدث أصغرُ، ويرفَعُهما إنْ صاحَبَ الجَنابةَ حدث 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عَرَضَ الحدث الأصغر في أثناء الغُسلِ فما بقي منه لا يُسمّى غُسلاً حتّى يُجزئ عن الوضوء، والمتقدّم منه لا يُعْقَلُ تأثيره في رفع الحدثِ المتأخّر عنه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حين الحدث الأصغر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تَرْتَفِعُ الجَنابة إلا بتمام الغُسل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اجتَمَعَ الحدث الأكبر والأصغرُ معاً فيتداخلانِ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المعقولُ مِن النصّ والفتوى أنّ المتداخِلَ إنّما هو الطهارات التي هي مسبّباتٌ عن الأحداث لا نفس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به في صحيح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اجتمعت للّه عليك حقوق أجزاك غُسل واحد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وكذلك المرأةُ يُجزئها غُسل واحدٌ لجَنابَتِها وإحرامِها وجمعتها، وغُسلها من حَيْضها وعيدها</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وحينئذٍ فإنّما تتداخل الطهارتان هنا، أعنى الوضوء والغُسل بأن يدخل الأصغر تحت الأكبر إذا اجتمعا معاً في حالةٍ، كما أنّ الأغسال المتعددة والوضوءاتِ المتعدّدة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بتعدّدِ أسبابها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تتداخل مع اجتماعها، أمّا لوطرأ سببُ أحدها بعد الشروع في الآخر لم يتداخلا، ووجب للطارئ موجِبُه من وضوءٍ أو غُسلِ، فهنا كان الوضوء داخلاً في الغُسل، فلمّا تجدّد موجِبُه في أثناء الغُسل لم يدخل الوضوء تحت باقي الغُسل؛ لأنّ بعض الغُسل ليس بغُسل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الإجماع فعلى تقدير تسليمه إنّما دلّ على أن الوضوء لا يجتمعُ مع غُسل الجنابة بالمعنى المتقدم، وهو أنه لا يتوقّف رفعُ الجَنابة على الوضوء مع الغُسل، ولا رفع الحدث الأصغر السابق على الغُسل على الوضوء، بل يكفى فى رفعهما الغُسلُ، وهذا كلّه خارجٌ عن موضع النزاع ومحل الخلاف فحَيثُ لم يتحقّق هنا إجماع على عدم الوضوء، وكان الحدثُ الطارئُ إنّما يوجب الوضوءَ فلا مانع من القول بوجوبه، حتّى لو فُرِضَ أنّه أرادَ العود إلى أوّلِ الغُسلِ لِيُدخِلَ تحته الوضوء لم يكن ذلك كافياً عن الوضوء أيضاً؛ لأنّ الأجزاء السابقةَ مِن الغُسل قد خرجَتْ عن الوجوب، فإعادتها ليس على وجه الوجوب والتداخُلُ إنَّما يتحقّق فى الغُسل الواجب أو ما يقوم مقامه وهذه الإعادة لا مَدْخلَ لها في الواجب ولا في القيام مقامه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في الثاني </w:t>
      </w:r>
      <w:r>
        <w:rPr>
          <w:rStyle w:val="FootnoteAnchor"/>
          <w:rtl w:val="true"/>
        </w:rPr>
        <w:footnoteReference w:id="3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الحدث لو وقع بعد تمام الغسل 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نَقْضُه للغُسلِ ممنوع؛ إذ لو نَقَضَهُ لأوجَبَ الغُسل وهو باطل إجماعاً؛ لأنّ الناقض والموجِبَ متساويانِ في غير غُسلِ الجَنابةِ بالنسبة إلى الوضوء، إمّا مطلقاً أو مع وجوب الغاية، بناءً على وجوب الطهارة لغيرها أو لنفسها في بعض الموارد، وإنّما أبْطَلَ الحدث الطارئ استمرار الإباحة بالنسبة إلى الحدث الأصغر؛ لأنّ نواقض الصغرى لا تكون نواقض الكبرى اتّفاقاً، واللازم حينئذٍ وجوب الوضوء خاصةً لا إعادة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Style w:val="FootnoteAnchor"/>
          <w:rtl w:val="true"/>
        </w:rPr>
        <w:footnoteReference w:id="336"/>
      </w:r>
      <w:r>
        <w:rPr>
          <w:rFonts w:ascii="Amiri" w:hAnsi="Amiri" w:eastAsia="Amiri" w:cs="Amiri"/>
          <w:color w:val="111111"/>
          <w:sz w:val="28"/>
          <w:sz w:val="28"/>
          <w:szCs w:val="28"/>
          <w:rtl w:val="true"/>
          <w:lang w:bidi="ar-SA"/>
        </w:rPr>
        <w:t>أيضاً بمنع أولوية النقض في الأبعاض؛ للفرق بين الحالين؛ إذ بعد تمام الغُسل قد ارْتَفَعَ،الحدث، وأبيحتِ العبادة، فأمكن طروء حكم الحدث، بخلاف ما قبله؛ لأنّ الحدث لا يرتفع إلّا بتمام الغُسل، فعند الإتمام يرتَفِعُ الحدث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الأحداث المعدودة تؤثر المنع، سواءٌ أوقعت بعد الطهارة وتحقّق الإباحةِ أم قبلها، وإن لزم منه اجتماع الموجبات؛ لأّنها معرّفات شرعيّةً لا عِلل عقليّة فلا يَضُر اجتماعها، ويُنَبِّه على ظهور تأثيرها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تعاقبَتْ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نوى رفع الحدثِ الأخير في نيّة الطهارة كفى وارتَفَعَ الجميع، ولولا أنّ للآخِرِ أثراً في المنع لم تكن نيّته موجِبةً للرفع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لو نوى رفع المتوسط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أنّ للحَدَثِ تأثيراً في المنع سواء أوقَعَ بعد الطهارة أم قبلها، فيوجب عند وقوعه موجَبَه ما لم يدخُل في غيره، كما في دخول الوضوء في غُسل الجنابة لو اجتمعا، وليس هذا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انْتَقَضَ ما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إلى الإباحة وجب عليه إعادة الغُسل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واضح المنع ومقتض لكون الحدث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بإبطاله استمرار الإباحة الناشئة </w:t>
      </w:r>
      <w:bookmarkStart w:id="168" w:name="pg10113_91987"/>
    </w:p>
    <w:p>
      <w:pPr>
        <w:pStyle w:val="BookText"/>
        <w:rPr/>
      </w:pPr>
      <w:bookmarkEnd w:id="168"/>
      <w:r>
        <w:rPr>
          <w:rFonts w:ascii="Amiri" w:hAnsi="Amiri" w:eastAsia="Amiri" w:cs="Amiri"/>
          <w:color w:val="111111"/>
          <w:sz w:val="28"/>
          <w:sz w:val="28"/>
          <w:szCs w:val="28"/>
          <w:rtl w:val="true"/>
          <w:lang w:bidi="ar-SA"/>
        </w:rPr>
        <w:t xml:space="preserve">مِن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لإبطالِ الغُسل وهو ظاهرُ البطلان، وإنّما أحْدَثَ منعاً جديداً من الدخول فى الصلاة يتوقّف رفعُه على الوضوء، لا إبطال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أثر للحدث الأصغر مع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الأصلُ في هذه الأسباب أن توجب الطهارة على وجهها، سواء أتعدّدت أم اتحدث؛ لأنّ السببيَّةَ ثابتةٌ لكلِّ واحدٍ منها بالنصّ والإجماع، وتداخلها مع اتّفاقها، أو دخولُ الأصغر تحت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الجنابة مع فرض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سقوط ما ثبت لها من السببية ودلّ عليه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التداخل إنّما يتحقّق ثَبَتَ بين الوضوء والغُسل هنا عند الاجتماع لا بين الأحداث، فلا يلزم من وجود الأحداث تداخلها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الثالث </w:t>
      </w:r>
      <w:r>
        <w:rPr>
          <w:rStyle w:val="FootnoteAnchor"/>
          <w:rtl w:val="true"/>
        </w:rPr>
        <w:footnoteReference w:id="3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الحدث يمتنع خلوُّه عن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لكن أثره الوضوء وهو غير ممتنع هنا، كما تقدم؛ والتقريب ما سبق في جواب الأوّل، بل مَرجع الدليلين إلى شيءٍ واحدٍ وإن تغايرت العبارة وتحرير الأوّل بزيادة</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375291_1067777946"/>
      <w:bookmarkStart w:id="170" w:name="_Toc54"/>
      <w:bookmarkEnd w:id="169"/>
      <w:r>
        <w:rPr>
          <w:rtl w:val="true"/>
        </w:rPr>
        <w:t>مناقشة أدلة القول الثاني</w:t>
      </w:r>
      <w:bookmarkEnd w:id="170"/>
    </w:p>
    <w:p>
      <w:pPr>
        <w:pStyle w:val="BookText"/>
        <w:rPr/>
      </w:pPr>
      <w:r>
        <w:rPr>
          <w:rFonts w:ascii="Amiri" w:hAnsi="Amiri" w:eastAsia="Amiri" w:cs="Amiri"/>
          <w:color w:val="111111"/>
          <w:sz w:val="28"/>
          <w:sz w:val="28"/>
          <w:szCs w:val="28"/>
          <w:rtl w:val="true"/>
          <w:lang w:bidi="ar-SA"/>
        </w:rPr>
        <w:t xml:space="preserve">قوله في دليل القول الثاني </w:t>
      </w:r>
      <w:r>
        <w:rPr>
          <w:rStyle w:val="FootnoteAnchor"/>
          <w:rtl w:val="true"/>
        </w:rPr>
        <w:footnoteReference w:id="3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الحدث الأصغر لا يُوجِبُ الغُسل إجماعاً، فلا معنى لإيجاب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الدليل في غاية الجَوْدة، وهو كما يصلَحُ للاكتفاء بالإكمال، كذلك يصلح لإيجاب الوضوء معه لاشتراكهما في عدم بطلان السابق وبطلان الوضوء بعده، وقد عرفت جوابه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عنه فى المختلف بأنّ إيجاب الإعادة ليس باعتبار الحدث الأصغر بل </w:t>
      </w:r>
    </w:p>
    <w:p>
      <w:pPr>
        <w:pStyle w:val="BookText"/>
        <w:rPr/>
      </w:pPr>
      <w:r>
        <w:rPr>
          <w:rFonts w:ascii="Amiri" w:hAnsi="Amiri" w:eastAsia="Amiri" w:cs="Amiri"/>
          <w:color w:val="111111"/>
          <w:sz w:val="28"/>
          <w:sz w:val="28"/>
          <w:szCs w:val="28"/>
          <w:rtl w:val="true"/>
          <w:lang w:bidi="ar-SA"/>
        </w:rPr>
        <w:t>بحكم الجنابة الباقي قبل كمال الغسل</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ضعفُ هذا الجواب بل فساده؛ لأنّ حكم الجنابة لم يتجدّد بتخلّل الحدث الأصغر، بل حُكمُها الذي كان قبل الغُسل باقٍ إلى إتمامِهِ، وإنّما المتجدد هو الأصغرُ، فكيف يجبُ به الغُسلُ ؟ واللازم من حكمِ الجَنابةِ السابقة الاكتفاء بإتمام الغُسلِ، ومن حكم الحدث الطارئ وجوب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 الثاني</w:t>
      </w:r>
      <w:r>
        <w:rPr>
          <w:rStyle w:val="FootnoteAnchor"/>
          <w:rtl w:val="true"/>
        </w:rPr>
        <w:footnoteReference w:id="3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الحدث الأصغر لا حكم له مع الأكبر ولا تأثير، والغُسل لا يرفع الحدثين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الدليل وانعقد الإجماع على أن الأحداث المذكورة سببٌ في وجوبِ الطهارة، ثَبَتَ لها الحكمُ، سواء تعدّدت أم اتحدث والتداخل مع اتّفاقها أو إجتماع الأكبر والأصغر بالنسبة إلى غُسل الجنابة، لا لعدم تأثير الأصغر أو الثاني بل لتداخل الطهاراتِ أو دخول الوضوء في الغُسل، وهذا الحكمُ الثابت في بعض المواردِ على خلاف الأصل لا يوجب سقوط ما ثبت لها من السببية ودَلَّ عليه الدليل وانْعَقَدَ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فيها أنْ يكونَ كلّ واحدٍ منها سبباً تاماً في مسبَّبِهِ، ولا معارِضَ لذلك في غُسل الجنابة إلا تخيل أن الاكتفاء بالغُسلِ لو اجتمع الأكبر والأصغر يقتضي عدم تأثير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حقيقة لهذا الخيال؛ لأنّ التداخلَ لمّا ثبت للمتساويين قوّةً وضعفاً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اجتماعِ أحداتٍ كثيرة توجب الوضوء اكتفي بوضوء واحدٍ باعتبار ورود النصّ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يَبْعُد حينئذٍ دخول الأضعفِ تحت الأقوى، حيث يَرِدُ به الشرع أيضاً كما في غُسل الجنابة على تقدير مجامعته للوضوء بمصاحبة الحدث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 كون الحكم ثابتاً قبل ورود الحدثِ الثاني ولم يتغيّر تبيّن فساده بما لو نوى رفع الحدث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الحدث يرتفع، ولو نوى رَفَعَ حدث غير واقع لم يرتفع، فدل ذلك على أن </w:t>
      </w:r>
    </w:p>
    <w:p>
      <w:pPr>
        <w:pStyle w:val="BookText"/>
        <w:rPr/>
      </w:pPr>
      <w:r>
        <w:rPr>
          <w:rFonts w:ascii="Amiri" w:hAnsi="Amiri" w:eastAsia="Amiri" w:cs="Amiri"/>
          <w:color w:val="111111"/>
          <w:sz w:val="28"/>
          <w:sz w:val="28"/>
          <w:szCs w:val="28"/>
          <w:rtl w:val="true"/>
          <w:lang w:bidi="ar-SA"/>
        </w:rPr>
        <w:t>لكلِّ واحدٍ من الأحداث المتعاقبة تأثيراً في المنع ولو تداخلت مسبباتها، لكن هذه النيّة لا يظهر أثرها في مصاحبة الجنابة للحدث الأصغر؛ بسبب أن نيّة رفع الأصغرِ إِنّما تُصاحِبُ الوضوء ولا وضوءَ هنا؛ لدخوله في الغُسل، والغُسل لا مدخل لنيّة الأصغر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وتبيَّنَ لك ظهورُ أثره فيما لو تقدّم الحَدَث الأصغر على الجنابة؛ فإنّه أثر المنع وأوجب الوضوة قطعاً، فلمّا طرأتِ الجَنابةُ لم يَزَلْ ذلك المنع بل لا دليل على زواله بغير طهارة، وإنّما دخل الوضوء في الغُسل اللاحق، وارتفع الحدثان معاً بالغُسل، وحينئذٍ فإذا طرأ الأصغرُ في أثناء الغُسلِ تحقّق تأثيره، ولا غُسل بعده يدخُل وضوؤه معه بل بعض الغُسل، فلا يزول الأصغر ويرتفع إلّا بالوضوء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وإلّا لَوَجب نيتهما ابتداءً ولم يُكتف بنيّة أحدهما عن الآخر؛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لكلّ امرئ ما نوى</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لزوم ذلك؛ فإنّ الأحداث المجتمعة حيثُ يُحكم بتداخلها أو تداخل مزيلها، لا يجب معه نيّتها أجمع إجماعاً</w:t>
      </w:r>
      <w:r>
        <w:rPr>
          <w:rStyle w:val="FootnoteAnchor"/>
          <w:rtl w:val="true"/>
        </w:rPr>
        <w:footnoteReference w:id="342"/>
      </w:r>
      <w:r>
        <w:rPr>
          <w:rFonts w:ascii="Amiri" w:hAnsi="Amiri" w:eastAsia="Amiri" w:cs="Amiri"/>
          <w:color w:val="111111"/>
          <w:sz w:val="28"/>
          <w:sz w:val="28"/>
          <w:szCs w:val="28"/>
          <w:rtl w:val="true"/>
          <w:lang w:bidi="ar-SA"/>
        </w:rPr>
        <w:t>، بل تجوز نيّة القدر المشترك بينها وهو الرفع أو الإباحة، ونيّة رفع أحدها إذا لم ينفِ الباقي، ومع نفيه على قول، وهذا حكم يَعْتَرِفُ به الجميع ومنهم الخصم هنا، وما احتجّ به هنا لا يقول به هناك، إما لحديث إذا اجتَمَعَتْ عليك حقوق أجزأك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343"/>
      </w:r>
      <w:r>
        <w:rPr>
          <w:rFonts w:ascii="Amiri" w:hAnsi="Amiri" w:eastAsia="Amiri" w:cs="Amiri"/>
          <w:color w:val="111111"/>
          <w:sz w:val="28"/>
          <w:sz w:val="28"/>
          <w:szCs w:val="28"/>
          <w:rtl w:val="true"/>
          <w:lang w:bidi="ar-SA"/>
        </w:rPr>
        <w:t xml:space="preserve">، وإمّا لأنّ رفع أحدها يقتضي رفعَ القدرِ المشترك بينها وهو المنع، لتوقّف الخصوصية على رفع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المراد ارتفاع حقيقة الخارج أو الحاصل بل رفع حكمه وهو شيءٌ واحدٌ تَعَدَّدَتْ أسبابُهُ وتداخَلَتْ مسبَّباته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كذلك فى المتَّفِق فلِمَ لا جاز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في المختلف مع نيّة رفع الأكبر والأقوى، أو نيّة الاستباحة المطلقة ؟ وإنّما لم يُكتفَ بنية رفع الأصغر خاصةً على تقدير حصوله مع الأكبر؛ لعدم دخول الأقوى تحت الأضعف، ولهذا حَكَمَ جمعٌ مِن الأصحاب بعدم دخول غُسل الجنابة ونحوها تحت غسل المستحاضة لغير الانقطاع والمتحيّرة</w:t>
      </w:r>
      <w:r>
        <w:rPr>
          <w:rStyle w:val="FootnoteAnchor"/>
          <w:rtl w:val="true"/>
        </w:rPr>
        <w:footnoteReference w:id="345"/>
      </w:r>
      <w:r>
        <w:rPr>
          <w:rFonts w:ascii="Amiri" w:hAnsi="Amiri" w:eastAsia="Amiri" w:cs="Amiri"/>
          <w:color w:val="111111"/>
          <w:sz w:val="28"/>
          <w:sz w:val="28"/>
          <w:szCs w:val="28"/>
          <w:rtl w:val="true"/>
          <w:lang w:bidi="ar-SA"/>
        </w:rPr>
        <w:t>، لضعفه باستمرار الحدث مع اشتراكهما في الأكبريّة</w:t>
      </w:r>
      <w:r>
        <w:rPr>
          <w:rStyle w:val="FootnoteAnchor"/>
          <w:rtl w:val="true"/>
        </w:rPr>
        <w:footnoteReference w:id="346"/>
      </w:r>
      <w:r>
        <w:rPr>
          <w:rFonts w:ascii="Amiri" w:hAnsi="Amiri" w:eastAsia="Amiri" w:cs="Amiri"/>
          <w:color w:val="111111"/>
          <w:sz w:val="28"/>
          <w:sz w:val="28"/>
          <w:szCs w:val="28"/>
          <w:rtl w:val="true"/>
          <w:lang w:bidi="ar-SA"/>
        </w:rPr>
        <w:t>،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غسل الجنابةِ يُجزئ عن غيره ولا يُجزئ غيره عنه</w:t>
      </w:r>
      <w:r>
        <w:rPr>
          <w:rStyle w:val="FootnoteAnchor"/>
          <w:rtl w:val="true"/>
        </w:rPr>
        <w:footnoteReference w:id="347"/>
      </w:r>
      <w:r>
        <w:rPr>
          <w:rFonts w:ascii="Amiri" w:hAnsi="Amiri" w:eastAsia="Amiri" w:cs="Amiri"/>
          <w:color w:val="111111"/>
          <w:sz w:val="28"/>
          <w:sz w:val="28"/>
          <w:szCs w:val="28"/>
          <w:rtl w:val="true"/>
          <w:lang w:bidi="ar-SA"/>
        </w:rPr>
        <w:t>لضعفه بافتقار رفع الحدث مطلقاً إلى مجامعة الوضوء، فليكن هنا كذلك مع ما بين الحدثين من الاختلاف حكماً وقوّةً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بذلك جواب بقية ما ألحقه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الدليل الثالث والرابع والخامس فمشترك بين القولين الآخرين، فلا ينافي مطلوبَنا بل يُحَقِّقه، ويزيد في المطلوب وجود ما يوجب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وجوب الإعادة في غُسل الجنابة مع العدم في غيره ممّا لا يجتمعان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القائلين بوجوب إعادة الغسل بتخلُّلِ الحدثِ لم يُفَرِّقوا بينَ الجنابة وغيرها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منعُ أنّهم لم يُفَرِّقوا، بل جماعةٌ منهم قد صرَّحوا بالفرق وأنّ الإعادة مخصوصة بغُسل الجنابة</w:t>
      </w:r>
      <w:r>
        <w:rPr>
          <w:rStyle w:val="FootnoteAnchor"/>
          <w:rtl w:val="true"/>
        </w:rPr>
        <w:footnoteReference w:id="348"/>
      </w:r>
      <w:r>
        <w:rPr>
          <w:rFonts w:ascii="Amiri" w:hAnsi="Amiri" w:eastAsia="Amiri" w:cs="Amiri"/>
          <w:color w:val="111111"/>
          <w:sz w:val="28"/>
          <w:sz w:val="28"/>
          <w:szCs w:val="28"/>
          <w:rtl w:val="true"/>
          <w:lang w:bidi="ar-SA"/>
        </w:rPr>
        <w:t>، بناءً على ما تقدّم من أنّ انتفاء الوضوء مخصوص بغُسل الجنابة وأنّهم إنّما التجؤوا إلى الإعادة لذلك، ولمّا كان الوضوءُ يُصاحِبُ غيره مع عدم سبق الحَدَثِ كانت مصاحَبَتُه له معه أولى فيكفي فيه إتمامه مع الوضوء وإن أوجبوا الإعادة في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صرّح بالفرق العلّامة في النهاية، فإنّه أوجب الإعادة في </w:t>
      </w:r>
    </w:p>
    <w:p>
      <w:pPr>
        <w:pStyle w:val="BookText"/>
        <w:rPr/>
      </w:pPr>
      <w:r>
        <w:rPr>
          <w:rFonts w:ascii="Amiri" w:hAnsi="Amiri" w:eastAsia="Amiri" w:cs="Amiri"/>
          <w:color w:val="111111"/>
          <w:sz w:val="28"/>
          <w:sz w:val="28"/>
          <w:szCs w:val="28"/>
          <w:rtl w:val="true"/>
          <w:lang w:bidi="ar-SA"/>
        </w:rPr>
        <w:t>غُسل الجنابة</w:t>
      </w:r>
      <w:r>
        <w:rPr>
          <w:rStyle w:val="FootnoteAnchor"/>
          <w:rtl w:val="true"/>
        </w:rPr>
        <w:footnoteReference w:id="349"/>
      </w:r>
      <w:r>
        <w:rPr>
          <w:rFonts w:ascii="Amiri" w:hAnsi="Amiri" w:eastAsia="Amiri" w:cs="Amiri"/>
          <w:color w:val="111111"/>
          <w:sz w:val="28"/>
          <w:sz w:val="28"/>
          <w:szCs w:val="28"/>
          <w:rtl w:val="true"/>
          <w:lang w:bidi="ar-SA"/>
        </w:rPr>
        <w:t>، واكتفى بإتمامه والوضوء بعده في غيره</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من تضاعيف هذه الأدلّة وأجوبتها ما يرد على دليل القول الثالث، وما يجاب به عنه، فلا تتوقف الإفادة على الإعادة، وقد عُورضَ الإلزام الأخير بمثله؛ فإنّه يلزم الأخير أن مَنْ غَسَلَ مِنْ رأسه جزءاً يسيراً بقدر درهم ثم يبول فإنّه يبول فإنّه يجب عليه الغُسل والوضوء، وهذا الإلزام مشترك بين الأقوال الثلاثة، وهو مجرّد استبعاد لا يُلتفت إليه وإن كان للكلام عليه في الجملة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تلخّص من ذلك كلّه أنّ العمدة في القول بالإعادة على الإجماع على عدم الوضوء في غُسل الجنابة</w:t>
      </w:r>
      <w:r>
        <w:rPr>
          <w:rStyle w:val="FootnoteAnchor"/>
          <w:rtl w:val="true"/>
        </w:rPr>
        <w:footnoteReference w:id="351"/>
      </w:r>
      <w:r>
        <w:rPr>
          <w:rFonts w:ascii="Amiri" w:hAnsi="Amiri" w:eastAsia="Amiri" w:cs="Amiri"/>
          <w:color w:val="111111"/>
          <w:sz w:val="28"/>
          <w:sz w:val="28"/>
          <w:szCs w:val="28"/>
          <w:rtl w:val="true"/>
          <w:lang w:bidi="ar-SA"/>
        </w:rPr>
        <w:t>، مع ثبوت تأثير الحدث كيف وَقَعَ، ومدار القول بالاكتفاء بالإكمال على عدم تأثير الحدث الطارئ على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ثبت أنّه لا إجماع في الأوّل، والتأثير متحقّق في الأحداث وإن تعاقَبَتْ تَعَيَّنَ العمل بالقول الثالث ويليه في القوة الأوّل، وأضعفها القولُ بالإكمال خاصة، وأنّ إعادة الغُسل حينَ الحدث والوضوء بعده أحوط، وإكماله ثمّ إعادته مع الوضوء أولى من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هذه المسألة اجتهاديّة عديمة النصّ على خصوصها قد اختلفت فيها أنظارُ العلماء فلا حرج على من تَرَجّحَ عنده قول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في الاعتماد على أحدها مجرّد رجحان دليله على الباقين لا بلوغه حداً لا يبقى معه إشكال، كما في نظائره من المسائل الفقهيّة الخلافيّة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حاوَلَ الوصول في هذه الأبواب إلى حدٍ يزول معه اللبْسُ وتسكُنُ إليه النفسُ </w:t>
      </w:r>
      <w:bookmarkStart w:id="171" w:name="pg10113_91992"/>
    </w:p>
    <w:p>
      <w:pPr>
        <w:pStyle w:val="BookText"/>
        <w:rPr/>
      </w:pPr>
      <w:bookmarkEnd w:id="171"/>
      <w:r>
        <w:rPr>
          <w:rFonts w:ascii="Amiri" w:hAnsi="Amiri" w:eastAsia="Amiri" w:cs="Amiri"/>
          <w:color w:val="111111"/>
          <w:sz w:val="28"/>
          <w:sz w:val="28"/>
          <w:szCs w:val="28"/>
          <w:rtl w:val="true"/>
          <w:lang w:bidi="ar-SA"/>
        </w:rPr>
        <w:t>بحيث لا يَتَخالَجُها وهم فقد ارتكب شَطَطاً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أودعناه في هذه المسألة موجب لرجحان القول الأخير وإن بقى لباب المقال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المسألة مباحث</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375293_1067777946"/>
      <w:bookmarkStart w:id="173" w:name="_Toc55"/>
      <w:bookmarkEnd w:id="172"/>
      <w:r>
        <w:rPr>
          <w:rtl w:val="true"/>
        </w:rPr>
        <w:t>الحدث الأصغر أثناء غسل الارتماس</w:t>
      </w:r>
      <w:bookmarkEnd w:id="17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البحث كلّه إذا وقع الحدث في أثناء الغُسل المرتّب ليتحقّق له أجزاء يتخلّلها الحدث، فلو اغتسَلَ مُرْتَمِساً فقد لا يأتي فيه ذلك، كما لودخل في الماء دفعةً سريعةً وهو خالٍ من الموانعِ الدافعة لنفوذ الماء إلى ما يجب غسله كالشعر والعُكَنِ</w:t>
      </w:r>
      <w:r>
        <w:rPr>
          <w:rStyle w:val="FootnoteAnchor"/>
          <w:rtl w:val="true"/>
        </w:rPr>
        <w:footnoteReference w:id="352"/>
      </w:r>
      <w:r>
        <w:rPr>
          <w:rFonts w:ascii="Amiri" w:hAnsi="Amiri" w:eastAsia="Amiri" w:cs="Amiri"/>
          <w:color w:val="111111"/>
          <w:sz w:val="28"/>
          <w:sz w:val="28"/>
          <w:szCs w:val="28"/>
          <w:rtl w:val="true"/>
          <w:lang w:bidi="ar-SA"/>
        </w:rPr>
        <w:t>في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يأتي فيه ذلك؛ فإنّ المعتبر في الارتماس الدفعة العرفية لا الحقيقية، وهي لا تنافي التراخي القليل الذي لا يُنافيه؛ ومن ثَمَّ أمكن ارتماس ذي الشعر الكثيف ونحوه مع أنّ الماء يصل إلى رأس أنفه قبل باطن شعره قطعاً، وكذلك ورد النصّ بجوازه تحت المطر الغزير</w:t>
      </w:r>
      <w:r>
        <w:rPr>
          <w:rStyle w:val="FootnoteAnchor"/>
          <w:rtl w:val="true"/>
        </w:rPr>
        <w:footnoteReference w:id="353"/>
      </w:r>
      <w:r>
        <w:rPr>
          <w:rFonts w:ascii="Amiri" w:hAnsi="Amiri" w:eastAsia="Amiri" w:cs="Amiri"/>
          <w:color w:val="111111"/>
          <w:sz w:val="28"/>
          <w:sz w:val="28"/>
          <w:szCs w:val="28"/>
          <w:rtl w:val="true"/>
          <w:lang w:bidi="ar-SA"/>
        </w:rPr>
        <w:t>مع عدم تحقّق الوحدة الحقيقيّة، فالأثناء للغسل ممكن حينئذٍ فليفرض فيه الحدث ويأتي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المختلف قيّد المسألة بغُسل الترتيب</w:t>
      </w:r>
      <w:r>
        <w:rPr>
          <w:rStyle w:val="FootnoteAnchor"/>
          <w:rtl w:val="true"/>
        </w:rPr>
        <w:footnoteReference w:id="354"/>
      </w:r>
      <w:r>
        <w:rPr>
          <w:rFonts w:ascii="Amiri" w:hAnsi="Amiri" w:eastAsia="Amiri" w:cs="Amiri"/>
          <w:color w:val="111111"/>
          <w:sz w:val="28"/>
          <w:sz w:val="28"/>
          <w:szCs w:val="28"/>
          <w:rtl w:val="true"/>
          <w:lang w:bidi="ar-SA"/>
        </w:rPr>
        <w:t>، وكأنه يريد أن غُسل الترتيب يمكن أنْ يُفرضَ في كلّ فرد من أفراده ذلك، بخلاف الارتماس كما فصّلناه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فصّل في الذكرى حكم المرتمس بتفصيل لا يخلو من إشكال فقال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الحدث من المُرتمِس فإن قلنا بسقوط الترتيب حكماً فإن وقع بعد ملاقاة الماء جميع البدن أوجب الوضوء لا غير، وإلّا فليس له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بوجوب </w:t>
      </w:r>
    </w:p>
    <w:p>
      <w:pPr>
        <w:pStyle w:val="BookText"/>
        <w:rPr/>
      </w:pPr>
      <w:r>
        <w:rPr>
          <w:rFonts w:ascii="Amiri" w:hAnsi="Amiri" w:eastAsia="Amiri" w:cs="Amiri"/>
          <w:color w:val="111111"/>
          <w:sz w:val="28"/>
          <w:sz w:val="28"/>
          <w:szCs w:val="28"/>
          <w:rtl w:val="true"/>
          <w:lang w:bidi="ar-SA"/>
        </w:rPr>
        <w:t>الترتيب الحُكمي القصدي فهو كالمرتّب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بحصوله في نفسه وفسّرناه بتفسير الاستبصار</w:t>
      </w:r>
      <w:r>
        <w:rPr>
          <w:rStyle w:val="FootnoteAnchor"/>
          <w:rtl w:val="true"/>
        </w:rPr>
        <w:footnoteReference w:id="355"/>
      </w:r>
      <w:r>
        <w:rPr>
          <w:rFonts w:ascii="Amiri" w:hAnsi="Amiri" w:eastAsia="Amiri" w:cs="Amiri"/>
          <w:color w:val="111111"/>
          <w:sz w:val="28"/>
          <w:sz w:val="28"/>
          <w:szCs w:val="28"/>
          <w:rtl w:val="true"/>
          <w:lang w:bidi="ar-SA"/>
        </w:rPr>
        <w:t xml:space="preserve">أمْكَنَ انسحابُ البحث فيه </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نظر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في وقوع الحدث في أثناء الغُسل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المبحوث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المرتمس بعد ملاقاة الماء جميع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عن المفروض؛ لأنّه حينئذٍ يكون قد أكمل الغُسل، وإن لم يخرج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حقيقةُ الغُسل حينئذٍ إصابةُ الماء لجميع البدن دفعةً سواء بقي بعد ذلك في الماء أم 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هنا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وإلّا فليس له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إطلاقه بل قد يكون له أثرٌ، كما إذا وقع بعد ملاقاة الماء لبعض البدن وقبل ملاقاة الجميع فينسحب البحث فيه، ولا ينافي ذلك كونُه ارتماساً مع قصر الزمان، كما في تخليل ما يجب تخليله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حققنا القول في ذلك في موضعٍ آخر</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المعنى الذي فهمه العلّامة</w:t>
      </w:r>
      <w:r>
        <w:rPr>
          <w:rStyle w:val="FootnoteAnchor"/>
          <w:rtl w:val="true"/>
        </w:rPr>
        <w:footnoteReference w:id="358"/>
      </w:r>
      <w:r>
        <w:rPr>
          <w:rFonts w:ascii="Amiri" w:hAnsi="Amiri" w:eastAsia="Amiri" w:cs="Amiri"/>
          <w:color w:val="111111"/>
          <w:sz w:val="28"/>
          <w:sz w:val="28"/>
          <w:szCs w:val="28"/>
          <w:rtl w:val="true"/>
          <w:lang w:bidi="ar-SA"/>
        </w:rPr>
        <w:t xml:space="preserve">من الترتيب الحكمي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أن ضَمَّ قصدِ الترتيب إلى الارتماس يُغَيّر حالته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نظر؛ لأنّ الوحدة المعتبرة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معنىً أُخِذَتْ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حصولها، سواءٌ انضم إليها القصد أم لا، فكما يُتصوّر الحدث في أثنائه بالقصد يُتَصَوّر بدونه، وكما ينتفي بدونه ينتفي مع القصد؛ لأنّه لا يوجب زيادة زمانٍ على عدمه، فإنّ المعتبر تحقّق الارتماس على الحالين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قلنا بحصوله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الغُسل، وفسّرناه بتفسير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معنى الترتيب الحُكمي أنّ المرتمس إذا خرج من الماء حُكِمَ له أولاً بطهارة رأسه، ثمّ جانبه الأيمن، ثمّ جانبه الأيسر، فيكون على هذا التقدير مرتباً </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انسحابُ البحث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نحو ما تقدّم، من أنّ حصول هذا الحكم في نفسه لا يقتضي زيادةَ زمانٍ على عدمه، والمعتبر في وقوع الحدث في الأثناء إنما هو اتّساع الفعل بحيث يتحقّق له أوّلٌ وآخِرٌ ووسطٌ؛ ليتحقّق الوقوعُ في أثنائه وهذه المعاني التي ذكرها بأسرها مشترِكةٌ في معنى واحدٍ، فإما أنْ يَثْبُتَ الحكم لجميعها، أو ينتفي في الجميع، والمعتبر ما أسلفناه في أوّل البحث</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استفيد من خلال الأدلّة الواقعة في المسألة أنّ الكلام إنّما هو في غُسل الجنابة، وهو الذي صَرَّحَ به أكثرُ الجماعة</w:t>
      </w:r>
      <w:r>
        <w:rPr>
          <w:rStyle w:val="FootnoteAnchor"/>
          <w:rtl w:val="true"/>
        </w:rPr>
        <w:footnoteReference w:id="360"/>
      </w:r>
      <w:r>
        <w:rPr>
          <w:rFonts w:ascii="Amiri" w:hAnsi="Amiri" w:eastAsia="Amiri" w:cs="Amiri"/>
          <w:color w:val="111111"/>
          <w:sz w:val="28"/>
          <w:sz w:val="28"/>
          <w:szCs w:val="28"/>
          <w:rtl w:val="true"/>
          <w:lang w:bidi="ar-SA"/>
        </w:rPr>
        <w:t>، فلو كان غيره من الأغسال المكمّلة بالوضوء، ففي انسحاب البحث وطَرْدِ الخلاف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بعض أدلّة المسألة ما يقتضي قطعهم بعدمه، وليس بجيّد؛ فإنّ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البيان صرّح بالمساواة بينهما قاطعاً به في باب الجنابة منه</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قطع بالفرق، وأنّ غير الجنابة لا يبطل بالحدث المتخلّل، بل يوجِبُ الوضوءَ خاصّةً </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حكمه بالإعادة في غُسل الجنابة</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الذكرى توقّف في </w:t>
      </w:r>
    </w:p>
    <w:p>
      <w:pPr>
        <w:pStyle w:val="BookText"/>
        <w:rPr/>
      </w:pPr>
      <w:r>
        <w:rPr>
          <w:rFonts w:ascii="Amiri" w:hAnsi="Amiri" w:eastAsia="Amiri" w:cs="Amiri"/>
          <w:color w:val="111111"/>
          <w:sz w:val="28"/>
          <w:sz w:val="28"/>
          <w:szCs w:val="28"/>
          <w:rtl w:val="true"/>
          <w:lang w:bidi="ar-SA"/>
        </w:rPr>
        <w:t>الإلحاقِ، وجَعَلَ طَرْدَ الخلافِ ممكناً</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أنّ الدليل الأوّل والثالث من أدلّة الإعادة لا يأتيان هنا؛ لأنّ مرجِعَهما إلى أنّ انتفاء وجوبِ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مقتضى حكم هذا الحدثِ الطارئ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وقع مِن ظاهر الإجماع على انتفاء الوضوء في غُسل الجنابة، وهذا المعنى منتفٍ هنا؛ لأنّ الوضوء يجامع هذا الأغسال، فينبغي أنْ يَعْمَلَ هذا الحدث عمله وهو إيجاب الوضوء؛ إذا 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الدليل الثاني من أدلته فيمكن سَوْقَهُ هنا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الحدث لو وقع بعد تمام الغسل نقضه، فلأبعاضه أولى فيجب إعادةُ الغُسل؛ لأنّه ماش للميّت أو حائض أو أُختاها </w:t>
      </w:r>
      <w:r>
        <w:rPr>
          <w:rStyle w:val="FootnoteAnchor"/>
          <w:rtl w:val="true"/>
        </w:rPr>
        <w:footnoteReference w:id="365"/>
      </w:r>
      <w:r>
        <w:rPr>
          <w:rFonts w:ascii="Amiri" w:hAnsi="Amiri" w:eastAsia="Amiri" w:cs="Amiri"/>
          <w:color w:val="111111"/>
          <w:sz w:val="28"/>
          <w:sz w:val="28"/>
          <w:szCs w:val="28"/>
          <w:rtl w:val="true"/>
          <w:lang w:bidi="ar-SA"/>
        </w:rPr>
        <w:t>، حيث لم يرتفع الحدث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عرفت ضعف هذا الدليل وأنّ هذا الحدث لم يَنْقُض الغُسل، وإنّما أبطَلَ استمرار الإباحة بالنسبة إلى الحدث الأصغر فيوجب الوضوء ولا مانع منه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أدلّة القول الثاني فأوّلُها لا يأتي هنا أيضاً؛ لا بتنائه على انتفاء الوضوء في غُسل الجنابة، وأمّا الثاني فيمكُن انسحابه بدعوى أنّ الحدث الأصغرَ لا حكم له مع الأكبر ولا تأثير، بناءً على أنّ الغُسل في الجنابة كافٍ، سواءٌ وقع مع الجنابة حدث أصغر أم لا، وكذلك الوضوء مع الغسل في غير الجنابة كافٍ سواء صاحَبَ ذلك الحدث الموجب لهما حدث أصغرُ أيضاً أم لا، فيكون وجوده كعدمه، فإذا وقع لا يؤثّر شيئاً بل يبقى الأمر على ما كان من غسل ووضوء بعده إن لم يكن قدمه، وقد عرفت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الأدلّة غيرُ ضائرة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أدلّة القول الثالث فهي موافقة لسائر الأغسال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أنه يمكن القول في هذا الفرض بكلّ من الأقوال وإن كان القول الثالث أولى بالقوّة هنا</w:t>
      </w:r>
      <w:r>
        <w:rPr>
          <w:rFonts w:eastAsia="Amiri" w:cs="Amiri" w:ascii="Amiri" w:hAnsi="Amiri"/>
          <w:color w:val="111111"/>
          <w:sz w:val="28"/>
          <w:szCs w:val="28"/>
          <w:rtl w:val="true"/>
          <w:lang w:bidi="ar-SA"/>
        </w:rPr>
        <w:t xml:space="preserve">. </w:t>
      </w:r>
      <w:bookmarkStart w:id="174" w:name="pg10113_91996"/>
    </w:p>
    <w:p>
      <w:pPr>
        <w:pStyle w:val="Heading4"/>
        <w:numPr>
          <w:ilvl w:val="3"/>
          <w:numId w:val="1"/>
        </w:numPr>
        <w:rPr/>
      </w:pPr>
      <w:bookmarkStart w:id="175" w:name="__RefHeading___Toc375295_1067777946"/>
      <w:bookmarkStart w:id="176" w:name="_Toc56"/>
      <w:bookmarkEnd w:id="174"/>
      <w:bookmarkEnd w:id="175"/>
      <w:r>
        <w:rPr>
          <w:rtl w:val="true"/>
        </w:rPr>
        <w:t>حدث واحد أکبر أم حدثان أصغر وأکبر؟</w:t>
      </w:r>
      <w:bookmarkEnd w:id="176"/>
    </w:p>
    <w:p>
      <w:pPr>
        <w:pStyle w:val="BookText"/>
        <w:rPr/>
      </w:pPr>
      <w:r>
        <w:rPr>
          <w:rFonts w:ascii="Amiri" w:hAnsi="Amiri" w:eastAsia="Amiri" w:cs="Amiri"/>
          <w:color w:val="111111"/>
          <w:sz w:val="28"/>
          <w:sz w:val="28"/>
          <w:szCs w:val="28"/>
          <w:rtl w:val="true"/>
          <w:lang w:bidi="ar-SA"/>
        </w:rPr>
        <w:t>ولكن ينشأ الخلافُ هنا على مسألةٍ أُخرى، وهي أن الأحداث الموجبة للوضوء والغُسل هل هي حدث واحدٌ أكبرُ لا يرتفع إلا بالوضوء والغُسل أم حدثان أصغر وأكبرُ، فوجب لذلك الوضوء والغُسل ؟ ثمّ على هذا التقدير هل الوضوء منصرِفٌ إلى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والغُسل إلى الأكبر أم هما معاً يَرْفَعانِ الحدثين على سبيل الاشتراك ؟ كلّ من الثلاثة محتمل وربما كان به قائل، وقد نبهوا عليه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الوضوء على تقدير تقديمه أو مطلقاً،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ينوي فيه الاستباحة؛ لأنّه ليس برافع للحدث الأكبر، وإنّما الرافع له الغُسل</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يتخيّر فيهما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ما يتوقّف على الطهارة الكبرى خاصةً كالصوم، ودخول المساجد، وقراءة العزائم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قطع به الشهيد في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نيّة الوضوء المضموم إلى غُسل الاستحاضة مع تقدّمه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 في المختلف نَفْيُ توزيع الوضوء والغسل على الحدثين، وأن كلّ واحدٍ منهما كجزء الطهارة</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محتملٌ للوجهين الآخرين، وظاهرهما اختيار الحدثين، وأنّ كلّ واحدٍ منهما علة ناقصة لرفعهما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الذكرى اختيار التوزيع</w:t>
      </w:r>
      <w:r>
        <w:rPr>
          <w:rStyle w:val="FootnoteAnchor"/>
          <w:rtl w:val="true"/>
        </w:rPr>
        <w:footnoteReference w:id="370"/>
      </w:r>
      <w:r>
        <w:rPr>
          <w:rFonts w:ascii="Amiri" w:hAnsi="Amiri" w:eastAsia="Amiri" w:cs="Amiri"/>
          <w:color w:val="111111"/>
          <w:sz w:val="28"/>
          <w:sz w:val="28"/>
          <w:szCs w:val="28"/>
          <w:rtl w:val="true"/>
          <w:lang w:bidi="ar-SA"/>
        </w:rPr>
        <w:t>، ويؤيّده اتّفاقهم على جواز الصوم من منقطعة الدم إذا اغتسلت وإن لم تتوضاً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أنه إن ثبت الاتّفاق على صحّة الأفعال المتوقّفة على رفع الأكبر بدون </w:t>
      </w:r>
    </w:p>
    <w:p>
      <w:pPr>
        <w:pStyle w:val="BookText"/>
        <w:rPr/>
      </w:pP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بالتوزيع متعيّنٌ؛ إذ لولاه لم يَتِمَّ هذا الحكم، وإلّا فإثباتُ الحدثين بمجرّد وجوب الطهارتين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ولكنا علمْنا يقيناً تحقّق الحدث بالأسباب المذكورة، ووجوب الطهارتَينِ، وارتفاع الحدث بهما، وما زاد على ذلك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ذلك القولُ بإجزاء غُسل الجنابة عن غيره، وإجزاء غيره عنه أو عدمه مع اجتماعهما؛ فإنّهم ادَّعَوْا أنْ غُسل الجنابة أقوى من غيره؛ حيث رَفَعَ الحدث من غير انضمام إلى الوضوء، وتَوَقَّفَ غيره في رفعه على انضمام الوضوء، فيمكن أن يقال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إِنْ جعلنا موجِبَ الطهارتين حدثاً واحداً توقف رفعه عليهما، فهو أقوى من الجنابة؛ لأنّ حدث الجنابة يرتفع بالغُسل خاصّةً، وغيره لا يرتفع إلّا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جعلناهما حدثين، ورفعنا الأكبر بالغُسل والأصغر بالوضوء فيُمكن مساواتها للجنابة؛ حيث إنّ الغُسل وحدَه رَفَعَ الأكبر كالجنابة، وكونُ غير الجنابة أقوى لإيجابه حدثين وطهارتين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جعلناهما حدثين لا يرتفعان إلّا بالوضوء والغُسل على سبيل الاشتراك، فغير الجنابة أقوى أيضاً، فإطلاق كونِ غُسل الجنابة أقوى ليس بواضح، وإن كان لإجزائه عنها دليلٌ آخَرُ ليس هذا موضع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قلنا بتوزيع الوضوء والغسل على الحدثينِ، وصَرْفِ كلّ منهما إلى ما يناسبه، قوي القولُ بالاجتزاء بالوضوء بعد الغُسل بتخلُّل الحدث الأصغر؛ لأنّه يوجب الوضوء ويدخل مع الموجب الآخر لتماثلهما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قلنا بأنّه حدث واحد يوجب الوضوء والغُسل احتُمِلَ عدم الاجتزاء بالوضوء المتأخّر؛ لأنّه ليس هنا حدث أصغر حتّى يدخُلَ معه هذا الحدث المتخلّل، ويُحْتَمَلُ قوياً الاجتزاء هنا أيضاً؛ لما أسلفناء من أنّ المتداخِلَ إنّما هو الطهارات لا الأحداث، </w:t>
      </w:r>
    </w:p>
    <w:p>
      <w:pPr>
        <w:pStyle w:val="BookText"/>
        <w:rPr/>
      </w:pPr>
      <w:r>
        <w:rPr>
          <w:rFonts w:ascii="Amiri" w:hAnsi="Amiri" w:eastAsia="Amiri" w:cs="Amiri"/>
          <w:color w:val="111111"/>
          <w:sz w:val="28"/>
          <w:sz w:val="28"/>
          <w:szCs w:val="28"/>
          <w:rtl w:val="true"/>
          <w:lang w:bidi="ar-SA"/>
        </w:rPr>
        <w:t>وهنا قد اجتمع عليه وضوءان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بسبب الحدث الأكبر السابق، والآخر بسبب الأصغر اللاحق فيتداخلانِ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بأنّهما حدثان لا يرتفعان إلّا بالطهارتين فالوجهان أيضاً من حيث اجتماع الوضوءين، وكون الوضوء الأصلي له مدخل في رفع الأكبر، كما أن للغسل مدخلاً في رفع الأصغر كغُسل الجنابة عند مجامعة الحدث الأصغر، فدخول الحدث اللّاحق في الوضوء غير مناسب؛ لأنّه لا يرفع الحدث الأصغر بانفراده، ولا في الغُسل كذلك، وإذا لم يدخل ووجب له وضوءٌ آخَرُ لزم وجوبُ وضوءين مع غُسل، وهو غير معهودٍ أو غير جائز، كما يظهر من الذكرى</w:t>
      </w:r>
      <w:r>
        <w:rPr>
          <w:rStyle w:val="FootnoteAnchor"/>
          <w:rtl w:val="true"/>
        </w:rPr>
        <w:footnoteReference w:id="371"/>
      </w:r>
      <w:r>
        <w:rPr>
          <w:rFonts w:ascii="Amiri" w:hAnsi="Amiri" w:eastAsia="Amiri" w:cs="Amiri"/>
          <w:color w:val="111111"/>
          <w:sz w:val="28"/>
          <w:sz w:val="28"/>
          <w:szCs w:val="28"/>
          <w:rtl w:val="true"/>
          <w:lang w:bidi="ar-SA"/>
        </w:rPr>
        <w:t>، فتعيّنت الإعادة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السابق على الحدث من الغسل قد ارتفعت رافعيّتُه بالنسبة إلى الحدث الأصغر المرتفع به وبالوضوء، وما بقي من الغسل وما معه من الوضوء ليس علّةً تامّةً في الرفع أو الإباحة بالنسبة إلى هذا الحدث، فلابدّ لرفعه من وضوء وغسل تامين فتعينتِ الإعادة فقد ظهر أنّ للقول بالإعادة مطلقاً وجهاً، وإن كان الاكتفاء بالوضوء مطلقاً أقوى والقولُ بعدم تأثير الأصغر مع الأكبر محتمل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الحدث المتخلّل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لغُسل الجنابة الذي هو موضع النزاع، أولمطلق الغُسل على الوجه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مستمراً كالسَلَسِ والبَطَنِ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له فالأمر واضح، وحينئذٍ فإنّما يجب الوضوء لما تأخَّرَ منه عن الغُسل خاصّةً لكلِّ صلاةٍ، ويقع الغُسل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قلنا بوجوب الوضوء له فيتوضّأ بعد الغُسل ويصلّي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ببطلان الغسل من رأس أشكل الحكم هنا، فإنّه يُحْتَمَلُ حينئذٍ أنْ يترك الاغتسال ويَتَيَمَّمَ للصلاة؛ لاستلزام إعادته التسلسل والحَرَج، أو الترجيح من غير مرجّح لو حكم بصحة بعض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الاكتفاء بإتمامه هنا والوضوء بعده، ويُغتفر الحدث الواقع خلاله </w:t>
      </w:r>
      <w:bookmarkStart w:id="177" w:name="pg10113_91999"/>
    </w:p>
    <w:p>
      <w:pPr>
        <w:pStyle w:val="BookText"/>
        <w:rPr/>
      </w:pPr>
      <w:bookmarkEnd w:id="177"/>
      <w:r>
        <w:rPr>
          <w:rFonts w:ascii="Amiri" w:hAnsi="Amiri" w:eastAsia="Amiri" w:cs="Amiri"/>
          <w:color w:val="111111"/>
          <w:sz w:val="28"/>
          <w:sz w:val="28"/>
          <w:szCs w:val="28"/>
          <w:rtl w:val="true"/>
          <w:lang w:bidi="ar-SA"/>
        </w:rPr>
        <w:t>كما يُغْتَفَر الواقع فى أثناء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الصلاة الأولى، أمّا غيرُها فيُشكل الحكم فيه أيضاً؛ إذ يُحْتَمَلُ أنْ يلزمه الوضوء والغُسلُ للصلاة الأخرى، لأنّ قضيّة الدليل بطلانُ الغُسل الأوّل كما يَبْطُلُ الوضوء لكن اغْتُفِرَ ذلك للصلاة الواحدة، فيجب إعادته للأخرى كما يجب إعادة الوضوء لها وينوي فيهما الاستباحة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يَجْتَزِئ هنا بالوضوء لكلِّ صلاةٍ لا غير إلى أنْ يَحْصُلَ ما يوجِبُ الغُسلَ؛ لتحقّق الاستباحة بالنسبة إلى الحدث الأكبر السابق ولم يحصل بعده ما يوجب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بتخلُّل المبطل، وإنّما اغتُفِرَ للحرج في الصلاة الواحدة كما في الوضوء فلا وجه للحكم بصحته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يناسب هذا القول اختصاص صحّة الغُسل بالصلاة الأولى لا غير كالوضوء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الحكم بوجوب الجمع بينهما لكلِّ صلاةٍ أنّ الغُسل إنْ بَطَلَ فاللازم إعادتُهُ لا غير ودخولُ الوضوء فيه واغتفارُ ما يَتَجَدَّدُ بعد ذلك، كما يُغْتَفَرُ في الوضوء، فالواجب حينئذٍ الغُسل لكلِّ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يَبْطُلْ واغْتَفِرَ هذا الحدث بالنسبة إلى الغُسل، وحُكم بوجوب الوضوء له، فلا وجه حينئذٍ لإعادةِ الغُسل؛ لأنّ الموجِبَ لإعادته إنّما هو الحذَرُ من الجمع بينه وبين الوضوء بناءً على أنّ غُسل الجنابة لا وضوءَ معه، فإذا حُكِمَ بوجوب الوضوء زال المحذورُ، فَصحَ الغُسلُ بالنسبة إلى الحَدَثِ الأكبر، وعَمِل الأصغرُ عَمَلَه، فوجب الوضوء لكلِّ صلاةٍ خاصةً، وحينئذٍ فاحتمال وجوب الوضوء والغسل لكلّ صلاةٍ ضعيفٌ</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375297_1067777946"/>
      <w:bookmarkStart w:id="179" w:name="_Toc57"/>
      <w:bookmarkEnd w:id="178"/>
      <w:r>
        <w:rPr>
          <w:rtl w:val="true"/>
        </w:rPr>
        <w:t>اختیار المؤلّف</w:t>
      </w:r>
      <w:bookmarkEnd w:id="17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ما اخْتَرناه هذا البحث كلّه ساقط، والواجب الوضوء لكلِّ صلاةٍ خاصةً، مع احتمال عدم وجوب الوضوء أيضاً على هذا القول تنزيلاً لغُسل الجنابة منزلة الوضوء؛ لأنّ الوضوء داخل فيه فيُنَزَّلُ ما يَتَجَدَّدُ في أثنائه منزلة المتخلّل في أثناء الوضوء فلا يجب له الوضوء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احتمال وجيه، ومثله يأتى فى المتخلّل بين الغُسل </w:t>
      </w:r>
    </w:p>
    <w:p>
      <w:pPr>
        <w:pStyle w:val="BookText"/>
        <w:rPr/>
      </w:pPr>
      <w:r>
        <w:rPr>
          <w:rFonts w:ascii="Amiri" w:hAnsi="Amiri" w:eastAsia="Amiri" w:cs="Amiri"/>
          <w:color w:val="111111"/>
          <w:sz w:val="28"/>
          <w:sz w:val="28"/>
          <w:szCs w:val="28"/>
          <w:rtl w:val="true"/>
          <w:lang w:bidi="ar-SA"/>
        </w:rPr>
        <w:t>والصلاة على هذا القول وعلى القول بأنّ المتخلّل في أثناء الغُسل لا أثر له؛ فإنّه يُحْتَمَلُ عليهما أنْ لا يجبَ الوضوء للمتجدّد بعد الغُسلِ وقبل الصلاة كالمتجدّد بعد الوضوء؛ لأنّ غُسل الجنابة مُنَزَّل منزلة الوضوء زيادةً بالنسبة إلى الحدث الأصغر، فكما يُكتفى بوضوءٍ واحدٍ لكل صلاةٍ فكذا ما قام مقامه، وحينئذٍ فيكفي الغُسلُ للصلاة الأُولى ثمّ يَتَوَضَّأُ لكلِّ صلاةٍ مِن الباقيات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وجوب الوضوء للصلاة الأولى أيضاً أن الأصل في الحدث الأصغر أن يوجِبَ الوضوء لكن تَخَلَّفَ ذلك في الواقع في أثناء الوضوء بعده بالنصّ، فيبقى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وإلحاق ما يَقُوم مقامه به فيما خالف الأصل قياس لا نقول به فيجب الوضوء لكل صلاةٍ مُضافاً إلى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 الحدث بعد الغُسل وقبل الوضوء المكمل له أمكن طرد الخلاف أيضاً بناءً على القول باتّحاد الحدث، أو بتعدُّده مع اشتراك الطهارتين في رفعهما على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تأثير الأصغر، وأولى بالاجتزاء بالوضوء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القائلين بإلحاق القسم الثاني بالأوّل عدم الإلحاق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قد قَدَّمَ الوضوء فالحَدَثُ اللاحِقُ للغُسل لا أثر له في الإبطال قطعاً لارتفاع الحدث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تَخَلَّلَ الحدث بين الوضوء المتقدّم والغُسل المتأخّر فكتَخَلَّلِه بين الغُسل المتقدّم والوضوء المتأخّر، لكن هنا يَتَخَيَّرُ بين إعادة الوضوء قبل الغُسلِ أو بعده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حُكِمَ بوجوب الوضوء للحدثِ المتخلّل للغُسل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غُسل الجنابة أم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بعده؛ فإنْ كان لم يَتَوَضّاً قبله حيث يُجامِعُه فالأمر بحاله وإلا أعاد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 الوضوء في أثناء الغُسل صَحَّ أيضاً؛ لعدم اشتراط الموالاة في الغُسل، والنيّة للوضوء بحالها كيف أوقعه على أصحّ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غُسل الجنابة فلا إشكال في جواز نيّة رفع الحدثِ بالوضوء المتخلّل في أثنائه أيضاً؛ لأنّه يرفع حدثه </w:t>
      </w:r>
    </w:p>
    <w:p>
      <w:pPr>
        <w:pStyle w:val="BookText"/>
        <w:rPr/>
      </w:pPr>
      <w:r>
        <w:rPr>
          <w:rFonts w:ascii="Amiri" w:hAnsi="Amiri" w:eastAsia="Amiri" w:cs="Amiri"/>
          <w:color w:val="111111"/>
          <w:sz w:val="28"/>
          <w:sz w:val="28"/>
          <w:szCs w:val="28"/>
          <w:rtl w:val="true"/>
          <w:lang w:bidi="ar-SA"/>
        </w:rPr>
        <w:t>الموجب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على كلام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الوضوء المتقدّم على الغُسل أنّه يَنْوي به الاستباحة؛ لعدم ارتفاع الحدث </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الجواز هنا أيضاً، لكن لا قائل به هنا؛ لأنّ ابن إدريس ممّن لا يوجب الوضوء هنا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أقف في هذه المسألة على كلامٍ لأحدٍ فينبغي إمعان النظر فيها؛ فإنّ المعيار هو البرهان، واللّه أعلم بأحكامه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10113_92003"/>
      <w:bookmarkStart w:id="181" w:name="pg10113_92003"/>
      <w:bookmarkEnd w:id="181"/>
    </w:p>
    <w:p>
      <w:pPr>
        <w:pStyle w:val="Heading2"/>
        <w:numPr>
          <w:ilvl w:val="1"/>
          <w:numId w:val="1"/>
        </w:numPr>
        <w:rPr/>
      </w:pPr>
      <w:bookmarkStart w:id="182" w:name="pg10113_92003"/>
      <w:bookmarkStart w:id="183" w:name="__RefHeading___Toc375299_1067777946"/>
      <w:bookmarkStart w:id="184" w:name="_Toc58"/>
      <w:bookmarkEnd w:id="182"/>
      <w:bookmarkEnd w:id="183"/>
      <w:r>
        <w:rPr>
          <w:rtl w:val="true"/>
        </w:rPr>
        <w:t>القسم الثالث</w:t>
      </w:r>
      <w:r>
        <w:rPr>
          <w:rtl w:val="true"/>
        </w:rPr>
        <w:t xml:space="preserve">: </w:t>
      </w:r>
      <w:r>
        <w:rPr>
          <w:rtl w:val="true"/>
        </w:rPr>
        <w:t>الصلاة</w:t>
      </w:r>
      <w:bookmarkEnd w:id="184"/>
    </w:p>
    <w:p>
      <w:pPr>
        <w:pStyle w:val="Heading3"/>
        <w:numPr>
          <w:ilvl w:val="2"/>
          <w:numId w:val="1"/>
        </w:numPr>
        <w:rPr/>
      </w:pPr>
      <w:bookmarkStart w:id="185" w:name="__RefHeading___Toc375301_1067777946"/>
      <w:bookmarkStart w:id="186" w:name="_Toc59"/>
      <w:bookmarkEnd w:id="185"/>
      <w:r>
        <w:rPr>
          <w:rtl w:val="true"/>
        </w:rPr>
        <w:t>إشارة</w:t>
      </w:r>
      <w:r>
        <w:rPr>
          <w:rtl w:val="true"/>
        </w:rPr>
        <w:t>:</w:t>
      </w:r>
      <w:bookmarkEnd w:id="186"/>
    </w:p>
    <w:p>
      <w:pPr>
        <w:pStyle w:val="BookText"/>
        <w:rPr/>
      </w:pPr>
      <w:r>
        <w:rPr>
          <w:rFonts w:ascii="Amiri" w:hAnsi="Amiri" w:eastAsia="Amiri" w:cs="Amiri"/>
          <w:color w:val="111111"/>
          <w:sz w:val="28"/>
          <w:sz w:val="28"/>
          <w:szCs w:val="28"/>
          <w:rtl w:val="true"/>
          <w:lang w:bidi="ar-SA"/>
        </w:rPr>
        <w:t>ويَضُمُّ خَمْسَ رسائل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صلاة الجمعة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يَوْمِ الجمعة</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نتائج الأفكار في بيان حكم المقيمين في الأسفار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 w:name="pg10113_92005"/>
      <w:bookmarkStart w:id="188" w:name="pg10113_92005"/>
      <w:bookmarkEnd w:id="188"/>
    </w:p>
    <w:p>
      <w:pPr>
        <w:pStyle w:val="Heading3"/>
        <w:numPr>
          <w:ilvl w:val="2"/>
          <w:numId w:val="1"/>
        </w:numPr>
        <w:rPr/>
      </w:pPr>
      <w:bookmarkStart w:id="189" w:name="pg10113_92005"/>
      <w:bookmarkStart w:id="190" w:name="__RefHeading___Toc375303_1067777946"/>
      <w:bookmarkStart w:id="191" w:name="_Toc60"/>
      <w:bookmarkEnd w:id="189"/>
      <w:bookmarkEnd w:id="190"/>
      <w:r>
        <w:rPr/>
        <w:t>13</w:t>
      </w:r>
      <w:r>
        <w:rPr>
          <w:rtl w:val="true"/>
        </w:rPr>
        <w:t xml:space="preserve">. </w:t>
      </w:r>
      <w:r>
        <w:rPr>
          <w:rtl w:val="true"/>
        </w:rPr>
        <w:t>النيّة</w:t>
      </w:r>
      <w:bookmarkEnd w:id="191"/>
    </w:p>
    <w:p>
      <w:pPr>
        <w:pStyle w:val="Heading4"/>
        <w:numPr>
          <w:ilvl w:val="3"/>
          <w:numId w:val="1"/>
        </w:numPr>
        <w:rPr/>
      </w:pPr>
      <w:bookmarkStart w:id="192" w:name="__RefHeading___Toc375305_1067777946"/>
      <w:bookmarkStart w:id="193" w:name="_Toc61"/>
      <w:bookmarkEnd w:id="192"/>
      <w:r>
        <w:rPr>
          <w:rtl w:val="true"/>
        </w:rPr>
        <w:t>إشارة</w:t>
      </w:r>
      <w:r>
        <w:rPr>
          <w:rtl w:val="true"/>
        </w:rPr>
        <w:t>:</w:t>
      </w:r>
      <w:bookmarkEnd w:id="193"/>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عليّ المختاري</w:t>
      </w:r>
    </w:p>
    <w:p>
      <w:pPr>
        <w:pStyle w:val="BookText"/>
        <w:rPr/>
      </w:pPr>
      <w:r>
        <w:rPr>
          <w:rFonts w:ascii="Amiri" w:hAnsi="Amiri" w:eastAsia="Amiri" w:cs="Amiri"/>
          <w:color w:val="111111"/>
          <w:sz w:val="28"/>
          <w:sz w:val="28"/>
          <w:szCs w:val="28"/>
          <w:rtl w:val="true"/>
          <w:lang w:bidi="ar-SA"/>
        </w:rPr>
        <w:t>مراجعة</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أسعد الطيّب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4" w:name="pg10113_92007"/>
      <w:bookmarkStart w:id="195" w:name="pg10113_92007"/>
      <w:bookmarkEnd w:id="195"/>
    </w:p>
    <w:p>
      <w:pPr>
        <w:pStyle w:val="BookText"/>
        <w:rPr/>
      </w:pPr>
      <w:bookmarkStart w:id="196" w:name="pg10113_92007"/>
      <w:bookmarkEnd w:id="196"/>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197" w:name="__RefHeading___Toc375307_1067777946"/>
      <w:bookmarkStart w:id="198" w:name="_Toc62"/>
      <w:bookmarkEnd w:id="197"/>
      <w:r>
        <w:rPr>
          <w:rtl w:val="true"/>
        </w:rPr>
        <w:t>الأصل في النيّة واعتبارها</w:t>
      </w:r>
      <w:bookmarkEnd w:id="19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وفّقك اللّه تعالى وإيَّانا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النيّة واعتبارها أنّ الأفعال البشريّة الصادرة عن القُوَى النفسانيّة لمّا كانت تقع على وجوه مختلفة واعتباراتٍ متباينة، وكان المقصود الذاتي ليس جميع الوجوه لتباينها، فلابدّ من مائز لوجه المطلوب، وهو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ضرب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واجباً إذا قُصِدَ به التعزير، ومستحبّاً إِذا قُصِدَ به التأديب، وحراماً إذا قُصِدّ به الإهانة ونحو ذلك، وهو فعل واحد بالذات متعدد بالاعتبار؛ مضافاً إلى ذلك ما دَلَّ من النقل على اعتبارها كحديث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 وإنّما لكل امرئ ما نوى</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 xml:space="preserve">وغيره </w:t>
      </w:r>
      <w:r>
        <w:rPr>
          <w:rStyle w:val="FootnoteAnchor"/>
          <w:rtl w:val="true"/>
        </w:rPr>
        <w:footnoteReference w:id="375"/>
      </w:r>
      <w:r>
        <w:rPr>
          <w:rFonts w:ascii="Amiri" w:hAnsi="Amiri" w:eastAsia="Amiri" w:cs="Amiri"/>
          <w:color w:val="111111"/>
          <w:sz w:val="28"/>
          <w:sz w:val="28"/>
          <w:szCs w:val="28"/>
          <w:rtl w:val="true"/>
          <w:lang w:bidi="ar-SA"/>
        </w:rPr>
        <w:t xml:space="preserve">ولمّا كان مريدُ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يُمْكِنُه الاشتغالُ بأفعال كثيرةٍ غيرِ مقصودةٍ للشارع، فلابدّ حينئذٍ مِن قضد المطلوب وهو الصلاة ولمّا كانت واجبةً ومندوبةً، ظهراً وعصراً وغيرهما، مُؤدّاة ومُقَضَاةً؛ فلا بدّ مِنْ مائز لمقصوده من هذه الأنواع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الفعلُ الصادر عن الفاعل المختار لابد له من غايةٍ وإلا لكان عبثاً، فلابدّ من ملاحظة الغاية المقصودة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المطلوبة للشارع، وهي القُربةُ التي هي الفوز بالرضى والحصولُ بالزُلفى بواسطة نَيْل الثواب، لا </w:t>
      </w:r>
    </w:p>
    <w:p>
      <w:pPr>
        <w:pStyle w:val="BookText"/>
        <w:rPr/>
      </w:pPr>
      <w:r>
        <w:rPr>
          <w:rFonts w:ascii="Amiri" w:hAnsi="Amiri" w:eastAsia="Amiri" w:cs="Amiri"/>
          <w:color w:val="111111"/>
          <w:sz w:val="28"/>
          <w:sz w:val="28"/>
          <w:szCs w:val="28"/>
          <w:rtl w:val="true"/>
          <w:lang w:bidi="ar-SA"/>
        </w:rPr>
        <w:t>قُرْب الزمان والمكان؛ لكونهما من لوازم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ذلك كلّه إحضار ذاتِ الصلاةِ وصفاتها المقصودة بالذات في ذهن مُريد الصلاة، ثمّ القصد إلى إيقاع هذا الفعل المشخّص للتقرب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غيرها من العبادات، بل الأمر في غيرها أشهَلُ لقلة المميزات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خصوصيّة في ذلك للفظ مخصوص ولا لوضع معيَّن، بل الاعتبار بقصد مدلول الألفاظ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الأمر أنّ المراد من النيّة جمعُ الهمة على فعل المقصود، وبَعْثُ النفس وتوجيهها وميلها إلى ما فيه ثواب عاجل وآجل، تلفَّظَ بذلك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أمر سهل وتكليف هيّن، بل هو أمر مركوز في جبلة العقلاء، بل الأطفال والضعفاء؛ فإنّهم لا يفعلون فعلاً إلّا بعد القصد والداعي وتوجه النفس إليه، ولا يقعُ فعل خالٍ عن نيّة ممّن يَصلُحُ لغرض التكليف عليه، حتّى أنّ السلف الماضين من العلماء، وهم مُعْظَمُ القدماء، ما كانوا يذكرون النيّة في كتبهم الفقهيّة</w:t>
      </w:r>
      <w:r>
        <w:rPr>
          <w:rStyle w:val="FootnoteAnchor"/>
          <w:rtl w:val="true"/>
        </w:rPr>
        <w:footnoteReference w:id="376"/>
      </w:r>
      <w:r>
        <w:rPr>
          <w:rFonts w:ascii="Amiri" w:hAnsi="Amiri" w:eastAsia="Amiri" w:cs="Amiri"/>
          <w:color w:val="111111"/>
          <w:sz w:val="28"/>
          <w:sz w:val="28"/>
          <w:szCs w:val="28"/>
          <w:rtl w:val="true"/>
          <w:lang w:bidi="ar-SA"/>
        </w:rPr>
        <w:t>، بل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واجبات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غَسْلُ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وفى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 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ورد الكتاب الكريم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إِذَا قُمْتُمْ إِلَى الصَّلَوَةِ فَاغْسِلُوا وُجُوهَكُمْ</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المشهور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تحريمها التكبير وتحليلها التسليم</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حمّاد المشهور بين الأعيان المشتمل على تعليم كيفية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 القبلة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الحمد الحديث</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مع عِظَم قدره واشتماله على أقصى مطالب الصلاة، تنبيه فيه على وظائف مفروضةٍ ومَسنونة، ولم يذكر في النيّة كلاماً، ولا جَعَلَ للاشتغال بها زماناً، وغير ذلك من الأحاديث</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مِنْ بَعْدِهِمْ خَلْفٌ أَضَاعُواْ الصَّلَوَةَ</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 xml:space="preserve">وأداءَ الأحكام، وأغفلوا قواعِدَ الحلال والحرام، وبَعُدُوا عن فهم المطالب الخَفِيّة، وصارت الواضحات منها في عداد الخَفيّة، خاف عليهم علماء عصرهم أنْ يُهْمِلوا بعض الوظائف العمليّة، فَنَبَّهُوهم على اعتبار النيّة، وفَصَّلوا لهم مُجْمَلَها، وأوْضَحوا مُشْكِلَها؛ ومِنْ هنا قال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أحْسَنَ 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كَلَّفَ اللّه الوضوء أو الصلاة بغير نيّة كان تكليف ما لا يُطاق، وما هذا فرضُهُ فلا وجهَ للتَعَب في تحصيله</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كلامٌ عميقٌ وتقريرٌ رشيقٌ يؤيد ما أسلفناه ويزيد عليه بأنّه لا يمكن للفاعل المختار أن يفعل فعلاً خالياً عن النيّة، فضلاً عن أن يهتم ببيانها؛ ولوكُلِّفَ بأن لا ينوي كان تكليفاً بما لا يُطاق، فكيف إذا كُلَّفَ بنيّةٍ يُسْتَصْعَبُ شأنها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خَصَّ الشرعُ مطلق النيّة باعتبار مقارنتها لأوّل العبادة زيادةً على النيّة اللُّغَويّة</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القدر لا يوجب أمراً عظيماً ولا مشقة وخطباً جسيماً؛ فإتعاب </w:t>
      </w:r>
      <w:bookmarkStart w:id="199" w:name="pg10113_92010"/>
    </w:p>
    <w:p>
      <w:pPr>
        <w:pStyle w:val="BookText"/>
        <w:rPr/>
      </w:pPr>
      <w:bookmarkEnd w:id="199"/>
      <w:r>
        <w:rPr>
          <w:rFonts w:ascii="Amiri" w:hAnsi="Amiri" w:eastAsia="Amiri" w:cs="Amiri"/>
          <w:color w:val="111111"/>
          <w:sz w:val="28"/>
          <w:sz w:val="28"/>
          <w:szCs w:val="28"/>
          <w:rtl w:val="true"/>
          <w:lang w:bidi="ar-SA"/>
        </w:rPr>
        <w:t>النفس بتكرارها وتشويشُ الفكر فى استحضارها ليس إلّا وسواساً شيطانياً وخيالاً فاسداً واهياً</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375309_1067777946"/>
      <w:bookmarkStart w:id="201" w:name="_Toc63"/>
      <w:bookmarkEnd w:id="200"/>
      <w:r>
        <w:rPr>
          <w:rtl w:val="true"/>
        </w:rPr>
        <w:t>التحذیر من إغواء الشیطان في النیّة</w:t>
      </w:r>
      <w:bookmarkEnd w:id="201"/>
    </w:p>
    <w:p>
      <w:pPr>
        <w:pStyle w:val="BookText"/>
        <w:rPr/>
      </w:pPr>
      <w:r>
        <w:rPr>
          <w:rFonts w:ascii="Amiri" w:hAnsi="Amiri" w:eastAsia="Amiri" w:cs="Amiri"/>
          <w:color w:val="111111"/>
          <w:sz w:val="28"/>
          <w:sz w:val="28"/>
          <w:szCs w:val="28"/>
          <w:rtl w:val="true"/>
          <w:lang w:bidi="ar-SA"/>
        </w:rPr>
        <w:t xml:space="preserve">ويزيد ذلك إيضاحاً أنّ التَعَبَ إذا كان فى فهم الألفاظ الدالّة على متعلَّق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يتفق للبعض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ألفاظ عربية لا تَصِلُ إلى هذا الحدّ من الالتباس، ولا توجب هذا القدر من المراس</w:t>
      </w:r>
      <w:r>
        <w:rPr>
          <w:rStyle w:val="FootnoteAnchor"/>
          <w:rtl w:val="true"/>
        </w:rPr>
        <w:footnoteReference w:id="384"/>
      </w:r>
      <w:r>
        <w:rPr>
          <w:rFonts w:ascii="Amiri" w:hAnsi="Amiri" w:eastAsia="Amiri" w:cs="Amiri"/>
          <w:color w:val="111111"/>
          <w:sz w:val="28"/>
          <w:sz w:val="28"/>
          <w:szCs w:val="28"/>
          <w:rtl w:val="true"/>
          <w:lang w:bidi="ar-SA"/>
        </w:rPr>
        <w:t>حتّى أنّه لو قُدِّرَ أنّه جَهِلَ بعض معانيها أمكن زواله بالسؤال عنه قبلَ أَنْ يَسْتَغِلَ بها؛ وإنْ كان في إحضار بعض معانيها في القلب عند أول جزءٍ مِن العبادة فهو أيضاً لا يوجِبُ هذا القدر من الزيادة؛ فإنّه يُقَدِّرُ في نفسه أنه يَقْدِرُ على أنْ يُخْطِرَ بباله بيتاً من البيوتِ المشتملة على أُمورٍ مختلفةٍ متكثرةٍ وأسباب منتشرة، بل يقدِرُ على إحضار مدينة مخصوصةٍ بأوضاعها، ويَسْتَخضِر جملةً من جهاتها وأقطارها، بل يُمكنُ استحضار إقليم بهذه الأوصاف</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أمرٌ وجداني لا يُنكره مَنْ يَشْتَمِلُ على أدنى إنصاف، بل مِنْ القواعدِ الواضحة المعروفة أنّ القوّة العاقلة أعظمُ اطّلاعاً من القوة الباصرة وأخواتها من الحواس الظاهرة؛ لأنّها إنّما تُدْرك المحسوسات، والقوَّةُ العاقلةُ تَتَصَوَّرُ فتنتَقِشُ فيها صُوَرُ المحسوساتِ والمعقولات؛ فكيف يُسْتَصْعَبُ حينئذٍ استحضار معاني كلمات يسيرةٍ واضحةٍ بالبال، لولا معارَضَةُ الشيطانِ الغَوي المشوّش للفكر والخَيال، وقد روى زرارةُ في الصحيح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تُعَوِّدوا الخبيثَ مِن أنفسكم نقض الصلاة فتُطْمِعوه؛ فإنّ الشيطان خبيث معتادٌ لِما عُوِّدَ، فَلْيَمْض أحدُكم فى الوهم، ولا يُكْثِرَنَّ نَقْضَ الصلاة؛ فإنَّه إذا فَعَلَ ذلك مرّاتٍ لم يَعُدْ إليه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يُريدُ الحَبيتُ أنْ يُطاعَ، فإذا عُصِيَ لم يَعُدْ إلى أحدكم</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وَقَفَك اللّه على الحقائقِ ووَفَّقَكَ لِعُروج مَعارِجها والترقِّي إلى مدارجها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باب عظيمٌ مِنْ أبواب الخير، أكرم اللّه بها عبادَه ووَصَفَها بأوصاف بالغةٍ في الزيادة، وجَعَلَها في كتابه العزيز ناهيةً عن الفحشاء والمنكر، وعلى لسان نبيّه أقرب منازلِ القُرب إليه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الصَّلَوَةَ تَنْهَى عَن الْفَحْشَاءِ وَالْمُنكَر</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ما يكون العبد إلى اللّه تعالى إذا قام إلى الصلاة</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ينبغي للعاقل أنْ يَجْعَلَ هذه العبادة العظيمة والجواهر الثمينة الناهية عن هذا الأمر المهول المؤدِّية إلى القُرب والقبولِ مَرْتَعاً للشيطان وسبباً للخذلان، ومُوجِبةً للبعد عن الدرجاتِ العليّة، وقد أعِدَّتْ للسعادة الأبديّة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نَعوذُ باللّه من طاغية </w:t>
      </w:r>
      <w:r>
        <w:rPr>
          <w:rStyle w:val="FootnoteAnchor"/>
          <w:rtl w:val="true"/>
        </w:rPr>
        <w:footnoteReference w:id="388"/>
      </w:r>
      <w:r>
        <w:rPr>
          <w:rFonts w:ascii="Amiri" w:hAnsi="Amiri" w:eastAsia="Amiri" w:cs="Amiri"/>
          <w:color w:val="111111"/>
          <w:sz w:val="28"/>
          <w:sz w:val="28"/>
          <w:szCs w:val="28"/>
          <w:rtl w:val="true"/>
          <w:lang w:bidi="ar-SA"/>
        </w:rPr>
        <w:t>الشيطان والرَدى، والضلالة بعد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الْإِصْلَاحَ مَا اسْتَطَعْتُ وَمَا تَوْفِيقِي إِلَّا بِاللّه عَلَيْهِ تَوَكَّلْتُ وَإِلَيْهِ أُنِيبُ</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 وهو حسبنا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علّقها العبد الفقير زين الدين بن علي سائلاً ممن كتبتُ لأجله أنْ يذكرني في صالح أوقاته بشيءٍ مِن دعواته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وصلّى اللّه على محمّد وآله الطاهرين</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10113_92013"/>
      <w:bookmarkStart w:id="203" w:name="pg10113_92013"/>
      <w:bookmarkEnd w:id="203"/>
    </w:p>
    <w:p>
      <w:pPr>
        <w:pStyle w:val="Heading3"/>
        <w:numPr>
          <w:ilvl w:val="2"/>
          <w:numId w:val="1"/>
        </w:numPr>
        <w:rPr/>
      </w:pPr>
      <w:bookmarkStart w:id="204" w:name="pg10113_92013"/>
      <w:bookmarkStart w:id="205" w:name="__RefHeading___Toc375311_1067777946"/>
      <w:bookmarkStart w:id="206" w:name="_Toc64"/>
      <w:bookmarkEnd w:id="204"/>
      <w:bookmarkEnd w:id="205"/>
      <w:r>
        <w:rPr/>
        <w:t>14</w:t>
      </w:r>
      <w:r>
        <w:rPr>
          <w:rtl w:val="true"/>
        </w:rPr>
        <w:t>.</w:t>
      </w:r>
      <w:r>
        <w:rPr>
          <w:rtl w:val="true"/>
        </w:rPr>
        <w:t>صلاة الجمعة</w:t>
      </w:r>
      <w:bookmarkEnd w:id="206"/>
    </w:p>
    <w:p>
      <w:pPr>
        <w:pStyle w:val="Heading4"/>
        <w:numPr>
          <w:ilvl w:val="3"/>
          <w:numId w:val="1"/>
        </w:numPr>
        <w:rPr/>
      </w:pPr>
      <w:bookmarkStart w:id="207" w:name="__RefHeading___Toc375313_1067777946"/>
      <w:bookmarkStart w:id="208" w:name="_Toc65"/>
      <w:bookmarkEnd w:id="207"/>
      <w:r>
        <w:rPr>
          <w:rtl w:val="true"/>
        </w:rPr>
        <w:t>إشارة</w:t>
      </w:r>
      <w:r>
        <w:rPr>
          <w:rtl w:val="true"/>
        </w:rPr>
        <w:t>:</w:t>
      </w:r>
      <w:bookmarkEnd w:id="208"/>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 xml:space="preserve">رضا المختاري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حسين قيصريهها</w:t>
      </w:r>
    </w:p>
    <w:p>
      <w:pPr>
        <w:pStyle w:val="BookText"/>
        <w:rPr/>
      </w:pPr>
      <w:r>
        <w:rPr>
          <w:rFonts w:ascii="Amiri" w:hAnsi="Amiri" w:eastAsia="Amiri" w:cs="Amiri"/>
          <w:color w:val="111111"/>
          <w:sz w:val="28"/>
          <w:sz w:val="28"/>
          <w:szCs w:val="28"/>
          <w:rtl w:val="true"/>
          <w:lang w:bidi="ar-SA"/>
        </w:rPr>
        <w:t>مراجعة</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أسعد الطيّب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9" w:name="pg10113_92015"/>
      <w:bookmarkStart w:id="210" w:name="pg10113_92015"/>
      <w:bookmarkEnd w:id="210"/>
    </w:p>
    <w:p>
      <w:pPr>
        <w:pStyle w:val="BookText"/>
        <w:rPr/>
      </w:pPr>
      <w:bookmarkStart w:id="211" w:name="pg10113_92015"/>
      <w:bookmarkEnd w:id="211"/>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ثقتي</w:t>
      </w:r>
    </w:p>
    <w:p>
      <w:pPr>
        <w:pStyle w:val="BookText"/>
        <w:rPr/>
      </w:pPr>
      <w:r>
        <w:rPr>
          <w:rFonts w:ascii="Amiri" w:hAnsi="Amiri" w:eastAsia="Amiri" w:cs="Amiri"/>
          <w:color w:val="111111"/>
          <w:sz w:val="28"/>
          <w:sz w:val="28"/>
          <w:szCs w:val="28"/>
          <w:rtl w:val="true"/>
          <w:lang w:bidi="ar-SA"/>
        </w:rPr>
        <w:t>الحمد للّه الذي شرّفَ يومَ الجمعةِ على سائر الأوقاتِ، وفَضَّلَ صلاتها على جميعِ الصَلَواتِ، وخَصَّها بالحثّ عليها في مُحْكَم الآيات والصلاة على أشرف النفوس الطاهرات، وعلى آله وأصحابه وأزواجه الزاكيات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فهذه جملةٌ تشتمل على بيان حكم صلاة الجمعة في هذا الزمانِ الذي قد مُنِيَ فيه بالبليَّةِ أهل الإيمان، وخَذَلَهم بِبَغْيه وحَسَدِه الشيطانُ، حتّى هَدَمُوا أعظم قواعدِ الدين بالشبهة لا بالبرهان، وها أنا مُحقِّقٌ لموضع الخلاف فيها، ومُرشِد إلى ما هو الحقّ من وجوبها يومئذٍ بالدليل الواضح والبرهان اللائح، لِمَن أخرج رَقَبَتَه مِنْ رِبْقَةِ التقليد للأسلاف، وسلك سبيل الحقّ بالإنصاف وخاف اللّه تعالى في امتثال أمره والوقوفِ،معه، فإنّه أولى مَنْ يُخاف مستمداً من اللّه التوفيق والإلهام للحقِّ فإنّه به حقيقٌ</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375315_1067777946"/>
      <w:bookmarkStart w:id="213" w:name="_Toc66"/>
      <w:bookmarkEnd w:id="212"/>
      <w:r>
        <w:rPr>
          <w:rtl w:val="true"/>
        </w:rPr>
        <w:t>اتّفاق علماء الإسلام علی وجوب الجمعة واختلافهم في شروطها</w:t>
      </w:r>
      <w:bookmarkEnd w:id="213"/>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علماءُ الإسلام في جميع الأعصار وسائر الأمصار والأقطار على وجوب صلاة الجمعة على الأعيان في الجملة، وإنّما اختلفوا في بعض شروطها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تحقيق الكلام في موضع الخلاف إن شاء اللّه تعالى</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فالحثُّ على فعلها والأمر به بضروب التأكيد في الكتاب والسنّة لا يُوجد مثله في فريضةٍ البَيَّة، وسنُوردُ عليك جملةً منه</w:t>
      </w:r>
      <w:r>
        <w:rPr>
          <w:rFonts w:eastAsia="Amiri" w:cs="Amiri" w:ascii="Amiri" w:hAnsi="Amiri"/>
          <w:color w:val="111111"/>
          <w:sz w:val="28"/>
          <w:szCs w:val="28"/>
          <w:rtl w:val="true"/>
          <w:lang w:bidi="ar-SA"/>
        </w:rPr>
        <w:t xml:space="preserve">. </w:t>
      </w:r>
      <w:bookmarkStart w:id="214" w:name="pg10113_92016"/>
    </w:p>
    <w:p>
      <w:pPr>
        <w:pStyle w:val="Heading4"/>
        <w:numPr>
          <w:ilvl w:val="3"/>
          <w:numId w:val="1"/>
        </w:numPr>
        <w:rPr/>
      </w:pPr>
      <w:bookmarkStart w:id="215" w:name="__RefHeading___Toc375317_1067777946"/>
      <w:bookmarkStart w:id="216" w:name="_Toc67"/>
      <w:bookmarkEnd w:id="214"/>
      <w:bookmarkEnd w:id="215"/>
      <w:r>
        <w:rPr>
          <w:rtl w:val="true"/>
        </w:rPr>
        <w:t>لأصحابنا قولان فیها في حال الغیبة</w:t>
      </w:r>
      <w:r>
        <w:rPr>
          <w:rtl w:val="true"/>
        </w:rPr>
        <w:t xml:space="preserve">: </w:t>
      </w:r>
      <w:r>
        <w:rPr>
          <w:rtl w:val="true"/>
        </w:rPr>
        <w:t>الوجول والعدم</w:t>
      </w:r>
      <w:bookmarkEnd w:id="21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الأصحاب اتّفقوا على وجوبها عيناً مع حضور الإمام أو نائبه الخاصّ، وإنّما اختلفوا فيه في حال الغيبة وعدم وجودِ المأذون له فيها على الخصوص، فذهب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كاد أن يكون إجماعاً، أو هو إجماع على قاعدتهم المشهورةِ مِنْ أنَّ المخالف إذا كان معلوم النسب لا يقدَحُ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وجوبها أيضاً مع اجتماع باقي الشرائط غير إذن الإمام، وهم بين مُطلق للوجوب كما ذكرناه وبين مُصرّح بعدم اعتبار شرط الإمام أو مَن نَصَبَه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ذهب بعضُهم إلى اشتراطها حينئذٍ بحضور الفقيه الذي هو نائب الإمام على العموم، وإلّا لم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قوم إلى عدم شرعيّتها أصلاً حال الغيبة مطلقاً</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نعتمده من هذه الأقوال ونختاره ونَدِينُ اللّه تعالى به هو المذهب الأوّلُ</w:t>
      </w:r>
      <w:r>
        <w:rPr>
          <w:rFonts w:eastAsia="Amiri" w:cs="Amiri" w:ascii="Amiri" w:hAnsi="Amiri"/>
          <w:color w:val="111111"/>
          <w:sz w:val="28"/>
          <w:szCs w:val="28"/>
          <w:rtl w:val="true"/>
          <w:lang w:bidi="ar-SA"/>
        </w:rPr>
        <w:t xml:space="preserve">. </w:t>
      </w:r>
      <w:bookmarkStart w:id="217" w:name="pg10113_92017"/>
    </w:p>
    <w:p>
      <w:pPr>
        <w:pStyle w:val="Heading4"/>
        <w:numPr>
          <w:ilvl w:val="3"/>
          <w:numId w:val="1"/>
        </w:numPr>
        <w:rPr/>
      </w:pPr>
      <w:bookmarkStart w:id="218" w:name="__RefHeading___Toc375319_1067777946"/>
      <w:bookmarkStart w:id="219" w:name="_Toc68"/>
      <w:bookmarkEnd w:id="217"/>
      <w:bookmarkEnd w:id="218"/>
      <w:r>
        <w:rPr>
          <w:rtl w:val="true"/>
        </w:rPr>
        <w:t>أدلّة القائلين بالوجوب</w:t>
      </w:r>
      <w:bookmarkEnd w:id="219"/>
    </w:p>
    <w:p>
      <w:pPr>
        <w:pStyle w:val="Heading5"/>
        <w:numPr>
          <w:ilvl w:val="4"/>
          <w:numId w:val="1"/>
        </w:numPr>
        <w:rPr/>
      </w:pPr>
      <w:bookmarkStart w:id="220" w:name="__RefHeading___Toc375321_1067777946"/>
      <w:bookmarkStart w:id="221" w:name="_Toc69"/>
      <w:bookmarkEnd w:id="220"/>
      <w:r>
        <w:rPr>
          <w:rtl w:val="true"/>
        </w:rPr>
        <w:t>الدليل الأوّل</w:t>
      </w:r>
      <w:r>
        <w:rPr>
          <w:rtl w:val="true"/>
        </w:rPr>
        <w:t xml:space="preserve">: </w:t>
      </w:r>
      <w:r>
        <w:rPr>
          <w:rtl w:val="true"/>
        </w:rPr>
        <w:t>الآية الكريمة</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على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عليه وجوهٌ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إِذَا نُودِيَ لِلصَّلَوَةِ مِن يَوْمِ الْجُمُعَةِ فَاسْعَوْاْ إِلَى ذِكْرِ اللّه</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أجمع المفسِّرون على أنّ المراد بالذكرِ المأمور بالسعي إليه في الآية صلاة الجمعة أو خُطبتها </w:t>
      </w:r>
      <w:r>
        <w:rPr>
          <w:rStyle w:val="FootnoteAnchor"/>
          <w:rtl w:val="true"/>
        </w:rPr>
        <w:footnoteReference w:id="392"/>
      </w:r>
      <w:r>
        <w:rPr>
          <w:rFonts w:ascii="Amiri" w:hAnsi="Amiri" w:eastAsia="Amiri" w:cs="Amiri"/>
          <w:color w:val="111111"/>
          <w:sz w:val="28"/>
          <w:sz w:val="28"/>
          <w:szCs w:val="28"/>
          <w:rtl w:val="true"/>
          <w:lang w:bidi="ar-SA"/>
        </w:rPr>
        <w:t>، فكلُّ مَنْ تَناوَلَه اسمُ الإيمانِ مأمورٌ بالسعي إليها واستماع خُطبتها وفعلها وتركِ كلّ ما أشغل عنها، فَمَنِ ادَّعى خروج بعض المؤمنين من هذا الأمر فعليه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الآية مع الأمر الدال على الوجوب من ضُروب التأكيد وأنواع الحثّ ما لا يقتضي تفصيله المقام، ولا يخفى على مَنْ تأمَّله مِن أُولى الأفهام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سمّاها اللّه تعالى ذكراً وأمر بها في هذه السورة وندب إلى قراءتها في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أوجَبَها ليتذكَّرَ السامعونَ مواقع الأمرِ ومَوارِدَ الفضل </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عَقَّبَه في السورة التي بعدها التي يَذْكرُ فيها المنافقين بالنهي عَنْ تركها والإهمال لها والاشتغال عنها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ءَامَنُواْ لَا تُلْهِكُمْ أَمْوَلُكُمْ وَلَا أَوْلَادُكُمْ عَن ذِكْرِ اللّه </w:t>
      </w:r>
    </w:p>
    <w:p>
      <w:pPr>
        <w:pStyle w:val="BookText"/>
        <w:rPr/>
      </w:pPr>
      <w:r>
        <w:rPr>
          <w:rFonts w:ascii="Amiri" w:hAnsi="Amiri" w:eastAsia="Amiri" w:cs="Amiri"/>
          <w:color w:val="111111"/>
          <w:sz w:val="28"/>
          <w:sz w:val="28"/>
          <w:szCs w:val="28"/>
          <w:rtl w:val="true"/>
          <w:lang w:bidi="ar-SA"/>
        </w:rPr>
        <w:t>وَمَن يَفْعَلْ ذَلِكَ فَأُوْلَئِكَ هُمُ الْخَسِرُونَ</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ونَدَبَ إلى قراءة هذه السورة فيها أيضاً لذلك، تأكيداً للتذكير بهذا الفرض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لا يُوجَدُ في غيره مِنَ الفُروض مطلقاً؛ فإنّ الأوامِرَ بها مطلقة مجملة غالباً خالية من هذا التأكيد والتصريح بالخصوص، حتّى الصلاة التي هي أفضلُ الطاعات بعد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بالسعي في الآيةِ مُعلَّق على النداء لها وهو الأذان لا مطلق النداء، والمشروط عدم عند عدم شرطه فيلزم عدم الأمر بها على تقدير عدم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لكن الأمر بالسعي إليها مغاير للأمر يفعلها ضرورة أنّهما متغايران فلايدلُّ على المدَّعى سلَّمنا، لكن المحقّقون على أنّ الأمر لا يدلُّ على التكرار فيحصل الامتثال يفعلها مرةً واحدةً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بالأمر أصل الوجوب حصل المطلوب؛ لإجماع المسلمين قاطبةً فضلاً عن الأصحاب، على أنّ الوجوب غيرُ مقيَّد بالأذان وإنّما علّقه على الأذانِ حقاً على فعله لها، حتّى ذهب بعضهم إلى وجوبه لها لذلك</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تعليق الأمرِ بالسعي، فإنّه أمر بمقدّماتها على أبلغ وجه، وإذا وجب السعي إليها وجبت هي أيضاً كذلك؛ إذ لا يحسن الأمر بالسعي إليها وإيجابه مع عدم إيجابها، ولإجماع المسلمين على عدم وجوبه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أجمعوا على أنها متى وجبت وجب تكرارها في كلّ وقتٍ مِنْ أوقاتها على الوجه المقرَّر ما بقي التكليف بها، كغيرها مِنَ الصلواتِ اليوميّة والعباداتِ الواجبة مع ورودِ الأوامر بها مُطلَقةً كذلك، والأوامر المطلقة وإن لم تدلَّ على التكرار لم تدلَّ على الوحدة، فيبقى إثبات التكرار حاصلاً مِنْ خارج بالإجماع وغيره </w:t>
      </w:r>
    </w:p>
    <w:p>
      <w:pPr>
        <w:pStyle w:val="BookText"/>
        <w:rPr/>
      </w:pPr>
      <w:r>
        <w:rPr>
          <w:rFonts w:ascii="Amiri" w:hAnsi="Amiri" w:eastAsia="Amiri" w:cs="Amiri"/>
          <w:color w:val="111111"/>
          <w:sz w:val="28"/>
          <w:sz w:val="28"/>
          <w:szCs w:val="28"/>
          <w:rtl w:val="true"/>
          <w:lang w:bidi="ar-SA"/>
        </w:rPr>
        <w:t>مِنَ النصوص، وسنتلو عليك منها ما يدلُّ على التكرار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المذكورُ بها مُرتَّب على النداء، والنداء مُتوقّفٌ على الأمرِ بها؛ للقطع بأنّها لو لم تكن مشروعةً لم يصحّ الأذان لها فالاستدلال على مشروعيتها بالأمر المذكور دوري سلّمنا، لكن الأمر بها إذا كان معلقاً على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الأذان، وهو لا يشرع لها إلّا إذا كان مأموراً بها، ولا يُؤمر بها إلّا إذا اجتمعت شرائطها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الاستدلال على مشروعيتها مطلقاً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الآية أن الأمر بالسعي معلَّق على مُطلَقِ النداء للصلاة الصالح لجميع أفراده، وخُروجُ بعض الأفراد بدليل خارج، واشتراط بعض الشرائط فيه لا ينافي أصل الإطلاق، فكلُّ ما لا يدلُّ دليل على خروجه فالآية متناولة له، وبه يحصل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 الدَورِ بوجهِ آخَرَ وهو أنّ المعلَّق على النداء هو الأمرُ بها الدالّ على الوجوبِ، والأذانُ غير مُتوقف على الوجوب، بل على أصل المشروعيَّة، فيرجع الأمرُ إلى أنّ الوجوب متوقّف على الأذان، والأذان متوقف على المشروعيَّة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الوجوب، فلا 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النداء المعلّق عليه الأمرُ هو النداء للصلاة يومَ الجمعةِ أعمّ من كونها أربع ركعات وهي الظهرُ المعهودة أم ركعتين وهي الجمعة، ولا شُبهة في مشروعيَّةِ النداء للصلاة يومَ الجمعةِ مطلقاً، وحيثُ يُنادى لها يجب السعي إلى ذكر اللّه وهو صلاة الجمعة أو سَماعُ خُطبَتِها المقتضي لوجوبها، وكأنّه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نودي للصلاة عند الزوال يوم الجمعةِ فصلُّوا الجمعة أو فاسعوا إلى صلاة الجمعة وصلُّوها، وهذا واضح الدلالةِ لا إشكال فيه، ولعلّه السرُّ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فَاسْعَوْا إِلَى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فاسعوا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لئلّا يلزم الإشكال المتقدّم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مطلق النداء لها غيرُ مُرادٍ في الأمر بالسعي عنده، بل يُحتمل أن يُراد به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وقرينة الخصوص الأمرُ بالسعي الدالّ على الوجوب؛ لأن الأصحاب لا يقولون </w:t>
      </w:r>
      <w:bookmarkStart w:id="222" w:name="pg10113_92020"/>
    </w:p>
    <w:p>
      <w:pPr>
        <w:pStyle w:val="BookText"/>
        <w:rPr/>
      </w:pPr>
      <w:bookmarkEnd w:id="222"/>
      <w:r>
        <w:rPr>
          <w:rFonts w:ascii="Amiri" w:hAnsi="Amiri" w:eastAsia="Amiri" w:cs="Amiri"/>
          <w:color w:val="111111"/>
          <w:sz w:val="28"/>
          <w:sz w:val="28"/>
          <w:szCs w:val="28"/>
          <w:rtl w:val="true"/>
          <w:lang w:bidi="ar-SA"/>
        </w:rPr>
        <w:t>به عيناً حالَ الغيبة، بل غايتهم القولُ بالوجوب التخييري؛ ومن ثَمَ عَبَّر أكثرُهم بالاستحباب أو الجواز حينئذٍ، كما سيأتى البحث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النداء المأمور بالسعي معه مطلق شامل بإطلاقه لجميع الأزمانِ التي مِنْ جملتها زمانُ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بإطلاقه على الوجوب المُضَيَّقِ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والوجوب التخييري الذي ادعاه متأخُر و الأصحابِ، سَتَعْرِفُ ضَعَفَ مبناه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على تقدير تسليمه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بالسعي المُقتضي للوجوب لا ينافيه؛ لأنّ الوجوب التخييري داخل في مُطلَق الوجوب الذي يدلُّ عليه الأمرُ وفرد مِنْ أفراده، فإنّ الأمر لا يدلُّ على وجوب خاصّ بل على مُطلقه الشامل للعيني المضيق والتخييري والكفائي وغيرها، وإن كان إطلاقه على الفرد الأوّل منها أظهر، وتخصيص كلّ منها في مورده بدليل خارج عن أصل الأمر الدال على ماهيّة الوجوب الكليّة، کما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بالسعي على تقدير النداء المذكور ليس عاماً بحيث يتناول جميع المكلّفين؛ للإجماع على أنّ الوجوب مشروط بشرائط خاصةٍ مُعَيَّنَةٍ كالعددِ والجماعة وغيرهما، وإذا كان مشروطاً بشرائط غير معيَّنَةٍ في الآية كانت مجملةً بالنسبة إلى الدلالة على الوجوبِ المُتَنازَعِ، فلا يَثْبُتُ بها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الأمر المذكور وإطلاقه يدلّ على وجوبها على كلّ مُؤْمِنٍ، وتبقى دلالة باقي الشروط من خارج، فكلُّ شرط يدلُّ عليه دليل صالح يثبتُ به ويكون مُقيّداً لهذا الأمرِ المُطْلَقِ، وما لا يدلُّ عليه دليل صالح تبقى دلالة هذه الآية على أصل الوجوب ثابتة مطلقاً، وسنحقق الكلام في الشرط المُتَنازَع فيه هنا، وتُبيِّنُ فساد مبناه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375323_1067777946"/>
      <w:bookmarkStart w:id="224" w:name="_Toc70"/>
      <w:bookmarkEnd w:id="223"/>
      <w:r>
        <w:rPr>
          <w:rtl w:val="true"/>
        </w:rPr>
        <w:t>الدليل الثاني</w:t>
      </w:r>
      <w:r>
        <w:rPr>
          <w:rtl w:val="true"/>
        </w:rPr>
        <w:t xml:space="preserve">: </w:t>
      </w:r>
      <w:r>
        <w:rPr>
          <w:rtl w:val="true"/>
        </w:rPr>
        <w:t>الأخبار الشريفة</w:t>
      </w:r>
      <w:bookmarkEnd w:id="224"/>
    </w:p>
    <w:p>
      <w:pPr>
        <w:pStyle w:val="Heading6"/>
        <w:numPr>
          <w:ilvl w:val="5"/>
          <w:numId w:val="1"/>
        </w:numPr>
        <w:rPr/>
      </w:pPr>
      <w:bookmarkStart w:id="225" w:name="__RefHeading___Toc375325_1067777946"/>
      <w:bookmarkStart w:id="226" w:name="_Toc71"/>
      <w:bookmarkEnd w:id="225"/>
      <w:r>
        <w:rPr>
          <w:rtl w:val="true"/>
        </w:rPr>
        <w:t>إشارة</w:t>
      </w:r>
      <w:r>
        <w:rPr>
          <w:rtl w:val="true"/>
        </w:rPr>
        <w:t>:</w:t>
      </w:r>
      <w:bookmarkEnd w:id="226"/>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المتناولة بعمومها لموضع النزاع، وهي كثيرة جداً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حقٌّ واجب على كلّ مُسْلِمٍ إلا أربعة عبد مملوك أو </w:t>
      </w:r>
    </w:p>
    <w:p>
      <w:pPr>
        <w:pStyle w:val="BookText"/>
        <w:rPr/>
      </w:pPr>
      <w:r>
        <w:rPr>
          <w:rFonts w:ascii="Amiri" w:hAnsi="Amiri" w:eastAsia="Amiri" w:cs="Amiri"/>
          <w:color w:val="111111"/>
          <w:sz w:val="28"/>
          <w:sz w:val="28"/>
          <w:szCs w:val="28"/>
          <w:rtl w:val="true"/>
          <w:lang w:bidi="ar-SA"/>
        </w:rPr>
        <w:t>امرأةٌ أو صبىٌّ أو مريضٌ</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على الناس من الجمعة إلى الجمعةِ خمساً وثلاثين صلاةً، منها صلاةٌ واحدةٌ فرضها اللّه في جماعة، وهي الجمعة، ووَضَعَها عن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الصغير والكبير والمجنون والمسافر والعبدِ والمرأة والمريض والأعمى ومن كان على رأس فرسخين</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صحيحة أبي بصيرٍ ومحمّدِ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فَرَضَ في كلّ سبعة أيّام خمساً وثلاثين صلاة، منها صلاةٌ واجبةٌ على كلّ مسلم أن يَشْهَدَها إلّا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والمملوك والمسافرُ والمرأةُ والصبيُّ</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يُجَمِّع</w:t>
      </w:r>
      <w:r>
        <w:rPr>
          <w:rStyle w:val="FootnoteAnchor"/>
          <w:rtl w:val="true"/>
        </w:rPr>
        <w:footnoteReference w:id="399"/>
      </w:r>
      <w:r>
        <w:rPr>
          <w:rFonts w:ascii="Amiri" w:hAnsi="Amiri" w:eastAsia="Amiri" w:cs="Amiri"/>
          <w:color w:val="111111"/>
          <w:sz w:val="28"/>
          <w:sz w:val="28"/>
          <w:szCs w:val="28"/>
          <w:rtl w:val="true"/>
          <w:lang w:bidi="ar-SA"/>
        </w:rPr>
        <w:t>القومُ يَوْمَ الجمعةِ إذا كانوا خمسةً فما زاد، وإن كانوا أقلَّ مِنْ خَمسةٍ فلا جمعة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والجمعة واجبة على كلّ أحدٍ، لا يُعْذَرُ الناسُ فيها إلّا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والمملوك والمسافرُ والمريض والصبيّ</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عُمَرَ بن يزيد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كانوا سبعةً يومَ الجمعةِ فَلْيُصَلُّوا في جماعة</w:t>
      </w:r>
      <w:r>
        <w:rPr>
          <w:rFonts w:eastAsia="Amiri" w:cs="Amiri" w:ascii="Amiri" w:hAnsi="Amiri"/>
          <w:color w:val="111111"/>
          <w:sz w:val="28"/>
          <w:szCs w:val="28"/>
          <w:rtl w:val="true"/>
          <w:lang w:bidi="ar-SA"/>
        </w:rPr>
        <w:t>»</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الجمعة؛ لأنّ مُطلقَ الجَماعةِ لا يُشترط فيها العدد المخصوص</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أُناسٍ في قريةٍ، </w:t>
      </w:r>
    </w:p>
    <w:p>
      <w:pPr>
        <w:pStyle w:val="BookText"/>
        <w:rPr/>
      </w:pPr>
      <w:r>
        <w:rPr>
          <w:rFonts w:ascii="Amiri" w:hAnsi="Amiri" w:eastAsia="Amiri" w:cs="Amiri"/>
          <w:color w:val="111111"/>
          <w:sz w:val="28"/>
          <w:sz w:val="28"/>
          <w:szCs w:val="28"/>
          <w:rtl w:val="true"/>
          <w:lang w:bidi="ar-SA"/>
        </w:rPr>
        <w:t>هل يُصَلُّونَ الجمعة جماعة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يُصَلُّونَ أربعاً إذا لم يَكُنْ لهم مَنْ يَخْطُب</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الفضل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قوم فى قريةٍ صَلُّوا الجمعة أربع ركعاتٍ، فإنْ كان لهم مَن يَخْطُبُ جَمَّعوا إذا كانوا خمسةً نَفَرٍ؛ وإنّما جُعِلَتْ رَكْعَتَيْنِ لِمَكانِ الخُطبتين</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بصيرٍ ومُحمّدِ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الجمعة ثلاثَ جُمَعٍ مُتواليةٍ طَبَعَ اللّه على قلبه</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معناها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ثلاثَ جُمَعٍ تَهاوناً بها طبع اللّه على قَلْبِه</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ثلاثَ جُمَعٍ مُتَعَمِّداً مِنْ غَيْرِ عِلَّةٍ ختم اللّه على قَلْبِه بخاتم النفاق</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لينتهينَّ أقوامٌ عن وَدْعِهم الجُمُعات أو لَيَخْتِمنَّ اللّه على قلوبهم ثم لَيَكونُنَّ من الغافِلينَ</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صلاة الجمعة حتّى ظَنَنْتُ أنّه يُرِيدُ أن نَأْتِيَهُ،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تَغْدُو عليك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إِنَّما عَنَيْتُ عِنْدَكُم</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الأخبار الصحيحةُ الطُّرُقِ الواضحةُ الدّلالةِ، التي لا يَشُوبُها شكٍّ ولا تَحُومُ </w:t>
      </w:r>
    </w:p>
    <w:p>
      <w:pPr>
        <w:pStyle w:val="BookText"/>
        <w:rPr/>
      </w:pPr>
      <w:r>
        <w:rPr>
          <w:rFonts w:ascii="Amiri" w:hAnsi="Amiri" w:eastAsia="Amiri" w:cs="Amiri"/>
          <w:color w:val="111111"/>
          <w:sz w:val="28"/>
          <w:sz w:val="28"/>
          <w:szCs w:val="28"/>
          <w:rtl w:val="true"/>
          <w:lang w:bidi="ar-SA"/>
        </w:rPr>
        <w:t xml:space="preserve">حَولَها شُبهةٌ من طُرُقِ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بصلاة الجمعة والحثّ عليها وإيجابها على كلّ مُسلم عدا ما استثني، والتَوَعُّدِ على تركها بالطبع على القلب الذي هو علامة الكفر والعياذ باللّه تعالى كما نبّه عليه تعالى في كتابه العزيز</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وتَرَكْنا ذكرَ غَيرها من الأخبارِ المُوَثَّقَةِ وغَيْرِها، حَسْماً لمادَّةِ النزاع، ودفعاً للشبهة العارضة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هذه الأخبارِ مَعَ كَثْرَتِها تَعرُّضُ لِشرط الإمام ولا مَن نَصَبَه، ولا لاعتبارِ حُضُورِه في إيجاب هذه الفريضةِ المُعَظَّمَةِ، فكيفَ يَسَعُ المُسْلِمَ الذي يَخافُ اللّه تعالى إذا سمع مَواقِعَ أمر اللّه ورسوله وأئمّته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الفريضة، وإيجابها على كلّ مُسْلِمٍ أن يُقَصِّر في أمرها، ويُهمِلَها إلى غيرها، ويَتَعَلَّلَ بخلافِ بعض العُلَماءِ فيها ؟ وأمرُ اللّه تعالى ورَسُولِه وخاصته أحق، ومراعاتُه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Fonts w:eastAsia="Amiri" w:cs="Amiri" w:ascii="Amiri" w:hAnsi="Amiri"/>
          <w:color w:val="111111"/>
          <w:sz w:val="28"/>
          <w:szCs w:val="28"/>
          <w:rtl w:val="true"/>
          <w:lang w:bidi="ar-SA"/>
        </w:rPr>
        <w:t>»</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لَقَدْ أصابَهُمُ الأمرُ الأوّل، فَلْيَرتَقِبُوا الثاني إنْ لم يَعْفُ اللّه تعالى ويُسامح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تعالى العفو والرحمة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تَحصَّلَ مِن هذين الدَلِيلَيْنِ أَنّ مَنْ كانَ مُؤمناً فَقَدْ دَخَلَ تحتَ نِداء اللّه تعالى وأمره في الآية الكريمة بهذه الفريضة العظيمة ونهيه عَنِ الالتهاءِ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مُسلِماً فقد دَخَل تحت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واجبةٌ على 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عاقلاً فَقَدْ دخل تَحتَ تَهديدِ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الاتهاءَ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هُمُ الْخَاسِرُونَ</w:t>
      </w:r>
      <w:r>
        <w:rPr>
          <w:rFonts w:eastAsia="Amiri" w:cs="Amiri" w:ascii="Amiri" w:hAnsi="Amiri"/>
          <w:color w:val="111111"/>
          <w:sz w:val="28"/>
          <w:szCs w:val="28"/>
          <w:rtl w:val="true"/>
          <w:lang w:bidi="ar-SA"/>
        </w:rPr>
        <w:t>»</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اللّه على قلبه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لِمَن يَعْقِلُ إن لم تَكُنْ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 لِنَفْسِكَ واحدةً مِنْ هذه الثلاث، وانتسب إلى اسمٍ مِنْ هذه الأسماء، أعني الإيمان أو الإسلام أو العقل، وادْخُلْ تحت مقتضاء، أو التزم قسماً رابعاً 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قُبْح الزَّلَّةِ وسِنَةِ الغَفْلَةِ</w:t>
      </w:r>
      <w:r>
        <w:rPr>
          <w:rFonts w:eastAsia="Amiri" w:cs="Amiri" w:ascii="Amiri" w:hAnsi="Amiri"/>
          <w:color w:val="111111"/>
          <w:sz w:val="28"/>
          <w:szCs w:val="28"/>
          <w:rtl w:val="true"/>
          <w:lang w:bidi="ar-SA"/>
        </w:rPr>
        <w:t xml:space="preserve">. </w:t>
      </w:r>
      <w:bookmarkStart w:id="227" w:name="pg10113_92024"/>
    </w:p>
    <w:p>
      <w:pPr>
        <w:pStyle w:val="BookText"/>
        <w:rPr/>
      </w:pPr>
      <w:bookmarkEnd w:id="227"/>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هذه الأخبارِ مُطْلَقَةٌ لا تُنافي اشتراطها بِحُضورِ الإمام أو مَنْ 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تنافي اشتراط باقي الشرائط المعتبرة في الجمعة غير ما ذُكِرَ فيها، وإذا وَرد دليل مُقيَّد بما ذُكِرَ وجب الجمعُ بينها بِحَملِ المُطْلَقِ على المُقَيَّدِ، وستأتي الدلالة على اشتراطِ إذن الإمام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الأخيرُ نقول بموجبه؛ فإنّه يجوز استناد الوجوب فيه إلى إذن الإمام 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موثَقَةُ زُرارةً عن عبدِ المَلِكِ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مِثْلُكَ يَهْلِكُ ولَمْ يُصَلِّ فَريضَةً فَرَضَها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صلاةَ الجمعةِ</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نَبَّه العلّامة في نهايته 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أذِنَا لِزرارةَ وعَبدِ المَلِكِ جاز، لِوُجُودِ المُقتضي وهو إذن الإمام</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القواعد الأُصوليّة وجوب إجراء هذه الأدلّة على إطلاقها، والعمل بموجبِ دَلالتِها من وجوبِ هذه الصلاة على كلّ مُسلم، إلّا ما أخرجته الأخبارُ أو دلَّ على إخراجه دليلٌ مِنْ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ودَلالة شرطيَّةِ حضورِ الإمامِ أو مَنْ نَصَبَه مطلقاً غيرُ متحقّقة، كما سَنُبَيِّنُه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العمل بإطلاق هذه الأدلّة القاطعة إلى أن يُوجَدَ المُقيّد</w:t>
      </w:r>
      <w:r>
        <w:rPr>
          <w:rFonts w:eastAsia="Amiri" w:cs="Amiri" w:ascii="Amiri" w:hAnsi="Amiri"/>
          <w:color w:val="111111"/>
          <w:sz w:val="28"/>
          <w:szCs w:val="28"/>
          <w:rtl w:val="true"/>
          <w:lang w:bidi="ar-SA"/>
        </w:rPr>
        <w:t>.</w:t>
      </w:r>
    </w:p>
    <w:p>
      <w:pPr>
        <w:pStyle w:val="Heading6"/>
        <w:numPr>
          <w:ilvl w:val="5"/>
          <w:numId w:val="1"/>
        </w:numPr>
        <w:rPr/>
      </w:pPr>
      <w:bookmarkStart w:id="228" w:name="__RefHeading___Toc375327_1067777946"/>
      <w:bookmarkStart w:id="229" w:name="_Toc72"/>
      <w:bookmarkEnd w:id="228"/>
      <w:r>
        <w:rPr>
          <w:rtl w:val="true"/>
        </w:rPr>
        <w:t>مناقشة أحد الأخبار الموهمة</w:t>
      </w:r>
      <w:bookmarkEnd w:id="22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دعوى إذنِ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الزرارة وعبدِ المَلِكِ في الخَبَرَيْنِ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المعتَبَرَ عند القائل بهذا الشرط كونُ إمامِ الجمعةِ الإمام أو مَنْ نَصَبَه، وليس في الخَبَرِينِ أنّ الإمام نَصَبَ أحد الرجلين إماماً لصلاة الجمعة، وإنّما أمراهُما بِصلاتها أعمُّ مِنْ فِعلهما لها إمامَيْنِ ومُؤتمَّينِ، ولَيْس فى الخَبَرَيْنِ زيادة على غيرهما من الأوامر الواقعة بها مِنَ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السائر المكلّفين، فإن كان هذا كافياً في الإذنِ فلْتَكُن تلك الأوامر كافيةً، ويكون كلّ مكلّف جامع لشرائط الإمامة مأذوناً فيها منهم، أو كلّ مكلّف مطلقاً مأذوناً في فعلها ولو بالايتام بغيره كما يقتضيه الإطلاق؛ إذ لا فرق في الشرع بين </w:t>
      </w:r>
      <w:bookmarkStart w:id="230" w:name="pg10113_92025"/>
    </w:p>
    <w:p>
      <w:pPr>
        <w:pStyle w:val="BookText"/>
        <w:rPr/>
      </w:pPr>
      <w:bookmarkEnd w:id="230"/>
      <w:r>
        <w:rPr>
          <w:rFonts w:ascii="Amiri" w:hAnsi="Amiri" w:eastAsia="Amiri" w:cs="Amiri"/>
          <w:color w:val="111111"/>
          <w:sz w:val="28"/>
          <w:sz w:val="28"/>
          <w:szCs w:val="28"/>
          <w:rtl w:val="true"/>
          <w:lang w:bidi="ar-SA"/>
        </w:rPr>
        <w:t>الأمرِ الخاص والعام من حيث العمل بمقتضاه، وذلك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فأمرهما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للرجلين وَرَدَ بطريقٍ يشملُ الرجُلين وغيرهما من المكلّفين أو من المؤمنين،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 زرارة حَثّنا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صلاة الجمعة،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عَنَيْتُ عندكم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غير فرق بين المخاطبين وغيرهما إلّا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مِثْلُكَ يَهْلِكُ وَلَمْ يُصَلِّ فريضةً فَرَضَها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أمرٌ خارجٌ عَنْ موضع الدّلالة، وعلى تقدير اختصاص المخاطبين فظاهرُ روايةِ زرارة أنّهم كانوا بِحَضْرَتِه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ولم يُعَيِّنْ أحداً منهم للإمامة ولا خَصَّه بالأمر والحثّ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ضَمِيرِ الجَمْع في كلام زرارة على التعظيم لا يُناسِبُ المقام ولا تقتضيه بلاغةُ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ضَمِيرَ الجَمْعِ وَقَعَ مِنَ السائل والمسؤول على وجه ظاهر في تحقّق الجمع كما لا يخفى</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375329_1067777946"/>
      <w:bookmarkStart w:id="232" w:name="_Toc73"/>
      <w:bookmarkEnd w:id="231"/>
      <w:r>
        <w:rPr>
          <w:rtl w:val="true"/>
        </w:rPr>
        <w:t>الدليل الثالث</w:t>
      </w:r>
      <w:r>
        <w:rPr>
          <w:rtl w:val="true"/>
        </w:rPr>
        <w:t xml:space="preserve">: </w:t>
      </w:r>
      <w:r>
        <w:rPr>
          <w:rtl w:val="true"/>
        </w:rPr>
        <w:t xml:space="preserve">استصحاب وجوبها السابق أيّام النبيّ </w:t>
      </w:r>
      <w:r>
        <w:rPr>
          <w:rtl w:val="true"/>
        </w:rPr>
        <w:t>(</w:t>
      </w:r>
      <w:r>
        <w:rPr>
          <w:rtl w:val="true"/>
        </w:rPr>
        <w:t>صَلَّى اللّه عَلَيْهِ وَ آلِهِ وَسَلَّمَ‏</w:t>
      </w:r>
      <w:r>
        <w:rPr>
          <w:rtl w:val="true"/>
        </w:rPr>
        <w:t xml:space="preserve">) </w:t>
      </w:r>
      <w:r>
        <w:rPr>
          <w:rtl w:val="true"/>
        </w:rPr>
        <w:t xml:space="preserve">والأئمّة </w:t>
      </w:r>
      <w:r>
        <w:rPr>
          <w:rtl w:val="true"/>
        </w:rPr>
        <w:t>(</w:t>
      </w:r>
      <w:r>
        <w:rPr>
          <w:rtl w:val="true"/>
        </w:rPr>
        <w:t>عَلَيهِم السَّلَامُ</w:t>
      </w:r>
      <w:r>
        <w:rPr>
          <w:rtl w:val="true"/>
        </w:rPr>
        <w:t>)</w:t>
      </w:r>
      <w:bookmarkEnd w:id="232"/>
    </w:p>
    <w:p>
      <w:pPr>
        <w:pStyle w:val="Heading6"/>
        <w:numPr>
          <w:ilvl w:val="5"/>
          <w:numId w:val="1"/>
        </w:numPr>
        <w:rPr/>
      </w:pPr>
      <w:bookmarkStart w:id="233" w:name="__RefHeading___Toc375331_1067777946"/>
      <w:bookmarkStart w:id="234" w:name="_Toc74"/>
      <w:bookmarkEnd w:id="233"/>
      <w:r>
        <w:rPr>
          <w:rtl w:val="true"/>
        </w:rPr>
        <w:t>إشارة</w:t>
      </w:r>
      <w:r>
        <w:rPr>
          <w:rtl w:val="true"/>
        </w:rPr>
        <w:t>:</w:t>
      </w:r>
      <w:bookmarkEnd w:id="23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الحكم السابق؛ فإنّ وجوب الجمعة حالَ حُضورِ الإمام أو نائبه ثابت بإجماع المسلمين في الجملةِ، فَيُسْتَصْحَبُ إلى زمانِ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فُقِدَ الشرط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يَحْصُلَ الدليلُ الناقلُ عَنْ ذلك الحُكْم، وهو منتف على ما تحقّقه إن شاء اللّه تعالى، ولو استَصْحَبْتَ الإجماع على هذه الطريقةِ أمْكَنَكَ أيضاً على قاعدة الأصحاب؛ حيث لا يَقْدَحُ عِنْدَهُمْ مُخالفةٌ مَعْلوم النسب، أو إقامة المشهور مقامه على ما عُهِدَ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به الشهيدُ في مقدّماتِ الذكرى</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كنا نحن لا نرتضيه، لكن ذكرناه على وجه الإلزام للخصم لأنه مُعتَمَدُه في أكثرِ مَبَاحِثِه، وسيأتي أنّ المُخالِفَ في الباب آحادٌ قليلةٌ معلومةٌ لا تُؤثِّرُ في المدَّعى المشهورِ</w:t>
      </w:r>
      <w:r>
        <w:rPr>
          <w:rFonts w:eastAsia="Amiri" w:cs="Amiri" w:ascii="Amiri" w:hAnsi="Amiri"/>
          <w:color w:val="111111"/>
          <w:sz w:val="28"/>
          <w:szCs w:val="28"/>
          <w:rtl w:val="true"/>
          <w:lang w:bidi="ar-SA"/>
        </w:rPr>
        <w:t xml:space="preserve">. </w:t>
      </w:r>
      <w:bookmarkStart w:id="235" w:name="pg10113_92026"/>
    </w:p>
    <w:p>
      <w:pPr>
        <w:pStyle w:val="BookText"/>
        <w:rPr/>
      </w:pPr>
      <w:bookmarkEnd w:id="235"/>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استصحابه أنما هو الوجوبُ حالَ الحضورِ وما في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الوجوبَ المُقَيَّد به لا مُطلق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استصحابه في حال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تُسلّمُ أنّ الوجوب الثابت حالَ الحُضورِ وما في معناه مقيَّد به بل هو ثابت مطلقاً في ذلك، وهو ظرف زمان له مِنْ غير أن يتَقَيَّد به كباقي الأزمان التي تَثْبُتُ فيها الأحكامُ ويُحْكَمُ باستصحابها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يُنازَعُ في تحقّق الإجماع في حالِ الغيبة استصحاباً له حال الحضور، نظراً إلى تصريح بعضهم بأن الإجماع مُقَيَّد به، وسيأتى الكلام فيه وفي جوابه</w:t>
      </w:r>
      <w:r>
        <w:rPr>
          <w:rFonts w:eastAsia="Amiri" w:cs="Amiri" w:ascii="Amiri" w:hAnsi="Amiri"/>
          <w:color w:val="111111"/>
          <w:sz w:val="28"/>
          <w:szCs w:val="28"/>
          <w:rtl w:val="true"/>
          <w:lang w:bidi="ar-SA"/>
        </w:rPr>
        <w:t>.</w:t>
      </w:r>
    </w:p>
    <w:p>
      <w:pPr>
        <w:pStyle w:val="Heading6"/>
        <w:numPr>
          <w:ilvl w:val="5"/>
          <w:numId w:val="1"/>
        </w:numPr>
        <w:rPr/>
      </w:pPr>
      <w:bookmarkStart w:id="236" w:name="__RefHeading___Toc375333_1067777946"/>
      <w:bookmarkStart w:id="237" w:name="_Toc75"/>
      <w:bookmarkEnd w:id="236"/>
      <w:r>
        <w:rPr>
          <w:rtl w:val="true"/>
        </w:rPr>
        <w:t>الأدلّة الثلاثة السابقة تدلّ على الوجوب العيني</w:t>
      </w:r>
      <w:bookmarkEnd w:id="237"/>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الأدلّة الثلاثة تستلزم وجوبها عيناً، بمعنى عدم إجزاء الظهر عنها مع إمكانِ فِعْلِها، والأصحابُ لا يقولون به، بل غاية المُوجِبِ لها أنْ يَجْعَلَ الوجوب حالَ الغيبة تخييرياً بينها وبين الظهر وإن كان يقول إنها أفضلُ الفَردَينِ الواجِبَينِ على التخيير، كما صرح به جماعة منهم</w:t>
      </w:r>
      <w:r>
        <w:rPr>
          <w:rStyle w:val="FootnoteAnchor"/>
          <w:rtl w:val="true"/>
        </w:rPr>
        <w:footnoteReference w:id="415"/>
      </w:r>
      <w:r>
        <w:rPr>
          <w:rFonts w:ascii="Amiri" w:hAnsi="Amiri" w:eastAsia="Amiri" w:cs="Amiri"/>
          <w:color w:val="111111"/>
          <w:sz w:val="28"/>
          <w:sz w:val="28"/>
          <w:szCs w:val="28"/>
          <w:rtl w:val="true"/>
          <w:lang w:bidi="ar-SA"/>
        </w:rPr>
        <w:t>، فما تدلُّ عليه الأدلّة لا يقولون به وما يقولون به لا يَدُلُّ عليه الدليل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ما ذكرت من دلالتها على الوجوب العيني ظاهراً حقٌّ، غير أنّ المتأخّرين من الأصحاب أو أكثرهم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جميع الأصحاب كما قيل </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معرضون عنه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ادعى بعضُهم الإجماع على خلافه</w:t>
      </w:r>
      <w:r>
        <w:rPr>
          <w:rStyle w:val="FootnoteAnchor"/>
          <w:rtl w:val="true"/>
        </w:rPr>
        <w:footnoteReference w:id="417"/>
      </w:r>
      <w:r>
        <w:rPr>
          <w:rFonts w:ascii="Amiri" w:hAnsi="Amiri" w:eastAsia="Amiri" w:cs="Amiri"/>
          <w:color w:val="111111"/>
          <w:sz w:val="28"/>
          <w:sz w:val="28"/>
          <w:szCs w:val="28"/>
          <w:rtl w:val="true"/>
          <w:lang w:bidi="ar-SA"/>
        </w:rPr>
        <w:t>، وإن كان دون إثباتِ الإجماع وحجيّته على هذا الوجه خرط القتاد</w:t>
      </w:r>
      <w:r>
        <w:rPr>
          <w:rStyle w:val="FootnoteAnchor"/>
          <w:rtl w:val="true"/>
        </w:rPr>
        <w:footnoteReference w:id="418"/>
      </w:r>
      <w:r>
        <w:rPr>
          <w:rFonts w:ascii="Amiri" w:hAnsi="Amiri" w:eastAsia="Amiri" w:cs="Amiri"/>
          <w:color w:val="111111"/>
          <w:sz w:val="28"/>
          <w:sz w:val="28"/>
          <w:szCs w:val="28"/>
          <w:rtl w:val="true"/>
          <w:lang w:bidi="ar-SA"/>
        </w:rPr>
        <w:t xml:space="preserve">، فإنّا بعد الاستقصاء التامّ والتتبّع الصادقِ لم نقف على دليل صالح يدلُّ على أن الوجوب المذكور تخييري، ولا ادّعاه مدَّعٍ، وإنما مَرْجِعُ </w:t>
      </w:r>
    </w:p>
    <w:p>
      <w:pPr>
        <w:pStyle w:val="BookText"/>
        <w:rPr/>
      </w:pPr>
      <w:r>
        <w:rPr>
          <w:rFonts w:ascii="Amiri" w:hAnsi="Amiri" w:eastAsia="Amiri" w:cs="Amiri"/>
          <w:color w:val="111111"/>
          <w:sz w:val="28"/>
          <w:sz w:val="28"/>
          <w:szCs w:val="28"/>
          <w:rtl w:val="true"/>
          <w:lang w:bidi="ar-SA"/>
        </w:rPr>
        <w:t>حجَّتِهم إلى دعوى الإجماع عليه، فإن تمَّ فهو الحجَّةُ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وسنتلو عليك </w:t>
      </w:r>
      <w:r>
        <w:rPr>
          <w:rStyle w:val="FootnoteAnchor"/>
          <w:rtl w:val="true"/>
        </w:rPr>
        <w:footnoteReference w:id="419"/>
      </w:r>
      <w:r>
        <w:rPr>
          <w:rFonts w:ascii="Amiri" w:hAnsi="Amiri" w:eastAsia="Amiri" w:cs="Amiri"/>
          <w:color w:val="111111"/>
          <w:sz w:val="28"/>
          <w:sz w:val="28"/>
          <w:szCs w:val="28"/>
          <w:rtl w:val="true"/>
          <w:lang w:bidi="ar-SA"/>
        </w:rPr>
        <w:t>مِنْ كلام السابقين من الأصحاب ما يدلُّك على فسادِ هذه الدعوى، وتصريح بعضهم بأنّ الوجوبَ مُتَعيِّن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القول بكون الوجوب تخييرياً حالةَ الغَيْبَةِ يُمْكِنُ الجَوابُ عَن السؤالِ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المذكورة إنما دلّتْ على الوجوبِ المُطلق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الصالح لكونه عينيّاً وتخييرياً وغيرهما من أفراده وإن كان الفردُ المتعيّن منها أظهر في الإرادةِ، إلّا أنّه لا يمنع من إرادة غيره، حيث يدلُّ عليه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أمكن حمل الوجوب على المتعين مع حضور الإمام وما في معناه حُمِلَ عليه؛ لأنّه الفردُ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تعذَر حَمْلُه عليه حالَ الغيبة بواسطة ما قبل مِنَ الإجماع المدَّعى على خلافه صُرِفَ إلى التخييري؛ لأنّه بعض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استأنس بعض الأصحاب للوجوب التخييري بظاهر رواية زُرارة وعبدِالمَلِكِ السابِقَتينِ حيث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الجمعة </w:t>
      </w:r>
      <w:r>
        <w:rPr>
          <w:rStyle w:val="FootnoteAnchor"/>
          <w:rtl w:val="true"/>
        </w:rPr>
        <w:footnoteReference w:id="420"/>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مثلُكَ يَهْلِكُ وَلَمْ يصلِّ فريضةً فَرَضَها اللّه عليه</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 xml:space="preserve">فإنّ هذا الكلامَ يُشْعِرُ بأن الرجلين كانا متهاوِنَيْنِ بالجمعةِ مع أنّهما من أجلاء الأصحاب، وفقهاء أصحابه، ولَمْ يَقَعُ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إنكارٌ شديدٌ بل حثّهما على فِعْلِها، فدلَّ ذلك على أنّ الوجوب ليس عينيّاً، وإلّا لأنكَرَ عليهما بتركها كمالَ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استفيد من حثَّهِ،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فريضةٌ فَرَضَها اللّه تعالى وجوبُها في الجملةِ فَيُحملُ على التخييري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التوجيه نظرٌ بَيِّنٌ ؛ ودَفْعُه مع مُعارَضَتِه لتلك الأوامر العظيمة السابقة سهلٌ؛ لأنّ زرارة راوي هذا الحديثِ قد روى أيضاً ما أسلفناه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فَرضَ اللّه على الناسِ مِنْ الجمعةِ إلى الجمعة خمساً وثلاثين صلاةً، منها صلاةٌ واحدةٌ فَرَضَها اللّه في </w:t>
      </w:r>
      <w:bookmarkStart w:id="238" w:name="pg10113_92028"/>
    </w:p>
    <w:p>
      <w:pPr>
        <w:pStyle w:val="BookText"/>
        <w:rPr/>
      </w:pPr>
      <w:bookmarkEnd w:id="238"/>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شبهة في أنّ غير الجمعةِ مِن الفرائض وجوبه عيني، فلو حُمِلَ وجوبُها على التخيير على بعض الوجوه لزمَ تَهافتُ الكلام واختلافُ حُكْمِ الفرائض بغير مائز، وكذلك باقي الأخبار التي تلوناها دالّة أو ظاهرة في الوجوبِ العيني المُضَيَّقِ</w:t>
      </w:r>
      <w:r>
        <w:rPr>
          <w:rFonts w:eastAsia="Amiri" w:cs="Amiri" w:ascii="Amiri" w:hAnsi="Amiri"/>
          <w:color w:val="111111"/>
          <w:sz w:val="28"/>
          <w:szCs w:val="28"/>
          <w:rtl w:val="true"/>
          <w:lang w:bidi="ar-SA"/>
        </w:rPr>
        <w:t>.</w:t>
      </w:r>
    </w:p>
    <w:p>
      <w:pPr>
        <w:pStyle w:val="Heading6"/>
        <w:numPr>
          <w:ilvl w:val="5"/>
          <w:numId w:val="1"/>
        </w:numPr>
        <w:rPr/>
      </w:pPr>
      <w:bookmarkStart w:id="239" w:name="__RefHeading___Toc375335_1067777946"/>
      <w:bookmarkStart w:id="240" w:name="_Toc76"/>
      <w:bookmarkEnd w:id="239"/>
      <w:r>
        <w:rPr>
          <w:rtl w:val="true"/>
        </w:rPr>
        <w:t>السرّ في تهاون الأصحاب بصلاة الجمعة</w:t>
      </w:r>
      <w:bookmarkEnd w:id="240"/>
    </w:p>
    <w:p>
      <w:pPr>
        <w:pStyle w:val="BookText"/>
        <w:rPr/>
      </w:pPr>
      <w:r>
        <w:rPr>
          <w:rFonts w:ascii="Amiri" w:hAnsi="Amiri" w:eastAsia="Amiri" w:cs="Amiri"/>
          <w:color w:val="111111"/>
          <w:sz w:val="28"/>
          <w:sz w:val="28"/>
          <w:szCs w:val="28"/>
          <w:rtl w:val="true"/>
          <w:lang w:bidi="ar-SA"/>
        </w:rPr>
        <w:t xml:space="preserve">والذي يظهر لي أنّ السرَّ في تَهاوُنِ الجماعةِ بصلاة الجمعةِ ما عُهِدَ مِنْ قاعدة مَذْهَبِهِم أنّهم لا يقتدونَ بالمُخالفِ ولا بالفاسق، والجمعة إنّما تقعُ في الأغلب من أئمّة المخالفين ونُوّابهم وخصوصاً في المُدنِ المعتبرة، وزرارة وعبدالملك كانا بالكوفة وهي أشهرُ مُدُنِ الإسلام ذلك الوقت، وإمام الجمعة فيها مخالف منصوب من أئمّة الضَلالِ، فكانوا يتهاونون بها لهذا الوجه، ولمّا كانَتِ الجمعة من أعظم فرائض اللّه تعالى وأجلها ما رَضِيَ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بتركها مطلقاً؛ فلذلك حتّهم على فِعْلِها حيثُ يَتَمَكَّنُونَ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الوجه استَمرَّ حالها مع أصحابنا إلى هذا الزمان، فأُهمِل لذلك الوجوبُ العيني وأُثْبِتَ التخييري لوجه نرجو من اللّه تعالى أن يُعْذِرَهُم فيه، وآل الحالُ منهم </w:t>
      </w:r>
      <w:r>
        <w:rPr>
          <w:rStyle w:val="FootnoteAnchor"/>
          <w:rtl w:val="true"/>
        </w:rPr>
        <w:footnoteReference w:id="423"/>
      </w:r>
      <w:r>
        <w:rPr>
          <w:rFonts w:ascii="Amiri" w:hAnsi="Amiri" w:eastAsia="Amiri" w:cs="Amiri"/>
          <w:color w:val="111111"/>
          <w:sz w:val="28"/>
          <w:sz w:val="28"/>
          <w:szCs w:val="28"/>
          <w:rtl w:val="true"/>
          <w:lang w:bidi="ar-SA"/>
        </w:rPr>
        <w:t>إلى تركها رأساً في أكثر الأوقاتِ ومُعْظَمِ الأصقاع مع إمكان إقامتها على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حقُّ هذه الفريضةِ المُعَظَّمَةِ أن يبلغ بها هذا المقدارُ مِنَ التهاوُنِ بمجرّد هذا العذرِ الذي يُمْكِنُ رَفْعُه في كثيرٍ مِنْ بِلادِ الإيمانِ سيّما هذا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ظهر أنّ حثَّ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للرجُلَيْنِ وغَيرِهِما عليها دون أن يُنكر ذلك عليهم شديداً ليس من جهة الوجوبِ التخييري بَلْ لِلْوجه الذي ذكرناه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تَنَبَّه قبلي لهذا الوجه الذي ذكرتُه الشيخُ الإمام عماد الدين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في كتابه المُسمّى بنهج العرفان إلى هداية الإيمان</w:t>
      </w:r>
      <w:r>
        <w:rPr>
          <w:rStyle w:val="FootnoteAnchor"/>
          <w:rtl w:val="true"/>
        </w:rPr>
        <w:footnoteReference w:id="425"/>
      </w:r>
      <w:r>
        <w:rPr>
          <w:rFonts w:ascii="Amiri" w:hAnsi="Amiri" w:eastAsia="Amiri" w:cs="Amiri"/>
          <w:color w:val="111111"/>
          <w:sz w:val="28"/>
          <w:sz w:val="28"/>
          <w:szCs w:val="28"/>
          <w:rtl w:val="true"/>
          <w:lang w:bidi="ar-SA"/>
        </w:rPr>
        <w:t>، فقال فيه بعد نقل الخلافِ بينَ المُسلمين في شروط وجوب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الإماميّة أكثر إيجاباً لِلْجُمعةِ مِنَ الْجُمهور، ومع ذلك يُشَنِّعونَ عليهم بتركها، حيث إنّهم لَمْ يُجَوِّزوا الائتمام بالفاسق ومُرتكب الكبائر والمخالفِ في العقيدة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المقصود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دليل على أنّ تركهم للجمعة لهذه العلة لا لأمر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كانوا يشترطون في وجوبها بل في جوازها مطلقاً إذنَ الإمام المفقودِ حالَ الغَيْبة أصلاً أو أكثريّاً بالنسبة إلى الموضع الذي يحضر فيه النائب بل في زمن حضوره أيضاً لِعدَمٍ تَمَكَّنه غالباً مِنْ نَصْبٍ الأئمّة لها حينئذٍ أيضاً ولا مُباشَرَتِها بنفسه لما </w:t>
      </w:r>
      <w:r>
        <w:rPr>
          <w:rStyle w:val="FootnoteAnchor"/>
          <w:rtl w:val="true"/>
        </w:rPr>
        <w:footnoteReference w:id="426"/>
      </w:r>
      <w:r>
        <w:rPr>
          <w:rFonts w:ascii="Amiri" w:hAnsi="Amiri" w:eastAsia="Amiri" w:cs="Amiri"/>
          <w:color w:val="111111"/>
          <w:sz w:val="28"/>
          <w:sz w:val="28"/>
          <w:szCs w:val="28"/>
          <w:rtl w:val="true"/>
          <w:lang w:bidi="ar-SA"/>
        </w:rPr>
        <w:t>تَصوَّرَ العاقل أن الإماميّة أكثر إيجاباً لها مِنَ العامّة؛ لأنّ ذلك معلوم البطلان،ضرورةً، وإنّما يكونون أكثر إيجاباً لها مِنْ حيث إنّهم لا يَشْتَرِطُونَ فيها المِصْرَ كما يقوله الحنفي</w:t>
      </w:r>
      <w:r>
        <w:rPr>
          <w:rStyle w:val="FootnoteAnchor"/>
          <w:rtl w:val="true"/>
        </w:rPr>
        <w:footnoteReference w:id="427"/>
      </w:r>
      <w:r>
        <w:rPr>
          <w:rFonts w:ascii="Amiri" w:hAnsi="Amiri" w:eastAsia="Amiri" w:cs="Amiri"/>
          <w:color w:val="111111"/>
          <w:sz w:val="28"/>
          <w:sz w:val="28"/>
          <w:szCs w:val="28"/>
          <w:rtl w:val="true"/>
          <w:lang w:bidi="ar-SA"/>
        </w:rPr>
        <w:t>، ولا جوفه ولا حضور أربعين كما يقوله الشافعي</w:t>
      </w:r>
      <w:r>
        <w:rPr>
          <w:rStyle w:val="FootnoteAnchor"/>
          <w:rtl w:val="true"/>
        </w:rPr>
        <w:footnoteReference w:id="428"/>
      </w:r>
      <w:r>
        <w:rPr>
          <w:rFonts w:ascii="Amiri" w:hAnsi="Amiri" w:eastAsia="Amiri" w:cs="Amiri"/>
          <w:color w:val="111111"/>
          <w:sz w:val="28"/>
          <w:sz w:val="28"/>
          <w:szCs w:val="28"/>
          <w:rtl w:val="true"/>
          <w:lang w:bidi="ar-SA"/>
        </w:rPr>
        <w:t>، ويكتفون في إيجابها بإمامٍ يَقتدي به أربعةُ نَفَرٍ مكلّفين بها، فَيَظْهَرُ بذلك كونهم أكثر إيجاباً مِنَ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مَنَعَهُم مِنْ إقامتها غالباً ما ذكرناه مِنْ فِسْقِ الأثئَّةِ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أنا قد بَيَّنَّا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أنكروا على تركها زيادةً على ما ذُكِرَ في الحديثينِ، وصرَّحوا بوجوبها على كلّ أحدٍ كما أشرنا إليه في 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يُعْذَرُ الناسُ فيها</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 xml:space="preserve">، وقولُ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تَرَكَ الجمعةَ ثلاثَ جُمَعٍ مُتواليةٍ طَبَعَ اللّه </w:t>
      </w:r>
      <w:bookmarkStart w:id="241" w:name="pg10113_92030"/>
    </w:p>
    <w:p>
      <w:pPr>
        <w:pStyle w:val="BookText"/>
        <w:rPr/>
      </w:pPr>
      <w:bookmarkEnd w:id="241"/>
      <w:r>
        <w:rPr>
          <w:rFonts w:ascii="IRNazanin" w:hAnsi="IRNazanin" w:eastAsia="IRNazanin"/>
          <w:color w:val="111111"/>
          <w:sz w:val="28"/>
          <w:sz w:val="28"/>
          <w:szCs w:val="28"/>
          <w:rtl w:val="true"/>
          <w:lang w:bidi="fa-IR"/>
        </w:rPr>
        <w:t>على قلبه</w:t>
      </w:r>
      <w:r>
        <w:rPr>
          <w:rFonts w:eastAsia="IRNazanin" w:cs="IRNazanin"/>
          <w:color w:val="111111"/>
          <w:sz w:val="28"/>
          <w:szCs w:val="28"/>
          <w:rtl w:val="true"/>
          <w:lang w:bidi="fa-IR"/>
        </w:rPr>
        <w:t>»</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مبالغةٍ ونكير أعظمُ من هذا ؟ وأي مناسبة فيه للواجب التخييري ؟ لأن تَركَ فرد منه إلى الفردِ الآخر جائزٌ إجماعاً لا يجوز ترتّب الذمّ عليه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وأبلَغُ مِنْ ذلك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طويلةٍ حتَّ فيها على صلاة الجمعة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قد فَرَضَ عليكم الجمعة فَمَنْ تَركَها في حياتي أو بعد موتى استخفافاً بها أو جحوداً لها فلا جَمَعَ اللّه شَمْلَه ولا بارك له في أمره، ألا ولا صلاة له ألا ولا زكاة له ألا ولا حجّ له ألا ولا صوم له ألا ولا برَّ له حتّى يتوبَ</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هذا الخبر المخالفُ والمؤالفُ</w:t>
      </w:r>
      <w:r>
        <w:rPr>
          <w:rStyle w:val="FootnoteAnchor"/>
          <w:rtl w:val="true"/>
        </w:rPr>
        <w:footnoteReference w:id="432"/>
      </w:r>
      <w:r>
        <w:rPr>
          <w:rFonts w:ascii="Amiri" w:hAnsi="Amiri" w:eastAsia="Amiri" w:cs="Amiri"/>
          <w:color w:val="111111"/>
          <w:sz w:val="28"/>
          <w:sz w:val="28"/>
          <w:szCs w:val="28"/>
          <w:rtl w:val="true"/>
          <w:lang w:bidi="ar-SA"/>
        </w:rPr>
        <w:t>، واختلفوا في ألفاظ تركناها لا مدخل لها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 ذلك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دالّة على إيجابها والحثّ عليها ولو لم يكن في الباب إلّا الآية الشريفة في سورة الجمعة لكان ذلك كافياً لأولي الأبصار، شافياً عند ذَوِي الاعتبار</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375337_1067777946"/>
      <w:bookmarkStart w:id="243" w:name="_Toc77"/>
      <w:bookmarkEnd w:id="242"/>
      <w:r>
        <w:rPr>
          <w:rtl w:val="true"/>
        </w:rPr>
        <w:t>الدليل الرابع</w:t>
      </w:r>
      <w:r>
        <w:rPr>
          <w:rtl w:val="true"/>
        </w:rPr>
        <w:t xml:space="preserve">: </w:t>
      </w:r>
      <w:r>
        <w:rPr>
          <w:rtl w:val="true"/>
        </w:rPr>
        <w:t>التمسّك بأصالة الجواز</w:t>
      </w:r>
      <w:bookmarkEnd w:id="24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بِأصالة الجواز، فإنا لم نَجِدْ عى التحريم دليلاً صالحاً كما سَنُبَيِّنُهُ، فالأصل جواز هذا الفعل بالمعنى الأعمّ المقابل للتحريم الشامل لما عدا الحَرامِ مِنَ الأقسامِ الخَمْسَةِ، ثمّ الإباحةُ مِنَ الأربعة الباقية منفيَّة بالإجماع، على أنّ العبادة لا تكون متساويّة الطرفين وكذا الكراهة بمعنى مرجوحيَّةِ أحد الطرفين مطلقاً مِنْ غير منع من النقيض، وإن أمكن المكروه في العبادة بمعنى آخَرَ، فبقي مِنْ مَدلول هذا الأصل الوجوبُ والاستحباب، فالثابتُ هنا أحدُهما لكنَّ الاستحباب منفي أيضاً بالإجماع على أنّها لا تَقَعُ مُستحبّةً بالمعنى المتعارف، بل متى شُرِعَتْ وَجَبَتْ، فَانْحَصَر أمرُ الجَواز فى الوجوب وهو المطلوب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وأصل هذا الدليل مجرّداً عَنِ الترويج ذكره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الإرشادِ، فقال بعد ذِكْرِ الأدلّة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والمُعتَمَدُ في ذلك أصالة الجواز، وعموم الآية، وعدم دلیلٍ مانع</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وَاعْتُرضَ عليه </w:t>
      </w:r>
      <w:r>
        <w:rPr>
          <w:rStyle w:val="FootnoteAnchor"/>
          <w:rtl w:val="true"/>
        </w:rPr>
        <w:footnoteReference w:id="434"/>
      </w:r>
      <w:r>
        <w:rPr>
          <w:rFonts w:ascii="Amiri" w:hAnsi="Amiri" w:eastAsia="Amiri" w:cs="Amiri"/>
          <w:color w:val="111111"/>
          <w:sz w:val="28"/>
          <w:sz w:val="28"/>
          <w:szCs w:val="28"/>
          <w:rtl w:val="true"/>
          <w:lang w:bidi="ar-SA"/>
        </w:rPr>
        <w:t>بأنّ أصالة الجواز لا يُستَدلُّ بها على فعل شيءٍ مِنَ العبادات إذ كونُ الفعل قربةً وراجحاً بحيث يُتَعَبَّد به توقيفي يحتاجُ إلى إذنِ الشارع وبدونه يكون بدعةً، وعدم الدليل المانع لا يقتضي الجواز؛ إذ لابدَّ مِنْ كونِ المُجوّز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إذا تأمّلت ما ذكرناه مِنْ توجيه الاستدلالِ يَظْهَرُ عليك جوابُ هذا الإيراد؛ فإنّ الجواز المطلوب هنا لمّا كان في مُقابَلَةِ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الأصل في هذه الأفعالِ ونظائرها هل هو الجواز أو التحريم ؟ وأنّ المرجّحَ هو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فالثابت هنا ما قابل التحريم وهو يَشْمُلُ الأحكام الأربعة وإن أُريد بعضُها كما قررناه، وهذا هو الوجه المسوِّغُ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والتوقيفُ عليها بخصوصها متحقِّقُ فى الكتاب والسنّة، وإنّما وقع الاشتباه في هذا الفعل المخصوص المضبوط شرعاً، هل هو الآن جائز أم حرام ؟ فأصالة الجواز نافعة في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الحكم عليها بالجواز إلا بمعونَةِ النَّقْلِ مِنَ الكتابِ والسنّة ومعه يُستغنى عنها، فلا وجه لإفرادها بالدّلالةِ، فَيَرْجِعُ الأمر إلى أنّ العبادات لا تنبت بها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الثابتُ بهذه الأصالة أصلُ الجواز المقابل للتحريم، والاستدلال به عقليٌ لا يتوقّف مِنْ هذه الجهةِ على الدليل النقلي الدالّ على التوقيف على كمّیّتها وكيفيَّتِها، فَتَحقُّقُ الاستغناءِ مِن هذه الحيثيّة، وإن توقَّفَتْ بعد إثباتِ جوازها على أمرٍ </w:t>
      </w:r>
      <w:bookmarkStart w:id="244" w:name="pg10113_92032"/>
    </w:p>
    <w:p>
      <w:pPr>
        <w:pStyle w:val="BookText"/>
        <w:rPr/>
      </w:pPr>
      <w:bookmarkEnd w:id="244"/>
      <w:r>
        <w:rPr>
          <w:rFonts w:ascii="Amiri" w:hAnsi="Amiri" w:eastAsia="Amiri" w:cs="Amiri"/>
          <w:color w:val="111111"/>
          <w:sz w:val="28"/>
          <w:sz w:val="28"/>
          <w:szCs w:val="28"/>
          <w:rtl w:val="true"/>
          <w:lang w:bidi="ar-SA"/>
        </w:rPr>
        <w:t xml:space="preserve">آخر، كما أنّ إثبات شرعيتها أيضاً بالدليل النقلى لا يقدَحُ فيه توقفها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تحقّق شرائطها وأحكامها، ولم يستقلَّ دليل أصل المشروعية بالدلالة على تمام ما يُعتبر فيها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الأمر أنّ الفرضَ مِنْ أدلّة المشروعيَّةِ نفي القول بالتحريم، لا تحقيق الحال في تقريرها شرعاً وتبيين شروطها وكيفيَّتِها وأحكامها، بل يتوقّف بعد إثباتِ المشروعيَّةِ على أدلّة أُخرى على هذه الأشياء من غير منافاة بين الأمرين؛ ولا استغناء ببعضها عن بعض</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375339_1067777946"/>
      <w:bookmarkStart w:id="246" w:name="_Toc78"/>
      <w:bookmarkEnd w:id="245"/>
      <w:r>
        <w:rPr>
          <w:rtl w:val="true"/>
        </w:rPr>
        <w:t>الدليل الخامس</w:t>
      </w:r>
      <w:r>
        <w:rPr>
          <w:rtl w:val="true"/>
        </w:rPr>
        <w:t xml:space="preserve">: </w:t>
      </w:r>
      <w:r>
        <w:rPr>
          <w:rtl w:val="true"/>
        </w:rPr>
        <w:t>القول بالوجوب قول أكثر المسلمين لا يخرج منه إلّا الشاذ</w:t>
      </w:r>
      <w:bookmarkEnd w:id="246"/>
    </w:p>
    <w:p>
      <w:pPr>
        <w:pStyle w:val="Heading6"/>
        <w:numPr>
          <w:ilvl w:val="5"/>
          <w:numId w:val="1"/>
        </w:numPr>
        <w:rPr/>
      </w:pPr>
      <w:bookmarkStart w:id="247" w:name="__RefHeading___Toc375341_1067777946"/>
      <w:bookmarkStart w:id="248" w:name="_Toc79"/>
      <w:bookmarkEnd w:id="247"/>
      <w:r>
        <w:rPr>
          <w:rtl w:val="true"/>
        </w:rPr>
        <w:t>إشارة</w:t>
      </w:r>
      <w:r>
        <w:rPr>
          <w:rtl w:val="true"/>
        </w:rPr>
        <w:t>:</w:t>
      </w:r>
      <w:bookmarkEnd w:id="248"/>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بالوجوب على هذا الوجه قولُ أكثر المسلمين لا يخرج منه إلّا الشاذُ النادرُ مِنْ أصحابنا على وجه لا يقدح في تحقّق دعوى أنه إجماع أو يَكادُ؛ فإنّ جملةَ مَذاهب المسلمين مِمَّنْ يُخالِفنا يقولون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غيرُ الحَنَفِيَّةِ فظاهر؛ لأنّهم لا يعتبرون في وجوبها إذن الإمام</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الحنفيّة فإنّهم وإن شرطوا إذنه لكنّهم يقولون إنه مع تعذُّر إذنه يَسقط اعتباره ويَجِب فعلُها حينئذٍ بباقى الشرائط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أصحابنا فهم على كثرتهم وكثرة مصنّفيهم واختلاف طبقاتهم لا يُنقل القولُ بالمنع مِن قِبَلِهم إلّا عَنِ المرتضى في المسائل الميافارقيّات</w:t>
      </w:r>
      <w:r>
        <w:rPr>
          <w:rStyle w:val="FootnoteAnchor"/>
          <w:rtl w:val="true"/>
        </w:rPr>
        <w:footnoteReference w:id="437"/>
      </w:r>
      <w:r>
        <w:rPr>
          <w:rFonts w:ascii="Amiri" w:hAnsi="Amiri" w:eastAsia="Amiri" w:cs="Amiri"/>
          <w:color w:val="111111"/>
          <w:sz w:val="28"/>
          <w:sz w:val="28"/>
          <w:szCs w:val="28"/>
          <w:rtl w:val="true"/>
          <w:lang w:bidi="ar-SA"/>
        </w:rPr>
        <w:t>، ومع ذلك كلامه ليس بصريح فيه بل ظاهرُه،ذلك كما اعترف به جميع من نقل ذلك عنه</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هذا القول الشنيعِ المُخالفِ لجمهور المسلمين وصريح الكتاب والسنّة لا ينبغي إثباتُه ونسبَتُه لِمِثلِ هذا الفاضل بمجرّد الظهور، بل لابد فيه مِنَ التحقيق، وإنّما كان </w:t>
      </w:r>
    </w:p>
    <w:p>
      <w:pPr>
        <w:pStyle w:val="BookText"/>
        <w:rPr/>
      </w:pPr>
      <w:r>
        <w:rPr>
          <w:rFonts w:ascii="Amiri" w:hAnsi="Amiri" w:eastAsia="Amiri" w:cs="Amiri"/>
          <w:color w:val="111111"/>
          <w:sz w:val="28"/>
          <w:sz w:val="28"/>
          <w:szCs w:val="28"/>
          <w:rtl w:val="true"/>
          <w:lang w:bidi="ar-SA"/>
        </w:rPr>
        <w:t>ظاهرُه ذلك من غيرِ تحقيقٍ؛ لأنّ السائل لمّا سأله عن صَلاةِ الجمعةِ هل تجوزُ خَلْفَ المُؤالفِ والمُخالفِ جميعاً، أجاب بما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جمعة إلّا مع إمامٍ عادلٍ أو مَنْ نصبه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على ظاهرِ هذه العبارة واضحٌ، وهي مع ذلك تَحْتَمِلُ خلاف ظاهرها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النفي الموجّه إلى الماهيَّة إلى نفي الكمال كما هو واقع كثيراً في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هذا الوجه أنّه قال في كتابه الفقه الملكي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والأحوط أن لا تُصلّى الجمعةُ إلّا بإذن السلطان وإمام الزمان؛ لأنها اذا صُلِّيت على هذا الوجه انعقدت وجازت بإجماع، وإذا لم يكن فيها إذن السلطان لم يُقطع على صحّتها وإجزائها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لفظه، وهو ظاهر في أنّ إذن الإمامِ مُعتبر اعتبار كمال واحتياطٍ لا 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المنعِ مِنَ الصلاة بدونِ إذنِ الإمام العادل مع إمكان إذنه لا مطلقاً، كما هي عادة الأصحابِ على ما سَتَقِفُ عليه إن شاء اللّه من عباراتهم، فإنهم يُطلِقُونَ اشتراط إذنه في الوجوبِ ثمّ يجوِّزُونَ فعلها حالَ الغيبة بدونه مريدين بالاشتراط على تقدير إمكانه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هذا الحمل لكلام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الخصوص قوله في الكتاب المذكور سابقاً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والأحوط أن لا تصلّى الجمعة إلّا بإذن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لأنّ إذنه إنما يكون أحوط مع إمكانها لا مطلقاً، بل الاحتياط مع تعذّرِها في الصلاةِ بدونها امتثالاً لعموم الأمر من الكتاب والسنّة وغيرهما مِنَ الأدلّة، ومع قيام الاحتمالِ يَسقُطُ القولُ بِنِسبَتِه إلى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التحقيق وإن كان ظاهره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صرّح به تلميذه سلّارُ</w:t>
      </w:r>
      <w:r>
        <w:rPr>
          <w:rStyle w:val="FootnoteAnchor"/>
          <w:rtl w:val="true"/>
        </w:rPr>
        <w:footnoteReference w:id="440"/>
      </w:r>
      <w:r>
        <w:rPr>
          <w:rFonts w:ascii="Amiri" w:hAnsi="Amiri" w:eastAsia="Amiri" w:cs="Amiri"/>
          <w:color w:val="111111"/>
          <w:sz w:val="28"/>
          <w:sz w:val="28"/>
          <w:szCs w:val="28"/>
          <w:rtl w:val="true"/>
          <w:lang w:bidi="ar-SA"/>
        </w:rPr>
        <w:t>، وبعده ابن إدريس</w:t>
      </w:r>
      <w:r>
        <w:rPr>
          <w:rStyle w:val="FootnoteAnchor"/>
          <w:rtl w:val="true"/>
        </w:rPr>
        <w:footnoteReference w:id="441"/>
      </w:r>
      <w:r>
        <w:rPr>
          <w:rFonts w:ascii="Amiri" w:hAnsi="Amiri" w:eastAsia="Amiri" w:cs="Amiri"/>
          <w:color w:val="111111"/>
          <w:sz w:val="28"/>
          <w:sz w:val="28"/>
          <w:szCs w:val="28"/>
          <w:rtl w:val="true"/>
          <w:lang w:bidi="ar-SA"/>
        </w:rPr>
        <w:t xml:space="preserve">فهذان الرجلان عمدةُ القولِ بسقوطها حال الغيبة، وربما مال العلّامة في بعض كتبه </w:t>
      </w:r>
      <w:r>
        <w:rPr>
          <w:rStyle w:val="FootnoteAnchor"/>
          <w:rtl w:val="true"/>
        </w:rPr>
        <w:footnoteReference w:id="442"/>
      </w:r>
      <w:r>
        <w:rPr>
          <w:rFonts w:ascii="Amiri" w:hAnsi="Amiri" w:eastAsia="Amiri" w:cs="Amiri"/>
          <w:color w:val="111111"/>
          <w:sz w:val="28"/>
          <w:sz w:val="28"/>
          <w:szCs w:val="28"/>
          <w:rtl w:val="true"/>
          <w:lang w:bidi="ar-SA"/>
        </w:rPr>
        <w:t>إلى هذا القول، لكنّه صرَّح بخلافه في غيره خصوصاً المختلف</w:t>
      </w:r>
      <w:r>
        <w:rPr>
          <w:rStyle w:val="FootnoteAnchor"/>
          <w:rtl w:val="true"/>
        </w:rPr>
        <w:footnoteReference w:id="443"/>
      </w:r>
      <w:r>
        <w:rPr>
          <w:rFonts w:ascii="Amiri" w:hAnsi="Amiri" w:eastAsia="Amiri" w:cs="Amiri"/>
          <w:color w:val="111111"/>
          <w:sz w:val="28"/>
          <w:sz w:val="28"/>
          <w:szCs w:val="28"/>
          <w:rtl w:val="true"/>
          <w:lang w:bidi="ar-SA"/>
        </w:rPr>
        <w:t>، وهو آخِرُ ما صنَّفه مِنَ الكتب الفقهيّة</w:t>
      </w:r>
      <w:r>
        <w:rPr>
          <w:rStyle w:val="FootnoteAnchor"/>
          <w:rtl w:val="true"/>
        </w:rPr>
        <w:footnoteReference w:id="444"/>
      </w:r>
      <w:r>
        <w:rPr>
          <w:rFonts w:ascii="Amiri" w:hAnsi="Amiri" w:eastAsia="Amiri" w:cs="Amiri"/>
          <w:color w:val="111111"/>
          <w:sz w:val="28"/>
          <w:sz w:val="28"/>
          <w:szCs w:val="28"/>
          <w:rtl w:val="true"/>
          <w:lang w:bidi="ar-SA"/>
        </w:rPr>
        <w:t>،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عليك حالُ قول يختصُّ مِن بين المسلمين بهذين الرجلين مع معارَضَةِ الكتاب والسنّة لهما على الوجه الذي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بذلك ضعفُ القولِ بسقوطها حالَ الغَيْبة مطلقاً بل بطلانُه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وبقي الكلام مع القول الثاني الذي يَشتَرِطُ في جوازها الفقية، وما ذكرناه من الأدلّة كافٍ في ضعف القولين معاً، ولكن تحقيق المَقامِ يتوقّف على تخصيصهما بالكلام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فَلَنَشْرَع الآن فيه بمشيئة اللّه تعالى</w:t>
      </w:r>
      <w:r>
        <w:rPr>
          <w:rFonts w:eastAsia="Amiri" w:cs="Amiri" w:ascii="Amiri" w:hAnsi="Amiri"/>
          <w:color w:val="111111"/>
          <w:sz w:val="28"/>
          <w:szCs w:val="28"/>
          <w:rtl w:val="true"/>
          <w:lang w:bidi="ar-SA"/>
        </w:rPr>
        <w:t xml:space="preserve">. </w:t>
      </w:r>
      <w:bookmarkStart w:id="249" w:name="pg10113_92035"/>
    </w:p>
    <w:p>
      <w:pPr>
        <w:pStyle w:val="Heading6"/>
        <w:numPr>
          <w:ilvl w:val="5"/>
          <w:numId w:val="1"/>
        </w:numPr>
        <w:rPr/>
      </w:pPr>
      <w:bookmarkStart w:id="250" w:name="__RefHeading___Toc375343_1067777946"/>
      <w:bookmarkStart w:id="251" w:name="_Toc80"/>
      <w:bookmarkEnd w:id="249"/>
      <w:bookmarkEnd w:id="250"/>
      <w:r>
        <w:rPr>
          <w:rtl w:val="true"/>
        </w:rPr>
        <w:t xml:space="preserve">وجوب صلاة الجمعة </w:t>
      </w:r>
      <w:r>
        <w:rPr>
          <w:rtl w:val="true"/>
        </w:rPr>
        <w:t xml:space="preserve">- </w:t>
      </w:r>
      <w:r>
        <w:rPr>
          <w:rtl w:val="true"/>
        </w:rPr>
        <w:t xml:space="preserve">حال الغيبة </w:t>
      </w:r>
      <w:r>
        <w:rPr>
          <w:rtl w:val="true"/>
        </w:rPr>
        <w:t xml:space="preserve">- </w:t>
      </w:r>
      <w:r>
        <w:rPr>
          <w:rtl w:val="true"/>
        </w:rPr>
        <w:t>بشرط حضور الفقيه</w:t>
      </w:r>
      <w:bookmarkEnd w:id="251"/>
    </w:p>
    <w:p>
      <w:pPr>
        <w:pStyle w:val="BookText"/>
        <w:rPr/>
      </w:pPr>
      <w:r>
        <w:rPr>
          <w:rFonts w:ascii="Amiri" w:hAnsi="Amiri" w:eastAsia="Amiri" w:cs="Amiri"/>
          <w:color w:val="111111"/>
          <w:sz w:val="28"/>
          <w:sz w:val="28"/>
          <w:szCs w:val="28"/>
          <w:rtl w:val="true"/>
          <w:lang w:bidi="ar-SA"/>
        </w:rPr>
        <w:t>الكلام على القول الثاني</w:t>
      </w:r>
    </w:p>
    <w:p>
      <w:pPr>
        <w:pStyle w:val="BookText"/>
        <w:rPr/>
      </w:pPr>
      <w:r>
        <w:rPr>
          <w:rFonts w:ascii="Amiri" w:hAnsi="Amiri" w:eastAsia="Amiri" w:cs="Amiri"/>
          <w:color w:val="111111"/>
          <w:sz w:val="28"/>
          <w:sz w:val="28"/>
          <w:szCs w:val="28"/>
          <w:rtl w:val="true"/>
          <w:lang w:bidi="ar-SA"/>
        </w:rPr>
        <w:t>وهو وجوب الصلاة المذكورة حالَ الغَيبة لكن بشرط حضور الفقيه الجامع لشرائط الفتوى وإلّا لَم تُشْرَعْ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هذا القول لم يصرخ به أحدٌ مِنْ فُقهائنا على وجه اليقين، وإنّما هو ظاهرُ عبارةِ العلّامة جمال الدين في التذكرةِ</w:t>
      </w:r>
      <w:r>
        <w:rPr>
          <w:rStyle w:val="FootnoteAnchor"/>
          <w:rtl w:val="true"/>
        </w:rPr>
        <w:footnoteReference w:id="445"/>
      </w:r>
      <w:r>
        <w:rPr>
          <w:rFonts w:ascii="Amiri" w:hAnsi="Amiri" w:eastAsia="Amiri" w:cs="Amiri"/>
          <w:color w:val="111111"/>
          <w:sz w:val="28"/>
          <w:sz w:val="28"/>
          <w:szCs w:val="28"/>
          <w:rtl w:val="true"/>
          <w:lang w:bidi="ar-SA"/>
        </w:rPr>
        <w:t xml:space="preserve">والنهاية </w:t>
      </w:r>
      <w:r>
        <w:rPr>
          <w:rStyle w:val="FootnoteAnchor"/>
          <w:rtl w:val="true"/>
        </w:rPr>
        <w:footnoteReference w:id="446"/>
      </w:r>
      <w:r>
        <w:rPr>
          <w:rFonts w:ascii="Amiri" w:hAnsi="Amiri" w:eastAsia="Amiri" w:cs="Amiri"/>
          <w:color w:val="111111"/>
          <w:sz w:val="28"/>
          <w:sz w:val="28"/>
          <w:szCs w:val="28"/>
          <w:rtl w:val="true"/>
          <w:lang w:bidi="ar-SA"/>
        </w:rPr>
        <w:t>والشهيدِ في الدروس</w:t>
      </w:r>
      <w:r>
        <w:rPr>
          <w:rStyle w:val="FootnoteAnchor"/>
          <w:rtl w:val="true"/>
        </w:rPr>
        <w:footnoteReference w:id="447"/>
      </w:r>
      <w:r>
        <w:rPr>
          <w:rFonts w:ascii="Amiri" w:hAnsi="Amiri" w:eastAsia="Amiri" w:cs="Amiri"/>
          <w:color w:val="111111"/>
          <w:sz w:val="28"/>
          <w:sz w:val="28"/>
          <w:szCs w:val="28"/>
          <w:rtl w:val="true"/>
          <w:lang w:bidi="ar-SA"/>
        </w:rPr>
        <w:t>واللمعة</w:t>
      </w:r>
      <w:r>
        <w:rPr>
          <w:rStyle w:val="FootnoteAnchor"/>
          <w:rtl w:val="true"/>
        </w:rPr>
        <w:footnoteReference w:id="448"/>
      </w:r>
      <w:r>
        <w:rPr>
          <w:rFonts w:ascii="Amiri" w:hAnsi="Amiri" w:eastAsia="Amiri" w:cs="Amiri"/>
          <w:color w:val="111111"/>
          <w:sz w:val="28"/>
          <w:sz w:val="28"/>
          <w:szCs w:val="28"/>
          <w:rtl w:val="true"/>
          <w:lang w:bidi="ar-SA"/>
        </w:rPr>
        <w:t>، لا غير، وفي باقي كتبهما وافقا غيرهما من المجوّزين مِنْ حيث الإطلاق، وسنتلو عليكَ عبارتهما في ذلك ونُبَيِّنُ عدمَ دَلالتها على المطلوب، بل عدم موافقة دليلها لظاهرها</w:t>
      </w:r>
      <w:r>
        <w:rPr>
          <w:rStyle w:val="FootnoteAnchor"/>
          <w:rtl w:val="true"/>
        </w:rPr>
        <w:footnoteReference w:id="449"/>
      </w:r>
      <w:r>
        <w:rPr>
          <w:rFonts w:ascii="Amiri" w:hAnsi="Amiri" w:eastAsia="Amiri" w:cs="Amiri"/>
          <w:color w:val="111111"/>
          <w:sz w:val="28"/>
          <w:sz w:val="28"/>
          <w:szCs w:val="28"/>
          <w:rtl w:val="true"/>
          <w:lang w:bidi="ar-SA"/>
        </w:rPr>
        <w:t xml:space="preserve">، فقولهما بذلك غير متيقّن ولكن المحقّق المرحوم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اعتنى بهذا القول وتَرجيحِه، وادَّعى إجماع القائلين بشرعيَّتِها عليه </w:t>
      </w:r>
      <w:r>
        <w:rPr>
          <w:rStyle w:val="FootnoteAnchor"/>
          <w:rtl w:val="true"/>
        </w:rPr>
        <w:footnoteReference w:id="450"/>
      </w:r>
      <w:r>
        <w:rPr>
          <w:rFonts w:ascii="Amiri" w:hAnsi="Amiri" w:eastAsia="Amiri" w:cs="Amiri"/>
          <w:color w:val="111111"/>
          <w:sz w:val="28"/>
          <w:sz w:val="28"/>
          <w:szCs w:val="28"/>
          <w:rtl w:val="true"/>
          <w:lang w:bidi="ar-SA"/>
        </w:rPr>
        <w:t>والأصلُ في هذا القول أنّ إذنَ الإمامِ معتبرٌ فيها، فمع حُضوره يُعتبر حضورُه أو نائبُه، ومع غَيبته يقومُ الفقيهُ المذكورُ مقامَه؛ لأنّه نائبُهُ على العمومِ، وجملةُ ما ذكروه مِنَ الدليل على هذا الشرط أُمورٌ ثلاثةٌ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يُعَيِّن لإمامةِ الجمعةِ وكذا الخلفاءُ بعده كما يُعيِّنُ للقضاء؛ </w:t>
      </w:r>
      <w:bookmarkStart w:id="252" w:name="pg10113_92036"/>
    </w:p>
    <w:p>
      <w:pPr>
        <w:pStyle w:val="BookText"/>
        <w:rPr/>
      </w:pPr>
      <w:bookmarkEnd w:id="252"/>
      <w:r>
        <w:rPr>
          <w:rFonts w:ascii="Amiri" w:hAnsi="Amiri" w:eastAsia="Amiri" w:cs="Amiri"/>
          <w:color w:val="111111"/>
          <w:sz w:val="28"/>
          <w:sz w:val="28"/>
          <w:szCs w:val="28"/>
          <w:rtl w:val="true"/>
          <w:lang w:bidi="ar-SA"/>
        </w:rPr>
        <w:t>وكما لا يصحُّ أنْ يَنْصِبَ الإِنسانُ نَفْسَه قاضياً مِن دونِ إذنِ الإمام فكذا إمامُ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قياساً بل استدلالاً بالعمل المستمرِّ في الأعصار، فمخالفَتُه خرقُ الإجماع</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375345_1067777946"/>
      <w:bookmarkStart w:id="254" w:name="_Toc81"/>
      <w:bookmarkEnd w:id="253"/>
      <w:r>
        <w:rPr>
          <w:rtl w:val="true"/>
        </w:rPr>
        <w:t>مناقشة أوّل أدلّة هذا القول</w:t>
      </w:r>
      <w:bookmarkEnd w:id="254"/>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تجب الجمعةُ على أقلَّ مِنْ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وقاضيه ومُدَّع حقاً ومُدَّعَى عليه وشاهدان ومَنْ يَضْرِبُ الحدودَ بَيْنَ يَدَي الإمامِ</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دَلالة على اشتراط الإمام حيثُ جعله أحد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إجماعٌ، كما نقله جماعةٌ من الأصحابِ منهم المحقّق نجمُ الدينِ بنِ سعيدٍ في المعتبر</w:t>
      </w:r>
      <w:r>
        <w:rPr>
          <w:rStyle w:val="FootnoteAnchor"/>
          <w:rtl w:val="true"/>
        </w:rPr>
        <w:footnoteReference w:id="452"/>
      </w:r>
      <w:r>
        <w:rPr>
          <w:rFonts w:ascii="Amiri" w:hAnsi="Amiri" w:eastAsia="Amiri" w:cs="Amiri"/>
          <w:color w:val="111111"/>
          <w:sz w:val="28"/>
          <w:sz w:val="28"/>
          <w:szCs w:val="28"/>
          <w:rtl w:val="true"/>
          <w:lang w:bidi="ar-SA"/>
        </w:rPr>
        <w:t xml:space="preserve">والعلّامة جمال الدينِ بنِ المطهَّرِ في التذكرة </w:t>
      </w:r>
      <w:r>
        <w:rPr>
          <w:rStyle w:val="FootnoteAnchor"/>
          <w:rtl w:val="true"/>
        </w:rPr>
        <w:footnoteReference w:id="453"/>
      </w:r>
      <w:r>
        <w:rPr>
          <w:rFonts w:ascii="Amiri" w:hAnsi="Amiri" w:eastAsia="Amiri" w:cs="Amiri"/>
          <w:color w:val="111111"/>
          <w:sz w:val="28"/>
          <w:sz w:val="28"/>
          <w:szCs w:val="28"/>
          <w:rtl w:val="true"/>
          <w:lang w:bidi="ar-SA"/>
        </w:rPr>
        <w:t xml:space="preserve">والنهاية </w:t>
      </w:r>
      <w:r>
        <w:rPr>
          <w:rStyle w:val="FootnoteAnchor"/>
          <w:rtl w:val="true"/>
        </w:rPr>
        <w:footnoteReference w:id="454"/>
      </w:r>
      <w:r>
        <w:rPr>
          <w:rFonts w:ascii="Amiri" w:hAnsi="Amiri" w:eastAsia="Amiri" w:cs="Amiri"/>
          <w:color w:val="111111"/>
          <w:sz w:val="28"/>
          <w:sz w:val="28"/>
          <w:szCs w:val="28"/>
          <w:rtl w:val="true"/>
          <w:lang w:bidi="ar-SA"/>
        </w:rPr>
        <w:t>والشهيدُ في الذكرى</w:t>
      </w:r>
      <w:r>
        <w:rPr>
          <w:rStyle w:val="FootnoteAnchor"/>
          <w:rtl w:val="true"/>
        </w:rPr>
        <w:footnoteReference w:id="455"/>
      </w:r>
      <w:r>
        <w:rPr>
          <w:rFonts w:ascii="Amiri" w:hAnsi="Amiri" w:eastAsia="Amiri" w:cs="Amiri"/>
          <w:color w:val="111111"/>
          <w:sz w:val="28"/>
          <w:sz w:val="28"/>
          <w:szCs w:val="28"/>
          <w:rtl w:val="true"/>
          <w:lang w:bidi="ar-SA"/>
        </w:rPr>
        <w:t>، والإجماعُ المنقولُ بخبر الواحدِ حجَّةٌ فكيف بنقل هؤلاء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الأصلِ المذكور، أنَّه لوتَمّ لَزِمَهم القولُ بكون وجوبها مع الفقيه عينيّاً على حدِّ وجوبها مع الإمام ونائبه الخاصِّ؛ قضيَّةً لوجودِ الشرط، وهؤلاء المتأخّرون لا يقولون به بل يجعلونها حالَ الغَيبة مطلقاً مُستحبّةً بمعنى أنها واجبةٌ تخييراً إلّا أنّها أفضلُ الفردين الواجبين على التخيير، فهي مستحبَّةٌ عيناً واجبةً 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يقتضيه دليلهم لا يقولون به، وما يقولون به لا يُفْضِي إليه دليلهم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فإنّهم يعترفون في هذه الحالة بعدَمِ وجودِ شرطِ الوجوب الذي هو الإمام أو نائبه كما سنحكيه</w:t>
      </w:r>
      <w:r>
        <w:rPr>
          <w:rStyle w:val="FootnoteAnchor"/>
          <w:rtl w:val="true"/>
        </w:rPr>
        <w:footnoteReference w:id="456"/>
      </w:r>
      <w:r>
        <w:rPr>
          <w:rFonts w:ascii="Amiri" w:hAnsi="Amiri" w:eastAsia="Amiri" w:cs="Amiri"/>
          <w:color w:val="111111"/>
          <w:sz w:val="28"/>
          <w:sz w:val="28"/>
          <w:szCs w:val="28"/>
          <w:rtl w:val="true"/>
          <w:lang w:bidi="ar-SA"/>
        </w:rPr>
        <w:t xml:space="preserve">من ألفاظهم، فلا فرقَ حينئذٍ بين وجودِ الفقيه وعدمه حيثُ لا يُوجَدُ </w:t>
      </w:r>
      <w:bookmarkStart w:id="255" w:name="pg10113_92037"/>
    </w:p>
    <w:p>
      <w:pPr>
        <w:pStyle w:val="BookText"/>
        <w:rPr/>
      </w:pPr>
      <w:bookmarkEnd w:id="255"/>
      <w:r>
        <w:rPr>
          <w:rFonts w:ascii="Amiri" w:hAnsi="Amiri" w:eastAsia="Amiri" w:cs="Amiri"/>
          <w:color w:val="111111"/>
          <w:sz w:val="28"/>
          <w:sz w:val="28"/>
          <w:szCs w:val="28"/>
          <w:rtl w:val="true"/>
          <w:lang w:bidi="ar-SA"/>
        </w:rPr>
        <w:t>هذا الشرط، بل إمّا أنْ يَحكُموا بوجوبِها؛ نظراً إلى أنّ الشرطَ المذكورَ إنّما يُعتبر مع إمكانه لا مطلقاً، أو يحكموا بعدم مشروعيَّتِها؛ التفاتاً إلى فقدِ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نَختارُ الأوّل، وهو حصولُ الشرط بحضورِ الفقيهِ، ولكنَّ الوجوبَ العيني منفيٌّ بالإجماع كما سندَّعيه</w:t>
      </w:r>
      <w:r>
        <w:rPr>
          <w:rStyle w:val="FootnoteAnchor"/>
          <w:rtl w:val="true"/>
        </w:rPr>
        <w:footnoteReference w:id="457"/>
      </w:r>
      <w:r>
        <w:rPr>
          <w:rFonts w:ascii="Amiri" w:hAnsi="Amiri" w:eastAsia="Amiri" w:cs="Amiri"/>
          <w:color w:val="111111"/>
          <w:sz w:val="28"/>
          <w:sz w:val="28"/>
          <w:szCs w:val="28"/>
          <w:rtl w:val="true"/>
          <w:lang w:bidi="ar-SA"/>
        </w:rPr>
        <w:t>، فقلنا بالوجوب التخييري حيثُ دلَّ الدليلُ على الوجوب ولم يُمكنِ القولُ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اعْتَرفتم في كلامِكم بفقدِ الشرطِ في هذه الحالةِ كما سنحكيه عنكم، وهو خلافُ ما التزمْتُمُوه هنا؛ ودعوى الإجماع المذكور، سنبيِّنُ فَسادَها إن شاء اللّه تعالى</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عن 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تسليم اطّراده في جميع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دَلالته على الشرطية بل هو أعمّ منها، والعامُّ لا يدلُّ على الخاصِّ، والظاهرُ أن تعيينَ الأئمّة إنما هو لِحَسْم مادَّةِ النزاع في هذه المَرْتَبَةِ، وردّ الناسِ إليه بغير تردُّدٍ، واعتمادِهم على تقليده بغير ريبة، واستحقاقِه مِنْ بيتِ المال لسهمٍ وافرٍ مِنْ حيث قيامه بهذه الوظيفة الكبيرة مِنْ أركان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أنّهم كانوا يُعيِّنونَ ِلإمامة الصلاةِ اليومية أيضاً وللأذان وغيرهما مِنَ الوظائف الدينية مع عدم اشتراطها بإذن الإمام بإجماع المسلمين، ولم يَزَلِ الأمرُ مستمراً في نصب الأئمّة للصلواتِ الخَمس والأذان وغيرهما أيضاً من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يومنا هذا مِنَ الخلفاء والسلاطين وأئمّة العدل والجور، كلّ ذلك لما ذكرناه مِنَ الوجهِ لا لجهة الاشتراط، وهذا أمر واضحٌ لا يخفى على مُنْصِفٍ</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375347_1067777946"/>
      <w:bookmarkStart w:id="257" w:name="_Toc82"/>
      <w:bookmarkEnd w:id="256"/>
      <w:r>
        <w:rPr>
          <w:rtl w:val="true"/>
        </w:rPr>
        <w:t>مناقشة الدليل الثاني وهو الرواية</w:t>
      </w:r>
      <w:bookmarkEnd w:id="257"/>
    </w:p>
    <w:p>
      <w:pPr>
        <w:pStyle w:val="BookText"/>
        <w:rPr/>
      </w:pPr>
      <w:r>
        <w:rPr>
          <w:rFonts w:ascii="Amiri" w:hAnsi="Amiri" w:eastAsia="Amiri" w:cs="Amiri"/>
          <w:color w:val="111111"/>
          <w:sz w:val="28"/>
          <w:sz w:val="28"/>
          <w:szCs w:val="28"/>
          <w:rtl w:val="true"/>
          <w:lang w:bidi="ar-SA"/>
        </w:rPr>
        <w:t>وعن الثاني بعدم دَلالته على الاشتراط مِن وجوهٍ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الخبر، فإنّ في طريقه الحَكَمَ بن مسكين، وهو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يَذْكُرْه </w:t>
      </w:r>
    </w:p>
    <w:p>
      <w:pPr>
        <w:pStyle w:val="BookText"/>
        <w:rPr/>
      </w:pPr>
      <w:r>
        <w:rPr>
          <w:rFonts w:ascii="Amiri" w:hAnsi="Amiri" w:eastAsia="Amiri" w:cs="Amiri"/>
          <w:color w:val="111111"/>
          <w:sz w:val="28"/>
          <w:sz w:val="28"/>
          <w:szCs w:val="28"/>
          <w:rtl w:val="true"/>
          <w:lang w:bidi="ar-SA"/>
        </w:rPr>
        <w:t>أحدٌ مِنْ عُلماء الرجال المعتمدين ولم يَنُصُّوا عليه بتَوثيقٍ ولا ضدِّه، ومَنْ هذا شأنه يُرَدُّ الحديثُ لأجله؛ لأنّ أدنى مراتبِ قبولِه أنْ يكونَ حَسناً أو مُوثّقاً إن لم يكن صحيحاً، وشهرتُه بين الأصحابِ على وجهِ العملِ بمضمونه بحيث تَجْبُر ضعفه ممنوعةٌ، فإنّ مدلوَله لا يقولُ به أحدٌ، وعدده لا يقول به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العجيب هنا قول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الذكرى اعتذاراً عَنْ عدمِ نصِّ الأصحابِ على الحَكَمِ بجَرْحِ ولا مدحٍ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الكشّي ذَكَره في كتابه ولَمْ يتعرَّض له بذمٍّ</w:t>
      </w:r>
      <w:r>
        <w:rPr>
          <w:rStyle w:val="FootnoteAnchor"/>
          <w:rtl w:val="true"/>
        </w:rPr>
        <w:footnoteReference w:id="459"/>
      </w:r>
      <w:r>
        <w:rPr>
          <w:rFonts w:ascii="Amiri" w:hAnsi="Amiri" w:eastAsia="Amiri" w:cs="Amiri"/>
          <w:color w:val="111111"/>
          <w:sz w:val="28"/>
          <w:sz w:val="28"/>
          <w:szCs w:val="28"/>
          <w:rtl w:val="true"/>
          <w:lang w:bidi="ar-SA"/>
        </w:rPr>
        <w:t xml:space="preserve">، فإنّ مجرّد ذكرِ الكشّي له لا يُوجِبُ قبولاً له فقد ذَكَر في كتابه المقبولَ وغيرَه، بل لو ذكره بهذه الحالةِ جميعُ المصنِّفين ومَنْ هو أجلُّ مِنَ الكشّي لم يُفِدْ ذلك قبولَه، فكيف بمثل الكشّي الذي يشتملُ كتابُه على أغاليطَ مِنْ جرحٍ لغير مجروح بروايات ضعيفةٍ، ومدحٍ لغيره كذلك، كما نبه عليه جماعةٌ مِنْ علماء أهل هذا الفنِّ </w:t>
      </w:r>
      <w:r>
        <w:rPr>
          <w:rStyle w:val="FootnoteAnchor"/>
          <w:rtl w:val="true"/>
        </w:rPr>
        <w:footnoteReference w:id="460"/>
      </w:r>
      <w:r>
        <w:rPr>
          <w:rFonts w:ascii="Amiri" w:hAnsi="Amiri" w:eastAsia="Amiri" w:cs="Amiri"/>
          <w:color w:val="111111"/>
          <w:sz w:val="28"/>
          <w:sz w:val="28"/>
          <w:szCs w:val="28"/>
          <w:rtl w:val="true"/>
          <w:lang w:bidi="ar-SA"/>
        </w:rPr>
        <w:t xml:space="preserve">؟ والغرضُ مِنْ وضعه ليس هو معرفةُ التوثيقِ وضدِّه كعادة غيره مِنَ الكُتُب، بل غرضُه ذِكرُ الرجل وما وَرَدَ فيه من مدحٍ وجرحٍ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الناظر طلب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لا يَقِفُ على شيء مِنْ أحواله يَقْتَصِرُ على ما ذكره كما يَعْلَمُ ذلك مَنْ تأمَّل الكتابَ، وما هذا شأنه كيف يُجعلُ مجرّد ذكره له موجباً لقبول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عجيبٌ مِنْ مثل هذا المحقّق المُنَقِّبِ</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متروكُ الظاهر؛ لأنّ مقتضى ظاهرهِ أنّ الجمعةَ لا تنعقدُ إلّا باجتماعِ الإمامِ وقاضيه والمتداعِيَيْنِ والشاهِدين والحدّاد، واجتماعُ هؤلاء ليس بشرطٍ إجماعاً، وإنّما الخلافُ في حضورِ أحدِهم وهو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يدلّ عليه الخبرُ لا يقول به أحدٌ، وما يستدلُّ به منه لا يدلُّ عليه بخصوصه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غيرِه خرج بالإجماعِ، فيكونُ هو المخصِّصُ لمدلول الخبرِ، فتبقى دَلالته على ما لا إجماع فيه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اطّراحه وتَهافُتِه مع ضَعْفِه مخالفة أكثر مدلوله لإجماعِ المسلمين، وما الذي يَضْطَرُّنا إلى العمل ببعضه مع هذه الحالة العجيبةِ ؟</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مدلولَه مِنْ حيث العدد وهو السبعةُ متروكٌ أيضاً، ومُعارَضٌ بالأخبار الصحيحةِ الدالّةِ على اعتبار الخمسة خاصّةً، كصحيحةِ منصورِ بن حازمٍ، وقد تقدَّمتْ</w:t>
      </w:r>
      <w:r>
        <w:rPr>
          <w:rStyle w:val="FootnoteAnchor"/>
          <w:rtl w:val="true"/>
        </w:rPr>
        <w:footnoteReference w:id="461"/>
      </w:r>
      <w:r>
        <w:rPr>
          <w:rFonts w:ascii="Amiri" w:hAnsi="Amiri" w:eastAsia="Amiri" w:cs="Amiri"/>
          <w:color w:val="111111"/>
          <w:sz w:val="28"/>
          <w:sz w:val="28"/>
          <w:szCs w:val="28"/>
          <w:rtl w:val="true"/>
          <w:lang w:bidi="ar-SA"/>
        </w:rPr>
        <w:t xml:space="preserve">، وما ذُكر فيه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إيجابَها على مَن دونَهم بخلافِ هذا الخبر، فإنّه نفى فيه وجوبها على أقلَّ مِنَ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سلامتَهِ من هذه القوادح يمكنُ حملُه على حالة إمكان حضورِ الإمام، وأمّا مع تعذُّره فيَسْقُطُ اعتبارُه، جمعاً بين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إطلاقُ الوجوبِ فيه الدالُّ بظاهره على الوجوبِ العيني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 اعتبر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بحالةِ الحضورِ، وأمّا حالةُ الغَيبة فلا يُطلِقون على حكم الصلاةِ اسمَ الوجوبِ بَل الاستحباب بناءً على ذَهابِهم حينئذٍ إلى الوجوب التخييري مع كون الجمعة أحد الفردين الواجبين تخييراً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العددِ المذكور في الخبر على اعتبار حضورِ قومِ مِنَ المكلّفين بها بِعَدَدِ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حضور سَبعَةٍ وإن لم يكونوا عين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فَسادِ حَملِه على ظاهره مِن اعتبارِ أعيان المذكورين؛ لإجماعِ المسلمين على عَدَمِ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نَبَّه على هذا التأويلِ شيخُنا المتقدّم السعيدُ أبو عبد اللّه المفيدُ في كتاب الإشراف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وعددُهم خمسةُ نفرٍ في عدد الإمامِ والشاهِدَين والمشهودِ عليه والمُتولّى لإقامة الحدِّ</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المذكورَ في الخبر لا يتعيَّنُ حملُه على الإمامِ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p>
    <w:p>
      <w:pPr>
        <w:pStyle w:val="BookText"/>
        <w:rPr/>
      </w:pPr>
      <w:r>
        <w:rPr>
          <w:rFonts w:ascii="Amiri" w:hAnsi="Amiri" w:eastAsia="Amiri" w:cs="Amiri"/>
          <w:color w:val="111111"/>
          <w:sz w:val="28"/>
          <w:sz w:val="28"/>
          <w:szCs w:val="28"/>
          <w:rtl w:val="true"/>
          <w:lang w:bidi="ar-SA"/>
        </w:rPr>
        <w:t xml:space="preserve">السلطانَ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أعمُّ منه، والمتيقَّنُ منه كونُ الجماعةِ لهم إمامٌ يقتدون به حتّى لا تصحّ صلاتهم فُرادى ونحن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الإطلاق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بإعادة الضمير إليه، فإنّ الإمامَ غيره لا قاضي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اضْطُرِرْنا إلى العدولِ عن ظاهره لما ذكرناه مِنْ عدم اعتبار حضور قاضيه وغيره، وإن اعتبرنا حضور الإمام فلا حجَّةً فيه حينئذٍ، وجاز إضافةُ القاضي إليه بأدنى مُلابَسَةٍ ؛ لأنَّ المَحلَّ بابُ تأويلٍ لا محلُّ تنزيل، وبابُ التأويل مُتّسعٌ خصوصاً مع دُعاءِ الضرورة إليه على كلّ حالٍ، ونمنع من كون إطلاق الإمام محمولاً على السلطانِ خصوصاً مع وجودِ الصارف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بظاهر الخبر يقتضي أن لا يقومَ نائبُه مقامَه، وهو خلافُ إجماعِ المسلمين، وهو قرينةٌ أُخرى على كونِ الإمامِ ليس هو المطلقُ، أو محمولٌ على العدد المتقدّم أو غيرِه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معارضٌ بما رواه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أناسٍ في قريةٍ هل يُصلُّونَ الجمعةَ جماعةً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يُصلُّونَ أربعاً إذا لم يكن فيهم مَنْ يخطُبُ</w:t>
      </w:r>
      <w:r>
        <w:rPr>
          <w:rFonts w:eastAsia="Amiri" w:cs="Amiri" w:ascii="Amiri" w:hAnsi="Amiri"/>
          <w:color w:val="111111"/>
          <w:sz w:val="28"/>
          <w:szCs w:val="28"/>
          <w:rtl w:val="true"/>
          <w:lang w:bidi="ar-SA"/>
        </w:rPr>
        <w:t>»</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 الشرط أنّه إذا كان فيهم مَنْ يخطبُ يصلّون الجمعة ركعتين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فيمَنْ يُمْكِنُه الخطبة الشامل لمنصوبِ الإمام وغيرِه، ومفهومُ الشرط حجَّةٌ عند المحقّقين</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تعارضتْ روايةُ الرجلِ الواحدِ سقط الاستدلالُ بها، كيف مع حصول الترجيحِ لهذا الجانبِ بصحَّةِ طريقه ومُوافَقَتِه لغيره مِنَ الأخبار الصحيحة، وغيرِ ذلك ممّا قد عُلِمَ</w:t>
      </w:r>
      <w:r>
        <w:rPr>
          <w:rFonts w:eastAsia="Amiri" w:cs="Amiri" w:ascii="Amiri" w:hAnsi="Amiri"/>
          <w:color w:val="111111"/>
          <w:sz w:val="28"/>
          <w:szCs w:val="28"/>
          <w:rtl w:val="true"/>
          <w:lang w:bidi="ar-SA"/>
        </w:rPr>
        <w:t xml:space="preserve">! </w:t>
      </w:r>
      <w:bookmarkStart w:id="258" w:name="pg10113_92041"/>
    </w:p>
    <w:p>
      <w:pPr>
        <w:pStyle w:val="Heading4"/>
        <w:numPr>
          <w:ilvl w:val="3"/>
          <w:numId w:val="1"/>
        </w:numPr>
        <w:rPr/>
      </w:pPr>
      <w:bookmarkStart w:id="259" w:name="__RefHeading___Toc375349_1067777946"/>
      <w:bookmarkStart w:id="260" w:name="_Toc83"/>
      <w:bookmarkEnd w:id="258"/>
      <w:bookmarkEnd w:id="259"/>
      <w:r>
        <w:rPr>
          <w:rtl w:val="true"/>
        </w:rPr>
        <w:t>مناقشة الدليل الثالث وهو الإجماع</w:t>
      </w:r>
      <w:bookmarkEnd w:id="260"/>
    </w:p>
    <w:p>
      <w:pPr>
        <w:pStyle w:val="BookText"/>
        <w:rPr/>
      </w:pPr>
      <w:r>
        <w:rPr>
          <w:rFonts w:ascii="Amiri" w:hAnsi="Amiri" w:eastAsia="Amiri" w:cs="Amiri"/>
          <w:color w:val="111111"/>
          <w:sz w:val="28"/>
          <w:sz w:val="28"/>
          <w:szCs w:val="28"/>
          <w:rtl w:val="true"/>
          <w:lang w:bidi="ar-SA"/>
        </w:rPr>
        <w:t xml:space="preserve">وأمّا الجواب 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دعوى إجماعِ الأصحاب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فتحقيق القولِ فيه يَحتاجُ إلى بسطٍ ونقل لكلامِ القومِ وبَيانِ الحقّ في ذلك، فإنّه عمدةُ الاستدلال ومظهر الشبهة القويَّةِ، فنقول وباللّه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يدلُّ عليه كلامُ الأصحابِ ومدَّعي الإجماعِ أنّ مَوضِعَ الإجماع المدَّعى إنّما هو حالُ حضورِ الإمام، وتمكُّنه، والشرطَ المذكورَ حينئذٍ إنّما هو مع إمكانه لا مطلقاً في وجوبِها عيناً لا تخييراً كما هو مدَّعاهم حالَ الغيبةِ؛ لأنّهم يُطلقون القولَ باشتراطه في الوجوبِ ويدَّعون الإجماعَ عليه أوّلاً ثمّ يذكرون حالَ الغيبةِ، وينقلون الخلافَ فيه ويختارون جوازها حينئذٍ استحباباً مُعترفين بفقد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عبَّروا عَنِ المسألةِ وصرَّحوا به في الموضعين، فلو كان الإجماعُ المدَّعى لهم شاملاً لِمَوضِعِ النزاع لما ساغ لهم نقلُ الخلافِ بعد ذلك، بل اختيارُ جوازِ فعلها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فإنهم يصرِّحون بأنّه شرطٌ للوجوبِ ثمّ يذكرونَ الحُكم حال الغيبةِ ويجعلون الخلافَ في الاستحباب فلا يعبِّرون عَن حكمِها حينئذٍ بالوجوبِ وهو دليلٌ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الوجوب الذي يجعلونه مشروطاً بالإمام وما في معناه إنّما هو حيث يُمكن، أو في الوجوب العيني حال حضوره، بناءً منهم على أنّ ما عداه لا يُسَمُّونَه واجباً وإن أمكن إطلاقُه عليه مِنْ حيث إنّه واجبٌ 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الوجه يَسقُطُ الاستدلالُ بالإجماعِ في موضع النزاع لوتَمّ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حيث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التفصيلي فيتوقّف على نقل كلام مُدَّعِي الإجماعِ وتحريرِ القول في مُراده، فَلْنَشرعْ في نقله لنُبيِّنَ مطابقتَه لِما ذكرناه في الجواب الإجمالي، ويُعلمَ أنّ ما ذكره المُدَّعِي إنّما هو أخذٌ بأوَّلِ الكلام وإغفالٌ لباقيه فنقول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صَرَّح بدعوى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المرحومُ الشيخُ عليّ عمدتَه في الاستدلالِ</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فأوَّلُهم المحقّقُ أبو القاسم جعفرُ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في </w:t>
      </w:r>
    </w:p>
    <w:p>
      <w:pPr>
        <w:pStyle w:val="BookText"/>
        <w:rPr/>
      </w:pP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العادلُ أو نائبُه شرطُ وجوب الجمعةِ، وهو قولُ علمائنا</w:t>
      </w:r>
      <w:r>
        <w:rPr>
          <w:rStyle w:val="FootnoteAnchor"/>
          <w:rtl w:val="true"/>
        </w:rPr>
        <w:footnoteReference w:id="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استدلَّ عليه بما ذكرناه سابقاً مِنْ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والخلفاء بعده، وبرواية محمّد بن مسلم</w:t>
      </w:r>
      <w:r>
        <w:rPr>
          <w:rStyle w:val="FootnoteAnchor"/>
          <w:rtl w:val="true"/>
        </w:rPr>
        <w:footnoteReference w:id="4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واستدلَّ على اشتراطِ عَدالَتِه بِأنَّ الاجتماعَ مَظنَّةُ النزاعِ ومثارِ الفِتَنِ غالباً، والحكمة موجبة لِحَسْم مادَّةِ الاختلاف، ولن يستمرَّ إلّا مع السلطانِ العادلِ؛ إذِ الفاسقُ يسرعُ إلى بواعثِ طبعه ومَرامي أهْوِيَته لا إلى مَواضع المَصلحةِ</w:t>
      </w:r>
      <w:r>
        <w:rPr>
          <w:rFonts w:eastAsia="Amiri" w:cs="Amiri" w:ascii="Amiri" w:hAnsi="Amiri"/>
          <w:color w:val="111111"/>
          <w:sz w:val="28"/>
          <w:szCs w:val="28"/>
          <w:rtl w:val="true"/>
          <w:lang w:bidi="ar-SA"/>
        </w:rPr>
        <w:t>»</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عليه كما أسلفناه في مُجمل الجواب بأنّ هذا الشرطَ المدَّعى عليه الإجماعُ مع تسليمه إنّما هو حالُ حضورِ الإمامِ، أو في وجوبِها العيني، والذي يوجِبُ ذلك أنّه قال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يكنْ إمامُ الأصلِ ظاهراً سقط الوجوبُ ولم يَسقُطِ الاستحبابُ، وصُلِّيت جمعةً إذا أمكن الاجتماعُ والخطبتان</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استدلَّ عليه برواية الفضل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قومٌ فى قريةٍ صلّوا الجمعةَ أربعَ ركعاتٍ، فإن كان لهم مَنْ يَخْطُبُ جَمَّعوا إذا كانوا خمسة نفرٍ</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وبالروايات السابقة</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كما ترى صريحٌ في جوازِ فِعلِها حالَ الغَيبةِ بدون إذنِ الإمامِ عملاً بإطلاق الروايات وأنّ الإجماعَ الذي ادَّعاء إنّما هو حالة الحضورِ، وإلّا لما أمكنه مخالفتُه؛ وأنّ المرادَ بالوجوبِ العيني؛ بدليل أنه كنّى عن حكمها حالَ الغَيبة بالاستحباب، ومراده </w:t>
      </w:r>
    </w:p>
    <w:p>
      <w:pPr>
        <w:pStyle w:val="BookText"/>
        <w:rPr/>
      </w:pPr>
      <w:r>
        <w:rPr>
          <w:rFonts w:ascii="Amiri" w:hAnsi="Amiri" w:eastAsia="Amiri" w:cs="Amiri"/>
          <w:color w:val="111111"/>
          <w:sz w:val="28"/>
          <w:sz w:val="28"/>
          <w:szCs w:val="28"/>
          <w:rtl w:val="true"/>
          <w:lang w:bidi="ar-SA"/>
        </w:rPr>
        <w:t>كونُه أفضلَ الفردين، كما قررناه سابقاً، وجَعَل ضابطَ شرطِ الوجوبِ حينئذٍ إمكانَ الاجتماعِ والخطبتين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بعد ذلك في موضعٍ آخرَ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السلطانُ جائراً ثمّ نصب عدلاً استحبَّ الاجتماعُ وانعقدتْ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وأطبق الجمهورُ على الوجوبِ؛ لنا أنّا بيّنّا أنّ الإمامَ العادلَ أو مَنْ نصبه شرطُ الوجوب، والتقديرُ عدمُ ذلك الشرطِ؛ أمّا الاستحبابُ فلِما بيّناه من الإذن مع عدمه</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أيضاً صريحٌ في أنّ دعوى الإجماع المذكور إنّما هي في حالة الحضور؛ وأنّ المرادَ الوجوبُ العيني، لا التخييري المُعبَّرُ عنه بالاستحبابِ؛ وأنّ العدلَ كافٍ في إمامةِ الجمعةِ حينئذٍ، إذ لا تصحُّ إرادةُ الإمام العادل بالعدلِ المنصوب؛ لاعترافه بفقد الشرط حينئذٍ وهو حضورُ الإمام العادل أو مَنْ نصبه؛ ولأنّ الصلاة معه حينئذٍ تكون واجبةً، إذ لا فرقَ بَيْنَ نصب الجائر له وعدمه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أنّ المراد به مطلق العدل فقيهاً كان أم لا، وأنّ فِعلها حالَ الغيبة بدون إذنه مأذون فيه من جهة الروايات المذكورة وإن لم يكن هناك منصوبٌ مِنَ الإمامِ؛ لاعترافه بفقد الشرط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واضح صريح مِنَ العبارة؛ فكيف يُجْعل دليلاً على موضع النزاع ؟</w:t>
      </w:r>
    </w:p>
    <w:p>
      <w:pPr>
        <w:pStyle w:val="BookText"/>
        <w:rPr/>
      </w:pPr>
      <w:r>
        <w:rPr>
          <w:rFonts w:ascii="Amiri" w:hAnsi="Amiri" w:eastAsia="Amiri" w:cs="Amiri"/>
          <w:color w:val="111111"/>
          <w:sz w:val="28"/>
          <w:sz w:val="28"/>
          <w:szCs w:val="28"/>
          <w:rtl w:val="true"/>
          <w:lang w:bidi="ar-SA"/>
        </w:rPr>
        <w:t>ولكن بقي في الكلام شيءٌ، وهو أن الإمامَ إن كان شرطاً عنده من حيث الأدلّة مِنْ المذكورة، فكيف يَستَدِلُّ بإطلاقِ النصوصِ أو بعمومِها على الجواز بدونِ الشرط ؟ إذ ليس في تلك الأدلّة إشعارٌ بتقييد الشرطِ بحال حضوره، كما لا إشعار لتلك النصوص بأنّ الجواز بدون حضوره أو نائبه مقصورٌ على تعذُّره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التحقيقُ أنّ تلك الأدلّةَ لا تُوصِلُ إلى المطلوب مِنَ الاشتراط كما قرّرناه، والنصوص الدالّةُ على شرعيَّتِها بل وجوبها مطلقاً غيرُ مقيَّدَةٍ بحال الغَيبةِ، فلا وجه لتقييدها</w:t>
      </w:r>
      <w:r>
        <w:rPr>
          <w:rFonts w:eastAsia="Amiri" w:cs="Amiri" w:ascii="Amiri" w:hAnsi="Amiri"/>
          <w:color w:val="111111"/>
          <w:sz w:val="28"/>
          <w:szCs w:val="28"/>
          <w:rtl w:val="true"/>
          <w:lang w:bidi="ar-SA"/>
        </w:rPr>
        <w:t xml:space="preserve">. </w:t>
      </w:r>
      <w:bookmarkStart w:id="261" w:name="pg10113_92044"/>
    </w:p>
    <w:p>
      <w:pPr>
        <w:pStyle w:val="BookText"/>
        <w:rPr/>
      </w:pPr>
      <w:bookmarkEnd w:id="261"/>
      <w:r>
        <w:rPr>
          <w:rFonts w:ascii="Amiri" w:hAnsi="Amiri" w:eastAsia="Amiri" w:cs="Amiri"/>
          <w:color w:val="111111"/>
          <w:sz w:val="28"/>
          <w:sz w:val="28"/>
          <w:szCs w:val="28"/>
          <w:rtl w:val="true"/>
          <w:lang w:bidi="ar-SA"/>
        </w:rPr>
        <w:t>وبقي استدلالُه على اشتراط كونه عادلاً بما ذكره مِنْ أَنْ مادَّةَ الاختلافِ لا تَنْحَسِمُ إلّا به، إلى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ما لا يخفى مِنْ أنّ الاجتماع على هذه العبادة المخصوصة ونظائرها لا يتوقّف على مثل ما ذَكر، ضرورةَ تحقّقِ هذا الاجتماعِ بل ما هو أعظمُ منه في جميعِ الأوقاتِ خصوصاً بمنىً وعرفات وغيرِهما مِنْ مَجامع العبادات، ولم يحصل شيءٌ مِنْ تلك المحذورات، كما يظهر بأدنى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الجَماعةُ في الصلاة اليوميَّةِ مشروعةٌ مندوبٌ إليها، وإن عظم الجمعُ أضعافاً كثيرةً كَما </w:t>
      </w:r>
      <w:r>
        <w:rPr>
          <w:rStyle w:val="FootnoteAnchor"/>
          <w:rtl w:val="true"/>
        </w:rPr>
        <w:footnoteReference w:id="473"/>
      </w:r>
      <w:r>
        <w:rPr>
          <w:rFonts w:ascii="Amiri" w:hAnsi="Amiri" w:eastAsia="Amiri" w:cs="Amiri"/>
          <w:color w:val="111111"/>
          <w:sz w:val="28"/>
          <w:sz w:val="28"/>
          <w:szCs w:val="28"/>
          <w:rtl w:val="true"/>
          <w:lang w:bidi="ar-SA"/>
        </w:rPr>
        <w:t>يحصلُ به الجمعُ في الجمعة في كثيرٍ من أفرادها، ولا يَعْتبر الشارعُ فيها زيادةً على إمام يصحُّ الاقتداء به، ولا يَنْظُرُ إلى احتمال الفتنةِ المذكورةِ، وكذا في غيرِها، كما لا يخفى</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375351_1067777946"/>
      <w:bookmarkStart w:id="263" w:name="_Toc84"/>
      <w:bookmarkEnd w:id="262"/>
      <w:r>
        <w:rPr>
          <w:rtl w:val="true"/>
        </w:rPr>
        <w:t xml:space="preserve">مناقشة عبارة العلّامة </w:t>
      </w:r>
      <w:r>
        <w:rPr>
          <w:rtl w:val="true"/>
        </w:rPr>
        <w:t>(</w:t>
      </w:r>
      <w:r>
        <w:rPr>
          <w:rtl w:val="true"/>
        </w:rPr>
        <w:t>رحمه اللّه</w:t>
      </w:r>
      <w:r>
        <w:rPr>
          <w:rtl w:val="true"/>
        </w:rPr>
        <w:t>)</w:t>
      </w:r>
      <w:bookmarkEnd w:id="263"/>
    </w:p>
    <w:p>
      <w:pPr>
        <w:pStyle w:val="BookText"/>
        <w:rPr/>
      </w:pPr>
      <w:r>
        <w:rPr>
          <w:rFonts w:ascii="Amiri" w:hAnsi="Amiri" w:eastAsia="Amiri" w:cs="Amiri"/>
          <w:color w:val="111111"/>
          <w:sz w:val="28"/>
          <w:sz w:val="28"/>
          <w:szCs w:val="28"/>
          <w:rtl w:val="true"/>
          <w:lang w:bidi="ar-SA"/>
        </w:rPr>
        <w:t xml:space="preserve">والكلامُ على عبارات العلّامة قريبٌ مِنْ ذلك؛ فإنّه 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واجبةٌ بالنصّ والإجماعِ</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ووجوبُها على الأعيان</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وجوبِ الجمعةِ السلطانُ أو نائبُه عند علمائنا أجمع، واستدلَّ عليه بمثلِ دليل المعتبر من غير تغييرٍ</w:t>
      </w:r>
      <w:r>
        <w:rPr>
          <w:rStyle w:val="FootnoteAnchor"/>
          <w:rtl w:val="true"/>
        </w:rPr>
        <w:footnoteReference w:id="476"/>
      </w:r>
      <w:r>
        <w:rPr>
          <w:rFonts w:ascii="Amiri" w:hAnsi="Amiri" w:eastAsia="Amiri" w:cs="Amiri"/>
          <w:color w:val="111111"/>
          <w:sz w:val="28"/>
          <w:sz w:val="28"/>
          <w:szCs w:val="28"/>
          <w:rtl w:val="true"/>
          <w:lang w:bidi="ar-SA"/>
        </w:rPr>
        <w:t>، وظاهر متن هذا الكلام وسياقُه</w:t>
      </w:r>
      <w:r>
        <w:rPr>
          <w:rStyle w:val="FootnoteAnchor"/>
          <w:rtl w:val="true"/>
        </w:rPr>
        <w:footnoteReference w:id="477"/>
      </w:r>
      <w:r>
        <w:rPr>
          <w:rFonts w:ascii="Amiri" w:hAnsi="Amiri" w:eastAsia="Amiri" w:cs="Amiri"/>
          <w:color w:val="111111"/>
          <w:sz w:val="28"/>
          <w:sz w:val="28"/>
          <w:szCs w:val="28"/>
          <w:rtl w:val="true"/>
          <w:lang w:bidi="ar-SA"/>
        </w:rPr>
        <w:t>صريحان في أنّ الوجوبَ المدَّعى شرطيَّةُ الإمامِ فيه هو العيني حالَ حضورِه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بعد ذلك</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لِلْفُقهاء المؤمنينَ حالَ الغَيبة والتمكُّنِ مِنَ الاجتماع والخُطبتين صلاة الجمعة ؟ أطبقَ علماؤنا على عدمِ الوجوبِ؛ لانتفاءِ الشرطِ، وهو ظهورُ الإذن مِنَ الإمام، واختَلَفوا في استحبابِ إقامةِ الجمعةِ، فالمشهورُ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عليه بالأخبار المذكورة</w:t>
      </w:r>
      <w:r>
        <w:rPr>
          <w:rStyle w:val="FootnoteAnchor"/>
          <w:rtl w:val="true"/>
        </w:rPr>
        <w:footnoteReference w:id="478"/>
      </w:r>
      <w:r>
        <w:rPr>
          <w:rFonts w:ascii="Amiri" w:hAnsi="Amiri" w:eastAsia="Amiri" w:cs="Amiri"/>
          <w:color w:val="111111"/>
          <w:sz w:val="28"/>
          <w:sz w:val="28"/>
          <w:szCs w:val="28"/>
          <w:rtl w:val="true"/>
          <w:lang w:bidi="ar-SA"/>
        </w:rPr>
        <w:t>كعبارة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كما ترى صريحٌ في أن الإجماع المدَّعى على الوجوب إنما هو على العيني حالةَ الحضورِ؛ لأنّه جَعَلَ فِعلَها حالَ الغيبةِ مستحبّاً، وعنَى به ما ذكرناه مِنَ الواجب التخييري إذا كان بعضُ أفراده أفضلَ مِنْ بعضٍ، وجَعَلَ المشهورَ استحبابَ فِعلها حينئذٍ بدون إذن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بذلك أنّ دعوى الإجماعِ ليستْ على حالةِ الغيبةِ قطعاً، وإنّما هي مُختصَّةٌ بحالة الحضور على الوجوب العيني، وأنّهم لا يُسمُّون حكمَها حالةَ الغيبةِ وجوباً أصلاً، بل بالغ العلّامةُ فادَّعى الإجماعَ على عدمِ الوجوبِ حينئذٍ وإن أمكن تسميتُه وجوباً كما قرّرناه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 مِنْ ذلك دَلالةً في العبارة اعترافُه بفقد الشرط، ورتَّبَ عليه عدمَ الوجوب ثم حَكَم بالاستحباب، فلو كان الإمامُ أو مَنْ نَصَبَه شرطاً مُطلقاً لما أمكنه الحكمُ باستحبابها حينئذٍ مع اعترافِه بفقدِ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ظهوراً بيّناً أنّ الفقيهَ ليس بشرط أيضاً عنده وإن مثَّل به وإِلّا لَزِمَ القولُ بالوجوب إن تحقّق معه الشرطُ، وإلغاؤه رأساً إن لم يحصل كمالا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 عبارة التذكرةِ عبارتُه في النهايةِ </w:t>
      </w:r>
      <w:r>
        <w:rPr>
          <w:rStyle w:val="FootnoteAnchor"/>
          <w:rtl w:val="true"/>
        </w:rPr>
        <w:footnoteReference w:id="479"/>
      </w:r>
      <w:r>
        <w:rPr>
          <w:rFonts w:ascii="Amiri" w:hAnsi="Amiri" w:eastAsia="Amiri" w:cs="Amiri"/>
          <w:color w:val="111111"/>
          <w:sz w:val="28"/>
          <w:sz w:val="28"/>
          <w:szCs w:val="28"/>
          <w:rtl w:val="true"/>
          <w:lang w:bidi="ar-SA"/>
        </w:rPr>
        <w:t>، فلا وَجْهَ لِذكرِها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بقي في عبارته فيهما أنّه جَعَلَ مَوردَ الخلافِ حالَ الغيبةِ في فعل الفقهاء للصلاة لا مطلقَ المصلّين، كما فعله في المعتبر، وسيأتي أنّ التعبير بذلك لا يفيدُ الحصرَ لفظاً ودليلاً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التذكرة بعد ذلك</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السلطان جائراً ثمّ نصب عدلاً استُحِبَّ الاجتماعُ وانعقدتْ جمعةً على الأقوى، ولا تجبُ؛ لفواتِ الشرطِ وهو الإمامُ أو مَنْ،نصبه وأطبق الجمهورُ على الوجوب</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والكلام في هذه العبارة كالكلام في عبارة المعتبر، فإنّها قريبة منها، ودالّةٌ بإطلاقها على الاجتزاء بمُطْلَقِ العدل وإن لم يكن فقيهاً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أجودُ مِنَ العبارة السابقة ومؤيّدَةُ لكون ذكر الفقهاء وقع سابقاً على وجه المثال لا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من القول بِتَمَنِّي الإجماع على اشتراط الإمام في الصلاة مطلقاً في موضع النزاع أنْ لا يخصّ بدليل الأخبار ولا بالوجوب العيني؛ لأنّ الفقية إن كان مأذوناً بحيثُ يتحقّق معه الشرطُ لَزِمَ كونُ الوجوب على حد الوجوبِ الأوّل، وإلّا فما الذي أوجب الفرق ؟ وإن لم يكن قائماً بوظيفة شرطيّة الإمام لم تكن الصلاة معه صحيحةً؛ لفقد شرط الصحّة، كما لا تصحّ الصلاة لفقد غيره من الشروط المعتبرة فيها مِنَ الجماعةِ والعددِ والخطبتين وغيرها؛ لأنّ قاعدة الشرط تقتضي عدم مشروطه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هذا الإشكال ينبغى أن لا يُجعل تعبيره بالفقهاء سابقاً قيداً ولا شرطاً للجواز مضافاً إلى أنّها لا تدلُّ على نفى الجواز عمَّنْ عداهم إلا بالمفهوم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مع ذلك كونُ فائدة التخصيص بالفقهاء خصوصيَّة الردّ على ابن إدريس المانعِ مِنْ فعلها حال الغيبة استدلالاً بفقد الشرط</w:t>
      </w:r>
      <w:r>
        <w:rPr>
          <w:rStyle w:val="FootnoteAnchor"/>
          <w:rtl w:val="true"/>
        </w:rPr>
        <w:footnoteReference w:id="481"/>
      </w:r>
      <w:r>
        <w:rPr>
          <w:rFonts w:ascii="Amiri" w:hAnsi="Amiri" w:eastAsia="Amiri" w:cs="Amiri"/>
          <w:color w:val="111111"/>
          <w:sz w:val="28"/>
          <w:sz w:val="28"/>
          <w:szCs w:val="28"/>
          <w:rtl w:val="true"/>
          <w:lang w:bidi="ar-SA"/>
        </w:rPr>
        <w:t xml:space="preserve">، فنبه بذكر الفقهاء على منع كون الشرط مفقوداً مطلقاً حينئذٍ، بحيث ينسد باب فعلها في حالِ الغيبة كما زعمه المانع، فإنّ الفقهاء مأذونونَ مِنْ قِبَلِ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العموم، فيتحقَّق الشرط المدّعى على تقدير تسليمه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هذا المعنى أشار العلّامة في المختلفِ حيث قال بعد حكاية المنع عن ابن إدريس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والأقربُ الجواز</w:t>
      </w:r>
      <w:r>
        <w:rPr>
          <w:rFonts w:eastAsia="Amiri" w:cs="Amiri" w:ascii="Amiri" w:hAnsi="Amiri"/>
          <w:color w:val="111111"/>
          <w:sz w:val="28"/>
          <w:szCs w:val="28"/>
          <w:rtl w:val="true"/>
          <w:lang w:bidi="ar-SA"/>
        </w:rPr>
        <w:t>»</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بعموم الآية والأخبار، ثم حكى حجَّةَ ابن إدريس على المنعِ بأنّ شرط انعقادِ الجمعة الإمامُ أو مَنْ نصبه الإمامُ إجماعاً</w:t>
      </w:r>
      <w:r>
        <w:rPr>
          <w:rStyle w:val="FootnoteAnchor"/>
          <w:rtl w:val="true"/>
        </w:rPr>
        <w:footnoteReference w:id="483"/>
      </w:r>
      <w:r>
        <w:rPr>
          <w:rFonts w:ascii="IRNazanin" w:hAnsi="IRNazanin" w:eastAsia="IRNazanin"/>
          <w:color w:val="111111"/>
          <w:sz w:val="28"/>
          <w:sz w:val="28"/>
          <w:szCs w:val="28"/>
          <w:rtl w:val="true"/>
          <w:lang w:bidi="fa-IR"/>
        </w:rPr>
        <w:t xml:space="preserve">، </w:t>
      </w:r>
      <w:bookmarkStart w:id="264" w:name="pg10113_92047"/>
    </w:p>
    <w:p>
      <w:pPr>
        <w:pStyle w:val="BookText"/>
        <w:rPr/>
      </w:pPr>
      <w:bookmarkEnd w:id="264"/>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بمنع الإجماع على خلافِ صورة النزاع، وأيضاً فإنا نقول بموجبه؛ لأنّ الفقية المأمونَ منصوبٌ مِنْ قِبَلِ الإمام</w:t>
      </w:r>
      <w:r>
        <w:rPr>
          <w:rStyle w:val="FootnoteAnchor"/>
          <w:rtl w:val="true"/>
        </w:rPr>
        <w:footnoteReference w:id="484"/>
      </w:r>
      <w:r>
        <w:rPr>
          <w:rFonts w:ascii="IRNazanin" w:hAnsi="IRNazanin" w:eastAsia="IRNazanin"/>
          <w:color w:val="111111"/>
          <w:sz w:val="28"/>
          <w:sz w:val="28"/>
          <w:szCs w:val="28"/>
          <w:rtl w:val="true"/>
          <w:lang w:bidi="fa-IR"/>
        </w:rPr>
        <w:t>، 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وأنت إذا تأمّلت كلامه وجدته قادحاً في الإجماع المدعى أولاً، وعلى تقدير تسليمه لا يلتزِمُ بسدّ باب فعلها حالَ الغيبة كما زعم ابنُ إدريس؛ لأنّ الفقية منصوبٌ مِنْ قِبل الإمام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يظهر أنّ ذِكْرَ الفقيه لم يقع لبيان الاشتراط وانحصار المشروعيَّةِ فيه، ويؤيّده ما أشرنا إليه مِنْ اعترافه حينئذٍ بفقد الشرط، ولهذا رتَّبَ عليه الحكم بعدم الوجوب، فكيف يُجْمَعُ بين الكلامين باشتراط الفقيه الموجب للوجوب الذي هو منفي عنده بالإجماع الذي ادعاه ؟ هذا على تقدير حمل الفقيه على معناه الخاص وهو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حُمِلَ على معناه العام المتبادِرِ مِنْ معناه عرفاً بل شرعاً في كثير من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بينوه في باب الوقف والوصيّة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انسدَّ عنا بابُ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كلامه في المختلفِ الواقع بطريق الردّ على ابن إدريس لا يحتمل إلا معنى الفقيه الخاص ليكون نائباً عَنِ الإمام، ويتحقق به بطلانُ القول بعدم شرعيَّتها حالَ الغيبة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كلام التذكرة والنهاية فلا يتعيّن لذلك؛ لعدم المقتضي له</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375353_1067777946"/>
      <w:bookmarkStart w:id="266" w:name="_Toc85"/>
      <w:bookmarkEnd w:id="265"/>
      <w:r>
        <w:rPr>
          <w:rtl w:val="true"/>
        </w:rPr>
        <w:t xml:space="preserve">مناقشة عبارة الشهيد الأوّل </w:t>
      </w:r>
      <w:r>
        <w:rPr>
          <w:rtl w:val="true"/>
        </w:rPr>
        <w:t>(</w:t>
      </w:r>
      <w:r>
        <w:rPr>
          <w:rtl w:val="true"/>
        </w:rPr>
        <w:t>رحمه اللّه</w:t>
      </w:r>
      <w:r>
        <w:rPr>
          <w:rtl w:val="true"/>
        </w:rPr>
        <w:t>)</w:t>
      </w:r>
      <w:bookmarkEnd w:id="266"/>
    </w:p>
    <w:p>
      <w:pPr>
        <w:pStyle w:val="BookText"/>
        <w:rPr/>
      </w:pPr>
      <w:r>
        <w:rPr>
          <w:rFonts w:ascii="Amiri" w:hAnsi="Amiri" w:eastAsia="Amiri" w:cs="Amiri"/>
          <w:color w:val="111111"/>
          <w:sz w:val="28"/>
          <w:sz w:val="28"/>
          <w:szCs w:val="28"/>
          <w:rtl w:val="true"/>
          <w:lang w:bidi="ar-SA"/>
        </w:rPr>
        <w:t xml:space="preserve">وأما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 في الذكرى</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شرط وجوبها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العادل وهو الإمام أو نائبه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في ذكر شروط النائب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الإمام له كما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يَأْذَنُ لأئمّة الجُمُعاتِ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 xml:space="preserve">وعليه إطباق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حضورِ الإمام وأمّا مع غيبته كهذا الزمان ففي انعقادها قولان، </w:t>
      </w:r>
    </w:p>
    <w:p>
      <w:pPr>
        <w:pStyle w:val="BookText"/>
        <w:rPr/>
      </w:pPr>
      <w:r>
        <w:rPr>
          <w:rFonts w:ascii="Amiri" w:hAnsi="Amiri" w:eastAsia="Amiri" w:cs="Amiri"/>
          <w:color w:val="111111"/>
          <w:sz w:val="28"/>
          <w:sz w:val="28"/>
          <w:szCs w:val="28"/>
          <w:rtl w:val="true"/>
          <w:lang w:bidi="ar-SA"/>
        </w:rPr>
        <w:t xml:space="preserve">أصحّهما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معظم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إذا أمكن الاجتماعٌ والخطبتان؛ ويُعلّل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الإذن حاصل مِنَ الأئمّة الماضينَ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كالإذنِ مِنْ إمام الوقتِ، وإليه أشارَ الشيخُ في الخلافِ</w:t>
      </w:r>
      <w:r>
        <w:rPr>
          <w:rStyle w:val="FootnoteAnchor"/>
          <w:rtl w:val="true"/>
        </w:rPr>
        <w:footnoteReference w:id="486"/>
      </w:r>
      <w:r>
        <w:rPr>
          <w:rFonts w:ascii="Amiri" w:hAnsi="Amiri" w:eastAsia="Amiri" w:cs="Amiri"/>
          <w:color w:val="111111"/>
          <w:sz w:val="28"/>
          <w:sz w:val="28"/>
          <w:szCs w:val="28"/>
          <w:rtl w:val="true"/>
          <w:lang w:bidi="ar-SA"/>
        </w:rPr>
        <w:t>، ويؤيّده صحيحُ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صلاة الجمعةِ حتّى ظننتُ أنّه يريدُ أنْ نأتيه،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نغدو عليك؟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إِنّما عنيتُ عندكم</w:t>
      </w:r>
      <w:r>
        <w:rPr>
          <w:rFonts w:eastAsia="Amiri" w:cs="Amiri" w:ascii="Amiri" w:hAnsi="Amiri"/>
          <w:color w:val="111111"/>
          <w:sz w:val="28"/>
          <w:szCs w:val="28"/>
          <w:rtl w:val="true"/>
          <w:lang w:bidi="ar-SA"/>
        </w:rPr>
        <w:t>»</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الفقهاء حالَ الغيبةِ يُباشِرونَ ما هو أعظمُ مِنْ ذلك بالإذن كالحكم والإفتاء، فهذا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الإذن إنّما يُعتبر مع إمكانه أمّا مع عدمه فيسقط اعتباره، ويَبْقى عموم القرآنِ والأخبارِ خالياً عَنِ المُعارِضِ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نَقَلَ صحيحة عمر بن يزيد السالفة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وصحيحة منصور بن حازم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يُجَمِّعُ القومُ يومَ الجمعةِ إذا كانوا خمسةً فما زادَ والجمعة واجبة على كلّ أحدٍ لا يُعْذَرُ الناسُ فيها إلا خمسة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إلى آخره،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والتعليلان حسنان، والاعتماد على الثاني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هذه العبارة دلالة واضحة على أنَّ الإجماع المدعى إنّما هو حالة الحضورِ، وأمّا حال الغَيبة فالأكثر على عدم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وتعليله الأوّل يشتمل على أمرين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الإذن حاصل لجميع المكلّفين مِنَ الأثمَّةِ الماضين كما تدلُّ عليه </w:t>
      </w:r>
    </w:p>
    <w:p>
      <w:pPr>
        <w:pStyle w:val="BookText"/>
        <w:rPr/>
      </w:pPr>
      <w:r>
        <w:rPr>
          <w:rFonts w:ascii="Amiri" w:hAnsi="Amiri" w:eastAsia="Amiri" w:cs="Amiri"/>
          <w:color w:val="111111"/>
          <w:sz w:val="28"/>
          <w:sz w:val="28"/>
          <w:szCs w:val="28"/>
          <w:rtl w:val="true"/>
          <w:lang w:bidi="ar-SA"/>
        </w:rPr>
        <w:t>الروايات التي أسلفناها، فهو كالإذنِ مِنْ إمام الوقت، وليس المراد منه أنّ الإذن حاصلٌ للفقيه،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جعله كقول الشيخ في الخلاف، واستدل عليه بإطلاق خبر زرارة، كما حقّقناه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وعبارة الشيخ في الخلاف دالّة على ما قلناه مِنْ أنّ الأئمّة أذنوا بمضمون تلك الأخبار للمؤمنين أن يجتمعوا ويُصلّوا الجمعة كيف أتفق مع الإمكان، كما تُرشد إليه صحيحة منصور بن حازم السابقة وغيرها، وسننقل عبارة الخلاف فيما بعد</w:t>
      </w:r>
      <w:r>
        <w:rPr>
          <w:rStyle w:val="FootnoteAnchor"/>
          <w:rtl w:val="true"/>
        </w:rPr>
        <w:footnoteReference w:id="488"/>
      </w:r>
      <w:r>
        <w:rPr>
          <w:rFonts w:ascii="Amiri" w:hAnsi="Amiri" w:eastAsia="Amiri" w:cs="Amiri"/>
          <w:color w:val="111111"/>
          <w:sz w:val="28"/>
          <w:sz w:val="28"/>
          <w:szCs w:val="28"/>
          <w:rtl w:val="true"/>
          <w:lang w:bidi="ar-SA"/>
        </w:rPr>
        <w:t>إن شاء اللّه تعالى لنبيّنَ دَلالتها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الثاني أنّه عَطَفَ الإذن للفقيه على ما ذكره سابقاً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ولأنّ الفقهاء يُباشرون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يقتضي المغايرة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تقديرِ التنزلِ والاعترافِ بعدم الإذنِ مِنَ الأئمّة لعامّة المؤمنين فهو متحقق للفقهاء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انظروا إلى رجل قد روى حديثنا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فإنّي قد جعلته عليكم حاكماً</w:t>
      </w:r>
      <w:r>
        <w:rPr>
          <w:rFonts w:eastAsia="Amiri" w:cs="Amiri" w:ascii="Amiri" w:hAnsi="Amiri"/>
          <w:color w:val="111111"/>
          <w:sz w:val="28"/>
          <w:szCs w:val="28"/>
          <w:rtl w:val="true"/>
          <w:lang w:bidi="ar-SA"/>
        </w:rPr>
        <w:t>»</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يباشرون بهذا الإذن ما هو أعظمُ مِنَ الجمعة كالحكم بينَ الناسِ وإقامة الحدودِ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وبهذين الأمرين يحصل الردّ على خصوص دعوى ابن إدريس المنع من فعلها؛ نظراً إلى فقد الشرط</w:t>
      </w:r>
      <w:r>
        <w:rPr>
          <w:rStyle w:val="FootnoteAnchor"/>
          <w:rtl w:val="true"/>
        </w:rPr>
        <w:footnoteReference w:id="490"/>
      </w:r>
      <w:r>
        <w:rPr>
          <w:rFonts w:ascii="Amiri" w:hAnsi="Amiri" w:eastAsia="Amiri" w:cs="Amiri"/>
          <w:color w:val="111111"/>
          <w:sz w:val="28"/>
          <w:sz w:val="28"/>
          <w:szCs w:val="28"/>
          <w:rtl w:val="true"/>
          <w:lang w:bidi="ar-SA"/>
        </w:rPr>
        <w:t xml:space="preserve">، بإثبات وجودِ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الأمرين الإذن للجميع والإذن للفقهاء، فلا يتم القولُ بالمنع نظراً إلى فقدِ الشرط</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وتعليله الثاني دالّ على عدم اعتبار الإذنِ حينئذٍ، وأنه إنما يعتبر مع إمكانه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حالة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عموم الأدلّة وعدم وجودِ ما يدلُّ على الاشتراط مطلقاً كما </w:t>
      </w:r>
    </w:p>
    <w:p>
      <w:pPr>
        <w:pStyle w:val="BookText"/>
        <w:rPr/>
      </w:pPr>
      <w:r>
        <w:rPr>
          <w:rFonts w:ascii="Amiri" w:hAnsi="Amiri" w:eastAsia="Amiri" w:cs="Amiri"/>
          <w:color w:val="111111"/>
          <w:sz w:val="28"/>
          <w:sz w:val="28"/>
          <w:szCs w:val="28"/>
          <w:rtl w:val="true"/>
          <w:lang w:bidi="ar-SA"/>
        </w:rPr>
        <w:t>حقّقناه، وجَعَل اعتماده على هذا التعليل واكتفى بإمكان الاجتماع والخطبتين، وهو دالٌّ على ما اخترناه</w:t>
      </w:r>
    </w:p>
    <w:p>
      <w:pPr>
        <w:pStyle w:val="BookText"/>
        <w:rPr/>
      </w:pPr>
      <w:r>
        <w:rPr>
          <w:rFonts w:ascii="Amiri" w:hAnsi="Amiri" w:eastAsia="Amiri" w:cs="Amiri"/>
          <w:color w:val="111111"/>
          <w:sz w:val="28"/>
          <w:sz w:val="28"/>
          <w:szCs w:val="28"/>
          <w:rtl w:val="true"/>
          <w:lang w:bidi="ar-SA"/>
        </w:rPr>
        <w:t xml:space="preserve">فهؤلاء المذكورونَ مِنْ علمائنا جملةُ مَنِ اسْتَنَد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نقلهم الإجماع على اشتراط إذنِ الإمام في شرعيَّة صلاة الجمعة، الشامل لموضع النزاع وهو حالُ الغَيبة، حتّى التجأ بسبب ذلك إلى اشتراط حضور الفقيه، وإلّا لم تُشْرَع</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إذا اعتبرت كلامهم وجدتَه بِمَعْزِلٍ عَنِ الدَلالة على ذلك، بل لا دَلالة له أصلاً، وإنّما دلّ على حالة الحضور خاصَّةً، وأن حالة الغيبة موضعُ النزاع ومحلُّ الخلاف، وأنّ المرجّح عندهم عدم اشتراط الإذن، بل يكفي إمكان الاجتماع مع باقي الشرائط</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وعبارة الشهيدِ في البيان </w:t>
      </w:r>
      <w:r>
        <w:rPr>
          <w:rStyle w:val="FootnoteAnchor"/>
          <w:rtl w:val="true"/>
        </w:rPr>
        <w:footnoteReference w:id="492"/>
      </w:r>
      <w:r>
        <w:rPr>
          <w:rFonts w:ascii="Amiri" w:hAnsi="Amiri" w:eastAsia="Amiri" w:cs="Amiri"/>
          <w:color w:val="111111"/>
          <w:sz w:val="28"/>
          <w:sz w:val="28"/>
          <w:szCs w:val="28"/>
          <w:rtl w:val="true"/>
          <w:lang w:bidi="ar-SA"/>
        </w:rPr>
        <w:t>قريبةٌ مِنْ عبارته في الذكرى</w:t>
      </w:r>
      <w:r>
        <w:rPr>
          <w:rStyle w:val="FootnoteAnchor"/>
          <w:rtl w:val="true"/>
        </w:rPr>
        <w:footnoteReference w:id="493"/>
      </w:r>
      <w:r>
        <w:rPr>
          <w:rFonts w:ascii="Amiri" w:hAnsi="Amiri" w:eastAsia="Amiri" w:cs="Amiri"/>
          <w:color w:val="111111"/>
          <w:sz w:val="28"/>
          <w:sz w:val="28"/>
          <w:szCs w:val="28"/>
          <w:rtl w:val="true"/>
          <w:lang w:bidi="ar-SA"/>
        </w:rPr>
        <w:t>في الدلالة على أنّ الشرط إمكانُ اجتماعِ مَنْ تنعقد بهم الجمعة والخطبتان</w:t>
      </w:r>
      <w:r>
        <w:rPr>
          <w:rStyle w:val="FootnoteAnchor"/>
          <w:rtl w:val="true"/>
        </w:rPr>
        <w:footnoteReference w:id="494"/>
      </w:r>
      <w:r>
        <w:rPr>
          <w:rFonts w:ascii="Amiri" w:hAnsi="Amiri" w:eastAsia="Amiri" w:cs="Amiri"/>
          <w:color w:val="111111"/>
          <w:sz w:val="28"/>
          <w:sz w:val="28"/>
          <w:szCs w:val="28"/>
          <w:rtl w:val="true"/>
          <w:lang w:bidi="ar-SA"/>
        </w:rPr>
        <w:t>، مِنْ غير اعتبار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 في الدروس</w:t>
      </w:r>
      <w:r>
        <w:rPr>
          <w:rStyle w:val="FootnoteAnchor"/>
          <w:rtl w:val="true"/>
        </w:rPr>
        <w:footnoteReference w:id="495"/>
      </w:r>
      <w:r>
        <w:rPr>
          <w:rFonts w:ascii="Amiri" w:hAnsi="Amiri" w:eastAsia="Amiri" w:cs="Amiri"/>
          <w:color w:val="111111"/>
          <w:sz w:val="28"/>
          <w:sz w:val="28"/>
          <w:szCs w:val="28"/>
          <w:rtl w:val="true"/>
          <w:lang w:bidi="ar-SA"/>
        </w:rPr>
        <w:t>واللمعة</w:t>
      </w:r>
      <w:r>
        <w:rPr>
          <w:rStyle w:val="FootnoteAnchor"/>
          <w:rtl w:val="true"/>
        </w:rPr>
        <w:footnoteReference w:id="496"/>
      </w:r>
      <w:r>
        <w:rPr>
          <w:rFonts w:ascii="Amiri" w:hAnsi="Amiri" w:eastAsia="Amiri" w:cs="Amiri"/>
          <w:color w:val="111111"/>
          <w:sz w:val="28"/>
          <w:sz w:val="28"/>
          <w:szCs w:val="28"/>
          <w:rtl w:val="true"/>
          <w:lang w:bidi="ar-SA"/>
        </w:rPr>
        <w:t>قريبٌ مِنْ كلام العلّامة، حيثُ عَبَّر بالفقهاء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كلامَ العلّامة في كثيرٍ مِنْ كُتب</w:t>
      </w:r>
      <w:r>
        <w:rPr>
          <w:rStyle w:val="FootnoteAnchor"/>
          <w:rtl w:val="true"/>
        </w:rPr>
        <w:footnoteReference w:id="497"/>
      </w:r>
      <w:r>
        <w:rPr>
          <w:rFonts w:ascii="Amiri" w:hAnsi="Amiri" w:eastAsia="Amiri" w:cs="Amiri"/>
          <w:color w:val="111111"/>
          <w:sz w:val="28"/>
          <w:sz w:val="28"/>
          <w:szCs w:val="28"/>
          <w:rtl w:val="true"/>
          <w:lang w:bidi="ar-SA"/>
        </w:rPr>
        <w:t>قريبٌ مِنْ كلام المحقّق</w:t>
      </w:r>
      <w:r>
        <w:rPr>
          <w:rStyle w:val="FootnoteAnchor"/>
          <w:rtl w:val="true"/>
        </w:rPr>
        <w:footnoteReference w:id="498"/>
      </w:r>
      <w:r>
        <w:rPr>
          <w:rFonts w:ascii="Amiri" w:hAnsi="Amiri" w:eastAsia="Amiri" w:cs="Amiri"/>
          <w:color w:val="111111"/>
          <w:sz w:val="28"/>
          <w:sz w:val="28"/>
          <w:szCs w:val="28"/>
          <w:rtl w:val="true"/>
          <w:lang w:bidi="ar-SA"/>
        </w:rPr>
        <w:t xml:space="preserve">والشهيد في الذكرى والبيان، وقد عرفت أنّ التعبير </w:t>
      </w:r>
      <w:bookmarkStart w:id="267" w:name="pg10113_92051"/>
    </w:p>
    <w:p>
      <w:pPr>
        <w:pStyle w:val="BookText"/>
        <w:rPr/>
      </w:pPr>
      <w:bookmarkEnd w:id="267"/>
      <w:r>
        <w:rPr>
          <w:rFonts w:ascii="Amiri" w:hAnsi="Amiri" w:eastAsia="Amiri" w:cs="Amiri"/>
          <w:color w:val="111111"/>
          <w:sz w:val="28"/>
          <w:sz w:val="28"/>
          <w:szCs w:val="28"/>
          <w:rtl w:val="true"/>
          <w:lang w:bidi="ar-SA"/>
        </w:rPr>
        <w:t>بالفقهاء لا يدلُّ على حصر الجواز فيه، بل ولا يلائم التعبير بفقد الشرط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وعبارة اللمعة تحتمل معنى آخر، وهو قيامُ الفقيه مقامَ المنصوب على الخصوص في الوجوب العيني، وهذا له وجه وجيه عند مَنْ يعتبرُ في وجوبها إذنَ الإمام أو مَنْ نصبه كما عُلم مِنْ مَذهب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عدا هاتين العبارتينِ مِنْ كلام مَنْ وقفتُ عليه من الأصحاب، بينَ مُصرِّح بعدم اشتراط الفقيه وأنّ الشرط مجرّد العدد المعتبر مع إمام يجوز الاقتداء به، وبينَ مُطلِقٍ للحكم أو معمم للمؤمنين بحيث يتناولُ مَوضِعَ النزاع،</w:t>
      </w:r>
    </w:p>
    <w:p>
      <w:pPr>
        <w:pStyle w:val="Heading4"/>
        <w:numPr>
          <w:ilvl w:val="3"/>
          <w:numId w:val="1"/>
        </w:numPr>
        <w:rPr/>
      </w:pPr>
      <w:bookmarkStart w:id="268" w:name="__RefHeading___Toc375355_1067777946"/>
      <w:bookmarkStart w:id="269" w:name="_Toc86"/>
      <w:bookmarkEnd w:id="268"/>
      <w:r>
        <w:rPr>
          <w:rtl w:val="true"/>
        </w:rPr>
        <w:t xml:space="preserve">قول المفيد </w:t>
      </w:r>
      <w:r>
        <w:rPr>
          <w:rtl w:val="true"/>
        </w:rPr>
        <w:t>(</w:t>
      </w:r>
      <w:r>
        <w:rPr>
          <w:rtl w:val="true"/>
        </w:rPr>
        <w:t>رحمه اللّه</w:t>
      </w:r>
      <w:r>
        <w:rPr>
          <w:rtl w:val="true"/>
        </w:rPr>
        <w:t xml:space="preserve">) </w:t>
      </w:r>
      <w:r>
        <w:rPr>
          <w:rtl w:val="true"/>
        </w:rPr>
        <w:t>في المسألة بوجوبها مطلقاً</w:t>
      </w:r>
      <w:bookmarkEnd w:id="269"/>
    </w:p>
    <w:p>
      <w:pPr>
        <w:pStyle w:val="BookText"/>
        <w:rPr/>
      </w:pPr>
      <w:r>
        <w:rPr>
          <w:rFonts w:ascii="Amiri" w:hAnsi="Amiri" w:eastAsia="Amiri" w:cs="Amiri"/>
          <w:color w:val="111111"/>
          <w:sz w:val="28"/>
          <w:sz w:val="28"/>
          <w:szCs w:val="28"/>
          <w:rtl w:val="true"/>
          <w:lang w:bidi="ar-SA"/>
        </w:rPr>
        <w:t>وسنحكي كلام جماعة من وقفنا على كلامهم مِنَ الأعيان زيادةً في البيان على وجهِ يُبيِّنُ أنّ دعوى الإجماع على اشتراط الفقيه حينئذٍ مجرّد حُسبان، وأنّ هذه الدعوى لو قُلِبَتْ لقام لمدّعيها البرهانُ فَمِمَّنْ عمَّمَ الحكم في عبارتِه شيخُنا المتقدّم المفيد محمد بن النعمان، فإنه قال في كتاب الإشراف في عامّة فرائض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عدد ما يَجِبُ به الاجتماع في صلاة الجمعة</w:t>
      </w:r>
    </w:p>
    <w:p>
      <w:pPr>
        <w:pStyle w:val="BookText"/>
        <w:rPr/>
      </w:pPr>
      <w:r>
        <w:rPr>
          <w:rFonts w:ascii="Amiri" w:hAnsi="Amiri" w:eastAsia="Amiri" w:cs="Amiri"/>
          <w:color w:val="111111"/>
          <w:sz w:val="28"/>
          <w:sz w:val="28"/>
          <w:szCs w:val="28"/>
          <w:rtl w:val="true"/>
          <w:lang w:bidi="ar-SA"/>
        </w:rPr>
        <w:t>عددُ ذلك ثماني عَشْرَةَ 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والبلوغ والتذكير وسلامة العقل وصحّة الجسم والسلامةُ مِنَ العَمى وحضورُ المصر والشهادة للنداء وتخلية السرب ووجود أربعة نفر بما تقدّم ذِكْرُه</w:t>
      </w:r>
      <w:r>
        <w:rPr>
          <w:rStyle w:val="FootnoteAnchor"/>
          <w:rtl w:val="true"/>
        </w:rPr>
        <w:footnoteReference w:id="499"/>
      </w:r>
      <w:r>
        <w:rPr>
          <w:rFonts w:ascii="Amiri" w:hAnsi="Amiri" w:eastAsia="Amiri" w:cs="Amiri"/>
          <w:color w:val="111111"/>
          <w:sz w:val="28"/>
          <w:sz w:val="28"/>
          <w:szCs w:val="28"/>
          <w:rtl w:val="true"/>
          <w:lang w:bidi="ar-SA"/>
        </w:rPr>
        <w:t>مِنْ هذه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ووجود خامس يَوْتُهم، له صفات يختصّ بها على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الإيمان، والطهارة في المولد مِنَ السفاح والسلامة مِنْ ثلاثة أدواء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البرص والجذام والمعرَّة بالحدودِ المشينة لِمَنْ أُقيمت عليه في الإسلام، والمعرفة بفقه الصلاة، والإفصاح بالخطبة والقرآن وإقامة فرض الصلاة في وقتها مِنْ غَيرِ تقديمٍ ولا تأخير عنه بحالٍ، والخطبةُ بما يَصدُقُ فيه مِنَ الكلامِ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اجتمعت هذه الثماني عَشرةَ خَصلةٌ وجب الاجتماع في الظهر يومَ الجمعةِ </w:t>
      </w:r>
    </w:p>
    <w:p>
      <w:pPr>
        <w:pStyle w:val="BookText"/>
        <w:rPr/>
      </w:pPr>
      <w:r>
        <w:rPr>
          <w:rFonts w:ascii="Amiri" w:hAnsi="Amiri" w:eastAsia="Amiri" w:cs="Amiri"/>
          <w:color w:val="111111"/>
          <w:sz w:val="28"/>
          <w:sz w:val="28"/>
          <w:szCs w:val="28"/>
          <w:rtl w:val="true"/>
          <w:lang w:bidi="ar-SA"/>
        </w:rPr>
        <w:t>على ما ذكرناه، وكان فرضُها على النصفِ مِنْ فرضِ الظهر للحاضر في سائر الأيّام</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المقصود من عبارته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صريحٌ في أنّ المعتبر في إمام الجمعةِ هو المعتبر في إمام الجماعة عنده على تسهيل في الشرائط أيضاً؛ فإنه لم يعتبر فيه العدالة الظاهرة كما اعتبره المتأخّرون</w:t>
      </w:r>
      <w:r>
        <w:rPr>
          <w:rStyle w:val="FootnoteAnchor"/>
          <w:rtl w:val="true"/>
        </w:rPr>
        <w:footnoteReference w:id="501"/>
      </w:r>
      <w:r>
        <w:rPr>
          <w:rFonts w:ascii="Amiri" w:hAnsi="Amiri" w:eastAsia="Amiri" w:cs="Amiri"/>
          <w:color w:val="111111"/>
          <w:sz w:val="28"/>
          <w:sz w:val="28"/>
          <w:szCs w:val="28"/>
          <w:rtl w:val="true"/>
          <w:lang w:bidi="ar-SA"/>
        </w:rPr>
        <w:t>، بل اكتفى بظاهر الإيمان الكافي في الحكم بالعدالة حيث لا يظهر لها مخالف كما ذهب إليه جَماعةٌ مِن علمائنا المتقدّمين</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ودلّت أيضاً على أنّ إذن الإمام ليس بشرط مطلقاً، خلاف ما ادّعاه القومُ المذكورون، وأكّد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اجتمعت هذه الثماني عشرة خصلة وجب الاجتماع في الظهر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أيضاً كونُ الوجوب متعيّناً مطلقاً، لأنّ ذلك هو ظاهرُ إطلاق الوجوب، ولأنّه هو المراد في بعض الأحوالِ وهو حضورُ الإمام أو مَنْ نصبه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يفرِّقُ في كلامه بين الأزمانِ مطلقاً، بل جَعَلَ الشرط متَّحِداً فيها، فاستعماله فى الأمرين بغير قرينةٍ، وإثباتُ الفرق بين الأزمان مع إطلاق لفظه غير 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عقّب ذلك بقوله في الكتاب المذكور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عددِ مَنْ يَجْتَمِعُ في الجمعةِ وعَدَدُهم خمسة نفرٍ في عددِ الإمام والشاهِدَينِ والمشهود عليه والمُتولي لإقامة الحدود</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bookmarkStart w:id="270" w:name="pg10113_92053"/>
    </w:p>
    <w:p>
      <w:pPr>
        <w:pStyle w:val="BookText"/>
        <w:rPr/>
      </w:pPr>
      <w:bookmarkEnd w:id="270"/>
      <w:r>
        <w:rPr>
          <w:rFonts w:ascii="Amiri" w:hAnsi="Amiri" w:eastAsia="Amiri" w:cs="Amiri"/>
          <w:color w:val="111111"/>
          <w:sz w:val="28"/>
          <w:sz w:val="28"/>
          <w:szCs w:val="28"/>
          <w:rtl w:val="true"/>
          <w:lang w:bidi="ar-SA"/>
        </w:rPr>
        <w:t>فدلّ كلامه هنا على أن الإمام ليس بشرط، وأن المعتبر حضورُ قومٍ بعدد المذكورين لا عينهم</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375357_1067777946"/>
      <w:bookmarkStart w:id="272" w:name="_Toc87"/>
      <w:bookmarkEnd w:id="271"/>
      <w:r>
        <w:rPr>
          <w:rtl w:val="true"/>
        </w:rPr>
        <w:t xml:space="preserve">قول الصدوق </w:t>
      </w:r>
      <w:r>
        <w:rPr>
          <w:rtl w:val="true"/>
        </w:rPr>
        <w:t>(</w:t>
      </w:r>
      <w:r>
        <w:rPr>
          <w:rtl w:val="true"/>
        </w:rPr>
        <w:t>رحمه اللّه</w:t>
      </w:r>
      <w:r>
        <w:rPr>
          <w:rtl w:val="true"/>
        </w:rPr>
        <w:t xml:space="preserve">) </w:t>
      </w:r>
      <w:r>
        <w:rPr>
          <w:rtl w:val="true"/>
        </w:rPr>
        <w:t>بوجوبها مطلقاً</w:t>
      </w:r>
      <w:bookmarkEnd w:id="272"/>
    </w:p>
    <w:p>
      <w:pPr>
        <w:pStyle w:val="BookText"/>
        <w:rPr/>
      </w:pPr>
      <w:r>
        <w:rPr>
          <w:rFonts w:ascii="Amiri" w:hAnsi="Amiri" w:eastAsia="Amiri" w:cs="Amiri"/>
          <w:color w:val="111111"/>
          <w:sz w:val="28"/>
          <w:sz w:val="28"/>
          <w:szCs w:val="28"/>
          <w:rtl w:val="true"/>
          <w:lang w:bidi="ar-SA"/>
        </w:rPr>
        <w:t xml:space="preserve">وقريب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شيخه الصدوق أبي جعفر محمد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قال في كتابه المقنع في باب 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صلّيت الظهر مع الإمام بخطبة صليت ركعتين، وإن صلَّيتَ بغير خُطبةٍ صلّيتها أربعاً</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فرض اللّه من الجمعة إلى الجمعة خمساً وثلاثين صلاةً، منها صلاةٌ واحدةٌ فرضها اللّه في جماعة وهي الجمعة ووضعها عَنْ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الصغير والكبير والمجنون والمسافر والعبد والمرأة والمريض والأعمى ومَن كان على رأس فرسخين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صلّاها وحده فليصلّها أربعاً كصلاة الظهر في سائر الأيّام</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المقصودُ من عبارته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ودَلالتها على المرادِ واضحةً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صليت الظهر مع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المراد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يُطلق في مقامِ الاقتداء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يُقتَدَى به في الصلاةِ، أعمُّ مِنْ كونه السلطان العادل وغيره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العبارة خلاصة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موثقة سَماعةً حيث سأله عَنِ الصلاةِ يومَ الجمعة،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مع الإمام فركعتان، وأمّا مَنْ صلّى وحده فهي أربع ركعات بمنزلة الظهر</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 يعنى إذا كان إمامٌ يَخْطُبُ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إمام يخطب فهي أربع ركعات وإن صلوا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الحديث</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bookmarkStart w:id="273" w:name="pg10113_92054"/>
    </w:p>
    <w:p>
      <w:pPr>
        <w:pStyle w:val="BookText"/>
        <w:rPr/>
      </w:pPr>
      <w:bookmarkEnd w:id="273"/>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طريقته فى هذا الكتاب أن يَذكر متونَ الأحاديث مجرّدةً عن الأسانيد لا يُغيّرها غالباً، وأيضاً فلا يُمكن حمله على السلطانِ مِنْ وجه آخر، وهو أنه ليس بشرط بإجماع المسلمين؛ فإنّ الشرط عند القائل به هو أو مَنْ نصبه، ولا شك أنّ منصوبه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تَسْقُطُ عَنْ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وعدَّهم، وهو مدلول رواية زرارة السابقة </w:t>
      </w:r>
      <w:r>
        <w:rPr>
          <w:rStyle w:val="FootnoteAnchor"/>
          <w:rtl w:val="true"/>
        </w:rPr>
        <w:footnoteReference w:id="508"/>
      </w:r>
      <w:r>
        <w:rPr>
          <w:rFonts w:ascii="Amiri" w:hAnsi="Amiri" w:eastAsia="Amiri" w:cs="Amiri"/>
          <w:color w:val="111111"/>
          <w:sz w:val="28"/>
          <w:sz w:val="28"/>
          <w:szCs w:val="28"/>
          <w:rtl w:val="true"/>
          <w:lang w:bidi="ar-SA"/>
        </w:rPr>
        <w:t>الدالّة على المطلوب، فإن مفهومها عدم سقوطها عَنْ غيرِهم فيتناولُ مَوضِعَ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صلاها وحده فليصلها أربعاً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عديل قوله سابقاً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صلّيت الظهر مع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أنّ مَنْ صلّاها في جماعة مطلقاً يصلّيها اثنتين كما تقدم، ولا تعرّض لجميع العبارة باشتراط السلطان العادلِ ولا ما في معناه مطلقاً</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375359_1067777946"/>
      <w:bookmarkStart w:id="275" w:name="_Toc88"/>
      <w:bookmarkEnd w:id="274"/>
      <w:r>
        <w:rPr>
          <w:rtl w:val="true"/>
        </w:rPr>
        <w:t xml:space="preserve">قول أبي الصلاح الحلبي </w:t>
      </w:r>
      <w:r>
        <w:rPr>
          <w:rtl w:val="true"/>
        </w:rPr>
        <w:t>(</w:t>
      </w:r>
      <w:r>
        <w:rPr>
          <w:rtl w:val="true"/>
        </w:rPr>
        <w:t>رحمه اللّه</w:t>
      </w:r>
      <w:r>
        <w:rPr>
          <w:rtl w:val="true"/>
        </w:rPr>
        <w:t xml:space="preserve">) </w:t>
      </w:r>
      <w:r>
        <w:rPr>
          <w:rtl w:val="true"/>
        </w:rPr>
        <w:t>بوجوبها مطلقاً</w:t>
      </w:r>
      <w:bookmarkEnd w:id="275"/>
    </w:p>
    <w:p>
      <w:pPr>
        <w:pStyle w:val="BookText"/>
        <w:rPr/>
      </w:pPr>
      <w:r>
        <w:rPr>
          <w:rFonts w:ascii="Amiri" w:hAnsi="Amiri" w:eastAsia="Amiri" w:cs="Amiri"/>
          <w:color w:val="111111"/>
          <w:sz w:val="28"/>
          <w:sz w:val="28"/>
          <w:szCs w:val="28"/>
          <w:rtl w:val="true"/>
          <w:lang w:bidi="ar-SA"/>
        </w:rPr>
        <w:t>وقال الشيخ أبو الصلاح التقيّ بن نجم الحلبي في كتابه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نتعقد الجمعة إلا بإمامِ المَلَّةِ أو منصوب مِنْ قِبَلِه أو مَنْ تَتَكامَلُ له صفات إمام الجماعة عند تَعذُّرِ الأمرين</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عبارته، وهي صريحة واضحة الدلالة على الاكتفاء عند تعذُّر إذنِ الإمام بصلاة العدد المعتبر مع إمام يجوز الاقتداء به في اليوميّة، وليس في عباراتِ الأصحاب أجلى مِنْ هذه ولا أدلَّ على المطلوب، ولم ينقل في ذلك خلافاً، ومع ذلك فترتيبه الإمام الصالح للجماعة على تعذّر الإمام ومنصوبه ليس شرطاً زائداً عنده على صلاةِ الجماعة؛ لأنه قال في الكتاب المذكور في باب الجماعة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وأولى الناس بها إمامُ المَلَّةِ أو مَنْ يَنْصِبُه، فإن تعذَّرَ الأمران لم تنعقد إلا بإمامٍ عَدْلٍ</w:t>
      </w:r>
      <w:r>
        <w:rPr>
          <w:rStyle w:val="FootnoteAnchor"/>
          <w:rtl w:val="true"/>
        </w:rPr>
        <w:footnoteReference w:id="510"/>
      </w:r>
      <w:r>
        <w:rPr>
          <w:rFonts w:ascii="IRNazanin" w:hAnsi="IRNazanin" w:eastAsia="IRNazanin"/>
          <w:color w:val="111111"/>
          <w:sz w:val="28"/>
          <w:sz w:val="28"/>
          <w:szCs w:val="28"/>
          <w:rtl w:val="true"/>
          <w:lang w:bidi="fa-IR"/>
        </w:rPr>
        <w:t>، إلى آخره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فقد ظهر لك أنّ حكم الجماعةِ عنده في الصلاتين على حدٍّ سواء، ومع ذلك فالوجوب عنده عيني مطلقاً على ما صرح به في كتابه بعد ذلك، فإنّه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تكاملت هذه الشروط انعقدت جمعةً، وانتقل فرضُ الظهرِ مِنْ أربع ركعات إلى ركعتين بعد الخطبة، وتَعيَّن فرضُ الحضور على كلّ رجلٍ بالغ حر سليمٍ مخلَّى السِرْبِ حاضر، بينه وبينها فرسخان فما دونهما، ويَسقُطُ فرضُها عمّن عداه، فإنْ حضرها تعيَّنَ عليه فرضُ الدخول فيها جمعةً</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عبّر بتعيُّن الحضور في الموضعين الدالِّ على الوجوبِ المُضيَّقِ، مِنْ غيرِ فرقٍ بين حالة حضورِ الإمام وعدمه، كما لم يُفرِّقُ في الاجتزاء بالإمام الصالح للجماعة عند عدمِ حضورِ الإمام ونائبه بين حضور الفقيه وغيره، وبهذا يظهرُ خلافُ ما ادعي مِنَ الإجماع على الأمرين مضافاً إلى تأيده بالأدلّة الواضحة عليه كما قَدْ عرفته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غريب ما اتَّفق هنا نقل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البيان عن أبي الصلاح القول بعدم شرعيتها حالَ الغَيبة </w:t>
      </w:r>
      <w:r>
        <w:rPr>
          <w:rStyle w:val="FootnoteAnchor"/>
          <w:rtl w:val="true"/>
        </w:rPr>
        <w:footnoteReference w:id="512"/>
      </w:r>
      <w:r>
        <w:rPr>
          <w:rFonts w:ascii="Amiri" w:hAnsi="Amiri" w:eastAsia="Amiri" w:cs="Amiri"/>
          <w:color w:val="111111"/>
          <w:sz w:val="28"/>
          <w:sz w:val="28"/>
          <w:szCs w:val="28"/>
          <w:rtl w:val="true"/>
          <w:lang w:bidi="ar-SA"/>
        </w:rPr>
        <w:t>كقول سلّار</w:t>
      </w:r>
      <w:r>
        <w:rPr>
          <w:rStyle w:val="FootnoteAnchor"/>
          <w:rtl w:val="true"/>
        </w:rPr>
        <w:footnoteReference w:id="513"/>
      </w:r>
      <w:r>
        <w:rPr>
          <w:rFonts w:ascii="Amiri" w:hAnsi="Amiri" w:eastAsia="Amiri" w:cs="Amiri"/>
          <w:color w:val="111111"/>
          <w:sz w:val="28"/>
          <w:sz w:val="28"/>
          <w:szCs w:val="28"/>
          <w:rtl w:val="true"/>
          <w:lang w:bidi="ar-SA"/>
        </w:rPr>
        <w:t>وابن إدريس</w:t>
      </w:r>
      <w:r>
        <w:rPr>
          <w:rStyle w:val="FootnoteAnchor"/>
          <w:rtl w:val="true"/>
        </w:rPr>
        <w:footnoteReference w:id="514"/>
      </w:r>
      <w:r>
        <w:rPr>
          <w:rFonts w:ascii="Amiri" w:hAnsi="Amiri" w:eastAsia="Amiri" w:cs="Amiri"/>
          <w:color w:val="111111"/>
          <w:sz w:val="28"/>
          <w:sz w:val="28"/>
          <w:szCs w:val="28"/>
          <w:rtl w:val="true"/>
          <w:lang w:bidi="ar-SA"/>
        </w:rPr>
        <w:t>، مع تصريح أبي الصلاح بما ذكرناه وقطعه بالوجوب مطلقاً وجَعْلِه عينيّاً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ذكره اتفق سهواً وإلا فقد نقل هو في شرح الإرشاد عن أبي الصلاح القول بالاستحباب مع جملة القائلين به</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نَقَلَه عنه العلّامة في المختلف</w:t>
      </w:r>
      <w:r>
        <w:rPr>
          <w:rStyle w:val="FootnoteAnchor"/>
          <w:rtl w:val="true"/>
        </w:rPr>
        <w:footnoteReference w:id="516"/>
      </w:r>
      <w:r>
        <w:rPr>
          <w:rFonts w:ascii="Amiri" w:hAnsi="Amiri" w:eastAsia="Amiri" w:cs="Amiri"/>
          <w:color w:val="111111"/>
          <w:sz w:val="28"/>
          <w:sz w:val="28"/>
          <w:szCs w:val="28"/>
          <w:rtl w:val="true"/>
          <w:lang w:bidi="ar-SA"/>
        </w:rPr>
        <w:t>مبتدئاً به حاكياً عبارته التي حكيناها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فنقلُ الشهيد في الشرح المذكور عن أبي الصلاح القول بالاستحباب ليس بصحيحٍ أيضاً لما عرفته من تصريحه بالوجوبِ العَيني</w:t>
      </w:r>
      <w:r>
        <w:rPr>
          <w:rFonts w:eastAsia="Amiri" w:cs="Amiri" w:ascii="Amiri" w:hAnsi="Amiri"/>
          <w:color w:val="111111"/>
          <w:sz w:val="28"/>
          <w:szCs w:val="28"/>
          <w:rtl w:val="true"/>
          <w:lang w:bidi="ar-SA"/>
        </w:rPr>
        <w:t xml:space="preserve">. </w:t>
      </w:r>
      <w:bookmarkStart w:id="276" w:name="pg10113_92056"/>
    </w:p>
    <w:p>
      <w:pPr>
        <w:pStyle w:val="Heading4"/>
        <w:numPr>
          <w:ilvl w:val="3"/>
          <w:numId w:val="1"/>
        </w:numPr>
        <w:rPr/>
      </w:pPr>
      <w:bookmarkStart w:id="277" w:name="__RefHeading___Toc375361_1067777946"/>
      <w:bookmarkStart w:id="278" w:name="_Toc89"/>
      <w:bookmarkEnd w:id="276"/>
      <w:bookmarkEnd w:id="277"/>
      <w:r>
        <w:rPr>
          <w:rtl w:val="true"/>
        </w:rPr>
        <w:t xml:space="preserve">قول القاضي الكراجكي </w:t>
      </w:r>
      <w:r>
        <w:rPr>
          <w:rtl w:val="true"/>
        </w:rPr>
        <w:t>(</w:t>
      </w:r>
      <w:r>
        <w:rPr>
          <w:rtl w:val="true"/>
        </w:rPr>
        <w:t>رحمه اللّه</w:t>
      </w:r>
      <w:r>
        <w:rPr>
          <w:rtl w:val="true"/>
        </w:rPr>
        <w:t xml:space="preserve">) </w:t>
      </w:r>
      <w:r>
        <w:rPr>
          <w:rtl w:val="true"/>
        </w:rPr>
        <w:t>بوجوبها مطلقاً</w:t>
      </w:r>
      <w:bookmarkEnd w:id="278"/>
    </w:p>
    <w:p>
      <w:pPr>
        <w:pStyle w:val="BookText"/>
        <w:rPr/>
      </w:pPr>
      <w:r>
        <w:rPr>
          <w:rFonts w:ascii="Amiri" w:hAnsi="Amiri" w:eastAsia="Amiri" w:cs="Amiri"/>
          <w:color w:val="111111"/>
          <w:sz w:val="28"/>
          <w:sz w:val="28"/>
          <w:szCs w:val="28"/>
          <w:rtl w:val="true"/>
          <w:lang w:bidi="ar-SA"/>
        </w:rPr>
        <w:t xml:space="preserve">وقال القاضي أبو الفتح محمدُ بنُ عليّ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 xml:space="preserve">في كتابه المسمّى بتهذيب المسترشدين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جملةً من أحكامِ الجمعةِ وأنّ العدد المعتبر فيها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حضرتِ العِدّة التي يصحّ أن تنعقد بحضورها الجماعة يوم الجمعة، وكان إمامُهم مرضيّاً مُتَمَكِّناً مِنْ إقامة الصلاة في وقتها وإيرادِ الخطبة على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حاضرين آمنين ذكوراً بالغين كاملي العقول أصحاء، وجبتْ عليهم فريضةُ الجمعة جماعةً، وكان على الإمام أنْ يخطب بهم خطبتين ويصلّي بهم بعدهما ركعتين إلى آخره</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أيضاً مِنَ العباراتِ الصريحة في الاكتفاء للجمعة بإمام مرضيٍّ للجماعة، وهي في عمومها لحالة حضور الإمام وغيبته كعبارة الشيخ المفيد، ودلالتها على الوجوب المتعين أيضاً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عبارةُ التقيّ فدَلالتها كذلك وأزيد، غير أنها مقيّدةٌ بتعذُّر الإمام ومن نصبه كالجماعة عنده كما قد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 بعد أن ذكر فى أول الباب اشتراطها بالسلطان العادل أو مَنْ يأمره</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أن يجتمع المؤمنون في زمان التقية بحيث لا ضرر عليهم فيصلّون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جمعة</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بخطبتين، فإن لم يتمكّنوا من الخطبة صلوا جماعة ظهراً أربع ركعاتٍ</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العبارة أيضاً دالة بعمومها على المطلوب ومُرْشِدَةٌ إلى ما أسلفناه من أنّ شرطيّة السلطان العادل في كلامه وكلام غيره مختصّة بحال حضوره، وهي كعبارة المتأخّرين الذين عبّروا عَنْ حُكمها حينئذٍ الجواز، حيث أرادوا به معناه الأعمّ، ولكن تزيدُ عَن المتأخّرين أنّه لا يجب حمل نفي البأس في كلامه على الوجوب التخييري، كما ذكره بعضُ المتأخّرين </w:t>
      </w:r>
      <w:r>
        <w:rPr>
          <w:rStyle w:val="FootnoteAnchor"/>
          <w:rtl w:val="true"/>
        </w:rPr>
        <w:footnoteReference w:id="522"/>
      </w:r>
      <w:r>
        <w:rPr>
          <w:rFonts w:ascii="Amiri" w:hAnsi="Amiri" w:eastAsia="Amiri" w:cs="Amiri"/>
          <w:color w:val="111111"/>
          <w:sz w:val="28"/>
          <w:sz w:val="28"/>
          <w:szCs w:val="28"/>
          <w:rtl w:val="true"/>
          <w:lang w:bidi="ar-SA"/>
        </w:rPr>
        <w:t>بناءً على ما صرحوا به مِنْ مَذهبهم في ذلك</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الشيخ فلمّا لم يصرخ به ولم يكن في نفي البأس زيادة على نفي التحريم، كان دالاً على الجواز بالمعنى الأعمّ كما قررناه سابقاً ردّاً على سلّار، حيث منع مِنْ فعلها حينئذٍ، وذلك لا ينافي القول بوجوبها على أي وجهِ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مستنده على نفي البأس الأخبار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يَبْعُد إرادته منه الوجوب المتعيّن لدلالة الأدلّة عليه، فيكون كقول غيره مِنَ المتقدّمين والمعاصرين له، بل كقوله في الخلاف، فإنه ظاهر فى الوجوب المتعيّن أيضاً كما ستعرفه</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فحمل المتأخّرين</w:t>
      </w:r>
      <w:r>
        <w:rPr>
          <w:rStyle w:val="FootnoteAnchor"/>
          <w:rtl w:val="true"/>
        </w:rPr>
        <w:footnoteReference w:id="524"/>
      </w:r>
      <w:r>
        <w:rPr>
          <w:rFonts w:ascii="Amiri" w:hAnsi="Amiri" w:eastAsia="Amiri" w:cs="Amiri"/>
          <w:color w:val="111111"/>
          <w:sz w:val="28"/>
          <w:sz w:val="28"/>
          <w:szCs w:val="28"/>
          <w:rtl w:val="true"/>
          <w:lang w:bidi="ar-SA"/>
        </w:rPr>
        <w:t>له على الجواز بمعنى الوجوب التخييري ليوافِقَ مَذهبهم، ويُجعلَ مِن جملة عمل الطائفة غيرُ سديدٍ، بل عكسه 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وقريب من عبارته في المبسوط</w:t>
      </w:r>
      <w:r>
        <w:rPr>
          <w:rStyle w:val="FootnoteAnchor"/>
          <w:rtl w:val="true"/>
        </w:rPr>
        <w:footnoteReference w:id="525"/>
      </w:r>
      <w:r>
        <w:rPr>
          <w:rFonts w:ascii="Amiri" w:hAnsi="Amiri" w:eastAsia="Amiri" w:cs="Amiri"/>
          <w:color w:val="111111"/>
          <w:sz w:val="28"/>
          <w:sz w:val="28"/>
          <w:szCs w:val="28"/>
          <w:rtl w:val="true"/>
          <w:lang w:bidi="ar-SA"/>
        </w:rPr>
        <w:t>عبارتُه في النهاية؛ فإنّه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الاجتماع في صلاة الجمعة فريضة إذا حصلت شرائطه، ومن شرائطه أن يكونَ هناك إمامٌ عادل أو من نصبه الإمامُ للصلاة بالناس</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في آخر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أن يجتمع المؤمنون في زمان التقية بحيث لا ضرر عليهم فيصلُّوا جمعةً بخطبتين، فإنّ لم يتمكنوا من الخطبة جاز لهم أن يصلوا جماعةً، لكنهم يصلّون أربع ركعات</w:t>
      </w:r>
      <w:r>
        <w:rPr>
          <w:rStyle w:val="FootnoteAnchor"/>
          <w:rtl w:val="true"/>
        </w:rPr>
        <w:footnoteReference w:id="527"/>
      </w:r>
      <w:r>
        <w:rPr>
          <w:rFonts w:ascii="IRNazanin" w:hAnsi="IRNazanin" w:eastAsia="IRNazanin"/>
          <w:color w:val="111111"/>
          <w:sz w:val="28"/>
          <w:sz w:val="28"/>
          <w:szCs w:val="28"/>
          <w:rtl w:val="true"/>
          <w:lang w:bidi="fa-IR"/>
        </w:rPr>
        <w:t>، 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فاشتراطه في أوّل الباب حضور الإمام أو نائبه مختصّ بحال،حضوره، كما يُرشد إليه آخرُ كلامه حيث جوّزَ صلاة الجمعة لعامّةِ المؤمنين إذا تمكنوا منها حالَ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كلامه أيضاً أنّ نفي البأس يُراد منه الوجوب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يتمكّنوا الخطبة جاز لهم أن يصلّوا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فإنّ تعليق جواز الظهر على عدم تمكنهم مِنَ الخطبة يُؤذِنُ بعدم جوازها لو تمكّنوا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ونفى البأس لا ينافيه لِما ذكرناه سابقاً، وإنّما عبّر بذلك بناءً على الغالب مِنْ عدم تمكَّن المؤمنين من إقامة الجمعة بأنفسهم بإمام منهم كما قرَّرناه سابقاً</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عبارةُ الشيخ في الخلاف فقريبةٌ مِنْ عبارته في المبسوط والنهاية مع زيادة تصريح بالوجوب حينئذٍ؛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اشترط إذن الإمام أو من نصبه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رَوَيْتُم فيما مضى مِن كُتبكم أنّه يجوز لأهل القرايا والسواد والمؤمنين إذا اجتمع</w:t>
      </w:r>
      <w:r>
        <w:rPr>
          <w:rStyle w:val="FootnoteAnchor"/>
          <w:rtl w:val="true"/>
        </w:rPr>
        <w:footnoteReference w:id="529"/>
      </w:r>
      <w:r>
        <w:rPr>
          <w:rFonts w:ascii="Amiri" w:hAnsi="Amiri" w:eastAsia="Amiri" w:cs="Amiri"/>
          <w:color w:val="111111"/>
          <w:sz w:val="28"/>
          <w:sz w:val="28"/>
          <w:szCs w:val="28"/>
          <w:rtl w:val="true"/>
          <w:lang w:bidi="ar-SA"/>
        </w:rPr>
        <w:t xml:space="preserve">العدد الذي تنعقد بهم أن يصلوا الجمعة ؟ </w:t>
      </w:r>
      <w:bookmarkStart w:id="279" w:name="pg10113_92059"/>
    </w:p>
    <w:p>
      <w:pPr>
        <w:pStyle w:val="BookText"/>
        <w:rPr/>
      </w:pPr>
      <w:bookmarkEnd w:id="279"/>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مأذون فيه مرغب فيه، فجرى مجرى أن يَنصِبَ الإمامُ مَنْ يُصلّي بهم</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هذه العبارة زيادة تصريحٍ عَنِ العبارتين السابقتين بقيام الإذن العامِّ للمكلّفين مقامَ الإذنِ الخاصّ المُوجِبِ لوجوب الصلاة عيناً، وإنّما جُعل ذلك جارياً مجرى إذنِ الإمام؛ نظراً إلى إذنهم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السالفة للمؤمنين في إقامة هذه الصلاة فيكون كنصب إمامٍ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المحكية في الخلاف وما دلّت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الشهيدُ في الذكرى في تعليله الأوّل الذي حكيناه عنه، وبيّنا أنّه اشتمل على تعليلين هذا أحدُهما، وجعل مأخذه إشارة الشيخ 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العجيب هنا نقلُ الشيخ فخرالدين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عن الشيخ في الخلاف القول بالمنع منها كقول سلّار، واقتصارُه في نقل قوله بالجواز على النهاية </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تصريحه في الخلاف بما ذكرناه من الجواز مبالغاً فيه مدعياً الإذنَ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كنصبهم إماماً خاصاً لها الموجب للوجوب المتعيّن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صرَّح به في المبسوط </w:t>
      </w:r>
      <w:r>
        <w:rPr>
          <w:rStyle w:val="FootnoteAnchor"/>
          <w:rtl w:val="true"/>
        </w:rPr>
        <w:footnoteReference w:id="532"/>
      </w:r>
      <w:r>
        <w:rPr>
          <w:rFonts w:ascii="Amiri" w:hAnsi="Amiri" w:eastAsia="Amiri" w:cs="Amiri"/>
          <w:color w:val="111111"/>
          <w:sz w:val="28"/>
          <w:sz w:val="28"/>
          <w:szCs w:val="28"/>
          <w:rtl w:val="true"/>
          <w:lang w:bidi="ar-SA"/>
        </w:rPr>
        <w:t>إلّا أنّ تركه أسهل من نسبة الخلاف إلى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وعبارة الشيخ يحيى بن سعيد في الجامع مثل عبارة الشيخ أبي جعفر في كتبه بنفي البأس عَنِ اجتماع المؤمنين حيث يُمكنهم الخطبة</w:t>
      </w:r>
      <w:r>
        <w:rPr>
          <w:rStyle w:val="FootnoteAnchor"/>
          <w:rtl w:val="true"/>
        </w:rPr>
        <w:footnoteReference w:id="533"/>
      </w:r>
      <w:r>
        <w:rPr>
          <w:rFonts w:ascii="IRNazanin" w:hAnsi="IRNazanin" w:eastAsia="IRNazanin"/>
          <w:color w:val="111111"/>
          <w:sz w:val="28"/>
          <w:sz w:val="28"/>
          <w:szCs w:val="28"/>
          <w:rtl w:val="true"/>
          <w:lang w:bidi="fa-IR"/>
        </w:rPr>
        <w:t>، وقد عرفت مؤدّاه</w:t>
      </w:r>
      <w:r>
        <w:rPr>
          <w:rFonts w:eastAsia="IRNazanin" w:cs="IRNazanin"/>
          <w:color w:val="111111"/>
          <w:sz w:val="28"/>
          <w:szCs w:val="28"/>
          <w:rtl w:val="true"/>
          <w:lang w:bidi="fa-IR"/>
        </w:rPr>
        <w:t>.</w:t>
      </w:r>
    </w:p>
    <w:p>
      <w:pPr>
        <w:pStyle w:val="Heading4"/>
        <w:numPr>
          <w:ilvl w:val="3"/>
          <w:numId w:val="1"/>
        </w:numPr>
        <w:rPr/>
      </w:pPr>
      <w:bookmarkStart w:id="280" w:name="__RefHeading___Toc375363_1067777946"/>
      <w:bookmarkStart w:id="281" w:name="_Toc90"/>
      <w:bookmarkEnd w:id="280"/>
      <w:r>
        <w:rPr>
          <w:rtl w:val="true"/>
        </w:rPr>
        <w:t>أقوال المتأخّرين</w:t>
      </w:r>
      <w:bookmarkEnd w:id="28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عبارة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كالمحقّق أبي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كتبه</w:t>
      </w:r>
      <w:r>
        <w:rPr>
          <w:rStyle w:val="FootnoteAnchor"/>
          <w:rtl w:val="true"/>
        </w:rPr>
        <w:footnoteReference w:id="534"/>
      </w:r>
      <w:r>
        <w:rPr>
          <w:rFonts w:ascii="Amiri" w:hAnsi="Amiri" w:eastAsia="Amiri" w:cs="Amiri"/>
          <w:color w:val="111111"/>
          <w:sz w:val="28"/>
          <w:sz w:val="28"/>
          <w:szCs w:val="28"/>
          <w:rtl w:val="true"/>
          <w:lang w:bidi="ar-SA"/>
        </w:rPr>
        <w:t>، والعلّامة في غير الكتابين السابقين</w:t>
      </w:r>
      <w:r>
        <w:rPr>
          <w:rStyle w:val="FootnoteAnchor"/>
          <w:rtl w:val="true"/>
        </w:rPr>
        <w:footnoteReference w:id="535"/>
      </w:r>
      <w:r>
        <w:rPr>
          <w:rFonts w:ascii="Amiri" w:hAnsi="Amiri" w:eastAsia="Amiri" w:cs="Amiri"/>
          <w:color w:val="111111"/>
          <w:sz w:val="28"/>
          <w:sz w:val="28"/>
          <w:szCs w:val="28"/>
          <w:rtl w:val="true"/>
          <w:lang w:bidi="ar-SA"/>
        </w:rPr>
        <w:t xml:space="preserve">، وسائر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ظاهرة المراد ومتقاربة الدلالة على </w:t>
      </w:r>
    </w:p>
    <w:p>
      <w:pPr>
        <w:pStyle w:val="BookText"/>
        <w:rPr/>
      </w:pPr>
      <w:r>
        <w:rPr>
          <w:rFonts w:ascii="Amiri" w:hAnsi="Amiri" w:eastAsia="Amiri" w:cs="Amiri"/>
          <w:color w:val="111111"/>
          <w:sz w:val="28"/>
          <w:sz w:val="28"/>
          <w:szCs w:val="28"/>
          <w:rtl w:val="true"/>
          <w:lang w:bidi="ar-SA"/>
        </w:rPr>
        <w:t>الجواز أي أيضاً أو الاستحباب مع إمكان الاجتماع والخطبتين مِنْ غير اشتراط أمرٍ آخر ولا وجه لنقلها هنا لاشتهارها ووجودِ كتبها في أيدي الناس، فاقتصرنا على نقل ما يقل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يتوجّه بعد ذلك دعوى مدّعي الإجماع على اشتراط الفقيه مطلقاً أو إذن الإمام مطلقاً ؟ والحال أنّ الخلاف لم يتحقّق فهل هذا إلّا مجازفة لا تليق بهذا المقام الجليل والشريعة المطهرة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حينئذٍ لمتعنّتِ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العبارات مطلقة في تعيين الإمام الذي يصلّي بهم الجمعة، فيمكن حمله على المقيَّد وهو المأذون له عموماً مِنَ الإمام وهو الفقيه؛ لأنّ ذلك إنما يتمُّ حيث يدلُّ دليل على اشتراط إذنه في هذه الحالة، وهو منتفٍ على ما حقّقناه، فإنّه مِنْ غير الإجماع مفقود، ومنه على تقدير تسليمه متخلّفٌ؛ لأنّهم لم يدعوه إلا على حالة الحضور وإمكان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فقد سمعت تصريح كثير بعدم اعتباره مع تعذره صريحاً وآخرين مطلقاً، كما أوضحناه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تَلخَّصَ مِن ذلك أنّ القائل باشتراط حضور الفقيه حال الغيبة إما قليل جداً بالعناية التامّة أو معدوم؛ فإنّ كلاً مِنَ المعبرين المذكورين بالفقهاء ونحوهم قد صرّح بخلاف ذلك في باقي كتبه، فيكونان قائلين بما يوافق الباقين، لو تنزلنا وقلنا بدلالة عبارتهما المذكورة على الاشتراط، مع أنّك قد عرفت بعد دلالتها عليه، بل عدمه إلّا بالمفهوم الضعيف، مع اعترافهما وغيرهما في هذه الحالة بفقد شرط الوجوب الذي هو حضورُ الإمام أو مَنْ نصبه ولولاه لحكموا بالوجوب المعيَّن كما قرَّروه في جواب العامّة الموجبين لها حينئذٍ على ما عرفتَ مِنْ كلام التذكرة في جوابه للمخالفين</w:t>
      </w:r>
      <w:r>
        <w:rPr>
          <w:rStyle w:val="FootnoteAnchor"/>
          <w:rtl w:val="true"/>
        </w:rPr>
        <w:footnoteReference w:id="536"/>
      </w:r>
      <w:r>
        <w:rPr>
          <w:rFonts w:ascii="Amiri" w:hAnsi="Amiri" w:eastAsia="Amiri" w:cs="Amiri"/>
          <w:color w:val="111111"/>
          <w:sz w:val="28"/>
          <w:sz w:val="28"/>
          <w:szCs w:val="28"/>
          <w:rtl w:val="true"/>
          <w:lang w:bidi="ar-SA"/>
        </w:rPr>
        <w:t xml:space="preserve">، فكيف يجتمع مع هذا اشتراط حضور الفقيه؛ لأنه إن كان منصوباً من الإمام على وجه يتأدّى به هذا الشرط فاللازم القولُ بالوجوب المتعيّن؛ لوجود الشرط الذي هو مناطُ الوجوب، وقد جُعل فقده حجَّةً على المخالف؛ وإنْ لم يَحصُلْ به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أنّ </w:t>
      </w:r>
      <w:bookmarkStart w:id="282" w:name="pg10113_92061"/>
    </w:p>
    <w:p>
      <w:pPr>
        <w:pStyle w:val="BookText"/>
        <w:rPr/>
      </w:pPr>
      <w:bookmarkEnd w:id="282"/>
      <w:r>
        <w:rPr>
          <w:rFonts w:ascii="Amiri" w:hAnsi="Amiri" w:eastAsia="Amiri" w:cs="Amiri"/>
          <w:color w:val="111111"/>
          <w:sz w:val="28"/>
          <w:sz w:val="28"/>
          <w:szCs w:val="28"/>
          <w:rtl w:val="true"/>
          <w:lang w:bidi="ar-SA"/>
        </w:rPr>
        <w:t xml:space="preserve">المعتبر منصوبُ الإمام على 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حضوره معتبراً في الجواز فضلاً عَنِ الوجوب، بل إمّا أن ينظروا إلى عموم الأوامر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ويحكموا بالجواز بل الوجوب، وإما أن يحكموا بسقوطها رأساً؛ نظراً إلى فقد الشرط، فالقولُ الوسط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الاعتراف بفقد الشرط الدال على أنّ الفقية غيرُ كافٍ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حينئذٍ أصلاً ورأساً كما لا يخفى</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375365_1067777946"/>
      <w:bookmarkStart w:id="284" w:name="_Toc91"/>
      <w:bookmarkEnd w:id="283"/>
      <w:r>
        <w:rPr>
          <w:rtl w:val="true"/>
        </w:rPr>
        <w:t>ردّ شبهة</w:t>
      </w:r>
      <w:bookmarkEnd w:id="284"/>
    </w:p>
    <w:p>
      <w:pPr>
        <w:pStyle w:val="BookText"/>
        <w:rPr/>
      </w:pPr>
      <w:r>
        <w:rPr>
          <w:rFonts w:ascii="Amiri" w:hAnsi="Amiri" w:eastAsia="Amiri" w:cs="Amiri"/>
          <w:color w:val="111111"/>
          <w:sz w:val="28"/>
          <w:sz w:val="28"/>
          <w:szCs w:val="28"/>
          <w:rtl w:val="true"/>
          <w:lang w:bidi="ar-SA"/>
        </w:rPr>
        <w:t xml:space="preserve">فحينئذٍ لو قيل بإسقاط هذا القول؛ لما ذكرناه، وردّ المسألة إلى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خاصةً كما هو المشهور، أو عدم الشرعيّة كما هو النادر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أوفق بكلامهم واستدلالهم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قد عرفت أن عبارة هذين الشيخين ليست صريحةً فيه، بل استبطان دليلها منافٍ له، فلا ينبغي أن يُجعل لهما في ذلك قول يخالف دليلهما، بل يخالف ما عليه الأصحابُ بمجرّد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فلو قُلِبَ الدليلُ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اشتراط حضور الفقيه في جواز الجمعة حالَ الغيبة إجماعي، لكانت هذه الدعوى في غاية المتانة ونهاية الاستقامة، ولا يضرُّها أيضاً تصريح الفاضل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بالاشتراط </w:t>
      </w:r>
      <w:r>
        <w:rPr>
          <w:rStyle w:val="FootnoteAnchor"/>
          <w:rtl w:val="true"/>
        </w:rPr>
        <w:footnoteReference w:id="537"/>
      </w:r>
      <w:r>
        <w:rPr>
          <w:rFonts w:ascii="Amiri" w:hAnsi="Amiri" w:eastAsia="Amiri" w:cs="Amiri"/>
          <w:color w:val="111111"/>
          <w:sz w:val="28"/>
          <w:sz w:val="28"/>
          <w:szCs w:val="28"/>
          <w:rtl w:val="true"/>
          <w:lang w:bidi="ar-SA"/>
        </w:rPr>
        <w:t>لأنّه إنّما استند في القول إلى الإجماع الذي فهمه وإلّا فإنّه لم يَذْكُر عليه دليلاً معتبراً غيره، وقد ظهر لك أنّ الأمر على خلاف 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محمد بن مسلم </w:t>
      </w:r>
      <w:r>
        <w:rPr>
          <w:rStyle w:val="FootnoteAnchor"/>
          <w:rtl w:val="true"/>
        </w:rPr>
        <w:footnoteReference w:id="538"/>
      </w:r>
      <w:r>
        <w:rPr>
          <w:rFonts w:ascii="Amiri" w:hAnsi="Amiri" w:eastAsia="Amiri" w:cs="Amiri"/>
          <w:color w:val="111111"/>
          <w:sz w:val="28"/>
          <w:sz w:val="28"/>
          <w:szCs w:val="28"/>
          <w:rtl w:val="true"/>
          <w:lang w:bidi="ar-SA"/>
        </w:rPr>
        <w:t>الذي استدلَّ به أيضاً على اشتراط الإمام لا ينساق هنا لما قررناه</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 مِنْ استدلاله أنّ الاجتماعَ مَظنَّةُ النزاع الذي لا يندفع إلّا بالإمام العادِلِ أو مَن نصبه، وهذا بالإعراض عنه حقيق، بل ينبغي رَفْعُه مِنَ البين وسَتْرُه؛ فإن اجتماع المسلمين على طاعةٍ مِنْ طاعات اللّه تعالى لو توقف على حضور الإمام العادل وما في </w:t>
      </w:r>
    </w:p>
    <w:p>
      <w:pPr>
        <w:pStyle w:val="BookText"/>
        <w:rPr/>
      </w:pPr>
      <w:r>
        <w:rPr>
          <w:rFonts w:ascii="Amiri" w:hAnsi="Amiri" w:eastAsia="Amiri" w:cs="Amiri"/>
          <w:color w:val="111111"/>
          <w:sz w:val="28"/>
          <w:sz w:val="28"/>
          <w:szCs w:val="28"/>
          <w:rtl w:val="true"/>
          <w:lang w:bidi="ar-SA"/>
        </w:rPr>
        <w:t>معناه لما قام للإسلام نظامٌ، ولا ارتَفَعَ له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أنت على ما تَرتَّبَ مِنَ الاجتماع في سائر الصلوات وحضور الخلق بعرفات وغيرها مِنَ القُرُبات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يُشَرَّفُ مقامُهم ويُضاعَفُ ثوابُهم ولم يَخْتلَّ نظامهم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وجدنا الخَلَلَ حال وجوده وحضوره أكثر والاختلاف أزيد، كما لا يخفى على من وقف على سيرة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خلافته وحاله مع الناس أجمعين، وحال غيره مِنْ أثمَّةِ الضَلال وانتظام الأمر وقلّة الخلاف والشقاق في زمانهم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فالحكمة الباعثة على الإمام أمرُ آخَرُ وراء مجرّد الاجتماع في حال الصلوات وغيرها مِنَ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قد ظهر من كلام بعض المتأخّرين أنّ الوجوب العيني منتفٍ عَنْ هذه الصلاةِ حالَ الغَيبة، وإنّما يبقى الجواز بالمعنى الأعمّ، والمراد منه استحبابها بمعنى كونها أفضل الفردين الواجبين تخييراً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الجمعة والظهر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ينوى الاستحباب؛ لأن ذلك منتفٍ عنها على كلّ حالٍ بإجماع المسلمين، بل إمّا أن تجتمع شرائطها فتجب، أو تنتفي فتسقط</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عرفت أيضاً أنّ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وجوبُها تخييراً وإن كان أفضل الفردين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عليه إلّا ما ادَّعوه مِنَ الإجماع، ولم يدَّعِه منهم صريحاً سوى ما ظهر من عبارة التذكرة </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ودونها في الدلالة عبارة الشهيد في الذكرى، فإنّه قال فيها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فقد قال الفاضلان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وجوب الجمعةِ حالَ الغَيبة ولم يَسْقُطِ الاستحباب، وظاهرهما أنه لو أُتي بها كانتْ واجبةً مجزئةٌ عَنِ الظهر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فالاستحبابُ </w:t>
      </w:r>
      <w:r>
        <w:rPr>
          <w:rStyle w:val="FootnoteAnchor"/>
          <w:rtl w:val="true"/>
        </w:rPr>
        <w:footnoteReference w:id="542"/>
      </w:r>
      <w:r>
        <w:rPr>
          <w:rFonts w:ascii="Amiri" w:hAnsi="Amiri" w:eastAsia="Amiri" w:cs="Amiri"/>
          <w:color w:val="111111"/>
          <w:sz w:val="28"/>
          <w:sz w:val="28"/>
          <w:szCs w:val="28"/>
          <w:rtl w:val="true"/>
          <w:lang w:bidi="ar-SA"/>
        </w:rPr>
        <w:t>إنّما هو في الاجتماع، أو بمعنى أنّه أفضلُ الفردين الواجبين على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يُقال بالوجوبِ المضيَّقِ حالَ الغَيْبة؛ لأنّ قضيَّة التعليلين ذلك، فما الذي اقتضى سقوط الوجوب ؟ إلّا أنّ عمل الطائفة على عدم الوجوب العيني في سائر الأعصار والأمصار، ونقل الفاضل فيه الإجماع</w:t>
      </w:r>
      <w:r>
        <w:rPr>
          <w:rStyle w:val="FootnoteAnchor"/>
          <w:rtl w:val="true"/>
        </w:rPr>
        <w:footnoteReference w:id="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اشتملتْ عليه مِنَ المبالغة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 بعدم ظهورِ الإجماع عنده ومِنْ ثَمّ نسبه إلى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حَكَيْناه مِن عباراتِ مَنْ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يقدَحُ في الإجماع وعمل الطائفة معاً، ولعلّه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يقال بالوجوب المضيّق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عمل الطائفة الذي أشار اليه لا يتم إلّا في المتأخّرين منهم أو مِنْ بعضهم لا مِنَ الطائفة مطلقاً، لمّا سمعت من كلام المتقدّمين الذين هُم عُمدة فقهاء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اقتصرتُ على مَنْ ذكرتُ لخصوصيَّةِ قولهم في ذلك، بل لعدم وقوفي على مصنّفاتهم، ولا على باقي مصنّفات مَنْ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وجود ما نقلته فيما حضرني من ذلك دليلٌ بَيِّن على أنّ ذلك مِنَ الأحكام المقرَّرة عندهم المفروغ منها؛ لأنّ أحداً منهم لم يَنْقُل في ذلك خلافاً، فكيف يتمّ للمتأخّرين الحكم بخلافه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عليك أنّ مجرّد عمل الطائفة على هذا الوجه لا يكون حجَّةً ولا قريباً منها، خصوصاً مع دَلالة الأدلّة القاطعةِ مِنَ الكتاب والسنّة على خلاف ذلك، فكيف مع انحصار القول في قليل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والقدح في ذلك بمعلوميَّة نَسَبِ المخالف مشتَرَكُ الإلزام وإن لم يكن في جانب أرجح؛ لما عرفتَ مِنْ أنّ القائل بالوجوب العيني أكثرُ مِنَ القائل بالتخييري مع اشتراكهما في الوصف، وسيأتي ما يَدُلُّكَ على فَساد هذه القاعدة مطلقاً</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القدر كفاية في تحرير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الموفق</w:t>
      </w:r>
      <w:r>
        <w:rPr>
          <w:rFonts w:eastAsia="Amiri" w:cs="Amiri" w:ascii="Amiri" w:hAnsi="Amiri"/>
          <w:color w:val="111111"/>
          <w:sz w:val="28"/>
          <w:szCs w:val="28"/>
          <w:rtl w:val="true"/>
          <w:lang w:bidi="ar-SA"/>
        </w:rPr>
        <w:t xml:space="preserve">. </w:t>
      </w:r>
      <w:bookmarkStart w:id="285" w:name="pg10113_92064"/>
    </w:p>
    <w:p>
      <w:pPr>
        <w:pStyle w:val="Heading4"/>
        <w:numPr>
          <w:ilvl w:val="3"/>
          <w:numId w:val="1"/>
        </w:numPr>
        <w:rPr/>
      </w:pPr>
      <w:bookmarkStart w:id="286" w:name="__RefHeading___Toc375367_1067777946"/>
      <w:bookmarkStart w:id="287" w:name="_Toc92"/>
      <w:bookmarkEnd w:id="285"/>
      <w:bookmarkEnd w:id="286"/>
      <w:r>
        <w:rPr>
          <w:rtl w:val="true"/>
        </w:rPr>
        <w:t>القول بعدم شرعيّة الجمعة في الغيبة</w:t>
      </w:r>
      <w:bookmarkEnd w:id="287"/>
    </w:p>
    <w:p>
      <w:pPr>
        <w:pStyle w:val="BookText"/>
        <w:rPr/>
      </w:pPr>
      <w:r>
        <w:rPr>
          <w:rFonts w:ascii="Amiri" w:hAnsi="Amiri" w:eastAsia="Amiri" w:cs="Amiri"/>
          <w:color w:val="111111"/>
          <w:sz w:val="28"/>
          <w:sz w:val="28"/>
          <w:szCs w:val="28"/>
          <w:rtl w:val="true"/>
          <w:lang w:bidi="ar-SA"/>
        </w:rPr>
        <w:t>الكلام على القول الثالث وهو القولُ بعدم شرعيتها حالَ الغَيْبة مطلقاً</w:t>
      </w:r>
    </w:p>
    <w:p>
      <w:pPr>
        <w:pStyle w:val="BookText"/>
        <w:rPr/>
      </w:pPr>
      <w:r>
        <w:rPr>
          <w:rFonts w:ascii="Amiri" w:hAnsi="Amiri" w:eastAsia="Amiri" w:cs="Amiri"/>
          <w:color w:val="111111"/>
          <w:sz w:val="28"/>
          <w:sz w:val="28"/>
          <w:szCs w:val="28"/>
          <w:rtl w:val="true"/>
          <w:lang w:bidi="ar-SA"/>
        </w:rPr>
        <w:t>قد عرفت فيما أسلفناه</w:t>
      </w:r>
      <w:r>
        <w:rPr>
          <w:rStyle w:val="FootnoteAnchor"/>
          <w:rtl w:val="true"/>
        </w:rPr>
        <w:footnoteReference w:id="545"/>
      </w:r>
      <w:r>
        <w:rPr>
          <w:rFonts w:ascii="Amiri" w:hAnsi="Amiri" w:eastAsia="Amiri" w:cs="Amiri"/>
          <w:color w:val="111111"/>
          <w:sz w:val="28"/>
          <w:sz w:val="28"/>
          <w:szCs w:val="28"/>
          <w:rtl w:val="true"/>
          <w:lang w:bidi="ar-SA"/>
        </w:rPr>
        <w:t>أن القائل بهذا القول شاذٌّ بالنسبة إلى جملة أصحابنا بل جملة المسلمين، وأنّه منحصرٌ في قائلَيْنِ وهما سلّارُ وابنُ إدريس</w:t>
      </w:r>
      <w:r>
        <w:rPr>
          <w:rStyle w:val="FootnoteAnchor"/>
          <w:rtl w:val="true"/>
        </w:rPr>
        <w:footnoteReference w:id="546"/>
      </w:r>
      <w:r>
        <w:rPr>
          <w:rFonts w:ascii="Amiri" w:hAnsi="Amiri" w:eastAsia="Amiri" w:cs="Amiri"/>
          <w:color w:val="111111"/>
          <w:sz w:val="28"/>
          <w:sz w:val="28"/>
          <w:szCs w:val="28"/>
          <w:rtl w:val="true"/>
          <w:lang w:bidi="ar-SA"/>
        </w:rPr>
        <w:t>، وأما غيرُهما فإنْ مال إليه في كتابِ فقد خالفه في غيره كالمرتضى على ظاهر ما عرفتَ مِنْ كلامه</w:t>
      </w:r>
      <w:r>
        <w:rPr>
          <w:rStyle w:val="FootnoteAnchor"/>
          <w:rtl w:val="true"/>
        </w:rPr>
        <w:footnoteReference w:id="547"/>
      </w:r>
      <w:r>
        <w:rPr>
          <w:rFonts w:ascii="Amiri" w:hAnsi="Amiri" w:eastAsia="Amiri" w:cs="Amiri"/>
          <w:color w:val="111111"/>
          <w:sz w:val="28"/>
          <w:sz w:val="28"/>
          <w:szCs w:val="28"/>
          <w:rtl w:val="true"/>
          <w:lang w:bidi="ar-SA"/>
        </w:rPr>
        <w:t xml:space="preserve">، والعلّامة حيثُ مال إليه في المنتهى </w:t>
      </w:r>
      <w:r>
        <w:rPr>
          <w:rStyle w:val="FootnoteAnchor"/>
          <w:rtl w:val="true"/>
        </w:rPr>
        <w:footnoteReference w:id="548"/>
      </w:r>
      <w:r>
        <w:rPr>
          <w:rFonts w:ascii="Amiri" w:hAnsi="Amiri" w:eastAsia="Amiri" w:cs="Amiri"/>
          <w:color w:val="111111"/>
          <w:sz w:val="28"/>
          <w:sz w:val="28"/>
          <w:szCs w:val="28"/>
          <w:rtl w:val="true"/>
          <w:lang w:bidi="ar-SA"/>
        </w:rPr>
        <w:t>وفي كتاب الأمر بالمعروف من التحرير</w:t>
      </w:r>
      <w:r>
        <w:rPr>
          <w:rStyle w:val="FootnoteAnchor"/>
          <w:rtl w:val="true"/>
        </w:rPr>
        <w:footnoteReference w:id="549"/>
      </w:r>
      <w:r>
        <w:rPr>
          <w:rFonts w:ascii="Amiri" w:hAnsi="Amiri" w:eastAsia="Amiri" w:cs="Amiri"/>
          <w:color w:val="111111"/>
          <w:sz w:val="28"/>
          <w:sz w:val="28"/>
          <w:szCs w:val="28"/>
          <w:rtl w:val="true"/>
          <w:lang w:bidi="ar-SA"/>
        </w:rPr>
        <w:t>، والشهيد حيث 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القول متوجّه وإلا لزم الوجوب العيني</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لا يُعدُّ قولاً خصوصاً بعد الرجوع عنه في كتاب آخر متأخّرٍ عنه</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نقل القول به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 فقد عرفتَ أنّه ليس بصحيح</w:t>
      </w:r>
      <w:r>
        <w:rPr>
          <w:rStyle w:val="FootnoteAnchor"/>
          <w:rtl w:val="true"/>
        </w:rPr>
        <w:footnoteReference w:id="552"/>
      </w:r>
      <w:r>
        <w:rPr>
          <w:rFonts w:ascii="Amiri" w:hAnsi="Amiri" w:eastAsia="Amiri" w:cs="Amiri"/>
          <w:color w:val="111111"/>
          <w:sz w:val="28"/>
          <w:sz w:val="28"/>
          <w:szCs w:val="28"/>
          <w:rtl w:val="true"/>
          <w:lang w:bidi="ar-SA"/>
        </w:rPr>
        <w:t>، وكذا نقله عن أبي الصلاح، وقد حقّقناه سابقاً</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bookmarkStart w:id="288" w:name="pg10113_92065"/>
    </w:p>
    <w:p>
      <w:pPr>
        <w:pStyle w:val="BookText"/>
        <w:rPr/>
      </w:pPr>
      <w:bookmarkEnd w:id="288"/>
      <w:r>
        <w:rPr>
          <w:rFonts w:ascii="Amiri" w:hAnsi="Amiri" w:eastAsia="Amiri" w:cs="Amiri"/>
          <w:color w:val="111111"/>
          <w:sz w:val="28"/>
          <w:sz w:val="28"/>
          <w:szCs w:val="28"/>
          <w:rtl w:val="true"/>
          <w:lang w:bidi="ar-SA"/>
        </w:rPr>
        <w:t xml:space="preserve">وجملةُ ما احتجَّ به القائلون بهذا القولِ مِن ثلاثة أوجه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كالقول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شرط انعقاد الجمعة الإمامُ أو من نصبه لذلك إجماعاً كما مرّ، وفي حال الغيبة الشرط منتفٍ فينتفي الانعقاد لامتناع ثبوتِ الشرط مع انتفاء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الظهر ثابتةٌ في الذمّة بيقين، فلا يبرأ المكلّف إلّا بفعلها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 عدم القول به الوجوب العيني؛ لإفضاء الأدلّة إليه، والمسوّغون لها لا يقولون به، كما أشار إليه في الذكرى</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375369_1067777946"/>
      <w:bookmarkStart w:id="290" w:name="_Toc93"/>
      <w:bookmarkEnd w:id="289"/>
      <w:r>
        <w:rPr>
          <w:rtl w:val="true"/>
        </w:rPr>
        <w:t>ردّ الشبهة الأولى لهذا القول</w:t>
      </w:r>
      <w:r>
        <w:rPr>
          <w:rtl w:val="true"/>
        </w:rPr>
        <w:t xml:space="preserve">: </w:t>
      </w:r>
      <w:r>
        <w:rPr>
          <w:rtl w:val="true"/>
        </w:rPr>
        <w:t>الإجماع</w:t>
      </w:r>
      <w:bookmarkEnd w:id="290"/>
    </w:p>
    <w:p>
      <w:pPr>
        <w:pStyle w:val="BookText"/>
        <w:rPr/>
      </w:pPr>
      <w:r>
        <w:rPr>
          <w:rFonts w:ascii="Amiri" w:hAnsi="Amiri" w:eastAsia="Amiri" w:cs="Amiri"/>
          <w:color w:val="111111"/>
          <w:sz w:val="28"/>
          <w:sz w:val="28"/>
          <w:szCs w:val="28"/>
          <w:rtl w:val="true"/>
          <w:lang w:bidi="ar-SA"/>
        </w:rPr>
        <w:t>والجوابُ عَنِ الشبهة الأولى بمنع الإجماع على خلاف صورة النزاع، وقد عرفت سنده</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تسليمه لا يلزم منه تحريمُ فعلها حالَ الغَيبة مطلقاً كما زعمه هذا القائلُ، فإنّ الفقهاءَ نُوّابُ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العموم بقول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رجل قد روى حديثنا وعَرَفَ أحكامنا فَارْضَوْا به حاكماً فإنّي قد جعلته عليكم حاكماً، الحديث</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 ممّا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حاكماً مِنْ قِبَلِه على العموم الشامل للمناصب الجليلة التي هي وظيفةُ الإمام كالقضاء وإقامة الحدود وغيرها تدخلُ فيه الصلاةُ المذكورةُ بطريقٍ أولى؛ لأنّ شرطيتها به أضعفُ ومِنْ ثَمَّ اختلف فيها بخلاف هذه المناصب؛ فإنّها متوقّفةٌ على إذنه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 الإذن هو الحكمُ بين الناس، ولأنه هو موضع سؤال السائل والصلاة خارجةً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الدّلالة كونه منصوباً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فيدخل فيه موضعُ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حصل شكٌّ في الإطلاق فالطريق ما بيّنّاه مِنْ أنّ ما تناوله النصّ أقوى مِنَ الصلاة، ولا يقدح فيه كونه في زَمَنِ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حُكمهم وأوامرهم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شاملةٌ </w:t>
      </w:r>
    </w:p>
    <w:p>
      <w:pPr>
        <w:pStyle w:val="BookText"/>
        <w:rPr/>
      </w:pPr>
      <w:r>
        <w:rPr>
          <w:rFonts w:ascii="Amiri" w:hAnsi="Amiri" w:eastAsia="Amiri" w:cs="Amiri"/>
          <w:color w:val="111111"/>
          <w:sz w:val="28"/>
          <w:sz w:val="28"/>
          <w:szCs w:val="28"/>
          <w:rtl w:val="true"/>
          <w:lang w:bidi="ar-SA"/>
        </w:rPr>
        <w:t>لجميع الأزمان، وهو موضع نصٍّ ووفاقٍ</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يقدَحُ كون الخطاب لأهل ذلك العصر ؛ لأنّ حكمهم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كحُكم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الواحد حكمٌ على الجماعةِ كما دلّت عليه الأخبار</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هذا كلّه فعمدة الأمر عندي على منع الإجماع المذكور على وجه يوجب مدَّعاهم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على تقديره إنما وقع على حالة الحضور كما حقّقناه لا على حالة الغيبة، فإنّه موضعُ النزاع أو الوفاق على عدمه، فكيف يُساق إليه الإجماع المتنازع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تحقّقه على زَمَنِ الحضور أيضاً؛ لوجود القادح فيه حتّى مَنْ يدَّعيه كما اتّفق للعلّامة في المختلف، فقد حَكَيْنا القدح فيه عنه </w:t>
      </w:r>
      <w:r>
        <w:rPr>
          <w:rStyle w:val="FootnoteAnchor"/>
          <w:rtl w:val="true"/>
        </w:rPr>
        <w:footnoteReference w:id="558"/>
      </w:r>
      <w:r>
        <w:rPr>
          <w:rFonts w:ascii="Amiri" w:hAnsi="Amiri" w:eastAsia="Amiri" w:cs="Amiri"/>
          <w:color w:val="111111"/>
          <w:sz w:val="28"/>
          <w:sz w:val="28"/>
          <w:szCs w:val="28"/>
          <w:rtl w:val="true"/>
          <w:lang w:bidi="ar-SA"/>
        </w:rPr>
        <w:t>مع دعواه له في غيره ولِظُهورِ المخالف كما علم من عبارة المتقدّمين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تحقّقه على وجه يصلح للدلالة على تقدير عدم ظهورِ المخالف؛ فإنّ الإجماع عند الأصحاب إنّما هو حجَّةٌ بواسطة دخول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أقوال القائلين، والعبرةُ عندهم إنّما هي بقوله دون قولهم، وقد اعترفوا بأن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حجَّةٌ إنّما هو مشيٌ مع المخالفِ، حيث إنّه كلام حقٌّ في نفسه وإن كانت حيثية الحجيَّةِ مختلفةً عندنا وعندهم، على ما هو محقّق في محله</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الأمرُ كذلك فلابدّ مِنَ العلم بدخول قول المعصوم في جملة أقوالهم حتّى تتحقق حجّيَّه قولهم، ومن أين لهم هذا العلم في مثل هذه المواضع مع عدم وقوفهم على خَبَره فضلاً عَنْ قوله ؟ </w:t>
      </w:r>
    </w:p>
    <w:p>
      <w:pPr>
        <w:pStyle w:val="BookText"/>
        <w:rPr/>
      </w:pPr>
      <w:r>
        <w:rPr>
          <w:rFonts w:ascii="Amiri" w:hAnsi="Amiri" w:eastAsia="Amiri" w:cs="Amiri"/>
          <w:color w:val="111111"/>
          <w:sz w:val="28"/>
          <w:sz w:val="28"/>
          <w:szCs w:val="28"/>
          <w:rtl w:val="true"/>
          <w:lang w:bidi="ar-SA"/>
        </w:rPr>
        <w:t xml:space="preserve">وأمّا ما اشتهر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متى لم يُعلم في المسألة مخالف أو عُلم مع معرفةِ أصل المُخالفِ ونَسَبِه يتحقّق الإجماعُ ويكون حجَّةً، ويُجعل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الجانب الذي لا ينحصر، ونحو ذلك مما بيَّنوه واعتمدوه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قول مُجانب للتحقيق جداً ضعيف المأخذ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يُعلم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بهذه الحالة مِنْ جملة أقوال هذه الجماعةِ المخصوصة دون غيرهم من المسلمين خصوصاً في هذه المسألة ؟ فإنّ قوله بالجانب الآخر أشبه وبه أولى لموافقته لقول اللّه تعالى ورسوله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متى بلغ قولُ أهل الاستدلال مِنْ أصحابنا في عصرٍ مِنَ الأعصار السابقة حداً لا ينحصر ولا يُعلم به بلد القائل ولا نسبُه ؟ وهم في جميع بلد القائل ولا نسبه ؟ وهم في جميع الأزمان محصورون مضبوطون بالاشتهار والكتابة والتحرير لأحوالهم على وجهِ لا يتخالَجُ معه شكٍّ، ولا تقع معه شبهةً، ومجرّد احتمال وجودٍ واحدٍ منهم مجهول الحال مغمورٌ في جملة الناس مع بعده مشتركٌ من الجانبين، فإنّ هذا إن أثر كان احتمال وجوده مع كلّ قائل ممكناً، ومثل هذا لا يُلتفتُ إليه أصلاً ورأساً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الإجماع حجَّةٌ بانضمام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خلا المائةُ مِنْ فقهائنا عَنْ قوله لما كان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تغترّ بِمَن يتحكم فيدَّعي الإجماع باتّفاق الخمسة والعشرةِ مِنَ الأصحاب مع جهالة قول الباقين، إلّا مع العلم القطعي بدخول الإمام في الجملة</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أين يحصل العلمُ القطعي بموافقة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لأقوال الأصحاب مع هذا الانقطاع المحض والمفارقة الكليّة والجهل بما يقوله على الإطلاق من مدَّةٍ تزيد عن ستمائة سنة ؟ وقريب من قول المحقّق قولُ العلّامة في نهاية الوصول ؛ فإنه لما أورد على نفسه أنه لا يمكن العلمُ باتّفاق الكلِّ علي وجه يتحقّق دخول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أجاب بأنّ </w:t>
      </w:r>
    </w:p>
    <w:p>
      <w:pPr>
        <w:pStyle w:val="BookText"/>
        <w:rPr/>
      </w:pPr>
      <w:r>
        <w:rPr>
          <w:rFonts w:ascii="Amiri" w:hAnsi="Amiri" w:eastAsia="Amiri" w:cs="Amiri"/>
          <w:color w:val="111111"/>
          <w:sz w:val="28"/>
          <w:sz w:val="28"/>
          <w:szCs w:val="28"/>
          <w:rtl w:val="true"/>
          <w:lang w:bidi="ar-SA"/>
        </w:rPr>
        <w:t>الفرض دخوله فيهم؛ إذ الإجماع إنما يتم به، فلا يمكن منع دخوله</w:t>
      </w:r>
      <w:r>
        <w:rPr>
          <w:rFonts w:eastAsia="Amiri" w:cs="Amiri" w:ascii="Amiri" w:hAnsi="Amiri"/>
          <w:color w:val="111111"/>
          <w:sz w:val="28"/>
          <w:szCs w:val="28"/>
          <w:rtl w:val="true"/>
          <w:lang w:bidi="ar-SA"/>
        </w:rPr>
        <w:tab/>
      </w:r>
      <w:r>
        <w:rPr>
          <w:rStyle w:val="FootnoteAnchor"/>
          <w:rtl w:val="true"/>
        </w:rPr>
        <w:footnoteReference w:id="5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وبما ذكرناه يحصل الفرق بين قوله مع الجهل بحاله على ما وصفناه وبين قول رجل من علماء المسلمين في أقطار الأرض، حيث حكم الجمهور بتحقّق إجماع المسلمين ولم يقدح فيه احتمال مخالف في بعض الأقطار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الفرق أنّ قولَ هذا البعض في قطر من أقطار الأرض مع كونه مجتهداً مطلقاً ممّا يستحيل خفاؤه والجهل بعينه عادةً، فلو كان ثَمَّ مَنْ هو بهذه الصفة لظهر للمسلمين ونُقل قوله، هذا مما يدلُّ عليه العلمُ العادي قطعاً، وإن حصل شكٍّ في العلم فلا أقل من الظنّ الغالب المتاخم للعلم الكافي في الدلالة على مسألة شرعيّة، حيث إنّ طُرُقَ الفقه كذلك بخلاف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المجهول عينه ومحلّه وكلامه فى هذه الأعصار المتطاولة لها بكل وجه، فإنّ إدخال قوله مع جملة أقوال قوم معلومين تَحكُم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يتوجّه العلمُ بقول المعصوم ودخوله في أقوال شيعته عند ظهوره، كما اتّفق لآبائه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مسائل كثيرة اتّفقتْ فيها كلمة علماء شيعتهم والروايات بها عنهم كالقول بوجوب مسح مسح الرجلين في الوضوء، والمنعِ مِنْ مسح الخُفَّيْنِ، ومنع العول والتعصيب في الإرث، ونظائر ذلك</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الفروع التي تجددت حال الغيبة ووقع الخِلافُ فيها، فالرجوع فيها إلى ما ساق إليه الدليلُ مِن الكتاب والسنّة وغيرهما من الأدلّة المعتبرة شرعاً لا إلى مثل هذه الدعاوي العارية عن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ذرءٌ مِنْ مَقالٍ </w:t>
      </w:r>
      <w:r>
        <w:rPr>
          <w:rStyle w:val="FootnoteAnchor"/>
          <w:rtl w:val="true"/>
        </w:rPr>
        <w:footnoteReference w:id="562"/>
      </w:r>
      <w:r>
        <w:rPr>
          <w:rFonts w:ascii="Amiri" w:hAnsi="Amiri" w:eastAsia="Amiri" w:cs="Amiri"/>
          <w:color w:val="111111"/>
          <w:sz w:val="28"/>
          <w:sz w:val="28"/>
          <w:szCs w:val="28"/>
          <w:rtl w:val="true"/>
          <w:lang w:bidi="ar-SA"/>
        </w:rPr>
        <w:t xml:space="preserve">في هذا المقام وبقي الباقي في الخيال، فتنبَّه له ولا تكنْ مِمَّنْ يعرفُ الحقّ بالرجال </w:t>
      </w:r>
      <w:r>
        <w:rPr>
          <w:rStyle w:val="FootnoteAnchor"/>
          <w:rtl w:val="true"/>
        </w:rPr>
        <w:footnoteReference w:id="563"/>
      </w:r>
      <w:r>
        <w:rPr>
          <w:rFonts w:ascii="Amiri" w:hAnsi="Amiri" w:eastAsia="Amiri" w:cs="Amiri"/>
          <w:color w:val="111111"/>
          <w:sz w:val="28"/>
          <w:sz w:val="28"/>
          <w:szCs w:val="28"/>
          <w:rtl w:val="true"/>
          <w:lang w:bidi="ar-SA"/>
        </w:rPr>
        <w:t>فتقع في مهاوي الضلال</w:t>
      </w:r>
      <w:r>
        <w:rPr>
          <w:rFonts w:eastAsia="Amiri" w:cs="Amiri" w:ascii="Amiri" w:hAnsi="Amiri"/>
          <w:color w:val="111111"/>
          <w:sz w:val="28"/>
          <w:szCs w:val="28"/>
          <w:rtl w:val="true"/>
          <w:lang w:bidi="ar-SA"/>
        </w:rPr>
        <w:t xml:space="preserve">. </w:t>
      </w:r>
      <w:bookmarkStart w:id="291" w:name="pg10113_92069"/>
    </w:p>
    <w:p>
      <w:pPr>
        <w:pStyle w:val="BookText"/>
        <w:rPr/>
      </w:pPr>
      <w:bookmarkEnd w:id="291"/>
      <w:r>
        <w:rPr>
          <w:rFonts w:ascii="Amiri" w:hAnsi="Amiri" w:eastAsia="Amiri" w:cs="Amiri"/>
          <w:color w:val="111111"/>
          <w:sz w:val="28"/>
          <w:sz w:val="28"/>
          <w:szCs w:val="28"/>
          <w:rtl w:val="true"/>
          <w:lang w:bidi="ar-SA"/>
        </w:rPr>
        <w:t>واعلم أنّ هذا البحث كلّه خارج عَنْ مقصود المسألة وإن نفع فيها مِنْ وجه؛ لأنّ منشأ الإشكال فيها إنّما هو حكم اعتبار النائب حالَ الغيبة وعدمه، والإجماع المدّعى إنّما هو حالة الحضور، ولا ضرورة بنا إليه، وإنّما نبّهنا عليه لكثرة الحاجة إليه في أبواب الفقه واستدلاله، فقد زلّ بواسطته أقدام أقوامٍ وأخطأ في الاستدلال به أجلّاء أعلام، إن أكثرت المطالعة والتنقيب اهتديت عليه، واللّه الموفِّقُ والهادي</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375371_1067777946"/>
      <w:bookmarkStart w:id="293" w:name="_Toc94"/>
      <w:bookmarkEnd w:id="292"/>
      <w:r>
        <w:rPr>
          <w:rtl w:val="true"/>
        </w:rPr>
        <w:t>ردّ الشبهة الثانية</w:t>
      </w:r>
      <w:r>
        <w:rPr>
          <w:rtl w:val="true"/>
        </w:rPr>
        <w:t xml:space="preserve">: </w:t>
      </w:r>
      <w:r>
        <w:rPr>
          <w:rtl w:val="true"/>
        </w:rPr>
        <w:t>صلاة الظهر ثابتة في الذمّة</w:t>
      </w:r>
      <w:bookmarkEnd w:id="293"/>
    </w:p>
    <w:p>
      <w:pPr>
        <w:pStyle w:val="BookText"/>
        <w:rPr/>
      </w:pPr>
      <w:r>
        <w:rPr>
          <w:rFonts w:ascii="Amiri" w:hAnsi="Amiri" w:eastAsia="Amiri" w:cs="Amiri"/>
          <w:color w:val="111111"/>
          <w:sz w:val="28"/>
          <w:sz w:val="28"/>
          <w:szCs w:val="28"/>
          <w:rtl w:val="true"/>
          <w:lang w:bidi="ar-SA"/>
        </w:rPr>
        <w:t xml:space="preserve">وأمّا الجواب عن الشبهة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الظهر ثابتةٌ فى الذمّة فلا يبرأ إلّا بفعلها فَمِنْ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الظهر ثابتةً في الذمّة بيقين وهل هو إلا عين المتنازع ؟ فكيف يُجعل دليلاً؟ وأيضاً فإنّ الثابت بأصل الشرع هو الجمعة، أما الظهرُ فلا يجب إلا مع فواتها أو فقدِ شرطها، فالأمرُ معكوس؛ لأنّ المتيقن الثابت هو الجمعة إلى أن يثبت المُزِيلُ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يتوجّه على الوجوب التخييري حالَ الغَيْبة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الفرد من الفردين الواجِبَينِ تخييراً وهو الظهرُ مجزئ إجماعاً على ما زعموه، بخلاف الفرد الآخرِ فإنّه موضع النزاع، وقد عرفت</w:t>
      </w:r>
      <w:r>
        <w:rPr>
          <w:rStyle w:val="FootnoteAnchor"/>
          <w:rtl w:val="true"/>
        </w:rPr>
        <w:footnoteReference w:id="564"/>
      </w:r>
      <w:r>
        <w:rPr>
          <w:rFonts w:ascii="Amiri" w:hAnsi="Amiri" w:eastAsia="Amiri" w:cs="Amiri"/>
          <w:color w:val="111111"/>
          <w:sz w:val="28"/>
          <w:sz w:val="28"/>
          <w:szCs w:val="28"/>
          <w:rtl w:val="true"/>
          <w:lang w:bidi="ar-SA"/>
        </w:rPr>
        <w:t>ما في هذا الوجه؛ فإنه متوقف على تحقّق الإجماع على وجه يكون حجَّةً في رفع إيجاب الجمعةِ الثابتِ بالكتاب والسنّة والإجماع في الجملة، فلا يصحّ القولُ بأنّ هذا الفردَ مُجزئ إجماعاً على هذا الوجه بل الأمرُ بعكسه أولى</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المكلّف لا يبرأ إلّا بفعل الظهر؛ فانّه إذا فعل الجمعة على هذا الوجه الذي ذكرناه بَرِئ منها أيضاً؛ لما دلّتْ عليه الأدلّهُ مِن شرعيتها، والحكم بهذه الأدلّة قطعي، والقطعُ في كلّ بابٍ بحَسَبِه، ومتى شُرِعَتْ أجزأت عن الظهر بإجماع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التنزلِ والاعتراف بعدم تيقن براءة الذمّة بما ذكر، فلا نسلم أنّه يشترط اليقين ببراءة الذمّة، بل يكفي الظنُّ المستند إلى الدليل المعتَبرِ شرعاً، وإلّا لزم </w:t>
      </w:r>
      <w:bookmarkStart w:id="294" w:name="pg10113_92070"/>
    </w:p>
    <w:p>
      <w:pPr>
        <w:pStyle w:val="BookText"/>
        <w:rPr/>
      </w:pPr>
      <w:bookmarkEnd w:id="294"/>
      <w:r>
        <w:rPr>
          <w:rFonts w:ascii="Amiri" w:hAnsi="Amiri" w:eastAsia="Amiri" w:cs="Amiri"/>
          <w:color w:val="111111"/>
          <w:sz w:val="28"/>
          <w:sz w:val="28"/>
          <w:szCs w:val="28"/>
          <w:rtl w:val="true"/>
          <w:lang w:bidi="ar-SA"/>
        </w:rPr>
        <w:t>التكليف بما لا يُطاق، وهو هنا حاصلٌ بل ما هو أزيدُ مِنْ ذلك كما قد سمعته</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375373_1067777946"/>
      <w:bookmarkStart w:id="296" w:name="_Toc95"/>
      <w:bookmarkEnd w:id="295"/>
      <w:r>
        <w:rPr>
          <w:rtl w:val="true"/>
        </w:rPr>
        <w:t>ردّ الشبهة الثالثة</w:t>
      </w:r>
      <w:r>
        <w:rPr>
          <w:rtl w:val="true"/>
        </w:rPr>
        <w:t xml:space="preserve">: </w:t>
      </w:r>
      <w:r>
        <w:rPr>
          <w:rtl w:val="true"/>
        </w:rPr>
        <w:t>انتفاء الوجوب العيني</w:t>
      </w:r>
      <w:bookmarkEnd w:id="296"/>
    </w:p>
    <w:p>
      <w:pPr>
        <w:pStyle w:val="BookText"/>
        <w:rPr/>
      </w:pPr>
      <w:r>
        <w:rPr>
          <w:rFonts w:ascii="Amiri" w:hAnsi="Amiri" w:eastAsia="Amiri" w:cs="Amiri"/>
          <w:color w:val="111111"/>
          <w:sz w:val="28"/>
          <w:sz w:val="28"/>
          <w:szCs w:val="28"/>
          <w:rtl w:val="true"/>
          <w:lang w:bidi="ar-SA"/>
        </w:rPr>
        <w:t xml:space="preserve">والجواب عن الشبهة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 انتفاء الوجوب العيني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الدلائل المذكورة إنّما دلّتْ على الوجوب في الجملة، أعني الوجوب الكلّي المحتمل لكلّ واحدٍ من أفراده المنقسم إليها كالعيني والتخييري وغيرهما وإن كان ظاهراً في أحدها، إلّا أن الصارِفَ عنه موجود، وهو الإجماع الذي زعمه القائل، وأيّ صارفٍ عن هذا الفرد أكبرُ مِن الإجماع إذا تَمَّ، فيُحمل على غيره من الأفراد، والإجماع منحصر في إرادة أحدِ الفردَينِ خاصةً العيني أو التخييري، فإذا انتفى الأوّل بقي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تقدير انسداد باب القول بالوجوب العيني، وإن قامتْ عليه الأدلّة ودلّت عليه عبارات الأصحاب</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عرفت أن دليله قائم، والقائل به من الأصحاب موجود، ودعوى الإجماع على عدمه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غايته أنّه نقل إجماع بخبر الواحد وهو غير مفيد هنا؛ لأنّ دليل القائل حينئذٍ مِن الأُصوليّين مع ظهور الخلاف فيه أنّه مفيد للظنّ المجوز للعمل بمقتضاه وهو منتف هنا، خصوصاً مع ما قد اطّلعنا عليه من خطئهم في هذه الدعوى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ويكفيك في نقل العلّامة الإجماع مع ظهور خلافه، ما نقله في كثير من كتبه من الإجماع على أنّ الكعبين هما مَفْصِلُ الساق والقدم</w:t>
      </w:r>
      <w:r>
        <w:rPr>
          <w:rStyle w:val="FootnoteAnchor"/>
          <w:rtl w:val="true"/>
        </w:rPr>
        <w:footnoteReference w:id="565"/>
      </w:r>
      <w:r>
        <w:rPr>
          <w:rFonts w:ascii="Amiri" w:hAnsi="Amiri" w:eastAsia="Amiri" w:cs="Amiri"/>
          <w:color w:val="111111"/>
          <w:sz w:val="28"/>
          <w:sz w:val="28"/>
          <w:szCs w:val="28"/>
          <w:rtl w:val="true"/>
          <w:lang w:bidi="ar-SA"/>
        </w:rPr>
        <w:t>، مع ظهور الإجماع على عدمه من جميع الأصحاب، بل من المسلمين؛ لأنّ عامَّةَ الأصحاب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الناتئُ في وسط القَدَمِ عند معقدِ الشراك، والعامّة بعضُهم يقول كما قاله الأصحاب</w:t>
      </w:r>
      <w:r>
        <w:rPr>
          <w:rStyle w:val="FootnoteAnchor"/>
          <w:rtl w:val="true"/>
        </w:rPr>
        <w:footnoteReference w:id="566"/>
      </w:r>
      <w:r>
        <w:rPr>
          <w:rFonts w:ascii="IRNazanin" w:hAnsi="IRNazanin" w:eastAsia="IRNazanin"/>
          <w:color w:val="111111"/>
          <w:sz w:val="28"/>
          <w:sz w:val="28"/>
          <w:szCs w:val="28"/>
          <w:rtl w:val="true"/>
          <w:lang w:bidi="fa-IR"/>
        </w:rPr>
        <w:t xml:space="preserve">، والباقون على </w:t>
      </w:r>
    </w:p>
    <w:p>
      <w:pPr>
        <w:pStyle w:val="BookText"/>
        <w:rPr/>
      </w:pPr>
      <w:r>
        <w:rPr>
          <w:rFonts w:ascii="Amiri" w:hAnsi="Amiri" w:eastAsia="Amiri" w:cs="Amiri"/>
          <w:color w:val="111111"/>
          <w:sz w:val="28"/>
          <w:sz w:val="28"/>
          <w:szCs w:val="28"/>
          <w:rtl w:val="true"/>
          <w:lang w:bidi="ar-SA"/>
        </w:rPr>
        <w:t>أنّه الناتئُ على يمين القدم وشماله</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والمَفْصِلُ لم يَقُل به سوى هذا الفاضل على ما حقّقناه في محلّه</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ونبّه عليه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الذكرى </w:t>
      </w:r>
      <w:r>
        <w:rPr>
          <w:rStyle w:val="FootnoteAnchor"/>
          <w:rtl w:val="true"/>
        </w:rPr>
        <w:footnoteReference w:id="569"/>
      </w:r>
      <w:r>
        <w:rPr>
          <w:rFonts w:ascii="Amiri" w:hAnsi="Amiri" w:eastAsia="Amiri" w:cs="Amiri"/>
          <w:color w:val="111111"/>
          <w:sz w:val="28"/>
          <w:sz w:val="28"/>
          <w:szCs w:val="28"/>
          <w:rtl w:val="true"/>
          <w:lang w:bidi="ar-SA"/>
        </w:rPr>
        <w:t>وغيره</w:t>
      </w:r>
      <w:r>
        <w:rPr>
          <w:rStyle w:val="FootnoteAnchor"/>
          <w:rtl w:val="true"/>
        </w:rPr>
        <w:footnoteReference w:id="570"/>
      </w:r>
      <w:r>
        <w:rPr>
          <w:rFonts w:ascii="Amiri" w:hAnsi="Amiri" w:eastAsia="Amiri" w:cs="Amiri"/>
          <w:color w:val="111111"/>
          <w:sz w:val="28"/>
          <w:sz w:val="28"/>
          <w:szCs w:val="28"/>
          <w:rtl w:val="true"/>
          <w:lang w:bidi="ar-SA"/>
        </w:rPr>
        <w:t>، فكيف يحصلُ الظَّنُّ بنقل الإجماع في مسألةٍ ظاهرة الخلافِ واضحة الأدلّة على ما خالف</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اتّفق لكثير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للمرتضى في الانتصار وللشيخ في الخلافِ مع أنّهما إماما الطائفة ومقتدياها في دعوى الإجماع على مسائل كثيرة مع اختصاصهما بذلك القول من بين الأصحاب أو شذوذ الموافق لهما </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كثير لا يقتضي الحالُ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أعجبه دعوى المرتضى في الكتاب إجماع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حجّةً على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التكبيرات الخمس في كلّ ركعة للركوعِ والسجودِ والقيام منهما</w:t>
      </w:r>
      <w:r>
        <w:rPr>
          <w:rStyle w:val="FootnoteAnchor"/>
          <w:rtl w:val="true"/>
        </w:rPr>
        <w:footnoteReference w:id="572"/>
      </w:r>
      <w:r>
        <w:rPr>
          <w:rFonts w:ascii="Amiri" w:hAnsi="Amiri" w:eastAsia="Amiri" w:cs="Amiri"/>
          <w:color w:val="111111"/>
          <w:sz w:val="28"/>
          <w:sz w:val="28"/>
          <w:szCs w:val="28"/>
          <w:rtl w:val="true"/>
          <w:lang w:bidi="ar-SA"/>
        </w:rPr>
        <w:t>، ووجوب رفع اليدين لها</w:t>
      </w:r>
      <w:r>
        <w:rPr>
          <w:rStyle w:val="FootnoteAnchor"/>
          <w:rtl w:val="true"/>
        </w:rPr>
        <w:footnoteReference w:id="573"/>
      </w:r>
      <w:r>
        <w:rPr>
          <w:rFonts w:ascii="Amiri" w:hAnsi="Amiri" w:eastAsia="Amiri" w:cs="Amiri"/>
          <w:color w:val="111111"/>
          <w:sz w:val="28"/>
          <w:sz w:val="28"/>
          <w:szCs w:val="28"/>
          <w:rtl w:val="true"/>
          <w:lang w:bidi="ar-SA"/>
        </w:rPr>
        <w:t>، وأن أكثر</w:t>
      </w:r>
      <w:r>
        <w:rPr>
          <w:rStyle w:val="FootnoteAnchor"/>
          <w:rtl w:val="true"/>
        </w:rPr>
        <w:footnoteReference w:id="574"/>
      </w:r>
      <w:r>
        <w:rPr>
          <w:rFonts w:ascii="Amiri" w:hAnsi="Amiri" w:eastAsia="Amiri" w:cs="Amiri"/>
          <w:color w:val="111111"/>
          <w:sz w:val="28"/>
          <w:sz w:val="28"/>
          <w:szCs w:val="28"/>
          <w:rtl w:val="true"/>
          <w:lang w:bidi="ar-SA"/>
        </w:rPr>
        <w:t>النفاس ثمانية عشر يوماً</w:t>
      </w:r>
      <w:r>
        <w:rPr>
          <w:rStyle w:val="FootnoteAnchor"/>
          <w:rtl w:val="true"/>
        </w:rPr>
        <w:footnoteReference w:id="575"/>
      </w:r>
      <w:r>
        <w:rPr>
          <w:rFonts w:ascii="Amiri" w:hAnsi="Amiri" w:eastAsia="Amiri" w:cs="Amiri"/>
          <w:color w:val="111111"/>
          <w:sz w:val="28"/>
          <w:sz w:val="28"/>
          <w:szCs w:val="28"/>
          <w:rtl w:val="true"/>
          <w:lang w:bidi="ar-SA"/>
        </w:rPr>
        <w:t>، وأنّ خِيارَ الحيوانِ يَثْبُتُ للمتبايعين معاً</w:t>
      </w:r>
      <w:r>
        <w:rPr>
          <w:rStyle w:val="FootnoteAnchor"/>
          <w:rtl w:val="true"/>
        </w:rPr>
        <w:footnoteReference w:id="576"/>
      </w:r>
      <w:r>
        <w:rPr>
          <w:rFonts w:ascii="Amiri" w:hAnsi="Amiri" w:eastAsia="Amiri" w:cs="Amiri"/>
          <w:color w:val="111111"/>
          <w:sz w:val="28"/>
          <w:sz w:val="28"/>
          <w:szCs w:val="28"/>
          <w:rtl w:val="true"/>
          <w:lang w:bidi="ar-SA"/>
        </w:rPr>
        <w:t xml:space="preserve">، وأن الشفعة تثبت في كلّ مبيعٍ من </w:t>
      </w:r>
    </w:p>
    <w:p>
      <w:pPr>
        <w:pStyle w:val="BookText"/>
        <w:rPr/>
      </w:pPr>
      <w:r>
        <w:rPr>
          <w:rFonts w:ascii="Amiri" w:hAnsi="Amiri" w:eastAsia="Amiri" w:cs="Amiri"/>
          <w:color w:val="111111"/>
          <w:sz w:val="28"/>
          <w:sz w:val="28"/>
          <w:szCs w:val="28"/>
          <w:rtl w:val="true"/>
          <w:lang w:bidi="ar-SA"/>
        </w:rPr>
        <w:t>حيوان وعُروض ومنقول وغيره، قابل للقسمة وغيره</w:t>
      </w:r>
      <w:r>
        <w:rPr>
          <w:rStyle w:val="FootnoteAnchor"/>
          <w:rtl w:val="true"/>
        </w:rPr>
        <w:footnoteReference w:id="577"/>
      </w:r>
      <w:r>
        <w:rPr>
          <w:rFonts w:ascii="Amiri" w:hAnsi="Amiri" w:eastAsia="Amiri" w:cs="Amiri"/>
          <w:color w:val="111111"/>
          <w:sz w:val="28"/>
          <w:sz w:val="28"/>
          <w:szCs w:val="28"/>
          <w:rtl w:val="true"/>
          <w:lang w:bidi="ar-SA"/>
        </w:rPr>
        <w:t>، وأن أكثر الحمل سنّة</w:t>
      </w:r>
      <w:r>
        <w:rPr>
          <w:rStyle w:val="FootnoteAnchor"/>
          <w:rtl w:val="true"/>
        </w:rPr>
        <w:footnoteReference w:id="578"/>
      </w:r>
      <w:r>
        <w:rPr>
          <w:rFonts w:ascii="Amiri" w:hAnsi="Amiri" w:eastAsia="Amiri" w:cs="Amiri"/>
          <w:color w:val="111111"/>
          <w:sz w:val="28"/>
          <w:sz w:val="28"/>
          <w:szCs w:val="28"/>
          <w:rtl w:val="true"/>
          <w:lang w:bidi="ar-SA"/>
        </w:rPr>
        <w:t>، وأنّ الهبة جائزة ما لم تُعَوَّض وإنْ كانت لذي رَحِم</w:t>
      </w:r>
      <w:r>
        <w:rPr>
          <w:rStyle w:val="FootnoteAnchor"/>
          <w:rtl w:val="true"/>
        </w:rPr>
        <w:footnoteReference w:id="579"/>
      </w:r>
      <w:r>
        <w:rPr>
          <w:rFonts w:ascii="Amiri" w:hAnsi="Amiri" w:eastAsia="Amiri" w:cs="Amiri"/>
          <w:color w:val="111111"/>
          <w:sz w:val="28"/>
          <w:sz w:val="28"/>
          <w:szCs w:val="28"/>
          <w:rtl w:val="true"/>
          <w:lang w:bidi="ar-SA"/>
        </w:rPr>
        <w:t>، وأنّ المهرَ لا تصحُّ زيادته عن خمسمائة قيمتُها خمسون ديناراً، فما زاد عنها يُردُّ إليها</w:t>
      </w:r>
      <w:r>
        <w:rPr>
          <w:rStyle w:val="FootnoteAnchor"/>
          <w:rtl w:val="true"/>
        </w:rPr>
        <w:footnoteReference w:id="580"/>
      </w:r>
      <w:r>
        <w:rPr>
          <w:rFonts w:ascii="Amiri" w:hAnsi="Amiri" w:eastAsia="Amiri" w:cs="Amiri"/>
          <w:color w:val="111111"/>
          <w:sz w:val="28"/>
          <w:sz w:val="28"/>
          <w:szCs w:val="28"/>
          <w:rtl w:val="true"/>
          <w:lang w:bidi="ar-SA"/>
        </w:rPr>
        <w:t>، وأنّ العقيقة واجبةٌ</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المواضع التي اختص هو بالقول بها فضلاً عن أن يوافقه فيها شُذوذٌ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دعوى الشيخ في كتبه ما هو أعجب من ذلك وأكثرُ، لا يقتضي الحال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ضَمَمْنا إليه ما ادّعاء كثير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المرحوم الشيخ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لطال الخطبُ</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غريبها دعوى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الألفيّة الإجماع على أنّ ناسي الغصب في الثوب والمكان لا تجب عليه الإعادة خارج الوقتِ</w:t>
      </w:r>
      <w:r>
        <w:rPr>
          <w:rStyle w:val="FootnoteAnchor"/>
          <w:rtl w:val="true"/>
        </w:rPr>
        <w:footnoteReference w:id="582"/>
      </w:r>
      <w:r>
        <w:rPr>
          <w:rFonts w:ascii="Amiri" w:hAnsi="Amiri" w:eastAsia="Amiri" w:cs="Amiri"/>
          <w:color w:val="111111"/>
          <w:sz w:val="28"/>
          <w:sz w:val="28"/>
          <w:szCs w:val="28"/>
          <w:rtl w:val="true"/>
          <w:lang w:bidi="ar-SA"/>
        </w:rPr>
        <w:t>، مع ظهورِ المخالف في ذلك، حتّى أن الفاضل في القواعد أفتى بالإعادة مطلقاً كالعالم</w:t>
      </w:r>
      <w:r>
        <w:rPr>
          <w:rStyle w:val="FootnoteAnchor"/>
          <w:rtl w:val="true"/>
        </w:rPr>
        <w:footnoteReference w:id="583"/>
      </w:r>
      <w:r>
        <w:rPr>
          <w:rFonts w:ascii="Amiri" w:hAnsi="Amiri" w:eastAsia="Amiri" w:cs="Amiri"/>
          <w:color w:val="111111"/>
          <w:sz w:val="28"/>
          <w:sz w:val="28"/>
          <w:szCs w:val="28"/>
          <w:rtl w:val="true"/>
          <w:lang w:bidi="ar-SA"/>
        </w:rPr>
        <w:t>، وفي شرحها للشيخ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المسألة ثلاثة أقوال الإعادة مطلقاً، وفي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وعدمُها مطلقاً</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ادّعى في شرحه للقواعد الإجماعَ على أنّ المستعير لزرع نوعٍ له التخطي إلى المُساوي والأدونِ</w:t>
      </w:r>
      <w:r>
        <w:rPr>
          <w:rStyle w:val="FootnoteAnchor"/>
          <w:rtl w:val="true"/>
        </w:rPr>
        <w:footnoteReference w:id="585"/>
      </w:r>
      <w:r>
        <w:rPr>
          <w:rFonts w:ascii="Amiri" w:hAnsi="Amiri" w:eastAsia="Amiri" w:cs="Amiri"/>
          <w:color w:val="111111"/>
          <w:sz w:val="28"/>
          <w:sz w:val="28"/>
          <w:szCs w:val="28"/>
          <w:rtl w:val="true"/>
          <w:lang w:bidi="ar-SA"/>
        </w:rPr>
        <w:t xml:space="preserve">، مع أن مختار المحقّق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التخطّي إلى الأقلّ ضرراً فضلاً عن المُساوي</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ادعى الإجماع فيه </w:t>
      </w:r>
    </w:p>
    <w:p>
      <w:pPr>
        <w:pStyle w:val="BookText"/>
        <w:rPr/>
      </w:pPr>
      <w:r>
        <w:rPr>
          <w:rFonts w:ascii="Amiri" w:hAnsi="Amiri" w:eastAsia="Amiri" w:cs="Amiri"/>
          <w:color w:val="111111"/>
          <w:sz w:val="28"/>
          <w:sz w:val="28"/>
          <w:szCs w:val="28"/>
          <w:rtl w:val="true"/>
          <w:lang w:bidi="ar-SA"/>
        </w:rPr>
        <w:t>أيضاً على أنّ المساقاة لا تَبْطُلُ بالمَوتِ</w:t>
      </w:r>
      <w:r>
        <w:rPr>
          <w:rStyle w:val="FootnoteAnchor"/>
          <w:rtl w:val="true"/>
        </w:rPr>
        <w:footnoteReference w:id="587"/>
      </w:r>
      <w:r>
        <w:rPr>
          <w:rFonts w:ascii="Amiri" w:hAnsi="Amiri" w:eastAsia="Amiri" w:cs="Amiri"/>
          <w:color w:val="111111"/>
          <w:sz w:val="28"/>
          <w:sz w:val="28"/>
          <w:szCs w:val="28"/>
          <w:rtl w:val="true"/>
          <w:lang w:bidi="ar-SA"/>
        </w:rPr>
        <w:t>، مع أنّ الشيخ في المبسوط جزم ببطلانها ونَسَبه إلى علمائنا بعبارةٍ تُشعِرُ بالإجماع ولا أقل من الخِلافِ</w:t>
      </w:r>
      <w:r>
        <w:rPr>
          <w:rStyle w:val="FootnoteAnchor"/>
          <w:rtl w:val="true"/>
        </w:rPr>
        <w:footnoteReference w:id="588"/>
      </w:r>
      <w:r>
        <w:rPr>
          <w:rFonts w:ascii="Amiri" w:hAnsi="Amiri" w:eastAsia="Amiri" w:cs="Amiri"/>
          <w:color w:val="111111"/>
          <w:sz w:val="28"/>
          <w:sz w:val="28"/>
          <w:szCs w:val="28"/>
          <w:rtl w:val="true"/>
          <w:lang w:bidi="ar-SA"/>
        </w:rPr>
        <w:t>، وفي الشرائع</w:t>
      </w:r>
      <w:r>
        <w:rPr>
          <w:rStyle w:val="FootnoteAnchor"/>
          <w:rtl w:val="true"/>
        </w:rPr>
        <w:footnoteReference w:id="589"/>
      </w:r>
      <w:r>
        <w:rPr>
          <w:rFonts w:ascii="Amiri" w:hAnsi="Amiri" w:eastAsia="Amiri" w:cs="Amiri"/>
          <w:color w:val="111111"/>
          <w:sz w:val="28"/>
          <w:sz w:val="28"/>
          <w:szCs w:val="28"/>
          <w:rtl w:val="true"/>
          <w:lang w:bidi="ar-SA"/>
        </w:rPr>
        <w:t>، ومختصرها صرّح بالخلافِ في المسألة أيضاً</w:t>
      </w:r>
      <w:r>
        <w:rPr>
          <w:rStyle w:val="FootnoteAnchor"/>
          <w:rtl w:val="true"/>
        </w:rPr>
        <w:footnoteReference w:id="590"/>
      </w:r>
      <w:r>
        <w:rPr>
          <w:rFonts w:ascii="Amiri" w:hAnsi="Amiri" w:eastAsia="Amiri" w:cs="Amiri"/>
          <w:color w:val="111111"/>
          <w:sz w:val="28"/>
          <w:sz w:val="28"/>
          <w:szCs w:val="28"/>
          <w:rtl w:val="true"/>
          <w:lang w:bidi="ar-SA"/>
        </w:rPr>
        <w:t>، ولو أتيتُ لكَ على جميع ما ذكره من ذلك في مؤلّفاته ورسائله لطال، وفي هذا القدر كفاية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أضفت هذا إلى ما قرَّرناه سابقاً كفاك في الدلالة على حالِ هذا الإجماع ونقله بخبر الواحدِ المنقول به الإجماعُ، واللّه يشهد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به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من كشفِ هذا كلّه ليس إلا بيانَ الحقّ الواجب المتوقِّفِ عليه؛ لقوّةِ عُسر الفطام عن المذهب الذي تألّفه الأنام، ولولاه لكان لنا عنه أعظمُ،صارفٍ، واللّه تعالى يتولّى أسرار عبادِه ويَعْلَمُ حقائق أحكامه، وهو حسبنا ونعم الوكيل</w:t>
      </w:r>
      <w:r>
        <w:rPr>
          <w:rFonts w:eastAsia="Amiri" w:cs="Amiri" w:ascii="Amiri" w:hAnsi="Amiri"/>
          <w:color w:val="111111"/>
          <w:sz w:val="28"/>
          <w:szCs w:val="28"/>
          <w:rtl w:val="true"/>
          <w:lang w:bidi="ar-SA"/>
        </w:rPr>
        <w:t xml:space="preserve">. </w:t>
      </w:r>
      <w:bookmarkStart w:id="297" w:name="pg10113_92074"/>
    </w:p>
    <w:p>
      <w:pPr>
        <w:pStyle w:val="Heading4"/>
        <w:numPr>
          <w:ilvl w:val="3"/>
          <w:numId w:val="1"/>
        </w:numPr>
        <w:rPr/>
      </w:pPr>
      <w:bookmarkStart w:id="298" w:name="__RefHeading___Toc375375_1067777946"/>
      <w:bookmarkStart w:id="299" w:name="_Toc96"/>
      <w:bookmarkEnd w:id="297"/>
      <w:bookmarkEnd w:id="298"/>
      <w:r>
        <w:rPr>
          <w:rtl w:val="true"/>
        </w:rPr>
        <w:t>ترغيب المؤلّف وحثّه على صلاة الجمعة</w:t>
      </w:r>
      <w:bookmarkEnd w:id="299"/>
    </w:p>
    <w:p>
      <w:pPr>
        <w:pStyle w:val="BookText"/>
        <w:rPr/>
      </w:pPr>
      <w:r>
        <w:rPr>
          <w:rFonts w:ascii="Amiri" w:hAnsi="Amiri" w:eastAsia="Amiri" w:cs="Amiri"/>
          <w:color w:val="111111"/>
          <w:sz w:val="28"/>
          <w:sz w:val="28"/>
          <w:szCs w:val="28"/>
          <w:rtl w:val="true"/>
          <w:lang w:bidi="ar-SA"/>
        </w:rPr>
        <w:t>ختم ونصيحة</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اعتبرت ما ذكرناه من الأدلّة على هذه الفريضة المعظمة، وما ورد من الحث عليها في غير ما ذكرناه مضافاً إليه، وما أعدّه اللّه من الثواب الجزيل عليها وعلى ما يتبعها ويتعلَّقُ بها يومَ الجمعةِ من الوظائف والطاعات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نحو مائة وظيفةٍ</w:t>
      </w:r>
      <w:r>
        <w:rPr>
          <w:rStyle w:val="FootnoteAnchor"/>
          <w:rtl w:val="true"/>
        </w:rPr>
        <w:footnoteReference w:id="591"/>
      </w:r>
      <w:r>
        <w:rPr>
          <w:rFonts w:ascii="Amiri" w:hAnsi="Amiri" w:eastAsia="Amiri" w:cs="Amiri"/>
          <w:color w:val="111111"/>
          <w:sz w:val="28"/>
          <w:sz w:val="28"/>
          <w:szCs w:val="28"/>
          <w:rtl w:val="true"/>
          <w:lang w:bidi="ar-SA"/>
        </w:rPr>
        <w:t xml:space="preserve">قد أفردنا عيونها في رسالةٍ مفردةٍ ذكرنا فيها خصوصيات يوم الجمعة </w:t>
      </w: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ونظرت</w:t>
      </w:r>
      <w:r>
        <w:rPr>
          <w:rStyle w:val="FootnoteAnchor"/>
          <w:rtl w:val="true"/>
        </w:rPr>
        <w:footnoteReference w:id="593"/>
      </w:r>
      <w:r>
        <w:rPr>
          <w:rFonts w:ascii="Amiri" w:hAnsi="Amiri" w:eastAsia="Amiri" w:cs="Amiri"/>
          <w:color w:val="111111"/>
          <w:sz w:val="28"/>
          <w:sz w:val="28"/>
          <w:szCs w:val="28"/>
          <w:rtl w:val="true"/>
          <w:lang w:bidi="ar-SA"/>
        </w:rPr>
        <w:t>إلى شرف هذا اليوم المذخور لهذه الأُمَّةِ</w:t>
      </w:r>
      <w:r>
        <w:rPr>
          <w:rStyle w:val="FootnoteAnchor"/>
          <w:rtl w:val="true"/>
        </w:rPr>
        <w:footnoteReference w:id="594"/>
      </w:r>
      <w:r>
        <w:rPr>
          <w:rFonts w:ascii="Amiri" w:hAnsi="Amiri" w:eastAsia="Amiri" w:cs="Amiri"/>
          <w:color w:val="111111"/>
          <w:sz w:val="28"/>
          <w:sz w:val="28"/>
          <w:szCs w:val="28"/>
          <w:rtl w:val="true"/>
          <w:lang w:bidi="ar-SA"/>
        </w:rPr>
        <w:t xml:space="preserve">، كما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أُمَّةٍ يوماً يَفْزَعون فيه إليه ويجتمعون على طاعته، واعتبرت الحكمة الإلهيّة الباعثة على الأمر بهذا الاجتماع، وإيجاب الخطبة المشتملة على الموعظة وتذكير الخلق باللّه تعالى وأمرهم بطاعته وزجرهم عن معصيته وتزهيدهم في هذه الدنيا الفانية وترغيبهم في الدار الآخرةِ الباقية المشتملة على ما لا عين رأت ولا أُذن سمعت ولاخطر على قلب بشر</w:t>
      </w:r>
      <w:r>
        <w:rPr>
          <w:rStyle w:val="FootnoteAnchor"/>
          <w:rtl w:val="true"/>
        </w:rPr>
        <w:footnoteReference w:id="595"/>
      </w:r>
      <w:r>
        <w:rPr>
          <w:rFonts w:ascii="Amiri" w:hAnsi="Amiri" w:eastAsia="Amiri" w:cs="Amiri"/>
          <w:color w:val="111111"/>
          <w:sz w:val="28"/>
          <w:sz w:val="28"/>
          <w:szCs w:val="28"/>
          <w:rtl w:val="true"/>
          <w:lang w:bidi="ar-SA"/>
        </w:rPr>
        <w:t xml:space="preserve">، وحنّهم على التخلُّقِ بالأخلاق الجميلة واجتناب السمات الرذيلة، وغير ذلك من المقاصدِ الجليلة، كما يطَّلِعُ عليها من طالع </w:t>
      </w:r>
      <w:bookmarkStart w:id="300" w:name="pg10113_92075"/>
    </w:p>
    <w:p>
      <w:pPr>
        <w:pStyle w:val="BookText"/>
        <w:rPr/>
      </w:pPr>
      <w:bookmarkEnd w:id="300"/>
      <w:r>
        <w:rPr>
          <w:rFonts w:ascii="Amiri" w:hAnsi="Amiri" w:eastAsia="Amiri" w:cs="Amiri"/>
          <w:color w:val="111111"/>
          <w:sz w:val="28"/>
          <w:sz w:val="28"/>
          <w:szCs w:val="28"/>
          <w:rtl w:val="true"/>
          <w:lang w:bidi="ar-SA"/>
        </w:rPr>
        <w:t xml:space="preserve">الخُطَبَ المرويّة عن النبيّ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الأئمّة الراشدين والعلماء الصالحين، علمتَ</w:t>
      </w:r>
      <w:r>
        <w:rPr>
          <w:rStyle w:val="FootnoteAnchor"/>
          <w:rtl w:val="true"/>
        </w:rPr>
        <w:footnoteReference w:id="596"/>
      </w:r>
      <w:r>
        <w:rPr>
          <w:rFonts w:ascii="Amiri" w:hAnsi="Amiri" w:eastAsia="Amiri" w:cs="Amiri"/>
          <w:color w:val="111111"/>
          <w:sz w:val="28"/>
          <w:sz w:val="28"/>
          <w:szCs w:val="28"/>
          <w:rtl w:val="true"/>
          <w:lang w:bidi="ar-SA"/>
        </w:rPr>
        <w:t>حينئذٍ أنّ هذا المقصد العظيم والمطلب الجليل لا يليقُ من الحكيمِ إبطاله ولا يحسُنُ من العاقل إهماله، بل ينبغي بذل الهمَّة فيه، وصرفُ الحيلة الى فعله، وبذل الجهدِ في تحصيل شرائطه ورفع موانعه ليفوز بهذه الفضيلة الكاملة، ويحوز هذه المثوبة الفاضلة</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375377_1067777946"/>
      <w:bookmarkStart w:id="302" w:name="_Toc97"/>
      <w:bookmarkEnd w:id="301"/>
      <w:r>
        <w:rPr>
          <w:rtl w:val="true"/>
        </w:rPr>
        <w:t>الأحاديث المرغبة في صلاة الجمعة</w:t>
      </w:r>
      <w:bookmarkEnd w:id="302"/>
    </w:p>
    <w:p>
      <w:pPr>
        <w:pStyle w:val="BookText"/>
        <w:rPr/>
      </w:pPr>
      <w:r>
        <w:rPr>
          <w:rFonts w:ascii="Amiri" w:hAnsi="Amiri" w:eastAsia="Amiri" w:cs="Amiri"/>
          <w:color w:val="111111"/>
          <w:sz w:val="28"/>
          <w:sz w:val="28"/>
          <w:szCs w:val="28"/>
          <w:rtl w:val="true"/>
          <w:lang w:bidi="ar-SA"/>
        </w:rPr>
        <w:t xml:space="preserve">وقد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الجمعة إيماناً واحتساباً استأنف العمل</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أعرابي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إنّي تهيأتُ إلى الحجّ كذا وكذا مرّةً فما قُدِّر 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قليب، عليك بالجمعة؛ فإنّها حجّ المساكين</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غَسَلَ واغْتَسَلَ وبَكَرَ وابْتَكَر ودنا وأنصتَ ولم يَلغُ كان له بكل خطوةٍ كأجر عبادَةِ سنة صيامها وقيامها</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مواضع الوضوء واغتسل يعني جسده، وبكر في غُسله، وابتكر يعني إلى الجامع</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تطلع الشمس ولم تغرب على يوم أفضل من يومِ الجمعةِ، وما من دابّة إلّا وهي تَفْزَعُ من يومِ الجمعةِ إلَّا الثقلين الإنس والجن، وعلى كلّ بابٍ من أبواب المساجدِ ملكان يكتبان الناسَ الأوّل فالأوّل فَكَرَجُلٍ قدّم بدنةً وكرجل قدّمَ بقرةً وكرجلٍ </w:t>
      </w:r>
    </w:p>
    <w:p>
      <w:pPr>
        <w:pStyle w:val="BookText"/>
        <w:rPr/>
      </w:pPr>
      <w:r>
        <w:rPr>
          <w:rFonts w:ascii="Amiri" w:hAnsi="Amiri" w:eastAsia="Amiri" w:cs="Amiri"/>
          <w:color w:val="111111"/>
          <w:sz w:val="28"/>
          <w:sz w:val="28"/>
          <w:szCs w:val="28"/>
          <w:rtl w:val="true"/>
          <w:lang w:bidi="ar-SA"/>
        </w:rPr>
        <w:t>قدّم شاةً وكرجل قدَّم طيراً وكرجل قدّم بيضةً، فإذا قعد الإمامُ طُويت الصُحُفُ</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 نحوه، وفي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خرج الإمامُ حضرت الملائكةُ يستمعونَ الذكر</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توضأ يومَ الجمعةِ وأحسن الوضوء ثم أتى الجمعة فدنا واستمع وأنصتَ غُفِر له ما بينه وبين الجمعة الأخرى وزيادة ثلاثةِ أيّام</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الجمعة خرج أحلاف</w:t>
      </w:r>
      <w:r>
        <w:rPr>
          <w:rStyle w:val="FootnoteAnchor"/>
          <w:rtl w:val="true"/>
        </w:rPr>
        <w:footnoteReference w:id="604"/>
      </w:r>
      <w:r>
        <w:rPr>
          <w:rFonts w:ascii="Amiri" w:hAnsi="Amiri" w:eastAsia="Amiri" w:cs="Amiri"/>
          <w:color w:val="111111"/>
          <w:sz w:val="28"/>
          <w:sz w:val="28"/>
          <w:szCs w:val="28"/>
          <w:rtl w:val="true"/>
          <w:lang w:bidi="ar-SA"/>
        </w:rPr>
        <w:t>الشياطين يُزيّنونَ أسواقهم ومعهم الراياتُ وتَقْعُد الملائكةُ على أبواب المساجد فيكتبون الناس على منازلهم حتّى يخرج الإمام، فمَن دنا إلى الإمام وأنصت واستمع ولم يلغُ كان له كفلان من الأجر، ومن تباعد عنه فاستمع وأنصتَ ولم يَلغُ كان له كفل من الأجر، ومن دنا من الإمامِ فلغا ولم يستمع كان عليه كفلانِ مِن الوِزرِ، ومن قال لصاحبه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تكلَّم، ومَن تكلَّم فلا جمعة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هكذا سمعت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عبد اللّه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اللّه الجمعة على غيرها من الأيّام، وإنّ الجنانَ لَتُزَخْرَفٌ وتُزَيَّنُ يومَ الجمعةِ لِمَن أتاها، وإنّكم تتسابقون إلى الجنّةِ على قدرِ سبقكم إلى الجمعة، وإنّ أبواب السماءِ لَتُفْتَحُ لِصُعودِ أعمال العبادِ</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الصدوق بإسناده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الملائكة المقربين يهبطونَ في كلّ جمعةٍ معهم قراطيسُ الفضَّةِ وأقلام الذهب فيجلسون على أبواب المسجد على </w:t>
      </w:r>
    </w:p>
    <w:p>
      <w:pPr>
        <w:pStyle w:val="BookText"/>
        <w:rPr/>
      </w:pPr>
      <w:r>
        <w:rPr>
          <w:rFonts w:ascii="Amiri" w:hAnsi="Amiri" w:eastAsia="Amiri" w:cs="Amiri"/>
          <w:color w:val="111111"/>
          <w:sz w:val="28"/>
          <w:sz w:val="28"/>
          <w:szCs w:val="28"/>
          <w:rtl w:val="true"/>
          <w:lang w:bidi="ar-SA"/>
        </w:rPr>
        <w:t>كراسيَّ من نورٍ، فيكتبون من حضر الجمعة الأوّل والثاني والثالث حتّى يخرجَ الإمامُ، فإذا خرج الإمامُ طَوَوا صُحُفَهم</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معنى هذه أخبار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ويكفيك في فضل هذه الصلاةِ اعتبار واحدٌ، وهو أنّ يومَ الجمعةِ أفضلُ الأيّام مطلقاً، كما ورد في صحاح الأخبار، وصرَّحَ به العلماء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يوم الجمعة سيِّد الأيّام تُضاعَفُ فيه الحسناتُ وتُمحى فيه السيّئاتُ وتُكشَفُ فيه الكُرُباتُ وتُقضى فيه الحاجات العظام وهو يومُ المزيد، للّه فيه عُتَقاءُ وطُلَقاءُ من النار، ما دعا اللّه فيه أحدٌ من الناسِ وعرف حقه وحرمته إلّا كان حقاً على اللّه تعالى أن يجعله من عتقائه وطلقائه من النار، وما استخفَّ أحدٌ بحرمته وضيَّعَ حقَّهُ إلّا كان حقّاً على اللّه تعالى أن يصليه نار جهنَّمَ إِلّا أنْ يتوبَ</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طَلَعت الشمسُ بيومٍ أفضل من يوم الجمعة</w:t>
      </w:r>
      <w:r>
        <w:rPr>
          <w:rFonts w:eastAsia="Amiri" w:cs="Amiri" w:ascii="Amiri" w:hAnsi="Amiri"/>
          <w:color w:val="111111"/>
          <w:sz w:val="28"/>
          <w:szCs w:val="28"/>
          <w:rtl w:val="true"/>
          <w:lang w:bidi="ar-SA"/>
        </w:rPr>
        <w:t>»</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 أخبار كثيرة دلّتْ على أنه أفضل الأيّام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أيضاً بأنّ الصلاة اليومية من بين العباداتِ بعد الإيمانِ أفضلُ مطلقاً، وناهيك فيه بما رواه معاوية بن وهب في الصحيح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أفضلِ ما يَتَقَرَّبُ به العبادُ إلى ربِّهم وأحبّ ذلك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أعلم شيئاً بعد المعرفة أفضل من هذه الصلاة، ألا ترى إلى العبد الصالح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وَأَوْصاَنِي بِالصَّلَوَةِ وَالزَّكَوَةِ مَا دُمْتُ حَيًّا</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أيضاً أنّ أفضل الصلواتِ اليوميَّةِ الصلاة الوسطى التي خصّها اللّه تعالى من </w:t>
      </w:r>
      <w:bookmarkStart w:id="303" w:name="pg10113_92078"/>
    </w:p>
    <w:p>
      <w:pPr>
        <w:pStyle w:val="BookText"/>
        <w:rPr/>
      </w:pPr>
      <w:bookmarkEnd w:id="303"/>
      <w:r>
        <w:rPr>
          <w:rFonts w:ascii="Amiri" w:hAnsi="Amiri" w:eastAsia="Amiri" w:cs="Amiri"/>
          <w:color w:val="111111"/>
          <w:sz w:val="28"/>
          <w:sz w:val="28"/>
          <w:szCs w:val="28"/>
          <w:rtl w:val="true"/>
          <w:lang w:bidi="ar-SA"/>
        </w:rPr>
        <w:t xml:space="preserve">بينها بالأمر بالمحافظة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أمر بالمحافظة على سائر 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المزيد العناية بها وشدَّةِ الاهتمام بفعلها،</w:t>
      </w:r>
    </w:p>
    <w:p>
      <w:pPr>
        <w:pStyle w:val="Heading4"/>
        <w:numPr>
          <w:ilvl w:val="3"/>
          <w:numId w:val="1"/>
        </w:numPr>
        <w:rPr/>
      </w:pPr>
      <w:bookmarkStart w:id="304" w:name="__RefHeading___Toc375379_1067777946"/>
      <w:bookmarkStart w:id="305" w:name="_Toc98"/>
      <w:bookmarkEnd w:id="304"/>
      <w:r>
        <w:rPr>
          <w:rtl w:val="true"/>
        </w:rPr>
        <w:t>الصلاة الوسطى أفضل فرديها الجمعة</w:t>
      </w:r>
      <w:bookmarkEnd w:id="30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وأصحّ الأقوال أنّ الصلاة الوسطى هي صلاة الظهر، وصلاة الظهر يوم الجمعة هي صلاة الجمعة على ما تَحقَّق</w:t>
      </w:r>
      <w:r>
        <w:rPr>
          <w:rStyle w:val="FootnoteAnchor"/>
          <w:rtl w:val="true"/>
        </w:rPr>
        <w:footnoteReference w:id="611"/>
      </w:r>
      <w:r>
        <w:rPr>
          <w:rFonts w:ascii="Amiri" w:hAnsi="Amiri" w:eastAsia="Amiri" w:cs="Amiri"/>
          <w:color w:val="111111"/>
          <w:sz w:val="28"/>
          <w:sz w:val="28"/>
          <w:szCs w:val="28"/>
          <w:rtl w:val="true"/>
          <w:lang w:bidi="ar-SA"/>
        </w:rPr>
        <w:t>، أو هي أفضل فردَيها على ما تقرّر، وقد ظهر من جميعِ هذه المقدمات القطعيّة أنّ صلاة الجمعة أفضلُ الأعمال الواقعة من المكلّفين بعد الإيمانِ مطلقاً، وأن يومَها أفضل الأيّام</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يسعُ الرجل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خلقه اللّه تعالى لعبادته وفضَّله على جميع بريّته وبَيَّن له مواقع أمره ونهيه وعرَّضه بذلك للسعادة الأبدية والكمالات النفسيّة السرمديّة، وأرشده إلى هذه العبادة المعطّمةِ السَنيَّة، ودلَّه على مَثوبتها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يَتَهاوَنَ في هذه العبادة الجليلة ويُضَيَّعَ هذه الجوهرة الأثيلة النبيلة، أو يتهاون بحرمة هذا اليوم الشريف والزمن المُنِيفِ ويصرِفَه في البطالة وما في معناها، فإنّ من قدر على اكتساب دُرّةٍ يتيمةٍ قيمتها مائة ألف دينار مثلاً في ساعةٍ خفيفة فاشتغل عنها باكتساب خِرقةٍ قيمتها فَلْسٌ، يُعَدُّ عند العقلاء من جملة السفهاء الأغبياء، وأين نسبةُ الدنيا بأسرها إلى ثواب صلاة فريضةٍ،واحدةٍ، مع ما قد استفاضَ بطريق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صلاة فريضةٍ أفضل من الدنيا وما فيها</w:t>
      </w:r>
      <w:r>
        <w:rPr>
          <w:rStyle w:val="FootnoteAnchor"/>
          <w:rtl w:val="true"/>
        </w:rPr>
        <w:footnoteReference w:id="613"/>
      </w:r>
      <w:r>
        <w:rPr>
          <w:rFonts w:ascii="Amiri" w:hAnsi="Amiri" w:eastAsia="Amiri" w:cs="Amiri"/>
          <w:color w:val="111111"/>
          <w:sz w:val="28"/>
          <w:sz w:val="28"/>
          <w:szCs w:val="28"/>
          <w:rtl w:val="true"/>
          <w:lang w:bidi="ar-SA"/>
        </w:rPr>
        <w:t>وأنّ صلاتها خيرٌ من عشرين حِجَّة، وحِجّةٌ خيرٌ من بيتٍ مملوء ذهباً يُتَصَدَّقُ به حتّى يفنى الذهب</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ظنّك بفريضةٍ هي أعظمُ الفرائض وأفضلها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تقدير السلامة من العقاب والابتلاء بحرمان الثواب، فكيف بالتعرّض لعقاب ترك هذه الفريضة العظيمة والتهاون في حُرمتها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سمعتَ مِن تَوَعُّدِ اللّه تعالى ورسوله وأئمّته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بالخسران العظيم والطبع على القلب والدعاء عليهم من تلك النفوس الشريفة </w:t>
      </w:r>
    </w:p>
    <w:p>
      <w:pPr>
        <w:pStyle w:val="BookText"/>
        <w:rPr/>
      </w:pPr>
      <w:r>
        <w:rPr>
          <w:rFonts w:ascii="Amiri" w:hAnsi="Amiri" w:eastAsia="Amiri" w:cs="Amiri"/>
          <w:color w:val="111111"/>
          <w:sz w:val="28"/>
          <w:sz w:val="28"/>
          <w:szCs w:val="28"/>
          <w:rtl w:val="true"/>
          <w:lang w:bidi="ar-SA"/>
        </w:rPr>
        <w:t>بما سمعت إلى غير ذلك من الوعيدِ وضروب التهديد على ترك الفرائض مطلقاً فضلاً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وتَعلُّلُ ذوي الكسالةِ وأهل البطالة المتهاونين بحرمة ذي الجلالة في تركها يمنع بعض العلماء من فعلها في بعض الحالات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قد عرفتَ مِن شذوذه وضعفِ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 بمثله في الأمرِ بها والحثّ عليها والتهديد لتاركها من اللّه ورسوله وأئمته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والعلماء الصالحين والسلف الماضين ويبقى بعد المعارضة ما هو أضعافُ ذلك، فأيُّ وجهٍ لترجيح هذا الجانب مع خطره وضرره لولا قلة التوفيق وسوء الخذلان وخَدْعُ الشيطانِ ؟</w:t>
      </w:r>
    </w:p>
    <w:p>
      <w:pPr>
        <w:pStyle w:val="BookText"/>
        <w:rPr/>
      </w:pPr>
      <w:r>
        <w:rPr>
          <w:rFonts w:ascii="Amiri" w:hAnsi="Amiri" w:eastAsia="Amiri" w:cs="Amiri"/>
          <w:color w:val="111111"/>
          <w:sz w:val="28"/>
          <w:sz w:val="28"/>
          <w:szCs w:val="28"/>
          <w:rtl w:val="true"/>
          <w:lang w:bidi="ar-SA"/>
        </w:rPr>
        <w:t>نسأل اللّه تعالى بفضله ورحمته أنْ يُنَبِّهَنَا مِن مَراقدِ الغفلة على الأعمال الموجبة لمرضاته، ويجعل ما بقي من أيّام المهلة مقصوراً على أفضل طاعاته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بَيَّنتُ مِن حقِّ هذه الصلاةِ ما قد عرفتُ وأدَّيتُ فيها من حقٌّ أمانة العلم ما أُمِرْتُ، وما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الْإِصْلَاحَ مَا اسْتَطَعْتُ وَمَا تَوْفِيقِي إِلَّا بِاللّه عَلَيْهِ تَوَكَّلْتُ وَإِلَيْهِ أُنِيبُ</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وحَسْبُنَا اللّه وَنِعْمَ الْوَكِيلُ</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وليكن هذا آخر ما نُمْلِيه فى هذه الرسالة حامدين للّه تعالى مُصَلِّينَ على صاحب الرسالة محمد النبيّ المصطفى وآله الأطهار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فرغ من تسويدها مؤلّفها الفقير إلى عفو اللّه تعالى زين الدين بن علي بن أحمدَ الشامي العامليُ غُرَّةَ شهرٍ ربيع الأوّل المُنتظِم في سلك سنة اثنتين وستين وتسعمائة هجرية حامداً مصلّياً مسلّماً مُستغفراً</w:t>
      </w:r>
      <w:r>
        <w:rPr>
          <w:rFonts w:eastAsia="Amiri" w:cs="Amiri" w:ascii="Amiri" w:hAnsi="Amiri"/>
          <w:color w:val="111111"/>
          <w:sz w:val="28"/>
          <w:szCs w:val="28"/>
          <w:rtl w:val="true"/>
          <w:lang w:bidi="ar-SA"/>
        </w:rPr>
        <w:t xml:space="preserve">. </w:t>
      </w:r>
      <w:bookmarkStart w:id="306" w:name="pg10113_92080"/>
    </w:p>
    <w:p>
      <w:pPr>
        <w:pStyle w:val="Heading4"/>
        <w:numPr>
          <w:ilvl w:val="3"/>
          <w:numId w:val="1"/>
        </w:numPr>
        <w:rPr/>
      </w:pPr>
      <w:bookmarkStart w:id="307" w:name="__RefHeading___Toc375381_1067777946"/>
      <w:bookmarkStart w:id="308" w:name="_Toc99"/>
      <w:bookmarkEnd w:id="306"/>
      <w:bookmarkEnd w:id="307"/>
      <w:r>
        <w:rPr>
          <w:rtl w:val="true"/>
        </w:rPr>
        <w:t>رؤوس المطالب في بحث صلاة الجمعة</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للمصنف رحمه اللّه تعالى وجَعَلَ الجنّة مثواه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البحث في هذه المسألة وقع من عَشَرَة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مشروعيّة الجمعة حالَ الغَيبة، والردُّ على مَن مَنَعَ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وجوبها عينياً أو تخييراً وترجيح الحقّ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المذكور هل يتوقّف على إذنِ الإمام أم لا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توقّفه هل يتوقّف على إذنِ الفقيه حالَ الغَيْبَةِ أم لا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مَن ادّعى الإجماع عى اشتراط الفقيه وبطلان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من ادعى الإجماع على سقوط الوجوب العيني حينئذٍ وبطلان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على القاعدة المشهورة من أنّ مخالف الإجماع إذا كان معلوم النسب لا يقدح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على دعوى كونِ الإجماع المنقول بخبر الواحدِ حجّةً وبيانُ فسادِها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أنّ خطأ كثيرٍ من الفضلاء في هذه الدعوى اقتضى انصراف الظَّنِّ عن صدقِ الخبر المذكور الذي هو مناط الحجية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والبحث في بعض هذه المواضيع العَشَرةِ خلافُ المشهور، فيتوقّف التصديقُ بها على إمعان النظر وعزل داعية الهوى والمَيْنِ وتقليدِ السلفِ مِن البَيْن، وطلب الحقّ الذي هو ضالة المؤمن واتِّباعه حيثُ وَجَدَه</w:t>
      </w:r>
      <w:r>
        <w:rPr>
          <w:rStyle w:val="FootnoteAnchor"/>
          <w:rtl w:val="true"/>
        </w:rPr>
        <w:footnoteReference w:id="617"/>
      </w:r>
      <w:r>
        <w:rPr>
          <w:rFonts w:ascii="Amiri" w:hAnsi="Amiri" w:eastAsia="Amiri" w:cs="Amiri"/>
          <w:color w:val="111111"/>
          <w:sz w:val="28"/>
          <w:sz w:val="28"/>
          <w:szCs w:val="28"/>
          <w:rtl w:val="true"/>
          <w:lang w:bidi="ar-SA"/>
        </w:rPr>
        <w:t>، والاعتماد في ذلك كلّه هو على اللّه تعالى، فهو حسبنا وكفى، والحمدُ للّه وحده، وصلّى اللّه على محمّد وآله الطاهرين</w:t>
      </w:r>
      <w:r>
        <w:rPr>
          <w:rFonts w:eastAsia="Amiri" w:cs="Amiri" w:ascii="Amiri" w:hAnsi="Amiri"/>
          <w:color w:val="111111"/>
          <w:sz w:val="28"/>
          <w:szCs w:val="28"/>
          <w:rtl w:val="true"/>
          <w:lang w:bidi="ar-SA"/>
        </w:rPr>
        <w:t xml:space="preserve">. </w:t>
      </w:r>
      <w:bookmarkStart w:id="309" w:name="pg10113_92081"/>
    </w:p>
    <w:p>
      <w:pPr>
        <w:pStyle w:val="Heading3"/>
        <w:numPr>
          <w:ilvl w:val="2"/>
          <w:numId w:val="1"/>
        </w:numPr>
        <w:rPr/>
      </w:pPr>
      <w:bookmarkStart w:id="310" w:name="__RefHeading___Toc375383_1067777946"/>
      <w:bookmarkStart w:id="311" w:name="_Toc100"/>
      <w:bookmarkEnd w:id="309"/>
      <w:bookmarkEnd w:id="310"/>
      <w:r>
        <w:rPr/>
        <w:t>15</w:t>
      </w:r>
      <w:r>
        <w:rPr>
          <w:rtl w:val="true"/>
        </w:rPr>
        <w:t xml:space="preserve">. </w:t>
      </w:r>
      <w:r>
        <w:rPr>
          <w:rtl w:val="true"/>
        </w:rPr>
        <w:t>الحثّ على صلاة الجمعة</w:t>
      </w:r>
      <w:bookmarkEnd w:id="311"/>
    </w:p>
    <w:p>
      <w:pPr>
        <w:pStyle w:val="Heading4"/>
        <w:numPr>
          <w:ilvl w:val="3"/>
          <w:numId w:val="1"/>
        </w:numPr>
        <w:rPr/>
      </w:pPr>
      <w:bookmarkStart w:id="312" w:name="__RefHeading___Toc375385_1067777946"/>
      <w:bookmarkStart w:id="313" w:name="_Toc101"/>
      <w:bookmarkEnd w:id="312"/>
      <w:r>
        <w:rPr>
          <w:rtl w:val="true"/>
        </w:rPr>
        <w:t>إشارة</w:t>
      </w:r>
      <w:r>
        <w:rPr>
          <w:rtl w:val="true"/>
        </w:rPr>
        <w:t>:</w:t>
      </w:r>
      <w:bookmarkEnd w:id="313"/>
    </w:p>
    <w:p>
      <w:pPr>
        <w:pStyle w:val="BookText"/>
        <w:rPr/>
      </w:pPr>
      <w:r>
        <w:rPr>
          <w:rFonts w:ascii="Amiri" w:hAnsi="Amiri" w:eastAsia="Amiri" w:cs="Amiri"/>
          <w:color w:val="111111"/>
          <w:sz w:val="28"/>
          <w:sz w:val="28"/>
          <w:szCs w:val="28"/>
          <w:rtl w:val="true"/>
          <w:lang w:bidi="ar-SA"/>
        </w:rPr>
        <w:t>تحقيق محسن النوروزي</w:t>
      </w:r>
    </w:p>
    <w:p>
      <w:pPr>
        <w:pStyle w:val="BookText"/>
        <w:rPr/>
      </w:pPr>
      <w:r>
        <w:rPr>
          <w:rFonts w:ascii="Amiri" w:hAnsi="Amiri" w:eastAsia="Amiri" w:cs="Amiri"/>
          <w:color w:val="111111"/>
          <w:sz w:val="28"/>
          <w:sz w:val="28"/>
          <w:szCs w:val="28"/>
          <w:rtl w:val="true"/>
          <w:lang w:bidi="ar-SA"/>
        </w:rPr>
        <w:t>مراجعة</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رضا المختاري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4" w:name="pg10113_92083"/>
      <w:bookmarkStart w:id="315" w:name="pg10113_92083"/>
      <w:bookmarkEnd w:id="315"/>
    </w:p>
    <w:p>
      <w:pPr>
        <w:pStyle w:val="BookText"/>
        <w:rPr/>
      </w:pPr>
      <w:bookmarkStart w:id="316" w:name="pg10113_92083"/>
      <w:bookmarkEnd w:id="316"/>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مقاله فى الحثّ على صلاة الجمعة</w:t>
      </w:r>
    </w:p>
    <w:p>
      <w:pPr>
        <w:pStyle w:val="Heading4"/>
        <w:numPr>
          <w:ilvl w:val="3"/>
          <w:numId w:val="1"/>
        </w:numPr>
        <w:rPr/>
      </w:pPr>
      <w:bookmarkStart w:id="317" w:name="__RefHeading___Toc375387_1067777946"/>
      <w:bookmarkStart w:id="318" w:name="_Toc102"/>
      <w:bookmarkEnd w:id="317"/>
      <w:r>
        <w:rPr>
          <w:rtl w:val="true"/>
        </w:rPr>
        <w:t>أمر القرآن الكريم بصلاة الجمعة</w:t>
      </w:r>
      <w:bookmarkEnd w:id="318"/>
    </w:p>
    <w:p>
      <w:pPr>
        <w:pStyle w:val="BookText"/>
        <w:rPr/>
      </w:pPr>
      <w:r>
        <w:rPr>
          <w:rFonts w:ascii="Amiri" w:hAnsi="Amiri" w:eastAsia="Amiri" w:cs="Amiri"/>
          <w:color w:val="111111"/>
          <w:sz w:val="28"/>
          <w:sz w:val="28"/>
          <w:szCs w:val="28"/>
          <w:rtl w:val="true"/>
          <w:lang w:bidi="ar-SA"/>
        </w:rPr>
        <w:t>أرسلتُها إلى المؤمنين بالتماس بعض الأصحاب</w:t>
      </w:r>
    </w:p>
    <w:p>
      <w:pPr>
        <w:pStyle w:val="BookText"/>
        <w:rPr/>
      </w:pPr>
      <w:r>
        <w:rPr>
          <w:rFonts w:ascii="Amiri" w:hAnsi="Amiri" w:eastAsia="Amiri" w:cs="Amiri"/>
          <w:color w:val="111111"/>
          <w:sz w:val="28"/>
          <w:sz w:val="28"/>
          <w:szCs w:val="28"/>
          <w:rtl w:val="true"/>
          <w:lang w:bidi="ar-SA"/>
        </w:rPr>
        <w:t xml:space="preserve">اعلموا مَعاشر إخواننا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أعاننا اللّه وإيّاكم على طاعتِه، وأخذ بنواصينا إلى محبَّتِه، وما يوجِبُ الفوزَ لِقُرب 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صلاة الجمعة من أعظم فرائض الإسلام وأفضل العبادات بعد الإيمان، خصَّ اللّه تعالى بها هذه الأُمِّةَ الكريمة، وجعلَها في ذلك اليوم الشريفِ مِن أجلّ مِنَنه الجسيمة، جامعة بين وظيفة الصلاة والذكر والموعظة واستماعها المُوجِبِ لصفاء القلوب والانبعاتِ على التقوى والبُعدِ عن معصية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خَصَّ اللّه تعالى كلّ ملّةٍ بيومٍ مِنَ الأُسبوع تَتَقَرَّبُ فيه إليه بما شَرَعَ لهم مِنَ الدين، وجعل هذه الصلاة في هذا اليوم خاصةً للمسلمين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خصَّها اللّه تعالى مع ذلك بالحثّ العظيم المؤكَّد عليها بما لم يَفْعَلْه بغيرها مِنَ العبادات، فقال سبحانه في مُحْكم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الَّذِينَ ءَامَنُواْ إِذَا نُودِيَ لِلصَّلَوَةِ مِن يَوْمِ الْجُمُعَةِ فَاسْعَوْا إِلَى ذِكْرِ اللّه وَذَرُوا الْبَيْعَ ذَلِكُمْ خَيْرٌ لَّكُمْ إِن كُنتُمْ تَعْلَمُونَ</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bookmarkStart w:id="319" w:name="pg10113_92084"/>
    </w:p>
    <w:p>
      <w:pPr>
        <w:pStyle w:val="BookText"/>
        <w:rPr/>
      </w:pPr>
      <w:bookmarkEnd w:id="319"/>
      <w:r>
        <w:rPr>
          <w:rFonts w:ascii="Amiri" w:hAnsi="Amiri" w:eastAsia="Amiri" w:cs="Amiri"/>
          <w:color w:val="111111"/>
          <w:sz w:val="28"/>
          <w:sz w:val="28"/>
          <w:szCs w:val="28"/>
          <w:rtl w:val="true"/>
          <w:lang w:bidi="ar-SA"/>
        </w:rPr>
        <w:t>وفيها من ضروب التأكيد عليها ما لا يقتضي الحالُ بسطه؛ لكثرته ودقة مأخذه عَمّا يَليقُ بهذا المقام، لا يخفى على مَن له مُسْكَةٌ بحقائقِ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بقراءة هذه السورة يومَ الجمعة في سائر الصلواتِ خصوصاً صلاةَ الجمعة، لِيَتَدَبَّرَ السامعُ لهذا الأمر وينبعث على العمل بمقتضاه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وأعاد التأكيد عليها في سورة المنافقين المأمورِ بقراءتها فيها أيضاً</w:t>
      </w:r>
      <w:r>
        <w:rPr>
          <w:rStyle w:val="FootnoteAnchor"/>
          <w:rtl w:val="true"/>
        </w:rPr>
        <w:footnoteReference w:id="619"/>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سمّاها ذكر اللّه تعالى في السورة السابقة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الَّذِينَ ءَامَنُواْ لَا تُلْهِكُمْ أَمْوَلُكُمْ وَلَا أَوْلَادُكُمْ عَن ذِكْرِ اللّه وَمَن يَفْعَلْ ذَلِكَ فَأُوْلَبِكَ هُمُ الْخَاسِرُونَ</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فتأمّل كيف جَمَعَ بين الأمرِ بفعلها والحثّ عليها في السورة الأُولى، ثمّ شَفَعَه بالنهي عَنِ الاشتغال عنها والتهديد على تركها في السورةِ الثانيةِ، وَوَصَفَ التارك لها بالخُسران الذي وَصَفَ به الكافرين والظالمين في مواضع كثيرةٍ مِنَ القرآن الكريم</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كفاية للمتبصر وبلاغٌ للمتدبّر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الصَّلَوَتِ وَالصَّلَوَةِ الْوُسْطَى</w:t>
      </w:r>
      <w:r>
        <w:rPr>
          <w:rFonts w:eastAsia="Amiri" w:cs="Amiri" w:ascii="Amiri" w:hAnsi="Amiri"/>
          <w:color w:val="111111"/>
          <w:sz w:val="28"/>
          <w:szCs w:val="28"/>
          <w:rtl w:val="true"/>
          <w:lang w:bidi="ar-SA"/>
        </w:rPr>
        <w:t>»</w:t>
      </w:r>
      <w:r>
        <w:rPr>
          <w:rStyle w:val="FootnoteAnchor"/>
          <w:rtl w:val="true"/>
        </w:rPr>
        <w:footnoteReference w:id="622"/>
      </w:r>
      <w:r>
        <w:rPr>
          <w:rFonts w:ascii="Amiri" w:hAnsi="Amiri" w:eastAsia="Amiri" w:cs="Amiri"/>
          <w:color w:val="111111"/>
          <w:sz w:val="28"/>
          <w:sz w:val="28"/>
          <w:szCs w:val="28"/>
          <w:rtl w:val="true"/>
          <w:lang w:bidi="ar-SA"/>
        </w:rPr>
        <w:t>فَخَصَّ الصلاة الوسطى بالأمر بالمُحافظة عليها من بين الصلوات والذي عليه المحقّقون أنّها صلاة الظهر في غير يوم الجمعة وفيها هي الجمعة</w:t>
      </w:r>
      <w:r>
        <w:rPr>
          <w:rStyle w:val="FootnoteAnchor"/>
          <w:rtl w:val="true"/>
        </w:rPr>
        <w:footnoteReference w:id="623"/>
      </w:r>
      <w:r>
        <w:rPr>
          <w:rFonts w:ascii="Amiri" w:hAnsi="Amiri" w:eastAsia="Amiri" w:cs="Amiri"/>
          <w:color w:val="111111"/>
          <w:sz w:val="28"/>
          <w:sz w:val="28"/>
          <w:szCs w:val="28"/>
          <w:rtl w:val="true"/>
          <w:lang w:bidi="ar-SA"/>
        </w:rPr>
        <w:t>، بل قال جماعةٌ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هي الجمعة لا غير</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0" w:name="__RefHeading___Toc375389_1067777946"/>
      <w:bookmarkStart w:id="321" w:name="_Toc103"/>
      <w:bookmarkEnd w:id="320"/>
      <w:r>
        <w:rPr>
          <w:rtl w:val="true"/>
        </w:rPr>
        <w:t>الأحاديث الشريفة وصلاة الجمعة</w:t>
      </w:r>
      <w:bookmarkEnd w:id="321"/>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وَرَد مِن الحثّ عليها في السنّة المطهّرة فكثير لا يكاد ينحصر، فمنه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 حقٌّ واجبٌ على كلّ مسلم إلّا أربعة عبدٌ مملوكٌ أو امرأةٌ أو صبيٌّ أو مريضٌ</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اللّه تعالى قد افترض عليكم الجمعة، فمَنْ تركها في حياتي أو بعد موتي وله إمام عادل استخفافاً بها أو جُحُوداً لها فلا جَمَعَ اللّه شَمْلَه ولا بارك له في أمره، ألا ولا صلاة له، ألا ولا زكاة له، ألا ولا حجّ له، ألا ولا صوم له، ألا ولا ير له حتى يتوبَ</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محمّد بن مسلم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الجُمُعَةَ ثلاث جُمَعٍ مُتَواليةٍ طَبَعَ اللّه على قلبه</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للجمعة لحقاً وحُرمةً ؛ فإيّاك أن تُضَيَّعَ أو تُقَصِّرَ في شيءٍ من عبادة اللّه تعالى والتقرب إليه بالعمل الصالح</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اللّه الجمعة على غيرها، وإنّ الجِنانَ لتُزَخْرَفُ وتُزَيَّنُ يومَ الجمعةِ لِمَنْ أتاها وإنّكم لتتسابقون إلى الجنَّةِ على قَدْرِ سَبقِكم إلى المسجدِ للصلاة، وإنّ أبواب الجنان لتُفْتَح لِصُعودِ أعمال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الملائكةَ لَتَقِفُ على أبواب المساجد وبأيديهم أقلام الفضَّةِ وقراطيسُ الذَهَب يَكْتُبُونَ الأوّل فالأوّل حتّى يَصْعدَ الإمام إلى </w:t>
      </w:r>
    </w:p>
    <w:p>
      <w:pPr>
        <w:pStyle w:val="BookText"/>
        <w:rPr/>
      </w:pPr>
      <w:r>
        <w:rPr>
          <w:rFonts w:ascii="Amiri" w:hAnsi="Amiri" w:eastAsia="Amiri" w:cs="Amiri"/>
          <w:color w:val="111111"/>
          <w:sz w:val="28"/>
          <w:sz w:val="28"/>
          <w:szCs w:val="28"/>
          <w:rtl w:val="true"/>
          <w:lang w:bidi="ar-SA"/>
        </w:rPr>
        <w:t>المنبر فَيَطْوُونَ الصُحُفَ ويدخلون مع الناس يستمعون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فرض في كلّ سبعة أيّام خمساً وثلاثين صلاةٌ، منها صلاة واجبة على كلّ مسلم أنْ يَشْهدَها إلا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والمملوك والمسافر والمرأة والصبيّ</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أعرابي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تَهيَّأتُ إلى الحجّ كذا وكذا مرّةً فما قُدِّرَ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قليب عليك بالجمعة؛ فإنّها حجّ المساكين</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نَبْذَةٌ يسيرةٌ مما ورد في الكتاب والسنّة من الحثّ عليها، وفي بعضه كفاية لِمَنْ تدبَّره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ويَكفِيكُم في فضلها من جِهَةِ الاعتبار ما وردت به الأخبار واتّفق عليه العلماء الأخيارُ مِنْ أنْ أفضل الأعمال الصالحة بعد الإيمان هو الصلاة، وأنّ اليوميَّةَ مِنْ بينها أفضلُ أفرادِها وأنّ الصلاة الوسطى أفضلُ اليومية، وهي صلاة الظهر في غير الجمعة وفيها هي الجمعة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الظهرُ مطلقاً؛ فالجمعة أفضلُ منها على ما تحقّق في محله، فتكون الجمعة أفضل أعمال المؤمنين بعد الإيمان مطلقاً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القَدْرِ كفاية، بل فيه غايةُ المَزيد، وغُنْيَةٌ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كَانَ لَهُ قَلْبٌ أَوْ أَلْقَى السَّمْعَ وَهُوَ شَهِيدٌ</w:t>
      </w:r>
      <w:r>
        <w:rPr>
          <w:rFonts w:eastAsia="Amiri" w:cs="Amiri" w:ascii="Amiri" w:hAnsi="Amiri"/>
          <w:color w:val="111111"/>
          <w:sz w:val="28"/>
          <w:szCs w:val="28"/>
          <w:rtl w:val="true"/>
          <w:lang w:bidi="ar-SA"/>
        </w:rPr>
        <w:t>»</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يَسَعُ المسلم بعد ما يَطْرُقُ سَمْعَه هذه الأوامرُ أنْ يُهمل هذه الفريضة العظيمة، ويُضَيِّعَ هذا اليومَ الشريف الذي خَصَّ اللّه تعالى به المسلمين ويُصرِفَه في أُمور الدنيا بل في البطالة والخسارة؟ ما هذا إلا دليل على ضعف الإيمان ووَهْنِ اليقين وتلبيس إبليس اللعينِ ومُدَاخَلَتِه الخفية على المؤمنين ويخدعهم بقول </w:t>
      </w:r>
    </w:p>
    <w:p>
      <w:pPr>
        <w:pStyle w:val="BookText"/>
        <w:rPr/>
      </w:pPr>
      <w:r>
        <w:rPr>
          <w:rFonts w:ascii="IRNazanin" w:hAnsi="IRNazanin" w:eastAsia="IRNazanin"/>
          <w:color w:val="111111"/>
          <w:sz w:val="28"/>
          <w:sz w:val="28"/>
          <w:szCs w:val="28"/>
          <w:rtl w:val="true"/>
          <w:lang w:bidi="fa-IR"/>
        </w:rPr>
        <w:t xml:space="preserve">بعض العلماء </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مشروطةٌ بإذن الإمام أو مَنْ نَصَبَه،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ضعيفٌ لا يُعْذَرُ مُعتَمِدُه عند اللّه تعالى في هذا الزمان وخصوصاً بعد ما يَطرُقُ سمعه ما أوردناه مِنَ الأوامر المطلقة التي لم يَرِدْ لها مقيد معتبر عندَ مَنْ 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يكون جوابكم للّه تعالى يوم الحساب ونقاشِهِ المتعقب للعذاب، إذا قال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أمرتكم بهذه الفريضة العظيمة في محكم كتابي المجيد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 و ما اكتفيتُ لكم بذلك حتّى حَثَثْتُكم عليها على السنّة رُسُلى وخُلفائهم، بما قد أسْمَعَ مَن كان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أفيقبل منكم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من بعض الناسِ أنّها غيرُ واجبةٍ ؟ أفيَقْصُر عندكم قول اللّه ورسوله وخلفائه وعلماء المسلمين عن قول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غيرُ واجبةٍ ؟ وَهَبْ أَنَّ اللّه تعالى لم يؤكِّدِ الحثّ عليها بما ذكرناه، أليس قولُ بعض الناس معارَضُ بقول سائر المسلمين بوجوبها على الوجه الذي بيناه ؟</w:t>
      </w:r>
    </w:p>
    <w:p>
      <w:pPr>
        <w:pStyle w:val="BookText"/>
        <w:rPr/>
      </w:pPr>
      <w:r>
        <w:rPr>
          <w:rFonts w:ascii="Amiri" w:hAnsi="Amiri" w:eastAsia="Amiri" w:cs="Amiri"/>
          <w:color w:val="111111"/>
          <w:sz w:val="28"/>
          <w:sz w:val="28"/>
          <w:szCs w:val="28"/>
          <w:rtl w:val="true"/>
          <w:lang w:bidi="ar-SA"/>
        </w:rPr>
        <w:t>نسأل اللّه تعالى العصمة والعفو والرحمة، ونَستَمِدُّ منه المعونة على أداء حقّه وامتثال أوامره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أنا قد أدَّيتُ الأمانة ونَصَحْتُ بما يجب عليّ، وما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الْإِصْلَاحَ مَا اسْتَطَعْتُ وَمَا تَوْفِيقِي إِلَّا بِاللّه عَلَيْهِ تَوَكَّلْتُ وَإِلَيْهِ أُنِيب</w:t>
      </w:r>
      <w:r>
        <w:rPr>
          <w:rFonts w:eastAsia="Amiri" w:cs="Amiri" w:ascii="Amiri" w:hAnsi="Amiri"/>
          <w:color w:val="111111"/>
          <w:sz w:val="28"/>
          <w:szCs w:val="28"/>
          <w:rtl w:val="true"/>
          <w:lang w:bidi="ar-SA"/>
        </w:rPr>
        <w:t>»</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حقَّ حمده، وصلاته على سيّد رُسُلِهِ مُحَمَّدٍ وآله وصَحْبِه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هذه الأحرف الفقير إلى عفو اللّه تعالى زين الدين بن علي بن أحمد، حامداً مصلّياً مسلُّماً مستغفراً</w:t>
      </w:r>
      <w:r>
        <w:rPr>
          <w:rFonts w:eastAsia="Amiri" w:cs="Amiri" w:ascii="Amiri" w:hAnsi="Amiri"/>
          <w:color w:val="111111"/>
          <w:sz w:val="28"/>
          <w:szCs w:val="28"/>
          <w:rtl w:val="true"/>
          <w:lang w:bidi="ar-SA"/>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2" w:name="pg10113_92089"/>
      <w:bookmarkStart w:id="323" w:name="pg10113_92089"/>
      <w:bookmarkEnd w:id="323"/>
    </w:p>
    <w:p>
      <w:pPr>
        <w:pStyle w:val="Heading3"/>
        <w:numPr>
          <w:ilvl w:val="2"/>
          <w:numId w:val="1"/>
        </w:numPr>
        <w:rPr/>
      </w:pPr>
      <w:bookmarkStart w:id="324" w:name="pg10113_92089"/>
      <w:bookmarkStart w:id="325" w:name="__RefHeading___Toc375391_1067777946"/>
      <w:bookmarkStart w:id="326" w:name="_Toc104"/>
      <w:bookmarkEnd w:id="324"/>
      <w:bookmarkEnd w:id="325"/>
      <w:r>
        <w:rPr/>
        <w:t>16</w:t>
      </w:r>
      <w:r>
        <w:rPr>
          <w:rtl w:val="true"/>
        </w:rPr>
        <w:t xml:space="preserve">. </w:t>
      </w:r>
      <w:r>
        <w:rPr>
          <w:rtl w:val="true"/>
        </w:rPr>
        <w:t>خصائص يوم الجمعة</w:t>
      </w:r>
      <w:bookmarkEnd w:id="326"/>
    </w:p>
    <w:p>
      <w:pPr>
        <w:pStyle w:val="Heading4"/>
        <w:numPr>
          <w:ilvl w:val="3"/>
          <w:numId w:val="1"/>
        </w:numPr>
        <w:rPr/>
      </w:pPr>
      <w:bookmarkStart w:id="327" w:name="__RefHeading___Toc375393_1067777946"/>
      <w:bookmarkStart w:id="328" w:name="_Toc105"/>
      <w:bookmarkEnd w:id="327"/>
      <w:r>
        <w:rPr>
          <w:rtl w:val="true"/>
        </w:rPr>
        <w:t>إشارة</w:t>
      </w:r>
      <w:r>
        <w:rPr>
          <w:rtl w:val="true"/>
        </w:rPr>
        <w:t>:</w:t>
      </w:r>
      <w:bookmarkEnd w:id="328"/>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حسين الشفيعي</w:t>
      </w:r>
    </w:p>
    <w:p>
      <w:pPr>
        <w:pStyle w:val="BookText"/>
        <w:rPr/>
      </w:pPr>
      <w:r>
        <w:rPr>
          <w:rFonts w:ascii="Amiri" w:hAnsi="Amiri" w:eastAsia="Amiri" w:cs="Amiri"/>
          <w:color w:val="111111"/>
          <w:sz w:val="28"/>
          <w:sz w:val="28"/>
          <w:szCs w:val="28"/>
          <w:rtl w:val="true"/>
          <w:lang w:bidi="ar-SA"/>
        </w:rPr>
        <w:t>مراجعة</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رضا المختاري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فضّل الأيّام بعضها على بعض، وشرَّف يوم الجمعة على غيره بخصوص السنّة والفرض، وصلى اللّه على سيدنا محمّد وآله صلاةً تملأُ أقطار السماوات والأرض، توجبُ لقائلها الأمان من أهوال يوم العرض، وسَلَّم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فإنّ اللّه سبحانه من وفورِ رأفته بالعالمين ومزيد رحمتِه للمكلّفين نصب لهم أوقاتاً للتقرب فيها إليه والتردُّدِ بالأعمال الصالحة ليوم العَرْض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تزل هذه سُنّته في الأمم الماضية والقرونِ الخالية، وهلم جراً إلى مِلَّتنا المحمدية الطاهرة وشريعتنا المصطفويّةِ،الزاهرةِ، فَجَعَلَ فيها أوقاتاً كثيرةً شرفها وعَظَمها وأقامَها لهذه الأُمِّةِ وعَلَّمها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يومَ الجمعةِ مِنْ بين الأيّام أفضل وأشرف الأوقات الحاصلة في الأسابيع والشهور والأعوام، كما سيرد عليك إن شاء اللّه تعالى في صحيح الأخبار ومشهور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لهذا اليوم الشريف خصائص كثيرةً لا تُوجد في غيره مِنْ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أمكن فعل بعضها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فيه أفضل وأكثرُ ثواباً على الدوام، فهو مختصٌّ بها مِنْ هذه الجهةِ كما لا يخفى على أولى الأفهام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ترتقي إلى مائة فضيلةٍ على التمام</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ولكنّا نذكر منها في هذه الرسالة أربعين </w:t>
      </w:r>
      <w:bookmarkStart w:id="329" w:name="pg10113_92092"/>
    </w:p>
    <w:p>
      <w:pPr>
        <w:pStyle w:val="BookText"/>
        <w:rPr/>
      </w:pPr>
      <w:bookmarkEnd w:id="329"/>
      <w:r>
        <w:rPr>
          <w:rFonts w:ascii="Amiri" w:hAnsi="Amiri" w:eastAsia="Amiri" w:cs="Amiri"/>
          <w:color w:val="111111"/>
          <w:sz w:val="28"/>
          <w:sz w:val="28"/>
          <w:szCs w:val="28"/>
          <w:rtl w:val="true"/>
          <w:lang w:bidi="ar-SA"/>
        </w:rPr>
        <w:t>خصوصيّةً، هي عيون تلك الخصائص وأحقها بالإعظام، ومِن اللّه تعالى نستمدُّ التوفيق؛ فإنّه به حفيٌّ وحريٌّ وحقيقٌ</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375395_1067777946"/>
      <w:bookmarkStart w:id="331" w:name="_Toc106"/>
      <w:bookmarkEnd w:id="330"/>
      <w:r>
        <w:rPr/>
        <w:t>1</w:t>
      </w:r>
      <w:r>
        <w:rPr>
          <w:rtl w:val="true"/>
        </w:rPr>
        <w:t xml:space="preserve"> - </w:t>
      </w:r>
      <w:r>
        <w:rPr>
          <w:rtl w:val="true"/>
        </w:rPr>
        <w:t>أفضل الأيّام</w:t>
      </w:r>
      <w:bookmarkEnd w:id="331"/>
    </w:p>
    <w:p>
      <w:pPr>
        <w:pStyle w:val="BookText"/>
        <w:rPr/>
      </w:pPr>
      <w:r>
        <w:rPr>
          <w:rFonts w:ascii="Amiri" w:hAnsi="Amiri" w:eastAsia="Amiri" w:cs="Amiri"/>
          <w:color w:val="111111"/>
          <w:sz w:val="28"/>
          <w:sz w:val="28"/>
          <w:szCs w:val="28"/>
          <w:rtl w:val="true"/>
          <w:lang w:bidi="ar-SA"/>
        </w:rPr>
        <w:t>الخاصيَّةُ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أفضلُ الأيّام القول سيّد الأنام عليه أفضل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يومٍ طلعت عليه الشمسُ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خُلق آدم، وفيه أدخل الجنّةَ، وفيه أخرج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تقومُ الساعة إلّا في يوم الجمعة</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يومَ الجمعةِ سيّد الأيّام وأعظمها عند اللّه تعالى، وأعظم عند اللّه تعالى من يوم الفطر ومِنْ يوم الأضحى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خمسُ 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تعالى فيه آدم، وفيه أُهْبِطَ، وفيه مات، وفيه ساعةٌ لا يُسأل اللّه عزّوجلّ فيها شيئاً إلّا أعطاه ما لم يُسأل حراماً، وفيه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مَلَكِ مقرَّبِ ولا سماءٍ ولا أرض ولا رياح ولا جبال ولا شجرٍ إلّا وهي تُشْفِقُ مِنْ يوم الجمعة أن تقوم القيامة فيه</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بصير في الصحيح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طَلَعتِ الشمسُ بيوم أفضلَ مِنْ يوم الجمعة</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2" w:name="__RefHeading___Toc375397_1067777946"/>
      <w:bookmarkStart w:id="333" w:name="_Toc107"/>
      <w:bookmarkEnd w:id="332"/>
      <w:r>
        <w:rPr/>
        <w:t>2</w:t>
      </w:r>
      <w:r>
        <w:rPr>
          <w:rtl w:val="true"/>
        </w:rPr>
        <w:t xml:space="preserve"> - </w:t>
      </w:r>
      <w:r>
        <w:rPr>
          <w:rtl w:val="true"/>
        </w:rPr>
        <w:t>سيد الأيّام</w:t>
      </w:r>
      <w:bookmarkEnd w:id="333"/>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وصفُه بكونه سيّد الأيّام، وقد تقدّم ذلك في الحديث السابق، وكان الشاهد منه على الأولى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وأعظمها عند اللّه تعالى</w:t>
      </w:r>
      <w:r>
        <w:rPr>
          <w:rFonts w:eastAsia="Amiri" w:cs="Amiri" w:ascii="Amiri" w:hAnsi="Amiri"/>
          <w:color w:val="111111"/>
          <w:sz w:val="28"/>
          <w:szCs w:val="28"/>
          <w:rtl w:val="true"/>
          <w:lang w:bidi="ar-SA"/>
        </w:rPr>
        <w:t xml:space="preserve">». </w:t>
      </w:r>
      <w:bookmarkStart w:id="334" w:name="pg10113_92093"/>
    </w:p>
    <w:p>
      <w:pPr>
        <w:pStyle w:val="BookText"/>
        <w:rPr/>
      </w:pPr>
      <w:bookmarkEnd w:id="334"/>
      <w:r>
        <w:rPr>
          <w:rFonts w:ascii="Amiri" w:hAnsi="Amiri" w:eastAsia="Amiri" w:cs="Amiri"/>
          <w:color w:val="111111"/>
          <w:sz w:val="28"/>
          <w:sz w:val="28"/>
          <w:szCs w:val="28"/>
          <w:rtl w:val="true"/>
          <w:lang w:bidi="ar-SA"/>
        </w:rPr>
        <w:t xml:space="preserve">وروى أحمدُ بنُ محمدِ بن أبي نصر البزنطي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يوم الجمعة سيّد الأيّام، يُضاعِفُ اللّه فيه الحسنات، ويمحو فيه السيئاتِ، ويَرْفَعُ فيه الدرجات، ويستجيب فيه الدعوات، ويَكْشِف فيه الكُرُباتِ، ويقضي فيه الحاجاتِ العظام؛ وهو يوم المزيد، للّه فيه عتقاءُ وطلقاءُ من النار، ما دعا اللّه فيه أحدٌ مِن الناس وعرف حقّه وحُرمته إلّا كان حقاً على اللّه أن يجعلَه مِنْ عُتقائه وطلقائه من النار، وإن مات في يومه أوليلته مات شهيداً وبُعث آمِناً، وما اسْتَخَفَّ أَحدٌ بحرمته وضيع حقه إلّا كان حقاً على اللّه عزّ وجلّ أنْ يُصْلِيَه نارَ جَهَنَّمَ إِلّا أن يتوبَ</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5" w:name="__RefHeading___Toc375399_1067777946"/>
      <w:bookmarkStart w:id="336" w:name="_Toc108"/>
      <w:bookmarkEnd w:id="335"/>
      <w:r>
        <w:rPr/>
        <w:t>3</w:t>
      </w:r>
      <w:r>
        <w:rPr>
          <w:rtl w:val="true"/>
        </w:rPr>
        <w:t xml:space="preserve"> - </w:t>
      </w:r>
      <w:r>
        <w:rPr>
          <w:rtl w:val="true"/>
        </w:rPr>
        <w:t>عيد هذه الأمّة</w:t>
      </w:r>
      <w:bookmarkEnd w:id="336"/>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عيدُ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يوم عيد جعله اللّه للمسلمين، فمن جاء إلى الجمعة فَلْيَغْتَسِلْ، وإن كان عنده طيب فليَمَسَّ منه، وعليكم بالسواك</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الأعياد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 والأضحى والغدير ويوم الجمعة</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اختصاصه مِنْ بين الأيّام بذلك ظاهرٌ؛ فإنّه بخصوصه مِنْ بين الأيّام السبعة عيدٌ مطلقاً بخلاف غيره من الأيّام؛ فإنّ وقوع العيد فيه اتّفاقي، وكما يمكن كونه فيه يمكن كونه في يوم الجمعة، فالأيّام السبعة مشتركة في هذا المعنى بخلاف يوم الجمعة فإنّه عيد على كلّ حالٍ</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375401_1067777946"/>
      <w:bookmarkStart w:id="338" w:name="_Toc109"/>
      <w:bookmarkEnd w:id="337"/>
      <w:r>
        <w:rPr/>
        <w:t>4</w:t>
      </w:r>
      <w:r>
        <w:rPr>
          <w:rtl w:val="true"/>
        </w:rPr>
        <w:t xml:space="preserve"> - </w:t>
      </w:r>
      <w:r>
        <w:rPr>
          <w:rtl w:val="true"/>
        </w:rPr>
        <w:t>صلاة الجمعة فيه</w:t>
      </w:r>
      <w:bookmarkEnd w:id="338"/>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الجمعة فيه، واختصاصها بركعتين، وهي في سائر الأيّام أربع، ومع ذلك فتوائُها </w:t>
      </w:r>
      <w:bookmarkStart w:id="339" w:name="pg10113_92094"/>
    </w:p>
    <w:p>
      <w:pPr>
        <w:pStyle w:val="BookText"/>
        <w:rPr/>
      </w:pPr>
      <w:bookmarkEnd w:id="339"/>
      <w:r>
        <w:rPr>
          <w:rFonts w:ascii="Amiri" w:hAnsi="Amiri" w:eastAsia="Amiri" w:cs="Amiri"/>
          <w:color w:val="111111"/>
          <w:sz w:val="28"/>
          <w:sz w:val="28"/>
          <w:szCs w:val="28"/>
          <w:rtl w:val="true"/>
          <w:lang w:bidi="ar-SA"/>
        </w:rPr>
        <w:t>أعظمُ مِنْ غيرها من الصلوات حتّى الظهر يوم الجمعة، 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الصلاة الوسطى فهي يوم الجمعة صلاة الجمعة،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الجمعة مطلقاً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في فضلها والحثّ عليها في الكتاب والسنّة ما هو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الَّذِينَ ءَامَنُوا إِذَا نُودِيَ لِلصَّلَوَةِ مِن يَوْمِ الْجُمُعَةِ فَاسْعَوْا إِلَىٰ ذِكْرِ اللّه وَذَرُوا الْبَيْعَ ذَلِكُمْ خَيْرٌ لَّكُمْ إِن كُنتُمْ تَعْلَمُونَ</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فَرَضَ عليكم،الجمعة، فمن تركها في حياتي أو بعد موتى استخفافاً بها أو جحوداً لها فلا جَمَعَ اللّه شمله، ولا بارك له في أمره، ألا ولا صلاة له، ألا ولا زكاة له، ألا ولا حجّ له، ألا ولا صوم له، ألا ولا بِرَّ له حتّى يتوب</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فَرَضَ في كلّ أُسبوعٍ خمساً وثلاثين صلاةً، منها صلاةٌ واجبة على كلّ مسلم أن يشهدها إلّا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والمملوك والمسافرُ والمرأة والصبيُّ</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الأخبار وهي كثيرةٌ</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375403_1067777946"/>
      <w:bookmarkStart w:id="341" w:name="_Toc110"/>
      <w:bookmarkEnd w:id="340"/>
      <w:r>
        <w:rPr/>
        <w:t>5</w:t>
      </w:r>
      <w:r>
        <w:rPr>
          <w:rtl w:val="true"/>
        </w:rPr>
        <w:t xml:space="preserve"> - </w:t>
      </w:r>
      <w:r>
        <w:rPr>
          <w:rtl w:val="true"/>
        </w:rPr>
        <w:t>صلاة الجمعة تعدل حجّة</w:t>
      </w:r>
      <w:bookmarkEnd w:id="341"/>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أنّها تعدِلُ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 حجّ المساكين</w:t>
      </w:r>
      <w:r>
        <w:rPr>
          <w:rFonts w:eastAsia="Amiri" w:cs="Amiri" w:ascii="Amiri" w:hAnsi="Amiri"/>
          <w:color w:val="111111"/>
          <w:sz w:val="28"/>
          <w:szCs w:val="28"/>
          <w:rtl w:val="true"/>
          <w:lang w:bidi="ar-SA"/>
        </w:rPr>
        <w:t>»</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سعيدُ بنُ المسيِّب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أحَبُّ إليَّ مِن حِجّة تطوّع</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bookmarkStart w:id="342" w:name="pg10113_92095"/>
    </w:p>
    <w:p>
      <w:pPr>
        <w:pStyle w:val="Heading4"/>
        <w:numPr>
          <w:ilvl w:val="3"/>
          <w:numId w:val="1"/>
        </w:numPr>
        <w:rPr/>
      </w:pPr>
      <w:bookmarkStart w:id="343" w:name="__RefHeading___Toc375405_1067777946"/>
      <w:bookmarkStart w:id="344" w:name="_Toc111"/>
      <w:bookmarkEnd w:id="342"/>
      <w:bookmarkEnd w:id="343"/>
      <w:r>
        <w:rPr/>
        <w:t>6</w:t>
      </w:r>
      <w:r>
        <w:rPr>
          <w:rtl w:val="true"/>
        </w:rPr>
        <w:t xml:space="preserve"> - </w:t>
      </w:r>
      <w:r>
        <w:rPr>
          <w:rtl w:val="true"/>
        </w:rPr>
        <w:t>صلاتها جهريّة مع أنّ صلاة النهار سرّيّة</w:t>
      </w:r>
      <w:bookmarkEnd w:id="344"/>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الجَهرُ فيها مع أنّ صلاة النهار 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والحكمة فيها مع التأسّي والاتِّباع أنّ الغرض الأقصى من صلاة الجمعة اجتماع الناس ووعظهم وتألف قلوبهم على التقوى، وفي مواعظ القرآن شفاء من كلّ داءٍ وخصوصاً سورة الجمعة والمنافقين اللتين تَتأكَدُ قراءتهما فيها، ففيهما من الحثّ على هذه الصلاة وضروب التأكيد في الأمر بها والنهي عن التشاغُل عنها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السورة الأولى أمر وترغيب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الَّذِينَ ءَامَنُواْ إِذَا نُودِيَ لِلصَّلَوَةِ مِن يَوْمِ الْجُمُعَةِ فَاسْعَوْا إِلَى ذِكْرِ اللّه</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فاللّه تعالى أمر بالسعي إليها وسمّاها ذكر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السورة الثانية نهي وترهيب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الَّذِينَ ءَامَنُواْ لا تُلْهِكُمْ أَمْوَالُكُمْ وَلَا أَوْلَادُكُمْ عَن ذِكْرِ اللّه وَمَن يَفْعَلْ ذَلِكَ فَأُوْلئِكَ هُمُ الْخَاسِرُونَ</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جهر بالقراءة وأسْمَعَها الحاضرين حصل من ذلك زيادة الانبعاث على الطاعةِ خصوصاً هذه الفريضة المعظمة، وأثار الخوف من تركها والاشتغال عنها بلذات الدنيا من المال والولد، فَوَصَفَه بالخُسران نعوذ باللّه ممّا يوجبُ الحِرْمانَ</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375407_1067777946"/>
      <w:bookmarkStart w:id="346" w:name="_Toc112"/>
      <w:bookmarkEnd w:id="345"/>
      <w:r>
        <w:rPr/>
        <w:t>7</w:t>
      </w:r>
      <w:r>
        <w:rPr>
          <w:rtl w:val="true"/>
        </w:rPr>
        <w:t xml:space="preserve"> - </w:t>
      </w:r>
      <w:r>
        <w:rPr>
          <w:rtl w:val="true"/>
        </w:rPr>
        <w:t>قراءة سورة الجمعة والمنافقون في صلاة الجمعة</w:t>
      </w:r>
      <w:bookmarkEnd w:id="346"/>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قراءة الجمعة والمنافقين فيها، فقد 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يقرأُ في الركعة الأولى بسورة الجمعة ليُحَرِّضَ بها المؤمِنين، وفي الثانية بسورة المنافقين لِيُقَرِّعَ بها المنافقين</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bookmarkStart w:id="347" w:name="pg10113_92096"/>
    </w:p>
    <w:p>
      <w:pPr>
        <w:pStyle w:val="BookText"/>
        <w:rPr/>
      </w:pPr>
      <w:bookmarkEnd w:id="347"/>
      <w:r>
        <w:rPr>
          <w:rFonts w:ascii="Amiri" w:hAnsi="Amiri" w:eastAsia="Amiri" w:cs="Amiri"/>
          <w:color w:val="111111"/>
          <w:sz w:val="28"/>
          <w:sz w:val="28"/>
          <w:szCs w:val="28"/>
          <w:rtl w:val="true"/>
          <w:lang w:bidi="ar-SA"/>
        </w:rPr>
        <w:t xml:space="preserve">وروى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أكرم بالجمعة المؤمنين فسنَّها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بشارةً لهم، والمنافقين؛ توبيخاً للمنافقين ولا ينبغي تركهما، فمن تركهما متعمّداً فلا صلاة له</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عمر بن يزيد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بغير الجمعة والمنافقين أعاد الصلاة</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كلّه محمول على شدَّة الفضيلة، وتأكّد الرتبة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بنفي الصلاة، الصلاة الكاملة،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تركها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روى عليُّ بن يقطين عن أبي الحسن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يقرأ في الصلاة الجمعة بغير سورة الجمعة متعمّداً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8" w:name="__RefHeading___Toc375409_1067777946"/>
      <w:bookmarkStart w:id="349" w:name="_Toc113"/>
      <w:bookmarkEnd w:id="348"/>
      <w:r>
        <w:rPr/>
        <w:t>8</w:t>
      </w:r>
      <w:r>
        <w:rPr>
          <w:rtl w:val="true"/>
        </w:rPr>
        <w:t xml:space="preserve"> - </w:t>
      </w:r>
      <w:r>
        <w:rPr>
          <w:rtl w:val="true"/>
        </w:rPr>
        <w:t>اختصاصها بالجماعة بشرائط خاصة</w:t>
      </w:r>
      <w:bookmarkEnd w:id="349"/>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اختصاصُها بالجماعة، وبعددٍ،خاص وبمكانٍ خاصّ، وبإذن السلطان احتياطاً أو اشتراطاً على ما هو مقرَّرُ في كتب الفقه</w:t>
      </w:r>
      <w:r>
        <w:rPr>
          <w:rStyle w:val="FootnoteAnchor"/>
          <w:rtl w:val="true"/>
        </w:rPr>
        <w:footnoteReference w:id="654"/>
      </w:r>
      <w:r>
        <w:rPr>
          <w:rFonts w:ascii="Amiri" w:hAnsi="Amiri" w:eastAsia="Amiri" w:cs="Amiri"/>
          <w:color w:val="111111"/>
          <w:sz w:val="28"/>
          <w:sz w:val="28"/>
          <w:szCs w:val="28"/>
          <w:rtl w:val="true"/>
          <w:lang w:bidi="ar-SA"/>
        </w:rPr>
        <w:t>، والحكمة فيه مع النصّ أنّ المطلوب للّه تعالى اجتماع الناس في موضع واحدٍ على إمام واحدٍ تُقبِلُ عليه القلوب فتجتمع على التوجّه إلى اللّه تعالى ولاجتماع القلوب كذلك مدخلٌ عظيمٌ في نزول الرحمة وإجابة الدعاء وإفاضة الأنوار من الجناب المقدس الأعلى تبارك وتعالى</w:t>
      </w:r>
      <w:r>
        <w:rPr>
          <w:rFonts w:eastAsia="Amiri" w:cs="Amiri" w:ascii="Amiri" w:hAnsi="Amiri"/>
          <w:color w:val="111111"/>
          <w:sz w:val="28"/>
          <w:szCs w:val="28"/>
          <w:rtl w:val="true"/>
          <w:lang w:bidi="ar-SA"/>
        </w:rPr>
        <w:t xml:space="preserve">. </w:t>
      </w:r>
      <w:bookmarkStart w:id="350" w:name="pg10113_92097"/>
    </w:p>
    <w:p>
      <w:pPr>
        <w:pStyle w:val="Heading4"/>
        <w:numPr>
          <w:ilvl w:val="3"/>
          <w:numId w:val="1"/>
        </w:numPr>
        <w:rPr/>
      </w:pPr>
      <w:bookmarkStart w:id="351" w:name="__RefHeading___Toc375411_1067777946"/>
      <w:bookmarkStart w:id="352" w:name="_Toc114"/>
      <w:bookmarkEnd w:id="350"/>
      <w:bookmarkEnd w:id="351"/>
      <w:r>
        <w:rPr/>
        <w:t>9</w:t>
      </w:r>
      <w:r>
        <w:rPr>
          <w:rtl w:val="true"/>
        </w:rPr>
        <w:t xml:space="preserve"> - </w:t>
      </w:r>
      <w:r>
        <w:rPr>
          <w:rtl w:val="true"/>
        </w:rPr>
        <w:t>الطبع على قلب من تركها</w:t>
      </w:r>
      <w:bookmarkEnd w:id="352"/>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 على قلب مَنْ تَرَكها،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لَينْتَهِيَنَّ أقوام عن وَدْعِهمُ الجمعات أو لَيَخْتِمنَّ اللّه على قلوبهم، ثمّ ليكوننَّ مِن الغافلين</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ثلاث جُمَعِ تهاون بها طبع اللّه تعالى على قلبه</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ثلاث جُمَعِ متعمَّداً مِنْ غير علَّةٍ طبع اللّه على قلبه بخاتم النفاق</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احْضُروا الجمعة وادنُوا مِن الإمام؛ فإنّ الرجلَ يَتَخَلَّفُ عن الجمعة حتّى أنّه ليتخلّف عن الجنَّة، وأنّه لمن أهلها</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عسى أحدكم أنْ يَتَّخِذَ الصُبّةَ</w:t>
      </w:r>
      <w:r>
        <w:rPr>
          <w:rStyle w:val="FootnoteAnchor"/>
          <w:rtl w:val="true"/>
        </w:rPr>
        <w:footnoteReference w:id="659"/>
      </w:r>
      <w:r>
        <w:rPr>
          <w:rFonts w:ascii="Amiri" w:hAnsi="Amiri" w:eastAsia="Amiri" w:cs="Amiri"/>
          <w:color w:val="111111"/>
          <w:sz w:val="28"/>
          <w:sz w:val="28"/>
          <w:szCs w:val="28"/>
          <w:rtl w:val="true"/>
          <w:lang w:bidi="ar-SA"/>
        </w:rPr>
        <w:t>من الغنم على رأس مِيل أو ميلين، فيتعذَّرَ عليه الكلاً فيرتفع</w:t>
      </w:r>
      <w:r>
        <w:rPr>
          <w:rStyle w:val="FootnoteAnchor"/>
          <w:rtl w:val="true"/>
        </w:rPr>
        <w:footnoteReference w:id="660"/>
      </w:r>
      <w:r>
        <w:rPr>
          <w:rFonts w:ascii="Amiri" w:hAnsi="Amiri" w:eastAsia="Amiri" w:cs="Amiri"/>
          <w:color w:val="111111"/>
          <w:sz w:val="28"/>
          <w:sz w:val="28"/>
          <w:szCs w:val="28"/>
          <w:rtl w:val="true"/>
          <w:lang w:bidi="ar-SA"/>
        </w:rPr>
        <w:t>، ثم تجيء الجمعة فلا يجيءُ ولا يَشْهَدُها، وتجيءُ الجمعة فلا يَشْهَدُها، وتجيء الجمعة فلا يَشْهَدُها، حتّى يُطْبَع على قلبه</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xml:space="preserve">. </w:t>
      </w:r>
      <w:bookmarkStart w:id="353" w:name="pg10113_92098"/>
    </w:p>
    <w:p>
      <w:pPr>
        <w:pStyle w:val="Heading4"/>
        <w:numPr>
          <w:ilvl w:val="3"/>
          <w:numId w:val="1"/>
        </w:numPr>
        <w:rPr/>
      </w:pPr>
      <w:bookmarkStart w:id="354" w:name="__RefHeading___Toc375413_1067777946"/>
      <w:bookmarkStart w:id="355" w:name="_Toc115"/>
      <w:bookmarkEnd w:id="353"/>
      <w:bookmarkEnd w:id="354"/>
      <w:r>
        <w:rPr/>
        <w:t>10</w:t>
      </w:r>
      <w:r>
        <w:rPr>
          <w:rtl w:val="true"/>
        </w:rPr>
        <w:t xml:space="preserve"> - </w:t>
      </w:r>
      <w:r>
        <w:rPr>
          <w:rtl w:val="true"/>
        </w:rPr>
        <w:t>شرعيّة الكفّارة لها لو تركها</w:t>
      </w:r>
      <w:bookmarkEnd w:id="355"/>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مشروعيّة الكفارة لها لو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الجمعةَ مِنْ غير عذرٍ فليتصدق بدينار، فإن لم يجد فنصفُ دينار</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فاتته الجمعة مِنْ غير عذرٍ فلْيَتَصَدَّقْ بدرهم أو نصف درهم أوصاع جنطةٍ أو نصف صاع</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6" w:name="__RefHeading___Toc375415_1067777946"/>
      <w:bookmarkStart w:id="357" w:name="_Toc116"/>
      <w:bookmarkEnd w:id="356"/>
      <w:r>
        <w:rPr/>
        <w:t>11</w:t>
      </w:r>
      <w:r>
        <w:rPr>
          <w:rtl w:val="true"/>
        </w:rPr>
        <w:t xml:space="preserve"> - </w:t>
      </w:r>
      <w:r>
        <w:rPr>
          <w:rtl w:val="true"/>
        </w:rPr>
        <w:t>الخطبة قبلها</w:t>
      </w:r>
      <w:bookmarkEnd w:id="357"/>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الخطبة قبلها، والإنصاتُ لها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قلت لصاحبك يوم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يَخْطُبُ، فقد لَغَوْتَ</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توضأ يوم الجمعة فأحسن الوضوء ثم أتى الجمعة فاستمع وأنْصَتَ غُفِرَ له ما بينه وبين الجمعة، وزيادة ثلاثة أيّام</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اغتسل يوم الجمعة، ومسّ من طيب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صالح ثيابه، ثمّ لم يَتَخَطَّ رقاب الناس، ولم يلغُ عند الموعظة كان كفّارةً لما بينهما، ومَنْ لغا وتخطّى رقاب الناس كان له ظهراً</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يوم الجمعة سورة براءة وهو قائمٌ يُذَكِّرُ </w:t>
      </w:r>
      <w:bookmarkStart w:id="358" w:name="pg10113_92099"/>
    </w:p>
    <w:p>
      <w:pPr>
        <w:pStyle w:val="BookText"/>
        <w:rPr/>
      </w:pPr>
      <w:bookmarkEnd w:id="358"/>
      <w:r>
        <w:rPr>
          <w:rFonts w:ascii="Amiri" w:hAnsi="Amiri" w:eastAsia="Amiri" w:cs="Amiri"/>
          <w:color w:val="111111"/>
          <w:sz w:val="28"/>
          <w:sz w:val="28"/>
          <w:szCs w:val="28"/>
          <w:rtl w:val="true"/>
          <w:lang w:bidi="ar-SA"/>
        </w:rPr>
        <w:t>بأيّام اللّه، وأبو الدرداء أو أبو ذر الغفاري يَغْمِزُني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نزلت هذه السورة إنّي لم أسمعها إلّا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إليه أن اسكتْ، فلمّا انْصَرَفوا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سألتك متى أُنْزِلت هذه السورة فلم تُخْبِرْني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أبي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اليوم من صلاتك إلّا ما لغوتَ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ذلك له، وأخبره بالذي قال له أبيّ،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أُبَىٌّ</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تكلَّم يوم الجمعة والإمام يخطب فهو كالحمار يحمل أسفاراً، والذي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جمعة</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9" w:name="__RefHeading___Toc375417_1067777946"/>
      <w:bookmarkStart w:id="360" w:name="_Toc117"/>
      <w:bookmarkEnd w:id="359"/>
      <w:r>
        <w:rPr/>
        <w:t>12</w:t>
      </w:r>
      <w:r>
        <w:rPr>
          <w:rtl w:val="true"/>
        </w:rPr>
        <w:t xml:space="preserve"> - </w:t>
      </w:r>
      <w:r>
        <w:rPr>
          <w:rtl w:val="true"/>
        </w:rPr>
        <w:t>استحباب الغسل لها</w:t>
      </w:r>
      <w:bookmarkEnd w:id="360"/>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استحباب الغسل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منكم الجمعة فليغتسل</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اغْتَسلَ يومَ الجمعة كُفّرتْ عنه ذنوبه وخطإيّاه، وإذا أخذ في المشي كُتِبَ له بكلِّ خُطُوةٍ عشرون حسنة</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وَبَّخَ رجلاً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لأنت أعجز من تارك الغُسل يوم الجمعة؛ فإنّه لا يزال في طهرٍ إلى يوم الجمعة الأخرى</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1" w:name="__RefHeading___Toc375419_1067777946"/>
      <w:bookmarkStart w:id="362" w:name="_Toc118"/>
      <w:bookmarkEnd w:id="361"/>
      <w:r>
        <w:rPr/>
        <w:t>13</w:t>
      </w:r>
      <w:r>
        <w:rPr>
          <w:rtl w:val="true"/>
        </w:rPr>
        <w:t xml:space="preserve"> - </w:t>
      </w:r>
      <w:r>
        <w:rPr>
          <w:rtl w:val="true"/>
        </w:rPr>
        <w:t>استحباب التعطّر والتزيّن و</w:t>
      </w:r>
      <w:r>
        <w:rPr>
          <w:rtl w:val="true"/>
        </w:rPr>
        <w:t xml:space="preserve">... </w:t>
      </w:r>
      <w:r>
        <w:rPr>
          <w:rtl w:val="true"/>
        </w:rPr>
        <w:t>لصلاة الجمعة</w:t>
      </w:r>
      <w:bookmarkEnd w:id="362"/>
    </w:p>
    <w:p>
      <w:pPr>
        <w:pStyle w:val="BookText"/>
        <w:rPr/>
      </w:pP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استحبابُ الطيّب والدُهْنِ والسواك وتسريح الشعر وقصِّ الأظفار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الغُسل </w:t>
      </w:r>
      <w:bookmarkStart w:id="363" w:name="pg10113_92100"/>
    </w:p>
    <w:p>
      <w:pPr>
        <w:pStyle w:val="BookText"/>
        <w:rPr/>
      </w:pPr>
      <w:bookmarkEnd w:id="363"/>
      <w:r>
        <w:rPr>
          <w:rFonts w:ascii="Amiri" w:hAnsi="Amiri" w:eastAsia="Amiri" w:cs="Amiri"/>
          <w:color w:val="111111"/>
          <w:sz w:val="28"/>
          <w:sz w:val="28"/>
          <w:szCs w:val="28"/>
          <w:rtl w:val="true"/>
          <w:lang w:bidi="ar-SA"/>
        </w:rPr>
        <w:t xml:space="preserve">يوم الجمعة واجب على كلّ مُحْتَلِمٍ، وأن يستنَّ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يستاك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يمسَّ طيباً إن وجد</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يُقلّم أظفارَه ويَقُصُّ شاربه يومَ الجمعة قبل أنْ يَخْرج إلى الصلاة</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يغتسل رجل يوم الجمعة، ويتطهَّرُ ما استطاع مِن طُهْرٍ، وَيَدَّهِنُ بدُهنٍ مِن دُهْنِه، أو يَمَسُّ مِن طِيب بيته، ويخرج فلا يُفرِّقُ بين اثنين، ثمّ يُصلّى ما كُتِبَله، ثمّ يُنصِتُ إذا تكلَّم الإمام، إلّا غُفِرَ له ما بينه وبين الجمعة الأخرى</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قَلَّمَ أظفاره يومَ الجمعة وقي من السوء إلى مثلها</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أخذ من شاربه وقَلَّمَ أظفاره يومَ الجمعة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على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له بكلِّ شَعرةٍ وكلّ قلامةٍ عتق رقبةٍ، ولم يمرض مرضاً يُصِيبُه إِلّا مرضُ الموتِ</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4" w:name="__RefHeading___Toc375421_1067777946"/>
      <w:bookmarkStart w:id="365" w:name="_Toc119"/>
      <w:bookmarkEnd w:id="364"/>
      <w:r>
        <w:rPr/>
        <w:t>14</w:t>
      </w:r>
      <w:r>
        <w:rPr>
          <w:rtl w:val="true"/>
        </w:rPr>
        <w:t xml:space="preserve"> - </w:t>
      </w:r>
      <w:r>
        <w:rPr>
          <w:rtl w:val="true"/>
        </w:rPr>
        <w:t>لبس أحسن الثياب</w:t>
      </w:r>
      <w:bookmarkEnd w:id="365"/>
    </w:p>
    <w:p>
      <w:pPr>
        <w:pStyle w:val="BookText"/>
        <w:rPr/>
      </w:pP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لبس أحسن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اغتسل يوم الجمعة واستن ومسَّ مِنْ 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ولَبِسَ مِنْ أحسن ثيابه ثمّ خَرَجَ حتّى يأتي المسجد ولم يتخطّ رقاب الناس ثمّ رَكَعَ ما شاء اللّه أنْ يركع وأنصت إذا خرج الإمام، كان كفارة لما بينها وبين الجمعة التي قبلها</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bookmarkStart w:id="366" w:name="pg10113_92101"/>
    </w:p>
    <w:p>
      <w:pPr>
        <w:pStyle w:val="BookText"/>
        <w:rPr/>
      </w:pPr>
      <w:bookmarkEnd w:id="366"/>
      <w:r>
        <w:rPr>
          <w:rFonts w:ascii="Amiri" w:hAnsi="Amiri" w:eastAsia="Amiri" w:cs="Amiri"/>
          <w:color w:val="111111"/>
          <w:sz w:val="28"/>
          <w:sz w:val="28"/>
          <w:szCs w:val="28"/>
          <w:rtl w:val="true"/>
          <w:lang w:bidi="ar-SA"/>
        </w:rPr>
        <w:t xml:space="preserve">وكان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يَلْبِسُه في العيدين والجمعة سوى تَوْبِ مَهْنَتِهِ</w:t>
      </w:r>
      <w:r>
        <w:rPr>
          <w:rStyle w:val="FootnoteAnchor"/>
          <w:rtl w:val="true"/>
        </w:rPr>
        <w:footnoteReference w:id="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ثوبان يلبسهما في جمعته، فإذا انصرف طواهما إلى مثله</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أصحاب العمائم يوم الجمعة</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ليتزيّن أحدُكم يومَ الجمعة ويغتسل ويتطيَّب ويُسَرِّحْ لِحْيَتَه ويلبس أنظف ثيابه ويَتَهيّأ للجمعة، وليكن عليه ذلك اليوم السكينةُ والوَقارُ، َولْيُحْسِنُ عبادة ربّه وليفعل الخير ما استطاع؛ فإنّ اللّه تعالى يطَّلع إلى الأرض فيُضاعِفُ الحسناتِ</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7" w:name="__RefHeading___Toc375423_1067777946"/>
      <w:bookmarkStart w:id="368" w:name="_Toc120"/>
      <w:bookmarkEnd w:id="367"/>
      <w:r>
        <w:rPr/>
        <w:t>15</w:t>
      </w:r>
      <w:r>
        <w:rPr>
          <w:rtl w:val="true"/>
        </w:rPr>
        <w:t xml:space="preserve"> - </w:t>
      </w:r>
      <w:r>
        <w:rPr>
          <w:rtl w:val="true"/>
        </w:rPr>
        <w:t>التبكير إلى المسجد</w:t>
      </w:r>
      <w:bookmarkEnd w:id="368"/>
    </w:p>
    <w:p>
      <w:pPr>
        <w:pStyle w:val="BookText"/>
        <w:rPr/>
      </w:pPr>
      <w:r>
        <w:rPr>
          <w:rFonts w:ascii="Amiri" w:hAnsi="Amiri" w:eastAsia="Amiri" w:cs="Amiri"/>
          <w:color w:val="111111"/>
          <w:sz w:val="28"/>
          <w:sz w:val="28"/>
          <w:szCs w:val="28"/>
          <w:rtl w:val="true"/>
          <w:lang w:bidi="ar-SA"/>
        </w:rPr>
        <w:t>الخامسة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التبكير إلى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الجمعة كان على كلّ بابٍ مِنْ أبواب المسجد ملائكةٌ يكتبون الأوّل فالأوّل، فإذا جلس الإمامُ طَوَوا الصُحُف وجاؤوا يستمعون الذكر</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يجلسون من اللّه يوم القيامة على قدرِ رواحهم إلى الجُمعات، الأوّل والثاني والثالث</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كَرامته ونحوها</w:t>
      </w:r>
      <w:r>
        <w:rPr>
          <w:rStyle w:val="FootnoteAnchor"/>
          <w:rtl w:val="true"/>
        </w:rPr>
        <w:footnoteReference w:id="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اغتسل يومَ الجمعة غُسل الجنابة ثمّ راحَ فكأنّما قَرَّبَ بَدَنَةً ومَنْ راح في الساعة الثانية فكأنّما قَرَّبَ بقرةً، ومَنْ </w:t>
      </w:r>
      <w:bookmarkStart w:id="369" w:name="pg10113_92102"/>
    </w:p>
    <w:p>
      <w:pPr>
        <w:pStyle w:val="BookText"/>
        <w:rPr/>
      </w:pPr>
      <w:bookmarkEnd w:id="369"/>
      <w:r>
        <w:rPr>
          <w:rFonts w:ascii="Amiri" w:hAnsi="Amiri" w:eastAsia="Amiri" w:cs="Amiri"/>
          <w:color w:val="111111"/>
          <w:sz w:val="28"/>
          <w:sz w:val="28"/>
          <w:szCs w:val="28"/>
          <w:rtl w:val="true"/>
          <w:lang w:bidi="ar-SA"/>
        </w:rPr>
        <w:t>راحَ في الساعة الثالثة فكأنّما قَرَّبَ كَبْشاً، ومَنْ راح في الساعة الرابعة فكأنما قَرَّبَ دَجاجةً، ومَنْ راح في الساعة الخامسة فكأنّما قَرَّبَ بَيْضَةً، فإذا خَرَجَ الإمامُ حَضَرت الملائكةُ يستَمِعونَ الذِكر</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تجلس الملائكة يوم الجمعة على باب المسجد فيكتبون الناس على قدر منازلهم الأوّل والثاني حتّى يخرج الإمام</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الجِنَان لتَزَخْرَفُ وتُزَيَّنُ يومَ الجمعة لمن أتاها، وإنّكم تتسابقون إلى الجنّة على قدرِ سَبْقِكم إلى الجمعة</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يمشون إلى المسجد ليلاً في السراج ويتهيّؤون لها يوم الخميس لأجل ذلك</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375425_1067777946"/>
      <w:bookmarkStart w:id="371" w:name="_Toc121"/>
      <w:bookmarkEnd w:id="370"/>
      <w:r>
        <w:rPr/>
        <w:t>16</w:t>
      </w:r>
      <w:r>
        <w:rPr>
          <w:rtl w:val="true"/>
        </w:rPr>
        <w:t xml:space="preserve"> - </w:t>
      </w:r>
      <w:r>
        <w:rPr>
          <w:rtl w:val="true"/>
        </w:rPr>
        <w:t xml:space="preserve">الإكثار من الصلاة على النبيّ </w:t>
      </w:r>
      <w:r>
        <w:rPr>
          <w:rtl w:val="true"/>
        </w:rPr>
        <w:t>(</w:t>
      </w:r>
      <w:r>
        <w:rPr>
          <w:rtl w:val="true"/>
        </w:rPr>
        <w:t>صَلَّى اللّه عَلَيْهِ وَ آلِهِ وَسَلَّمَ‏</w:t>
      </w:r>
      <w:r>
        <w:rPr>
          <w:rtl w:val="true"/>
        </w:rPr>
        <w:t>)</w:t>
      </w:r>
      <w:bookmarkEnd w:id="371"/>
    </w:p>
    <w:p>
      <w:pPr>
        <w:pStyle w:val="BookText"/>
        <w:rPr/>
      </w:pPr>
      <w:r>
        <w:rPr>
          <w:rFonts w:ascii="Amiri" w:hAnsi="Amiri" w:eastAsia="Amiri" w:cs="Amiri"/>
          <w:color w:val="111111"/>
          <w:sz w:val="28"/>
          <w:sz w:val="28"/>
          <w:szCs w:val="28"/>
          <w:rtl w:val="true"/>
          <w:lang w:bidi="ar-SA"/>
        </w:rPr>
        <w:t xml:space="preserve">السادسة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الإكثار من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من الصلاة عليَّ في كلّ جمعة، فمن كان أكثركم صلاة عليَّ كان أقربكم منّى منزلة</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صلّى عليَّ يوم الجمعة مائة مرّةٍ جاء يوم القيامة وعلى وجهه نورٌ</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صلّى عليَّ في يوم الجمعة ألفَ مرّةٍ لم يمت حتّى يرى مقعده من الجنّة</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bookmarkStart w:id="372" w:name="pg10113_92103"/>
    </w:p>
    <w:p>
      <w:pPr>
        <w:pStyle w:val="BookText"/>
        <w:rPr/>
      </w:pPr>
      <w:bookmarkEnd w:id="372"/>
      <w:r>
        <w:rPr>
          <w:rFonts w:ascii="Amiri" w:hAnsi="Amiri" w:eastAsia="Amiri" w:cs="Amiri"/>
          <w:color w:val="111111"/>
          <w:sz w:val="28"/>
          <w:sz w:val="28"/>
          <w:szCs w:val="28"/>
          <w:rtl w:val="true"/>
          <w:lang w:bidi="ar-SA"/>
        </w:rPr>
        <w:t xml:space="preserve">وروى عمرُ بنُ يزيد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ليلة الجمعة نزل من السماء ملائكة بعدد الذرّ، بأيديهم أقلامُ الذَهَب وقراطيسُ الفِضَّة لا تكتبون إلى ليلة السَبْتِ إِلَّا الصلاة على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فأكْثِرُ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إنّ من السنّة أنْ تُصلّي على محمّدٍ وأهل بيته في كلّ يوم جمعة ألف مَرَّةٍ، وفي سائر الأيّام مائة مرّة</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الصلاة عليَّ في اليلة الغراء واليوم الأزهر ليلة الجمعة ويوم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إلى كَم الكثير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مائة وما زادت فهو أفضل</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الصدوق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أفضل الأعمال يومَ الجمعة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على محمّد وآل محمّدٍ مائة مرّةٍ، ومرّةً بعد العصر، وما زِدْتَ فهو أفضلُ</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يوم الجمعة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الأوصياء المرضيّينَ بأفضل صلواتك، وبارك عليهم بأفضل بركاتك، والسلام عليهم وعلى أرواحهم وأجسادهم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قلتها كتب اللّه لك مائة ألف حسنة، ومحا عنك مائة ألف سيئة، وقضى لك مائة ألف حاجة، ورفع لك بها مائة ألف درجة</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3" w:name="__RefHeading___Toc375427_1067777946"/>
      <w:bookmarkStart w:id="374" w:name="_Toc122"/>
      <w:bookmarkEnd w:id="373"/>
      <w:r>
        <w:rPr/>
        <w:t>17</w:t>
      </w:r>
      <w:r>
        <w:rPr>
          <w:rtl w:val="true"/>
        </w:rPr>
        <w:t xml:space="preserve"> - </w:t>
      </w:r>
      <w:r>
        <w:rPr>
          <w:rtl w:val="true"/>
        </w:rPr>
        <w:t>مضاعفة أجر الذاهب إلى الجمعة</w:t>
      </w:r>
      <w:bookmarkEnd w:id="374"/>
    </w:p>
    <w:p>
      <w:pPr>
        <w:pStyle w:val="BookText"/>
        <w:rPr/>
      </w:pPr>
      <w:r>
        <w:rPr>
          <w:rFonts w:ascii="Amiri" w:hAnsi="Amiri" w:eastAsia="Amiri" w:cs="Amiri"/>
          <w:color w:val="111111"/>
          <w:sz w:val="28"/>
          <w:sz w:val="28"/>
          <w:szCs w:val="28"/>
          <w:rtl w:val="true"/>
          <w:lang w:bidi="ar-SA"/>
        </w:rPr>
        <w:t>السابعة عشرة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تضعيفُ أجر الذاهب إلى الجمعة بكلِّ خُطوةٍ أجر سنَةٍ، وهذه مزيّة تحصل للبعيد عنها </w:t>
      </w:r>
      <w:bookmarkStart w:id="375" w:name="pg10113_92104"/>
    </w:p>
    <w:p>
      <w:pPr>
        <w:pStyle w:val="BookText"/>
        <w:rPr/>
      </w:pPr>
      <w:bookmarkEnd w:id="375"/>
      <w:r>
        <w:rPr>
          <w:rFonts w:ascii="Amiri" w:hAnsi="Amiri" w:eastAsia="Amiri" w:cs="Amiri"/>
          <w:color w:val="111111"/>
          <w:sz w:val="28"/>
          <w:sz w:val="28"/>
          <w:szCs w:val="28"/>
          <w:rtl w:val="true"/>
          <w:lang w:bidi="ar-SA"/>
        </w:rPr>
        <w:t>أكثر ممّا يحصُلُ للقريب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اغتسل يوم الجمعة وغَسَّلَ</w:t>
      </w:r>
      <w:r>
        <w:rPr>
          <w:rStyle w:val="FootnoteAnchor"/>
          <w:rtl w:val="true"/>
        </w:rPr>
        <w:footnoteReference w:id="695"/>
      </w:r>
      <w:r>
        <w:rPr>
          <w:rFonts w:ascii="Amiri" w:hAnsi="Amiri" w:eastAsia="Amiri" w:cs="Amiri"/>
          <w:color w:val="111111"/>
          <w:sz w:val="28"/>
          <w:sz w:val="28"/>
          <w:szCs w:val="28"/>
          <w:rtl w:val="true"/>
          <w:lang w:bidi="ar-SA"/>
        </w:rPr>
        <w:t>ثمَّ بَكَّرَ وابْتَكَرَ</w:t>
      </w:r>
      <w:r>
        <w:rPr>
          <w:rStyle w:val="FootnoteAnchor"/>
          <w:rtl w:val="true"/>
        </w:rPr>
        <w:footnoteReference w:id="696"/>
      </w:r>
      <w:r>
        <w:rPr>
          <w:rFonts w:ascii="Amiri" w:hAnsi="Amiri" w:eastAsia="Amiri" w:cs="Amiri"/>
          <w:color w:val="111111"/>
          <w:sz w:val="28"/>
          <w:sz w:val="28"/>
          <w:szCs w:val="28"/>
          <w:rtl w:val="true"/>
          <w:lang w:bidi="ar-SA"/>
        </w:rPr>
        <w:t>، ومشى ولم يركب، ودنا من الإمام واسْتَمَعَ ولم يَلْغُ، كان له بكلِّ خُطْوَةٍ عملُ سَنَةٍ، أجرُ صيامها وقيامها</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مشيك إلى المسجد وانصرافك إلى أهلك في الأجر سواء</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6" w:name="__RefHeading___Toc375429_1067777946"/>
      <w:bookmarkStart w:id="377" w:name="_Toc123"/>
      <w:bookmarkEnd w:id="376"/>
      <w:r>
        <w:rPr/>
        <w:t>18</w:t>
      </w:r>
      <w:r>
        <w:rPr>
          <w:rtl w:val="true"/>
        </w:rPr>
        <w:t xml:space="preserve"> - </w:t>
      </w:r>
      <w:r>
        <w:rPr>
          <w:rtl w:val="true"/>
        </w:rPr>
        <w:t>استحباب صلاة عشرين ركعة في يومها</w:t>
      </w:r>
      <w:bookmarkEnd w:id="377"/>
    </w:p>
    <w:p>
      <w:pPr>
        <w:pStyle w:val="BookText"/>
        <w:rPr/>
      </w:pPr>
      <w:r>
        <w:rPr>
          <w:rFonts w:ascii="Amiri" w:hAnsi="Amiri" w:eastAsia="Amiri" w:cs="Amiri"/>
          <w:color w:val="111111"/>
          <w:sz w:val="28"/>
          <w:sz w:val="28"/>
          <w:szCs w:val="28"/>
          <w:rtl w:val="true"/>
          <w:lang w:bidi="ar-SA"/>
        </w:rPr>
        <w:t>الثامنة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استحباب صلاة عشرين ركعةً فيها، وأفضلها أنْ 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سُداس عند انبساط الشمس وقيامها وارتفاعها، والركعتان الباقيتان بعد الزوال، أو جعل السِتَّةِ الأُولى بين الفرضين، وذلك مرويٌّ مشهورٌ</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8" w:name="__RefHeading___Toc375431_1067777946"/>
      <w:bookmarkStart w:id="379" w:name="_Toc124"/>
      <w:bookmarkEnd w:id="378"/>
      <w:r>
        <w:rPr/>
        <w:t>19</w:t>
      </w:r>
      <w:r>
        <w:rPr>
          <w:rtl w:val="true"/>
        </w:rPr>
        <w:t xml:space="preserve"> - </w:t>
      </w:r>
      <w:r>
        <w:rPr>
          <w:rtl w:val="true"/>
        </w:rPr>
        <w:t>نفي كراهية النافلة وقت الاستواء</w:t>
      </w:r>
      <w:bookmarkEnd w:id="379"/>
    </w:p>
    <w:p>
      <w:pPr>
        <w:pStyle w:val="BookText"/>
        <w:rPr/>
      </w:pPr>
      <w:r>
        <w:rPr>
          <w:rFonts w:ascii="Amiri" w:hAnsi="Amiri" w:eastAsia="Amiri" w:cs="Amiri"/>
          <w:color w:val="111111"/>
          <w:sz w:val="28"/>
          <w:sz w:val="28"/>
          <w:szCs w:val="28"/>
          <w:rtl w:val="true"/>
          <w:lang w:bidi="ar-SA"/>
        </w:rPr>
        <w:t>التاسعة عشرة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نفي كراهية النافلة وقت الاستواء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بكراهية النافلة مطلقاً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روي عن </w:t>
      </w:r>
      <w:bookmarkStart w:id="380" w:name="pg10113_92105"/>
    </w:p>
    <w:p>
      <w:pPr>
        <w:pStyle w:val="BookText"/>
        <w:rPr/>
      </w:pPr>
      <w:bookmarkEnd w:id="380"/>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كره الصلاة نصف النهار إلّا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جهنَّم تُسَجَّرُ كلّ إلّا يوم الجمعة</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1" w:name="__RefHeading___Toc375433_1067777946"/>
      <w:bookmarkStart w:id="382" w:name="_Toc125"/>
      <w:bookmarkEnd w:id="381"/>
      <w:r>
        <w:rPr/>
        <w:t>20</w:t>
      </w:r>
      <w:r>
        <w:rPr>
          <w:rtl w:val="true"/>
        </w:rPr>
        <w:t xml:space="preserve"> - </w:t>
      </w:r>
      <w:r>
        <w:rPr>
          <w:rtl w:val="true"/>
        </w:rPr>
        <w:t>لا يستحبّ الإبراد بصلاتها في شدّة الحرّ</w:t>
      </w:r>
      <w:bookmarkEnd w:id="382"/>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لا يُسْتَحَبُّ الإيراد بصلاتها فى شدَّةِ الحَرّ مطلقاً بخلاف سائر الأيّام</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اشْتَدَّ الحرُّ أبْرَد بالصلاة بغير الجمعة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3" w:name="__RefHeading___Toc375435_1067777946"/>
      <w:bookmarkStart w:id="384" w:name="_Toc126"/>
      <w:bookmarkEnd w:id="383"/>
      <w:r>
        <w:rPr/>
        <w:t>21</w:t>
      </w:r>
      <w:r>
        <w:rPr>
          <w:rtl w:val="true"/>
        </w:rPr>
        <w:t xml:space="preserve"> - </w:t>
      </w:r>
      <w:r>
        <w:rPr>
          <w:rtl w:val="true"/>
        </w:rPr>
        <w:t>تأخير الغداء والقيلولة عن صلاة الجمعة</w:t>
      </w:r>
      <w:bookmarkEnd w:id="384"/>
    </w:p>
    <w:p>
      <w:pPr>
        <w:pStyle w:val="BookText"/>
        <w:rPr/>
      </w:pPr>
      <w:r>
        <w:rPr>
          <w:rFonts w:ascii="Amiri" w:hAnsi="Amiri" w:eastAsia="Amiri" w:cs="Amiri"/>
          <w:color w:val="111111"/>
          <w:sz w:val="28"/>
          <w:sz w:val="28"/>
          <w:szCs w:val="28"/>
          <w:rtl w:val="true"/>
          <w:lang w:bidi="ar-SA"/>
        </w:rPr>
        <w:t>الحادية والعشرون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تأخير الغداء والقيلولة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سَعْدٍ ما كنا نقيلُ ولا تتعدى إلّا بعد الجمعة</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نصلي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ثم تكون القائلة</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5" w:name="__RefHeading___Toc375437_1067777946"/>
      <w:bookmarkStart w:id="386" w:name="_Toc127"/>
      <w:bookmarkEnd w:id="385"/>
      <w:r>
        <w:rPr/>
        <w:t>22</w:t>
      </w:r>
      <w:r>
        <w:rPr>
          <w:rtl w:val="true"/>
        </w:rPr>
        <w:t xml:space="preserve"> - </w:t>
      </w:r>
      <w:r>
        <w:rPr>
          <w:rtl w:val="true"/>
        </w:rPr>
        <w:t>قراءة الفاتحة والإخلاص والمعوّذتين سبعاً سبعاً</w:t>
      </w:r>
      <w:bookmarkEnd w:id="386"/>
    </w:p>
    <w:p>
      <w:pPr>
        <w:pStyle w:val="BookText"/>
        <w:rPr/>
      </w:pPr>
      <w:r>
        <w:rPr>
          <w:rFonts w:ascii="Amiri" w:hAnsi="Amiri" w:eastAsia="Amiri" w:cs="Amiri"/>
          <w:color w:val="111111"/>
          <w:sz w:val="28"/>
          <w:sz w:val="28"/>
          <w:szCs w:val="28"/>
          <w:rtl w:val="true"/>
          <w:lang w:bidi="ar-SA"/>
        </w:rPr>
        <w:t>الثانية والعشرون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قراءة الفاتحة والإخلاص والمعوذتينِ سَبْعاً سَبْعاً، ففي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بعدها كذلك حُفِظَ من مجلسه ذلك إلى مثله</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الصدوق ابن بابويه بإسناده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بعد الجمعة حتّى ينصرف الحمد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bookmarkStart w:id="387" w:name="pg10113_92106"/>
    </w:p>
    <w:p>
      <w:pPr>
        <w:pStyle w:val="BookText"/>
        <w:rPr/>
      </w:pPr>
      <w:bookmarkEnd w:id="387"/>
      <w:r>
        <w:rPr>
          <w:rFonts w:ascii="Amiri" w:hAnsi="Amiri" w:eastAsia="Amiri" w:cs="Amiri"/>
          <w:color w:val="111111"/>
          <w:sz w:val="28"/>
          <w:sz w:val="28"/>
          <w:szCs w:val="28"/>
          <w:rtl w:val="true"/>
          <w:lang w:bidi="ar-SA"/>
        </w:rPr>
        <w:t>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 وآيةَ المُلك</w:t>
      </w:r>
      <w:r>
        <w:rPr>
          <w:rStyle w:val="FootnoteAnchor"/>
          <w:rtl w:val="true"/>
        </w:rPr>
        <w:footnoteReference w:id="706"/>
      </w:r>
      <w:r>
        <w:rPr>
          <w:rFonts w:ascii="Amiri" w:hAnsi="Amiri" w:eastAsia="Amiri" w:cs="Amiri"/>
          <w:color w:val="111111"/>
          <w:sz w:val="28"/>
          <w:sz w:val="28"/>
          <w:szCs w:val="28"/>
          <w:rtl w:val="true"/>
          <w:lang w:bidi="ar-SA"/>
        </w:rPr>
        <w:t>، آية السخرة</w:t>
      </w:r>
      <w:r>
        <w:rPr>
          <w:rStyle w:val="FootnoteAnchor"/>
          <w:rtl w:val="true"/>
        </w:rPr>
        <w:footnoteReference w:id="707"/>
      </w:r>
      <w:r>
        <w:rPr>
          <w:rFonts w:ascii="Amiri" w:hAnsi="Amiri" w:eastAsia="Amiri" w:cs="Amiri"/>
          <w:color w:val="111111"/>
          <w:sz w:val="28"/>
          <w:sz w:val="28"/>
          <w:szCs w:val="28"/>
          <w:rtl w:val="true"/>
          <w:lang w:bidi="ar-SA"/>
        </w:rPr>
        <w:t>، وآخِرَ براءة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708"/>
      </w:r>
      <w:r>
        <w:rPr>
          <w:rFonts w:ascii="Amiri" w:hAnsi="Amiri" w:eastAsia="Amiri" w:cs="Amiri"/>
          <w:color w:val="111111"/>
          <w:sz w:val="28"/>
          <w:sz w:val="28"/>
          <w:szCs w:val="28"/>
          <w:rtl w:val="true"/>
          <w:lang w:bidi="ar-SA"/>
        </w:rPr>
        <w:t>كانتْ كفّارة ما بين الجمعة إلى الجمعة</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وبإسناده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دبر صلاة الجمعة فاتحة الكتاب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وفاتحة الكتاب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وفاتحة الكتاب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لم تَنْزِلْ به بليّة ولم تُصِبه فتنةٌ إلى الجمعة الأخرى، فإن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اجْعَلْني مِن أهل الجنّة التي حَشْوُها بركة وعمّارها ملائكة، مع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وأبينا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 اللّه بينه وبين محمّدٍ وإبراهيم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السلام</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8" w:name="__RefHeading___Toc375439_1067777946"/>
      <w:bookmarkStart w:id="389" w:name="_Toc128"/>
      <w:bookmarkEnd w:id="388"/>
      <w:r>
        <w:rPr/>
        <w:t>23</w:t>
      </w:r>
      <w:r>
        <w:rPr>
          <w:rtl w:val="true"/>
        </w:rPr>
        <w:t xml:space="preserve"> - </w:t>
      </w:r>
      <w:r>
        <w:rPr>
          <w:rtl w:val="true"/>
        </w:rPr>
        <w:t>فيها ساعة الإجابة</w:t>
      </w:r>
      <w:bookmarkEnd w:id="389"/>
    </w:p>
    <w:p>
      <w:pPr>
        <w:pStyle w:val="BookText"/>
        <w:rPr/>
      </w:pPr>
      <w:r>
        <w:rPr>
          <w:rFonts w:ascii="Amiri" w:hAnsi="Amiri" w:eastAsia="Amiri" w:cs="Amiri"/>
          <w:color w:val="111111"/>
          <w:sz w:val="28"/>
          <w:sz w:val="28"/>
          <w:szCs w:val="28"/>
          <w:rtl w:val="true"/>
          <w:lang w:bidi="ar-SA"/>
        </w:rPr>
        <w:t>الثالثة والعشرون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فيه ساعة الإجابة، ففي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يوم الجمعة،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ساعةٌ لا يُوافِقها عبد مسلمّ سألَ اللّه شيئاً إلّا أعطاه إيّاه</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 أهل العلم في هذه الساعة اختلافاً كثيراً</w:t>
      </w:r>
      <w:r>
        <w:rPr>
          <w:rStyle w:val="FootnoteAnchor"/>
          <w:rtl w:val="true"/>
        </w:rPr>
        <w:footnoteReference w:id="712"/>
      </w:r>
      <w:r>
        <w:rPr>
          <w:rFonts w:ascii="Amiri" w:hAnsi="Amiri" w:eastAsia="Amiri" w:cs="Amiri"/>
          <w:color w:val="111111"/>
          <w:sz w:val="28"/>
          <w:sz w:val="28"/>
          <w:szCs w:val="28"/>
          <w:rtl w:val="true"/>
          <w:lang w:bidi="ar-SA"/>
        </w:rPr>
        <w:t xml:space="preserve">، وأصحُّها عندنا أنّها من بين فَراغ الإمام من الخطبة إلى أن تستوي الصفوف بالناس، وساعة أُخرى مِن آخر النهار </w:t>
      </w:r>
      <w:bookmarkStart w:id="390" w:name="pg10113_92107"/>
    </w:p>
    <w:p>
      <w:pPr>
        <w:pStyle w:val="BookText"/>
        <w:rPr/>
      </w:pPr>
      <w:bookmarkEnd w:id="390"/>
      <w:r>
        <w:rPr>
          <w:rFonts w:ascii="Amiri" w:hAnsi="Amiri" w:eastAsia="Amiri" w:cs="Amiri"/>
          <w:color w:val="111111"/>
          <w:sz w:val="28"/>
          <w:sz w:val="28"/>
          <w:szCs w:val="28"/>
          <w:rtl w:val="true"/>
          <w:lang w:bidi="ar-SA"/>
        </w:rPr>
        <w:t xml:space="preserve">إلى غروب الشمس رواه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1" w:name="__RefHeading___Toc375441_1067777946"/>
      <w:bookmarkStart w:id="392" w:name="_Toc129"/>
      <w:bookmarkEnd w:id="391"/>
      <w:r>
        <w:rPr/>
        <w:t>24</w:t>
      </w:r>
      <w:r>
        <w:rPr>
          <w:rtl w:val="true"/>
        </w:rPr>
        <w:t xml:space="preserve"> - </w:t>
      </w:r>
      <w:r>
        <w:rPr>
          <w:rtl w:val="true"/>
        </w:rPr>
        <w:t>تحريم السفر قبل صلاة الجمعة</w:t>
      </w:r>
      <w:bookmarkEnd w:id="392"/>
    </w:p>
    <w:p>
      <w:pPr>
        <w:pStyle w:val="BookText"/>
        <w:rPr/>
      </w:pPr>
      <w:r>
        <w:rPr>
          <w:rFonts w:ascii="Amiri" w:hAnsi="Amiri" w:eastAsia="Amiri" w:cs="Amiri"/>
          <w:color w:val="111111"/>
          <w:sz w:val="28"/>
          <w:sz w:val="28"/>
          <w:szCs w:val="28"/>
          <w:rtl w:val="true"/>
          <w:lang w:bidi="ar-SA"/>
        </w:rPr>
        <w:t>الرابعة والعشرون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تحريمُ السفر بعد الزوال وقبلها، وكراهيته من أول النهار عدا ما استُثني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الخبر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سافر يوم الجمعة دعا عليه ملكاه أنْ لا يُصاحَبَ في سفره ولا تُقضى له حاجةٌ</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رجل إلى سعيد بن المُسَيِّب يوم الجمعة يُوَدِّعه لسفرٍ،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 حتّى تصلّي،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تفوتني أصحابي، ثمّ عجّل فكان سعيدٌ يسأل عنه حتّى قَدِمَ قوم فأخبروه أنّ رِجْلَه انكسرت، فقال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لأُظنّ أنْ سيُصيبه ذلك</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صيّاداً كان يخرج في الجمعة لا يمنعه مكان الجمعة من الخروج فخُسفَ به وببغلَتِه، فخرج الناس وقد ذهبت بغلته في الأرض فلم يبق منها شيء إلّا أُذناها وذنبُها</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قوماً خرجوا في سفرٍ حينَ حَضَرَتِ الجمعة فاضْطَرَمَ عليهم خباؤُهم ناراً من غير نارٍ يرونها</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3" w:name="__RefHeading___Toc375443_1067777946"/>
      <w:bookmarkStart w:id="394" w:name="_Toc130"/>
      <w:bookmarkEnd w:id="393"/>
      <w:r>
        <w:rPr/>
        <w:t>25</w:t>
      </w:r>
      <w:r>
        <w:rPr>
          <w:rtl w:val="true"/>
        </w:rPr>
        <w:t xml:space="preserve"> - </w:t>
      </w:r>
      <w:r>
        <w:rPr>
          <w:rtl w:val="true"/>
        </w:rPr>
        <w:t>قراءة سور مخصوصة في نهارها منها سورة الكهف</w:t>
      </w:r>
      <w:bookmarkEnd w:id="394"/>
    </w:p>
    <w:p>
      <w:pPr>
        <w:pStyle w:val="BookText"/>
        <w:rPr/>
      </w:pPr>
      <w:r>
        <w:rPr>
          <w:rFonts w:ascii="Amiri" w:hAnsi="Amiri" w:eastAsia="Amiri" w:cs="Amiri"/>
          <w:color w:val="111111"/>
          <w:sz w:val="28"/>
          <w:sz w:val="28"/>
          <w:szCs w:val="28"/>
          <w:rtl w:val="true"/>
          <w:lang w:bidi="ar-SA"/>
        </w:rPr>
        <w:t>الخامسة والعشرون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قراءة سورة مخصوصة من القرآن فيه، فمنها سورة الكهف وقد ورد فيها أحاديث، منها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قرأ سورة الكهف يوم الجمعة فهو معصوم إلى ثمانية أيّام، وإن خرج الدجّال عُصِمَ منه، ومَن قرأها ليلة الجمعة أضاء له من النور فيما بينه وبين البيت العتيق</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الصدوق بإسناده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الكهف كلّ ليلة جمعةٍ لم يَمُتْ إِلَّا شهيداً أو بعثه اللّه مع الشهداء ووقف يوم القيامة مع الشهداء</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سورة الإسراء، روى الصدوق بإسناده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سورة بنى إسرائيل في كلّ جمعةٍ لم يَمُتْ حتّى يُدرك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من أصحابه</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سورة الصافّات، فعنه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المذكور،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الصافات في كلّ يوم جمعة لم يَزَلْ محفوظاً مِن كلّ آفةٍ، مدفوعاً عنه كلّ بليّة في الحياة الدنيا، مرزوقاً في الدنيا بأوسع ما يكون من الرزق، ولم يُصبه اللّه في ماله ولا ولده ولا بدنه بسوءٍ من شيطان رجيم ولا جبّارٍ عَنيد، وإن مات في يومه أو ليلته بعثه اللّه شهيداً وأماته شهيداً وأدخله الجنّةَ مع الشهداء في درجةٍ من الجنّة</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سورة الواقعة، فعنه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كلّ ليلة جمعة الواقعة أحبَّهُ اللّه وحَبَّبه إلى الناس أجمعين، ولم ير في الدنيا بؤساً أبداً ولا فقراً ولا فاقةً ولا آفةً من آفات الدنيا وكان مِن رُفقاء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حم الدخان ويس وص وهود والبقرة وآل عمران والنساء وقد جاء فيها أحاديثُ،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حم الدخان في ليلة الجمعة أو يوم الجمعة بنى اللّه له بَيتاً في الجنَّة</w:t>
      </w:r>
      <w:r>
        <w:rPr>
          <w:rStyle w:val="FootnoteAnchor"/>
          <w:rtl w:val="true"/>
        </w:rPr>
        <w:footnoteReference w:id="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 ليلة الجمعة حم ويس أصبحَ مغفوراً له</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 السورة التي يُذْكَرُ فيها آل عمران يومَ الجمعة صلّى اللّه عليه وملائكته حتّى تغيب الشمس</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bookmarkStart w:id="395" w:name="pg10113_92109"/>
    </w:p>
    <w:p>
      <w:pPr>
        <w:pStyle w:val="BookText"/>
        <w:rPr/>
      </w:pPr>
      <w:bookmarkEnd w:id="395"/>
      <w:r>
        <w:rPr>
          <w:rFonts w:ascii="Amiri" w:hAnsi="Amiri" w:eastAsia="Amiri" w:cs="Amiri"/>
          <w:color w:val="111111"/>
          <w:sz w:val="28"/>
          <w:sz w:val="28"/>
          <w:szCs w:val="28"/>
          <w:rtl w:val="true"/>
          <w:lang w:bidi="ar-SA"/>
        </w:rPr>
        <w:t>قرأ سورة البقرة وآل عمران في ليلة الجمعة كان له فيها من الأجر كما بين لبيدٍ وعزوبا</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السابعة، وعَزُوباً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السابعة</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الأحاديث، وهي كثيرة</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375445_1067777946"/>
      <w:bookmarkStart w:id="397" w:name="_Toc131"/>
      <w:bookmarkEnd w:id="396"/>
      <w:r>
        <w:rPr/>
        <w:t>26</w:t>
      </w:r>
      <w:r>
        <w:rPr>
          <w:rtl w:val="true"/>
        </w:rPr>
        <w:t xml:space="preserve"> - </w:t>
      </w:r>
      <w:r>
        <w:rPr>
          <w:rtl w:val="true"/>
        </w:rPr>
        <w:t>تكفير الآثام</w:t>
      </w:r>
      <w:bookmarkEnd w:id="397"/>
    </w:p>
    <w:p>
      <w:pPr>
        <w:pStyle w:val="BookText"/>
        <w:rPr/>
      </w:pPr>
      <w:r>
        <w:rPr>
          <w:rFonts w:ascii="Amiri" w:hAnsi="Amiri" w:eastAsia="Amiri" w:cs="Amiri"/>
          <w:color w:val="111111"/>
          <w:sz w:val="28"/>
          <w:sz w:val="28"/>
          <w:szCs w:val="28"/>
          <w:rtl w:val="true"/>
          <w:lang w:bidi="ar-SA"/>
        </w:rPr>
        <w:t>السادسة والعشرون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تكفير الآثام 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أتدري ما يومُ الجمعة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اليوم الذي جمع اللّه تعالى فيه بين أبويكم، لا يبقى منّا عبد فيُحْسِنُ الوضوءَ ثمّ يأتي المسجد لجمعة إلّا كانت كفارة لما بينها وبين الجمعة الأخرى ما اجْتَنِبَتِ الكبائرُ</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8" w:name="__RefHeading___Toc375447_1067777946"/>
      <w:bookmarkStart w:id="399" w:name="_Toc132"/>
      <w:bookmarkEnd w:id="398"/>
      <w:r>
        <w:rPr/>
        <w:t>27</w:t>
      </w:r>
      <w:r>
        <w:rPr>
          <w:rtl w:val="true"/>
        </w:rPr>
        <w:t xml:space="preserve"> - </w:t>
      </w:r>
      <w:r>
        <w:rPr>
          <w:rtl w:val="true"/>
        </w:rPr>
        <w:t>أمان من عذاب القبر لمن مات في يومها أو ليلتها</w:t>
      </w:r>
      <w:bookmarkEnd w:id="399"/>
    </w:p>
    <w:p>
      <w:pPr>
        <w:pStyle w:val="BookText"/>
        <w:rPr/>
      </w:pPr>
      <w:r>
        <w:rPr>
          <w:rFonts w:ascii="Amiri" w:hAnsi="Amiri" w:eastAsia="Amiri" w:cs="Amiri"/>
          <w:color w:val="111111"/>
          <w:sz w:val="28"/>
          <w:sz w:val="28"/>
          <w:szCs w:val="28"/>
          <w:rtl w:val="true"/>
          <w:lang w:bidi="ar-SA"/>
        </w:rPr>
        <w:t>السابعة والعشرون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الأمانُ مِن عذاب القبر لمن مات يومها أو ليلتها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يومَ الجمعة وُقِيَ عذاب القبر</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0" w:name="__RefHeading___Toc375449_1067777946"/>
      <w:bookmarkStart w:id="401" w:name="_Toc133"/>
      <w:bookmarkEnd w:id="400"/>
      <w:r>
        <w:rPr/>
        <w:t>28</w:t>
      </w:r>
      <w:r>
        <w:rPr>
          <w:rtl w:val="true"/>
        </w:rPr>
        <w:t xml:space="preserve"> - </w:t>
      </w:r>
      <w:r>
        <w:rPr>
          <w:rtl w:val="true"/>
        </w:rPr>
        <w:t>الأمان من فتنة لمن مات في يومها أو ليلتها</w:t>
      </w:r>
      <w:bookmarkEnd w:id="401"/>
    </w:p>
    <w:p>
      <w:pPr>
        <w:pStyle w:val="BookText"/>
        <w:rPr/>
      </w:pPr>
      <w:r>
        <w:rPr>
          <w:rFonts w:ascii="Amiri" w:hAnsi="Amiri" w:eastAsia="Amiri" w:cs="Amiri"/>
          <w:color w:val="111111"/>
          <w:sz w:val="28"/>
          <w:sz w:val="28"/>
          <w:szCs w:val="28"/>
          <w:rtl w:val="true"/>
          <w:lang w:bidi="ar-SA"/>
        </w:rPr>
        <w:t>الثامنة والعشرون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الأمانُ من فتنة القبر لمن مات يومها أوليلتها، فلا يُسألُ في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مسلم يموت يوم الجمعة أو ليلة الجمعة إلّا وقاهُ اللّه عزّ وجلّ فتنة القبر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لفظ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وُقي فتنة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وُقِيَ الفَتانَ</w:t>
      </w:r>
      <w:r>
        <w:rPr>
          <w:rFonts w:eastAsia="Amiri" w:cs="Amiri" w:ascii="Amiri" w:hAnsi="Amiri"/>
          <w:color w:val="111111"/>
          <w:sz w:val="28"/>
          <w:szCs w:val="28"/>
          <w:rtl w:val="true"/>
          <w:lang w:bidi="ar-SA"/>
        </w:rPr>
        <w:t>»</w:t>
      </w:r>
      <w:r>
        <w:rPr>
          <w:rStyle w:val="FootnoteAnchor"/>
          <w:rtl w:val="true"/>
        </w:rPr>
        <w:footnoteReference w:id="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مسلم ومسلمة يموتُ يوم الجمعة أو ليلة الجمعة إلّا وقي عذابَ </w:t>
      </w:r>
      <w:bookmarkStart w:id="402" w:name="pg10113_92110"/>
    </w:p>
    <w:p>
      <w:pPr>
        <w:pStyle w:val="BookText"/>
        <w:rPr/>
      </w:pPr>
      <w:bookmarkEnd w:id="402"/>
      <w:r>
        <w:rPr>
          <w:rFonts w:ascii="Amiri" w:hAnsi="Amiri" w:eastAsia="Amiri" w:cs="Amiri"/>
          <w:color w:val="111111"/>
          <w:sz w:val="28"/>
          <w:sz w:val="28"/>
          <w:szCs w:val="28"/>
          <w:rtl w:val="true"/>
          <w:lang w:bidi="ar-SA"/>
        </w:rPr>
        <w:t>القبر وفتنته، ولَقِيَ اللّه لا حساب عليه</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3" w:name="__RefHeading___Toc375451_1067777946"/>
      <w:bookmarkStart w:id="404" w:name="_Toc134"/>
      <w:bookmarkEnd w:id="403"/>
      <w:r>
        <w:rPr/>
        <w:t>29</w:t>
      </w:r>
      <w:r>
        <w:rPr>
          <w:rtl w:val="true"/>
        </w:rPr>
        <w:t xml:space="preserve"> - </w:t>
      </w:r>
      <w:r>
        <w:rPr>
          <w:rtl w:val="true"/>
        </w:rPr>
        <w:t>الحكم لمن مات في يوم أو ليلتها بالشهادة</w:t>
      </w:r>
      <w:bookmarkEnd w:id="404"/>
    </w:p>
    <w:p>
      <w:pPr>
        <w:pStyle w:val="BookText"/>
        <w:rPr/>
      </w:pPr>
      <w:r>
        <w:rPr>
          <w:rFonts w:ascii="Amiri" w:hAnsi="Amiri" w:eastAsia="Amiri" w:cs="Amiri"/>
          <w:color w:val="111111"/>
          <w:sz w:val="28"/>
          <w:sz w:val="28"/>
          <w:szCs w:val="28"/>
          <w:rtl w:val="true"/>
          <w:lang w:bidi="ar-SA"/>
        </w:rPr>
        <w:t>التاسعة والعشرون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لمن مات فيه بالشهادة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الخاصيّة الثانية برواية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في يومه أو ليلته مات شهيداً وبُعِثَ آمناً</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يوم الجمعة كتب اللّه له أجر شهيد، ووُقِيَ فتنة القبر</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5" w:name="__RefHeading___Toc375453_1067777946"/>
      <w:bookmarkStart w:id="406" w:name="_Toc135"/>
      <w:bookmarkEnd w:id="405"/>
      <w:r>
        <w:rPr/>
        <w:t>30</w:t>
      </w:r>
      <w:r>
        <w:rPr>
          <w:rtl w:val="true"/>
        </w:rPr>
        <w:t xml:space="preserve"> - </w:t>
      </w:r>
      <w:r>
        <w:rPr>
          <w:rtl w:val="true"/>
        </w:rPr>
        <w:t>مات فيها مؤمناً كتبت له براءة من النار</w:t>
      </w:r>
      <w:bookmarkEnd w:id="406"/>
    </w:p>
    <w:p>
      <w:pPr>
        <w:pStyle w:val="BookText"/>
        <w:rPr/>
      </w:pPr>
      <w:r>
        <w:rPr>
          <w:rFonts w:ascii="IRNazanin" w:hAnsi="IRNazanin" w:eastAsia="IRNazanin"/>
          <w:color w:val="111111"/>
          <w:sz w:val="28"/>
          <w:sz w:val="28"/>
          <w:szCs w:val="28"/>
          <w:rtl w:val="true"/>
          <w:lang w:bidi="fa-IR"/>
        </w:rPr>
        <w:t>الثلاثون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مَنْ مات فيه مؤمناً كُتِبَ له براءةٌ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بإسناده إلى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يوم الجمعة وليلتها،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ليلتها ليلةٌ غرّاءُ ويومُها يومٌ أَزْهَرُ، وليس على وجه الأرض يومٌ تَغرُبُ فيه الشمسُ أكثر مُعافى من النار منه مَنْ مات يوم الجمعة عارفاً بحقِّ أهل هذا البيت كَتَبَ اللّه له بَراءةً مِن النار وبراءةً مِن عذاب القبر، ومَنْ مات ليلة الجمعة أعْتِقَ مِن النار</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7" w:name="__RefHeading___Toc375455_1067777946"/>
      <w:bookmarkStart w:id="408" w:name="_Toc136"/>
      <w:bookmarkEnd w:id="407"/>
      <w:r>
        <w:rPr/>
        <w:t>31</w:t>
      </w:r>
      <w:r>
        <w:rPr>
          <w:rtl w:val="true"/>
        </w:rPr>
        <w:t xml:space="preserve"> - </w:t>
      </w:r>
      <w:r>
        <w:rPr>
          <w:rtl w:val="true"/>
        </w:rPr>
        <w:t>يوم المزيد</w:t>
      </w:r>
      <w:bookmarkEnd w:id="408"/>
    </w:p>
    <w:p>
      <w:pPr>
        <w:pStyle w:val="BookText"/>
        <w:rPr/>
      </w:pPr>
      <w:r>
        <w:rPr>
          <w:rFonts w:ascii="Amiri" w:hAnsi="Amiri" w:eastAsia="Amiri" w:cs="Amiri"/>
          <w:color w:val="111111"/>
          <w:sz w:val="28"/>
          <w:sz w:val="28"/>
          <w:szCs w:val="28"/>
          <w:rtl w:val="true"/>
          <w:lang w:bidi="ar-SA"/>
        </w:rPr>
        <w:t>الحادية والثلاثون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يوم المزيد ويوم الزيارة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735"/>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الشاهد والمشهود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لاجتماع </w:t>
      </w:r>
      <w:bookmarkStart w:id="409" w:name="pg10113_92111"/>
    </w:p>
    <w:p>
      <w:pPr>
        <w:pStyle w:val="BookText"/>
        <w:rPr/>
      </w:pPr>
      <w:bookmarkEnd w:id="409"/>
      <w:r>
        <w:rPr>
          <w:rFonts w:ascii="Amiri" w:hAnsi="Amiri" w:eastAsia="Amiri" w:cs="Amiri"/>
          <w:color w:val="111111"/>
          <w:sz w:val="28"/>
          <w:sz w:val="28"/>
          <w:szCs w:val="28"/>
          <w:rtl w:val="true"/>
          <w:lang w:bidi="ar-SA"/>
        </w:rPr>
        <w:t>الأرواح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أقسم اللّه تعالى به</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مذكور في القرآن</w:t>
      </w:r>
      <w:r>
        <w:rPr>
          <w:rStyle w:val="FootnoteAnchor"/>
          <w:rtl w:val="true"/>
        </w:rPr>
        <w:footnoteReference w:id="737"/>
      </w:r>
      <w:r>
        <w:rPr>
          <w:rFonts w:ascii="Amiri" w:hAnsi="Amiri" w:eastAsia="Amiri" w:cs="Amiri"/>
          <w:color w:val="111111"/>
          <w:sz w:val="28"/>
          <w:sz w:val="28"/>
          <w:szCs w:val="28"/>
          <w:rtl w:val="true"/>
          <w:lang w:bidi="ar-SA"/>
        </w:rPr>
        <w:t>دون سائر أيّام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والمشهود يوم عرفة</w:t>
      </w:r>
      <w:r>
        <w:rPr>
          <w:rFonts w:eastAsia="Amiri" w:cs="Amiri" w:ascii="Amiri" w:hAnsi="Amiri"/>
          <w:color w:val="111111"/>
          <w:sz w:val="28"/>
          <w:szCs w:val="28"/>
          <w:rtl w:val="true"/>
          <w:lang w:bidi="ar-SA"/>
        </w:rPr>
        <w:t>»</w:t>
      </w:r>
      <w:r>
        <w:rPr>
          <w:rStyle w:val="FootnoteAnchor"/>
          <w:rtl w:val="true"/>
        </w:rPr>
        <w:footnoteReference w:id="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من الصلاة عليَّ يوم الجمعة، فإنّه يوم مشهود تشهده الملائكة</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0" w:name="__RefHeading___Toc375457_1067777946"/>
      <w:bookmarkStart w:id="411" w:name="_Toc137"/>
      <w:bookmarkEnd w:id="410"/>
      <w:r>
        <w:rPr/>
        <w:t>32</w:t>
      </w:r>
      <w:r>
        <w:rPr>
          <w:rtl w:val="true"/>
        </w:rPr>
        <w:t xml:space="preserve"> - </w:t>
      </w:r>
      <w:r>
        <w:rPr>
          <w:rtl w:val="true"/>
        </w:rPr>
        <w:t>اليوم المدّخر لهذه الأُمّة</w:t>
      </w:r>
      <w:bookmarkEnd w:id="411"/>
    </w:p>
    <w:p>
      <w:pPr>
        <w:pStyle w:val="BookText"/>
        <w:rPr/>
      </w:pPr>
      <w:r>
        <w:rPr>
          <w:rFonts w:ascii="Amiri" w:hAnsi="Amiri" w:eastAsia="Amiri" w:cs="Amiri"/>
          <w:color w:val="111111"/>
          <w:sz w:val="28"/>
          <w:sz w:val="28"/>
          <w:szCs w:val="28"/>
          <w:rtl w:val="true"/>
          <w:lang w:bidi="ar-SA"/>
        </w:rPr>
        <w:t>الثانية والثلاثون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اليوم المدَّخَرُ لهذه الأُمّة ويوم المغفرة، فقد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ليس بتارك أحداً من المسلمين يوم الجمعة إِلَّا غَفَرَله</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2" w:name="__RefHeading___Toc375459_1067777946"/>
      <w:bookmarkStart w:id="413" w:name="_Toc138"/>
      <w:bookmarkEnd w:id="412"/>
      <w:r>
        <w:rPr/>
        <w:t>33</w:t>
      </w:r>
      <w:r>
        <w:rPr>
          <w:rtl w:val="true"/>
        </w:rPr>
        <w:t xml:space="preserve"> - </w:t>
      </w:r>
      <w:r>
        <w:rPr>
          <w:rtl w:val="true"/>
        </w:rPr>
        <w:t>يوم العتق من النار</w:t>
      </w:r>
      <w:bookmarkEnd w:id="413"/>
    </w:p>
    <w:p>
      <w:pPr>
        <w:pStyle w:val="BookText"/>
        <w:rPr/>
      </w:pPr>
      <w:r>
        <w:rPr>
          <w:rFonts w:ascii="Amiri" w:hAnsi="Amiri" w:eastAsia="Amiri" w:cs="Amiri"/>
          <w:color w:val="111111"/>
          <w:sz w:val="28"/>
          <w:sz w:val="28"/>
          <w:szCs w:val="28"/>
          <w:rtl w:val="true"/>
          <w:lang w:bidi="ar-SA"/>
        </w:rPr>
        <w:t>الثالثة والثلاثون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يومُ العتق،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الجمعة وليلة الجمعة أربع وعشرون ساعةً، ليس فيها ساعة إلّا ولله فيها ستمائة عتيق من النار، كُلُّهم قد اسْتَوْجَبَ النار</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4" w:name="__RefHeading___Toc375461_1067777946"/>
      <w:bookmarkStart w:id="415" w:name="_Toc139"/>
      <w:bookmarkEnd w:id="414"/>
      <w:r>
        <w:rPr/>
        <w:t>34</w:t>
      </w:r>
      <w:r>
        <w:rPr>
          <w:rtl w:val="true"/>
        </w:rPr>
        <w:t xml:space="preserve"> - </w:t>
      </w:r>
      <w:r>
        <w:rPr>
          <w:rtl w:val="true"/>
        </w:rPr>
        <w:t>الحسنة والسيّئة والصدقة فيه تتضاعف</w:t>
      </w:r>
      <w:bookmarkEnd w:id="415"/>
    </w:p>
    <w:p>
      <w:pPr>
        <w:pStyle w:val="BookText"/>
        <w:rPr/>
      </w:pPr>
      <w:r>
        <w:rPr>
          <w:rFonts w:ascii="Amiri" w:hAnsi="Amiri" w:eastAsia="Amiri" w:cs="Amiri"/>
          <w:color w:val="111111"/>
          <w:sz w:val="28"/>
          <w:sz w:val="28"/>
          <w:szCs w:val="28"/>
          <w:rtl w:val="true"/>
          <w:lang w:bidi="ar-SA"/>
        </w:rPr>
        <w:t>الرابعة والثلاثون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الحسنةُ فيه تتضاعف، وكذا السيئة، وكذا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الحديث المذكور في الخاصيّةِ الثانية 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أنّ عمل الخير يُضَعَّفُ يومَ الجمعة بعَشَرَةِ أضعافه فى سائر الأيّام، وكذا عمل الشر</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 xml:space="preserve">. </w:t>
      </w:r>
      <w:bookmarkStart w:id="416" w:name="pg10113_92112"/>
    </w:p>
    <w:p>
      <w:pPr>
        <w:pStyle w:val="Heading4"/>
        <w:numPr>
          <w:ilvl w:val="3"/>
          <w:numId w:val="1"/>
        </w:numPr>
        <w:rPr/>
      </w:pPr>
      <w:bookmarkStart w:id="417" w:name="__RefHeading___Toc375463_1067777946"/>
      <w:bookmarkStart w:id="418" w:name="_Toc140"/>
      <w:bookmarkEnd w:id="416"/>
      <w:bookmarkEnd w:id="417"/>
      <w:r>
        <w:rPr/>
        <w:t>35</w:t>
      </w:r>
      <w:r>
        <w:rPr>
          <w:rtl w:val="true"/>
        </w:rPr>
        <w:t xml:space="preserve"> - </w:t>
      </w:r>
      <w:r>
        <w:rPr>
          <w:rtl w:val="true"/>
        </w:rPr>
        <w:t>كراهية الحجامة فيه</w:t>
      </w:r>
      <w:bookmarkEnd w:id="418"/>
    </w:p>
    <w:p>
      <w:pPr>
        <w:pStyle w:val="BookText"/>
        <w:rPr/>
      </w:pPr>
      <w:r>
        <w:rPr>
          <w:rFonts w:ascii="Amiri" w:hAnsi="Amiri" w:eastAsia="Amiri" w:cs="Amiri"/>
          <w:color w:val="111111"/>
          <w:sz w:val="28"/>
          <w:sz w:val="28"/>
          <w:szCs w:val="28"/>
          <w:rtl w:val="true"/>
          <w:lang w:bidi="ar-SA"/>
        </w:rPr>
        <w:t>الخامسة والثلاثون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كراهة الحجامة فيه،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يوم الجمعة ساعةً لا يَحْتَجِمُ فيها أحدٌ إِلَّا مات</w:t>
      </w:r>
      <w:r>
        <w:rPr>
          <w:rFonts w:eastAsia="Amiri" w:cs="Amiri" w:ascii="Amiri" w:hAnsi="Amiri"/>
          <w:color w:val="111111"/>
          <w:sz w:val="28"/>
          <w:szCs w:val="28"/>
          <w:rtl w:val="true"/>
          <w:lang w:bidi="ar-SA"/>
        </w:rPr>
        <w:t>»</w:t>
      </w:r>
      <w:r>
        <w:rPr>
          <w:rStyle w:val="FootnoteAnchor"/>
          <w:rtl w:val="true"/>
        </w:rPr>
        <w:footnoteReference w:id="743"/>
      </w:r>
      <w:r>
        <w:rPr>
          <w:rFonts w:ascii="Amiri" w:hAnsi="Amiri" w:eastAsia="Amiri" w:cs="Amiri"/>
          <w:color w:val="111111"/>
          <w:sz w:val="28"/>
          <w:sz w:val="28"/>
          <w:szCs w:val="28"/>
          <w:rtl w:val="true"/>
          <w:lang w:bidi="ar-SA"/>
        </w:rPr>
        <w:t xml:space="preserve">وكذا يُكْرُه شُربُ الدواء فيه المُشغِل عن العبادة، بل روي كراهته يوم الخميس خوفاً من اشتغاله عن الجمعة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9" w:name="__RefHeading___Toc375465_1067777946"/>
      <w:bookmarkStart w:id="420" w:name="_Toc141"/>
      <w:bookmarkEnd w:id="419"/>
      <w:r>
        <w:rPr/>
        <w:t>36</w:t>
      </w:r>
      <w:r>
        <w:rPr>
          <w:rtl w:val="true"/>
        </w:rPr>
        <w:t xml:space="preserve"> - </w:t>
      </w:r>
      <w:r>
        <w:rPr>
          <w:rtl w:val="true"/>
        </w:rPr>
        <w:t>تبخير المسجد</w:t>
      </w:r>
      <w:bookmarkEnd w:id="420"/>
    </w:p>
    <w:p>
      <w:pPr>
        <w:pStyle w:val="BookText"/>
        <w:rPr/>
      </w:pPr>
      <w:r>
        <w:rPr>
          <w:rFonts w:ascii="Amiri" w:hAnsi="Amiri" w:eastAsia="Amiri" w:cs="Amiri"/>
          <w:color w:val="111111"/>
          <w:sz w:val="28"/>
          <w:sz w:val="28"/>
          <w:szCs w:val="28"/>
          <w:rtl w:val="true"/>
          <w:lang w:bidi="ar-SA"/>
        </w:rPr>
        <w:t>السادسة والثلاثون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تبخير المسجد </w:t>
      </w:r>
      <w:r>
        <w:rPr>
          <w:rStyle w:val="FootnoteAnchor"/>
          <w:rtl w:val="true"/>
        </w:rPr>
        <w:footnoteReference w:id="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جنّبوا مساجد كم صبيانكم ومجانينكم وشِراءَكم وبيعكم ورفع أصواتكم وسلاحكم، وبَخّروها في كلّ جمعة</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1" w:name="__RefHeading___Toc375467_1067777946"/>
      <w:bookmarkStart w:id="422" w:name="_Toc142"/>
      <w:bookmarkEnd w:id="421"/>
      <w:r>
        <w:rPr/>
        <w:t>37</w:t>
      </w:r>
      <w:r>
        <w:rPr>
          <w:rtl w:val="true"/>
        </w:rPr>
        <w:t xml:space="preserve"> - </w:t>
      </w:r>
      <w:r>
        <w:rPr>
          <w:rtl w:val="true"/>
        </w:rPr>
        <w:t>النهي عن الاحتباء وقت الخطبة</w:t>
      </w:r>
      <w:bookmarkEnd w:id="422"/>
    </w:p>
    <w:p>
      <w:pPr>
        <w:pStyle w:val="BookText"/>
        <w:rPr/>
      </w:pPr>
      <w:r>
        <w:rPr>
          <w:rFonts w:ascii="Amiri" w:hAnsi="Amiri" w:eastAsia="Amiri" w:cs="Amiri"/>
          <w:color w:val="111111"/>
          <w:sz w:val="28"/>
          <w:sz w:val="28"/>
          <w:szCs w:val="28"/>
          <w:rtl w:val="true"/>
          <w:lang w:bidi="ar-SA"/>
        </w:rPr>
        <w:t>السابعة والثلاثون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النهي عن الاحتباء</w:t>
      </w:r>
      <w:r>
        <w:rPr>
          <w:rStyle w:val="FootnoteAnchor"/>
          <w:rtl w:val="true"/>
        </w:rPr>
        <w:footnoteReference w:id="747"/>
      </w:r>
      <w:r>
        <w:rPr>
          <w:rFonts w:ascii="Amiri" w:hAnsi="Amiri" w:eastAsia="Amiri" w:cs="Amiri"/>
          <w:color w:val="111111"/>
          <w:sz w:val="28"/>
          <w:sz w:val="28"/>
          <w:szCs w:val="28"/>
          <w:rtl w:val="true"/>
          <w:lang w:bidi="ar-SA"/>
        </w:rPr>
        <w:t>وقت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ذلك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 متعدّدة</w:t>
      </w:r>
      <w:r>
        <w:rPr>
          <w:rStyle w:val="FootnoteAnchor"/>
          <w:rtl w:val="true"/>
        </w:rPr>
        <w:footnoteReference w:id="748"/>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فيه أنّ الحُبْوَة تَجْلِبُ النومَ فيعرضُ طهارته للنقض ويمنع من استماع الخطبة</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3" w:name="__RefHeading___Toc375469_1067777946"/>
      <w:bookmarkStart w:id="424" w:name="_Toc143"/>
      <w:bookmarkEnd w:id="423"/>
      <w:r>
        <w:rPr/>
        <w:t>38</w:t>
      </w:r>
      <w:r>
        <w:rPr>
          <w:rtl w:val="true"/>
        </w:rPr>
        <w:t xml:space="preserve"> - </w:t>
      </w:r>
      <w:r>
        <w:rPr>
          <w:rtl w:val="true"/>
        </w:rPr>
        <w:t>اختصاصه في دار الدنيا بزخرفة الجنان لمن أتى صلاة الجمعه</w:t>
      </w:r>
      <w:bookmarkEnd w:id="424"/>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الثامنة والثلاثون اختصاصه في دار الدنيا بزَخْرَفَةِ الجِنان وزينتها لمن أتى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عبد اللّه بن </w:t>
      </w:r>
      <w:bookmarkStart w:id="425" w:name="pg10113_92113"/>
    </w:p>
    <w:p>
      <w:pPr>
        <w:pStyle w:val="BookText"/>
        <w:rPr/>
      </w:pPr>
      <w:bookmarkEnd w:id="425"/>
      <w:r>
        <w:rPr>
          <w:rFonts w:ascii="Amiri" w:hAnsi="Amiri" w:eastAsia="Amiri" w:cs="Amiri"/>
          <w:color w:val="111111"/>
          <w:sz w:val="28"/>
          <w:sz w:val="28"/>
          <w:szCs w:val="28"/>
          <w:rtl w:val="true"/>
          <w:lang w:bidi="ar-SA"/>
        </w:rPr>
        <w:t xml:space="preserve">سنانٍ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اللّه الجمعة على غيرها من الأيّام، وأنّ الجِنان لَتُزَخْرَفُ وتُزَيَّنُ يوم الجمعة لمن أتاها وأنّكم لتتسابقون إلى الجنَّة على قدر سبقكم إلى الجمعة، وأن أبواب الجنان لَتُفْتَحُ لصعود أعمال العباد</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6" w:name="__RefHeading___Toc375471_1067777946"/>
      <w:bookmarkStart w:id="427" w:name="_Toc144"/>
      <w:bookmarkEnd w:id="426"/>
      <w:r>
        <w:rPr/>
        <w:t>39</w:t>
      </w:r>
      <w:r>
        <w:rPr>
          <w:rtl w:val="true"/>
        </w:rPr>
        <w:t xml:space="preserve"> - </w:t>
      </w:r>
      <w:r>
        <w:rPr>
          <w:rtl w:val="true"/>
        </w:rPr>
        <w:t>للمجامع فيه أجران</w:t>
      </w:r>
      <w:bookmarkEnd w:id="427"/>
    </w:p>
    <w:p>
      <w:pPr>
        <w:pStyle w:val="BookText"/>
        <w:rPr/>
      </w:pPr>
      <w:r>
        <w:rPr>
          <w:rFonts w:ascii="Amiri" w:hAnsi="Amiri" w:eastAsia="Amiri" w:cs="Amiri"/>
          <w:color w:val="111111"/>
          <w:sz w:val="28"/>
          <w:sz w:val="28"/>
          <w:szCs w:val="28"/>
          <w:rtl w:val="true"/>
          <w:lang w:bidi="ar-SA"/>
        </w:rPr>
        <w:t>التاسعة والثلاثون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للمجامع فيه أجرين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 غُسله وأجرَ غُسل امرأته، روي ذلك عن النبيّ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8" w:name="__RefHeading___Toc375473_1067777946"/>
      <w:bookmarkStart w:id="429" w:name="_Toc145"/>
      <w:bookmarkEnd w:id="428"/>
      <w:r>
        <w:rPr/>
        <w:t>40</w:t>
      </w:r>
      <w:r>
        <w:rPr>
          <w:rtl w:val="true"/>
        </w:rPr>
        <w:t xml:space="preserve"> - </w:t>
      </w:r>
      <w:r>
        <w:rPr>
          <w:rtl w:val="true"/>
        </w:rPr>
        <w:t>عبادات كثيرة وأدعية خاصة بهذا اليوم</w:t>
      </w:r>
      <w:bookmarkEnd w:id="429"/>
    </w:p>
    <w:p>
      <w:pPr>
        <w:pStyle w:val="BookText"/>
        <w:rPr/>
      </w:pPr>
      <w:r>
        <w:rPr>
          <w:rFonts w:ascii="Amiri" w:hAnsi="Amiri" w:eastAsia="Amiri" w:cs="Amiri"/>
          <w:color w:val="111111"/>
          <w:sz w:val="28"/>
          <w:sz w:val="28"/>
          <w:szCs w:val="28"/>
          <w:rtl w:val="true"/>
          <w:lang w:bidi="ar-SA"/>
        </w:rPr>
        <w:t>الموفية للأربعين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خصوصيات وعبادات في يوم الجمعةِ وهي كثيرة مذكورة في كتب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قبل صلاة الغداة يوم الجمعة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لا إله إلّا هو الحي القيوم وأتوبُ إليه، غُفِرَتْ ذنوبه وإن كانت أكثرَ من زَبَد البحر</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الجمعة وصام يومه وعاد مريضاً وَشِهِدَ جَنازَةً وشهد نكاحاً وجبت له الجنة</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أنس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هذه الكلمات سبعَ مرّاتٍ في ليلة الجمعة فمات ليلته دَخلَ الجنَّة، ومن قالها يوم الجمعة فمات في ذلك اليوم دَخلَ الجنَّة،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ربي لا إلهَ إلّا أنت خلقتني وأنا عبدك وابن أمتِكَ وفي قبضَتِكَ وناصيتي بيدك، أمْسَيْتُ على عهدك ووعدك ما استطعت أعوذُ بك من شر ما صنعتُ </w:t>
      </w:r>
    </w:p>
    <w:p>
      <w:pPr>
        <w:pStyle w:val="BookText"/>
        <w:rPr/>
      </w:pPr>
      <w:r>
        <w:rPr>
          <w:rFonts w:ascii="Amiri" w:hAnsi="Amiri" w:eastAsia="Amiri" w:cs="Amiri"/>
          <w:color w:val="111111"/>
          <w:sz w:val="28"/>
          <w:sz w:val="28"/>
          <w:szCs w:val="28"/>
          <w:rtl w:val="true"/>
          <w:lang w:bidi="ar-SA"/>
        </w:rPr>
        <w:t>أبوء بنعمتك علي وأبوء بذنبي فاغفرلي إنه لا يغفر الذنوب إلّا أنت</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لكم في كلّ جُمعةٍ حجّةً وعُمرةً، فالحجَّةُ الهجرة إلى الجمعة، والعُمَرةُ انتظار العصر بعد الجمعة</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 أبويه أو أحدهما في كلّ جمعةٍ غُفِرَ له وكُتِبَ بَرّاً</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بعض الصالحين </w:t>
      </w:r>
      <w:r>
        <w:rPr>
          <w:rStyle w:val="FootnoteAnchor"/>
          <w:rtl w:val="true"/>
        </w:rPr>
        <w:footnoteReference w:id="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الموتى يعلمون زُوّارهم يوم الجمعة ويوماً قبله ويوماً بعده</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أنس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راحَ مِنا سبعون رجلاً إلى الجمعة كان كسبعين موسى</w:t>
      </w:r>
      <w:r>
        <w:rPr>
          <w:rStyle w:val="FootnoteAnchor"/>
          <w:rtl w:val="true"/>
        </w:rPr>
        <w:footnoteReference w:id="759"/>
      </w:r>
      <w:r>
        <w:rPr>
          <w:rFonts w:ascii="Amiri" w:hAnsi="Amiri" w:eastAsia="Amiri" w:cs="Amiri"/>
          <w:color w:val="111111"/>
          <w:sz w:val="28"/>
          <w:sz w:val="28"/>
          <w:szCs w:val="28"/>
          <w:rtl w:val="true"/>
          <w:lang w:bidi="ar-SA"/>
        </w:rPr>
        <w:t>الذينَ وَفَدوا إلى ربّهم وأفضل</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بعد المغرب ركعتين في ليلة الجمعة يقرأ في كلّ واحدة منهما بفاتحة الكتاب 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مرّةً هَوَّنَ اللّه عليه سَكراتِ الموت وأعاذه من عذاب القبر، ويَسَّرَ له الجواز على الصراط يوم القيامة</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أنس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يوم الجمعة بعد صلاة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وصلّى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وقال سبعين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اكفني بحلالك عن حرامك، وأغنني بفضلك عمن سواك، قَضَى اللّه له مائة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ثمانينَ مِن حوائج الآخرة، وعشرين من حوائج الدنيا</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بعد الظهر يوم الجمعة ركعتين يقرأ في الأُولى الحمد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وفي الثانية مثل ذلك، وقال بعد فراغه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مِن أهل الجنَّة التي حَشْوُها البركة وعمّارها الملائكة مع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وأبينا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تضرّه بليّة ولم تُصِبه فتنة إلى الجمعة الأخرى، وجَمَعَ اللّه بينه وبين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مائة صلاة قَضَى اللّه له سِتّينَ حاجةً منها للدنيا ثلاثون حاجةً، وثلاثون حاجةً للآخرة</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إذا دَخَل وإذا خرج في الشتاء أن يكون في ليلة الجمعة</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اختار من كلّ شيءٍ شيئاً واختار من الأيّام يوم الجمعة</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أبو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لينادي كلّ ليلة جمعةٍ من فوق عرشه من أوّل الليل إلى آخره ألا عبد مؤمن يدعوني لآخرته ودنياه قبل طلوع الفجر فأجيبه ؟ ألا عبد مؤمن يتوبُ إليَّ مِن ذنوبه قبل طلوع الفجر فأتوبُ عليه؟ ألا </w:t>
      </w:r>
    </w:p>
    <w:p>
      <w:pPr>
        <w:pStyle w:val="BookText"/>
        <w:rPr/>
      </w:pPr>
      <w:r>
        <w:rPr>
          <w:rFonts w:ascii="Amiri" w:hAnsi="Amiri" w:eastAsia="Amiri" w:cs="Amiri"/>
          <w:color w:val="111111"/>
          <w:sz w:val="28"/>
          <w:sz w:val="28"/>
          <w:szCs w:val="28"/>
          <w:rtl w:val="true"/>
          <w:lang w:bidi="ar-SA"/>
        </w:rPr>
        <w:t>عبدٌ مؤمنٌ قد قُتِرَ عليه رزقه فيسألني الزيادة في رزقه قبل طلوع الفجر فأزيده وأُوسع عليه ؟ ألا عبد مؤمنٌ سَقيم يسألني أن أشفيه قبل طلوع الفجر فأعافيه ؟</w:t>
      </w:r>
    </w:p>
    <w:p>
      <w:pPr>
        <w:pStyle w:val="BookText"/>
        <w:rPr/>
      </w:pPr>
      <w:r>
        <w:rPr>
          <w:rFonts w:ascii="Amiri" w:hAnsi="Amiri" w:eastAsia="Amiri" w:cs="Amiri"/>
          <w:color w:val="111111"/>
          <w:sz w:val="28"/>
          <w:sz w:val="28"/>
          <w:szCs w:val="28"/>
          <w:rtl w:val="true"/>
          <w:lang w:bidi="ar-SA"/>
        </w:rPr>
        <w:t xml:space="preserve">ألا عبدٌ مؤمنٌ محبوسٌ مغموم يسألني أنْ أُطَلَّقَه مِن حَبسه فَأَخلي سبيله ؟ ألا عبدٌ مؤمنٌ مظلوم يسألني أنْ أخُذَ له بظلامته قبل طلوع الفجر فأنتصر له وآخذ له بِظُلامته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يُنادي بهذا حتّى يطلع الفجر</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أبو بصيرٍ أيضاً عن أحدهما،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المؤمن يسأل اللّه الحاجة فيؤخِّرُ اللّه عزَّوجلَّ قضاءَ حاجته التي سأل إلى يوم الجمعة</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bookmarkStart w:id="430" w:name="pg10113_92117"/>
    </w:p>
    <w:p>
      <w:pPr>
        <w:pStyle w:val="Heading3"/>
        <w:numPr>
          <w:ilvl w:val="2"/>
          <w:numId w:val="1"/>
        </w:numPr>
        <w:rPr/>
      </w:pPr>
      <w:bookmarkStart w:id="431" w:name="__RefHeading___Toc375475_1067777946"/>
      <w:bookmarkStart w:id="432" w:name="_Toc146"/>
      <w:bookmarkEnd w:id="430"/>
      <w:bookmarkEnd w:id="431"/>
      <w:r>
        <w:rPr/>
        <w:t>17</w:t>
      </w:r>
      <w:r>
        <w:rPr>
          <w:rtl w:val="true"/>
        </w:rPr>
        <w:t xml:space="preserve">. </w:t>
      </w:r>
      <w:r>
        <w:rPr>
          <w:rtl w:val="true"/>
        </w:rPr>
        <w:t>نتائج الأفكار في بيان حكم المقيمين في الأسفار</w:t>
      </w:r>
      <w:bookmarkEnd w:id="432"/>
    </w:p>
    <w:p>
      <w:pPr>
        <w:pStyle w:val="Heading4"/>
        <w:numPr>
          <w:ilvl w:val="3"/>
          <w:numId w:val="1"/>
        </w:numPr>
        <w:rPr/>
      </w:pPr>
      <w:bookmarkStart w:id="433" w:name="__RefHeading___Toc375477_1067777946"/>
      <w:bookmarkStart w:id="434" w:name="_Toc147"/>
      <w:bookmarkEnd w:id="433"/>
      <w:r>
        <w:rPr>
          <w:rtl w:val="true"/>
        </w:rPr>
        <w:t>إشارة</w:t>
      </w:r>
      <w:r>
        <w:rPr>
          <w:rtl w:val="true"/>
        </w:rPr>
        <w:t>:</w:t>
      </w:r>
      <w:bookmarkEnd w:id="434"/>
    </w:p>
    <w:p>
      <w:pPr>
        <w:pStyle w:val="BookText"/>
        <w:rPr/>
      </w:pPr>
      <w:r>
        <w:rPr>
          <w:rFonts w:ascii="Amiri" w:hAnsi="Amiri" w:eastAsia="Amiri" w:cs="Amiri"/>
          <w:color w:val="111111"/>
          <w:sz w:val="28"/>
          <w:sz w:val="28"/>
          <w:szCs w:val="28"/>
          <w:rtl w:val="true"/>
          <w:lang w:bidi="ar-SA"/>
        </w:rPr>
        <w:t>تحقيق عباس المحمّدي</w:t>
      </w:r>
    </w:p>
    <w:p>
      <w:pPr>
        <w:pStyle w:val="BookText"/>
        <w:rPr/>
      </w:pPr>
      <w:r>
        <w:rPr>
          <w:rFonts w:ascii="Amiri" w:hAnsi="Amiri" w:eastAsia="Amiri" w:cs="Amiri"/>
          <w:color w:val="111111"/>
          <w:sz w:val="28"/>
          <w:sz w:val="28"/>
          <w:szCs w:val="28"/>
          <w:rtl w:val="true"/>
          <w:lang w:bidi="ar-SA"/>
        </w:rPr>
        <w:t>مراجعة</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أسعد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المختاري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5" w:name="pg10113_92119"/>
      <w:bookmarkStart w:id="436" w:name="pg10113_92119"/>
      <w:bookmarkEnd w:id="436"/>
    </w:p>
    <w:p>
      <w:pPr>
        <w:pStyle w:val="BookText"/>
        <w:rPr/>
      </w:pPr>
      <w:bookmarkStart w:id="437" w:name="pg10113_92119"/>
      <w:bookmarkEnd w:id="437"/>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بعد حمد اللّه تعالى على نِعَمِهِ العِظام، وآلائه الجِسامِ، والصلاة على حبيبه ورسوله محمّد المصطفى وآله الكرام، وصحبه، والسلام</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375479_1067777946"/>
      <w:bookmarkStart w:id="439" w:name="_Toc148"/>
      <w:bookmarkEnd w:id="438"/>
      <w:r>
        <w:rPr>
          <w:rtl w:val="true"/>
        </w:rPr>
        <w:t>أقوال الفقهاء في المسألة</w:t>
      </w:r>
      <w:bookmarkEnd w:id="439"/>
    </w:p>
    <w:p>
      <w:pPr>
        <w:pStyle w:val="BookText"/>
        <w:rPr/>
      </w:pPr>
      <w:r>
        <w:rPr>
          <w:rFonts w:ascii="Amiri" w:hAnsi="Amiri" w:eastAsia="Amiri" w:cs="Amiri"/>
          <w:color w:val="111111"/>
          <w:sz w:val="28"/>
          <w:sz w:val="28"/>
          <w:szCs w:val="28"/>
          <w:rtl w:val="true"/>
          <w:lang w:bidi="ar-SA"/>
        </w:rPr>
        <w:t>فهذه جملة من الكلام في تحقيق مسألةٍ فقهيّةٍ شهيرة في الفتوى، عامّة في البلوى، يَعْجَلُ بجوابها المتفقه القاصر، ويَعْجِرُ عن كَشفِ حِجابها الفقيه الماهر، وأنا أرجو بما رقمتُه في هذه الأوراق أن تقع في يد طالب للحقِّ مِن أهل الكمال، ومَنْ يَعْرِفُ الرِجال</w:t>
      </w:r>
      <w:r>
        <w:rPr>
          <w:rStyle w:val="FootnoteAnchor"/>
          <w:rtl w:val="true"/>
        </w:rPr>
        <w:footnoteReference w:id="769"/>
      </w:r>
      <w:r>
        <w:rPr>
          <w:rFonts w:ascii="Amiri" w:hAnsi="Amiri" w:eastAsia="Amiri" w:cs="Amiri"/>
          <w:color w:val="111111"/>
          <w:sz w:val="28"/>
          <w:sz w:val="28"/>
          <w:szCs w:val="28"/>
          <w:rtl w:val="true"/>
          <w:lang w:bidi="ar-SA"/>
        </w:rPr>
        <w:t>بالحقِّ لا الحقّ بالرجال، فتكون ذريعةً له إلى تحقيقِ الحال، وتفصيل ما فيها من الإجمال، وهي</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حَكَمُوا بأن المسافر إذا نَوى إقامة عشرة أيّام في غير بلده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على رأس المسافة أو في أثنائها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 فرضه من التقصير إلى الإتمام بمجرّد نيّة إقامة العشرة، وافتقر بعد الإقامة بل بعد الصلاة تماماً في عودِهِ إلى القصر إلى قصدِ مسافةٍ جديدةٍ، إن لم يكن في نيَّتِهِ قبل ذلك، غير أنّ الإقامة إن كانت على رأس المسافة كفى الرجوع إلى بلده في العود إلى القصر، ولو كان في أثنائها لم يَضُمَّ ما بقي من مقصدِهِ إلى الرجوع، بل لا يُقَصِّرُ حتّى يتحقّق الأخذ في الرجوع </w:t>
      </w:r>
    </w:p>
    <w:p>
      <w:pPr>
        <w:pStyle w:val="BookText"/>
        <w:rPr/>
      </w:pPr>
      <w:r>
        <w:rPr>
          <w:rFonts w:ascii="Amiri" w:hAnsi="Amiri" w:eastAsia="Amiri" w:cs="Amiri"/>
          <w:color w:val="111111"/>
          <w:sz w:val="28"/>
          <w:sz w:val="28"/>
          <w:szCs w:val="28"/>
          <w:rtl w:val="true"/>
          <w:lang w:bidi="ar-SA"/>
        </w:rPr>
        <w:t>ومِن ثَمَّ حكموا بأنه لو قصد مسافةً ونوى في ابتداء السفر الإقامة في أثنائها، بحيث لا يكون بين مبدإ سفره وما نوى الإقامة فيه مسافة، ولا بينه وبين نهاية مقصدِهِ مسافة، ففرضه الإتمام في الذهاب، وإن زاد المجموع على مسافة، ولو فرض أنّه كان بين مبدإ سفره وموضع الإقامة مسافة، وما بين موضع الإقامة ومنتهى السفر يَقْصُرُ عنها قصَّرَ في ابتداء سفره إلى موضع الإقامة، وأتم فيه وفي خروجه إلى نهاية السفر، وقصر راجعاً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وحكموا أيضاً بأنه لو رَجَعَ عن نيّة المُقام فإن لم يكن قد صلّى تماماً، أو أتى بما هو في حكم الصلاةِ تماماً، من صومِ واجب، أو نافلة مقصورة، أو غير ذلك، عاد إلى القصر بمجرّد رجوعه عن نيّة الإقامة وإنْ لم يَخْرُج مِن الموضع الذي نوى فيه الإقامة، بل لو أقام فيه بعد ذلك شهراً متردداً ففرضُهُ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رجوعه عن نيّة الإقامة بعد أن صلّى تماماً، أو ما في حكمها، بقى على التمام إلى أن يخرج من المحل الذي نوى فيه الإقامة إلى مسافةٍ جديدةٍ، سواء كانت مقصودةً قبل المقام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جملة ما ذكروه في هذه المسألة، واستندوا في هذا التفصيل إلى روايات عن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سيأتي ذكر بعضها، لا حاجة لنا الآن إلى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ذلك أطلقوا القول في مسألةٍ أُخرى مشهورةٍ، وهي أنه لو خَرَجَ ناوي المُقام عشرةً إلى ما دون المسافة، فإنْ كان عازماً على العودِ إلى المحل الذي عَزَمَ فيه على مُقام العشرةِ وتجديد إقامةِ عَشَرةٍ مستأنَفَةٍ، أتمّ ذاهباً إلى مقصده الذي هو فيما دون المسافة، وفي المحل المقصود، وآئباً إلى موضع الإقامة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عَزَمَ على العَودِ مِن دونِ إقامةِ عَشَرَةٍ مستأنَفَةٍ بل إمّا لإكمال العشرةِ الأُولى، أو </w:t>
      </w:r>
    </w:p>
    <w:p>
      <w:pPr>
        <w:pStyle w:val="BookText"/>
        <w:rPr/>
      </w:pPr>
      <w:r>
        <w:rPr>
          <w:rFonts w:ascii="Amiri" w:hAnsi="Amiri" w:eastAsia="Amiri" w:cs="Amiri"/>
          <w:color w:val="111111"/>
          <w:sz w:val="28"/>
          <w:sz w:val="28"/>
          <w:szCs w:val="28"/>
          <w:rtl w:val="true"/>
          <w:lang w:bidi="ar-SA"/>
        </w:rPr>
        <w:t>لإقامةٍ</w:t>
      </w:r>
      <w:r>
        <w:rPr>
          <w:rStyle w:val="FootnoteAnchor"/>
          <w:rtl w:val="true"/>
        </w:rPr>
        <w:footnoteReference w:id="770"/>
      </w:r>
      <w:r>
        <w:rPr>
          <w:rFonts w:ascii="Amiri" w:hAnsi="Amiri" w:eastAsia="Amiri" w:cs="Amiri"/>
          <w:color w:val="111111"/>
          <w:sz w:val="28"/>
          <w:sz w:val="28"/>
          <w:szCs w:val="28"/>
          <w:rtl w:val="true"/>
          <w:lang w:bidi="ar-SA"/>
        </w:rPr>
        <w:t xml:space="preserve">، يُقَصِّر ذاهباً وآئباً على قول الشيخ </w:t>
      </w:r>
      <w:r>
        <w:rPr>
          <w:rStyle w:val="FootnoteAnchor"/>
          <w:rtl w:val="true"/>
        </w:rPr>
        <w:footnoteReference w:id="771"/>
      </w:r>
      <w:r>
        <w:rPr>
          <w:rFonts w:ascii="Amiri" w:hAnsi="Amiri" w:eastAsia="Amiri" w:cs="Amiri"/>
          <w:color w:val="111111"/>
          <w:sz w:val="28"/>
          <w:sz w:val="28"/>
          <w:szCs w:val="28"/>
          <w:rtl w:val="true"/>
          <w:lang w:bidi="ar-SA"/>
        </w:rPr>
        <w:t xml:space="preserve">والعلّامة </w:t>
      </w:r>
      <w:r>
        <w:rPr>
          <w:rStyle w:val="FootnoteAnchor"/>
          <w:rtl w:val="true"/>
        </w:rPr>
        <w:footnoteReference w:id="7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آئباً لا غير عند الشهيد</w:t>
      </w:r>
      <w:r>
        <w:rPr>
          <w:rStyle w:val="FootnoteAnchor"/>
          <w:rtl w:val="true"/>
        </w:rPr>
        <w:footnoteReference w:id="773"/>
      </w:r>
      <w:r>
        <w:rPr>
          <w:rFonts w:ascii="Amiri" w:hAnsi="Amiri" w:eastAsia="Amiri" w:cs="Amiri"/>
          <w:color w:val="111111"/>
          <w:sz w:val="28"/>
          <w:sz w:val="28"/>
          <w:szCs w:val="28"/>
          <w:rtl w:val="true"/>
          <w:lang w:bidi="ar-SA"/>
        </w:rPr>
        <w:t>والشيخ عليّ</w:t>
      </w:r>
      <w:r>
        <w:rPr>
          <w:rStyle w:val="FootnoteAnchor"/>
          <w:rtl w:val="true"/>
        </w:rPr>
        <w:footnoteReference w:id="7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عَزمَ على مُفارَقةِ موضع إقامة العشرة من غير عودٍ إليه بالكليّة؛ فإنه يقصر بمجرّد خروجه، لكن بعد مجاوزة حدود محلّ الإقامة، وهي موضعُ سَماعِ أذانِهِ ورؤيةِ جدارِهِ ولو تقديراً على قول</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بمجرّد الحَرَكَةِ على قول آخر</w:t>
      </w:r>
      <w:r>
        <w:rPr>
          <w:rStyle w:val="FootnoteAnchor"/>
          <w:rtl w:val="true"/>
        </w:rPr>
        <w:footnoteReference w:id="777"/>
      </w:r>
      <w:r>
        <w:rPr>
          <w:rFonts w:ascii="Amiri" w:hAnsi="Amiri" w:eastAsia="Amiri" w:cs="Amiri"/>
          <w:color w:val="111111"/>
          <w:sz w:val="28"/>
          <w:sz w:val="28"/>
          <w:szCs w:val="28"/>
          <w:rtl w:val="true"/>
          <w:lang w:bidi="ar-SA"/>
        </w:rPr>
        <w:t>إلى آخر ما فصلوه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وستَقِفُ عليه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جملة ما قرّروهُ في هذه المسألة، ولم يُفَرِّقوا في إطلاق كلامهم فيها بين كون الخروج المذكور بعد الصلاة تماماً في محل الإقامة أو قبلَهُ، ولا بين الخروج قبل إكمال العَشَرةِ أو بعده، بل عَبَّرُوا بعباراتٍ متقاربةٍ تشمل جميعَ هذه المواردِ، ويَجْمَعُ عباراتهم التقييد بكون الخروج إلى ما دون المسافَةِ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إذا تأمّلت هاتين المسألتين وجدت بينهما تخالفاً في عِدَّةِ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الجمع بينهما يحتاج إلى فضل توضيح وجُمْلَةِ تقييد؛ فإن خروج المسافر إلى ما دونَ </w:t>
      </w:r>
      <w:bookmarkStart w:id="440" w:name="pg10113_92122"/>
    </w:p>
    <w:p>
      <w:pPr>
        <w:pStyle w:val="BookText"/>
        <w:rPr/>
      </w:pPr>
      <w:bookmarkEnd w:id="440"/>
      <w:r>
        <w:rPr>
          <w:rFonts w:ascii="Amiri" w:hAnsi="Amiri" w:eastAsia="Amiri" w:cs="Amiri"/>
          <w:color w:val="111111"/>
          <w:sz w:val="28"/>
          <w:sz w:val="28"/>
          <w:szCs w:val="28"/>
          <w:rtl w:val="true"/>
          <w:lang w:bidi="ar-SA"/>
        </w:rPr>
        <w:t>المسافة بعد نيّة إقامة العشرة، إن كان بعد الصلاةِ تماماً، فمقتضى ما تَقَرَّرَ في المسألة الأولى البقاء على التمام، سواءٌ في ذلك الذهاب والإياب والمقام؛ لأنّ الفرض كون الخروج إلى ما دون المسافة، وإن كان قبل الصلاة تماماً فمقتضاها بل صريحها التقصير بمجرّد الرجوع عن نيّة الإقامة، سواء أتجاوز حدود موضع الإقامة أم لا، بل ولو لم يَشْرَعْ في السفر؛ فإنّه يرجع إلى التقصير وإن أقام في البلد شهراً،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يزيد الإشكال في ذلك تحرير محلّ الخلاف في القسمين المذكورين في 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نقدّم البحث عنهما ؛ لتوضيح الإشكال قبل الشروع في تحقيق الحال</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375481_1067777946"/>
      <w:bookmarkStart w:id="442" w:name="_Toc149"/>
      <w:bookmarkEnd w:id="441"/>
      <w:r>
        <w:rPr>
          <w:rtl w:val="true"/>
        </w:rPr>
        <w:t>خروج ناوي المقام في البلد منه ناوياً مفارقته</w:t>
      </w:r>
      <w:bookmarkEnd w:id="442"/>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أقسام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ناوي المُقام بالبلد منه ناوياً مفارقته وعدم العود إليه، والحال أنّ الخروج على الوجه المذكور مفروض في كلامهم إلى ما دون المسافة، وقد اختلف الأصحاب في حكمه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فذهب بعضهم</w:t>
      </w:r>
      <w:r>
        <w:rPr>
          <w:rStyle w:val="FootnoteAnchor"/>
          <w:rtl w:val="true"/>
        </w:rPr>
        <w:footnoteReference w:id="778"/>
      </w:r>
      <w:r>
        <w:rPr>
          <w:rFonts w:ascii="Amiri" w:hAnsi="Amiri" w:eastAsia="Amiri" w:cs="Amiri"/>
          <w:color w:val="111111"/>
          <w:sz w:val="28"/>
          <w:sz w:val="28"/>
          <w:szCs w:val="28"/>
          <w:rtl w:val="true"/>
          <w:lang w:bidi="ar-SA"/>
        </w:rPr>
        <w:t>إلى أنّه يعود إلى التقصير بالشروع في السير؛ لأنه ابتداء السفر، وهو موجب للقصر إلا ما أخرجه الدليل الخارجي، وهو حدود بلد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 جميع أقطار البلد سواء في وجوب الإتمام والحدود من جملة البلد؛ وبأنّ ماينوي فيه الإقامة المذكورة يصير بحكم البلد بعد الصلاة، ومِن ثُمَّ يتوقّف القصر بعد الرجوع عنها على مسافة جديدة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وذهب آخرون</w:t>
      </w:r>
      <w:r>
        <w:rPr>
          <w:rStyle w:val="FootnoteAnchor"/>
          <w:rtl w:val="true"/>
        </w:rPr>
        <w:footnoteReference w:id="779"/>
      </w:r>
      <w:r>
        <w:rPr>
          <w:rFonts w:ascii="Amiri" w:hAnsi="Amiri" w:eastAsia="Amiri" w:cs="Amiri"/>
          <w:color w:val="111111"/>
          <w:sz w:val="28"/>
          <w:sz w:val="28"/>
          <w:szCs w:val="28"/>
          <w:rtl w:val="true"/>
          <w:lang w:bidi="ar-SA"/>
        </w:rPr>
        <w:t xml:space="preserve">إلى أنّه إنّما يعود إلى التقصير بمجاوزة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لا يُسمَع فيه أذانه أو لا يُرى جداره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صَيرُورَةِ البلد في حكم بلده باعتبار نيّة المُقام، فلا يخرج عن حكم التمام إلا بمجاوزته، وهذا هو الواضح</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الاستدلال من الجانبين بحث، وفي الحكم بهما إشكال؛ لأنّ ناوي المُقام </w:t>
      </w:r>
      <w:bookmarkStart w:id="443" w:name="pg10113_92123"/>
    </w:p>
    <w:p>
      <w:pPr>
        <w:pStyle w:val="BookText"/>
        <w:rPr/>
      </w:pPr>
      <w:bookmarkEnd w:id="443"/>
      <w:r>
        <w:rPr>
          <w:rFonts w:ascii="Amiri" w:hAnsi="Amiri" w:eastAsia="Amiri" w:cs="Amiri"/>
          <w:color w:val="111111"/>
          <w:sz w:val="28"/>
          <w:sz w:val="28"/>
          <w:szCs w:val="28"/>
          <w:rtl w:val="true"/>
          <w:lang w:bidi="ar-SA"/>
        </w:rPr>
        <w:t>عَشَرةً إنْ لم يكن قد صلّى تماماً في البلد فلا وجه للقولين معاً؛ لرجوعه إلى التقصير بمجرّد نقضه لنيّة المُقام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بعد الإتمام فقد تقرّر أنّه لا يعود إلى التقصير إلّا بقصد مسافةٍ جديدةٍ، والمفروض الخروج إلى ما دون المسافة، فلا يَتَّجه إطلاق القول بعوده إلى التقصير، سواء أتجاوز الحدود أم شَرَعَ في السَيرِ</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375483_1067777946"/>
      <w:bookmarkStart w:id="445" w:name="_Toc150"/>
      <w:bookmarkEnd w:id="444"/>
      <w:r>
        <w:rPr>
          <w:rtl w:val="true"/>
        </w:rPr>
        <w:t>نيّة قصد المسافة</w:t>
      </w:r>
      <w:bookmarkEnd w:id="445"/>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المسافر لمّا كان غريباً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لحق بالمقيم بسبب نيّة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فنقضُه لها وخروجه عن البلد المحكوم بمساواته لبلده بعد الإتمام موجب لعود حكم السفر إليه أو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باعتبار غربته وسفره عائد إلى بلده في الجملة، فيُضمُّ الرجوع إلى باقي السفر فيصير أزيد من 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ينافي ينا في القاعدة المتقدّمة، وهي توقُّفُ الحكم بالعود على قصدِ المسافة؛ فإنّ هذا الضمّ يُسقِطُ فرضَ كون مفارقة بلد الإقامة قد يكون إلى ما دون المسافة، ثمّ نمنع ثبوت الحكم بعودِ حكم السفر؛ فإنّ انقطاعه بنيّة المُقام وصلاة التمام صَيَّرَ ما تقدّم في حكم المعدوم، فلابدّ من ثبوت سفرٍ جديد ليتحقّق معه الحكم بالقصر، والتقدير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ضمُّ الرجوع إلى ما بقي فليس بسديدٍ من وجه آخر؛ لأنّ لكلّ واحدٍ من الذَهاب والإياب فى السفر حكماً مستقّلاً لا يُضمّ أحدهما إلى الآخر، ومن المعلوم أنّ الهائمَ</w:t>
      </w:r>
      <w:r>
        <w:rPr>
          <w:rStyle w:val="FootnoteAnchor"/>
          <w:rtl w:val="true"/>
        </w:rPr>
        <w:footnoteReference w:id="780"/>
      </w:r>
      <w:r>
        <w:rPr>
          <w:rFonts w:ascii="Amiri" w:hAnsi="Amiri" w:eastAsia="Amiri" w:cs="Amiri"/>
          <w:color w:val="111111"/>
          <w:sz w:val="28"/>
          <w:sz w:val="28"/>
          <w:szCs w:val="28"/>
          <w:rtl w:val="true"/>
          <w:lang w:bidi="ar-SA"/>
        </w:rPr>
        <w:t>وطالبَ الآبقِ والعاصي بسفره ونحوهم لو تجدَّدَ لهم في أثناء المسافةِ قصدٌ صحيحٌ إلى ما دون المسافة لا يجوز لهم القصر قبل الرجوعُ وإن كان الرجوع وحده مسافةً، فضلاً عن انضمامه إلى المقصود ممّا هو دونها، بل إنّما يُقَصِّرون في الرجوع لا غيرُ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واللازم من ذلك كلّه أنّ هذا الخارج بعد نيّة المُقام إلى ما دون المسافَةِ، لا يُقَصِّر </w:t>
      </w:r>
    </w:p>
    <w:p>
      <w:pPr>
        <w:pStyle w:val="BookText"/>
        <w:rPr/>
      </w:pPr>
      <w:r>
        <w:rPr>
          <w:rFonts w:ascii="Amiri" w:hAnsi="Amiri" w:eastAsia="Amiri" w:cs="Amiri"/>
          <w:color w:val="111111"/>
          <w:sz w:val="28"/>
          <w:sz w:val="28"/>
          <w:szCs w:val="28"/>
          <w:rtl w:val="true"/>
          <w:lang w:bidi="ar-SA"/>
        </w:rPr>
        <w:t>حتى يقصد مسافةً ولو بالرجوع نحو بلده؛ ليستلزم قصد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فإنّ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صرحوا بأنّ قاصد المسافة لو نوى في ابتداء سفره الإقامة في أثنائها في بلدٍ ونحوه عَشَرَةَ أيّام بحيث لا تبقى بعد موضع الإقامة إلى منتهى سفره مسافةٌ، لا يُقصِّرُ في الذهاب، ولو كان كما ذكروه في المسألة لزم القصرُ بمفارقة موضع الإقامة في أثناء المسافة؛ لعين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الخروج وإن كان مفروضاً إلى ما دون المسافة لكنّه في قوّة الخروج إليها؛ لأنّ المسافر المذكور إمّا أنْ يُريدَ الذَهابَ والتمادي في السفر بعد الموضع المفروض كونه إلى ما دون المسافة، أو يُريد الرجوع إلى بلدِهِ بعدَهُ، وعلى التقديرَينِ يحصل قصد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الحصرَ في قصدِ المسافة بذلك مع كون المفروض خروجه إلى ما دون المسافة؛ فإنّه يجوز أن لا يحصل عنده أحدُ الأمرين، بل يقصد الخروج إلى الموضع الذي هو دون المسافة مع تردّده فيما يفعله بعد ذلك، أيقيم فيه أو في غيره أو يُنشِئُ السفر بعد ذلك، أو يرجع إلى بلده ؟ وهذا أمر صحيح يتّفقُ للعقلاء بأن يوقفوا أحد هذه الأمور على الوصول إلى الموضع المذكور بسبب استعلام خبر ونحوه، فمجرّد الخروج إلى ما دون المسافةِ أعمُّ من قصدِ السفر والرجوع المستلزم لقصد المسافة، وعلى تقدير قصد الرجوع إلى بلده بعد الوصول إلى ذلك المحل لا يصحّ الحكم بالقصر إلّا في العود، ليتحقّق قصد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يكن في نيّته العودُ إلى بلد الإقامة بل عزمُه المفارقةُ مِن غير عَودٍ، كان سفره الذي أنشأه بعد مفارقة محلِّ الإقامة بمنزلة ذَهابٍ واحدٍ، أو عودٍ باعتبار اتّصالِهِ وعدم رجوعه على الطريق الأُولى، فيعود إلى القصر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أيضاً فاسد؛ لأنّ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واحدٍ من الذَهاب والإياب حكماً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بالذهاب مجموعُ المسافة التي بين بلد المسافر ونهاية </w:t>
      </w:r>
      <w:bookmarkStart w:id="446" w:name="pg10113_92125"/>
    </w:p>
    <w:p>
      <w:pPr>
        <w:pStyle w:val="BookText"/>
        <w:rPr/>
      </w:pPr>
      <w:bookmarkEnd w:id="446"/>
      <w:r>
        <w:rPr>
          <w:rFonts w:ascii="Amiri" w:hAnsi="Amiri" w:eastAsia="Amiri" w:cs="Amiri"/>
          <w:color w:val="111111"/>
          <w:sz w:val="28"/>
          <w:sz w:val="28"/>
          <w:szCs w:val="28"/>
          <w:rtl w:val="true"/>
          <w:lang w:bidi="ar-SA"/>
        </w:rPr>
        <w:t>مقصدِهِ، وأما العود على الطريق الأُولى وعدمه فلا مدخل له في تحقّق الذهاب والعَود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عدم العود على الطريق الأُولى موجباً لاتّحاد حكم الطريق، لزم منه كون قاصد نصف مسافةٍ مع نيّة القود على غير الطريق الأُولى يخرج مقصِّراً مع عدم العَود ليومه، وهو باطلٌ إجماعاً</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375485_1067777946"/>
      <w:bookmarkStart w:id="448" w:name="_Toc151"/>
      <w:bookmarkEnd w:id="447"/>
      <w:r>
        <w:rPr>
          <w:rtl w:val="true"/>
        </w:rPr>
        <w:t>العزم على العود إلى موضع الإقامة مع عدم إقامة عشرة</w:t>
      </w:r>
      <w:bookmarkEnd w:id="448"/>
    </w:p>
    <w:p>
      <w:pPr>
        <w:pStyle w:val="BookText"/>
        <w:rPr/>
      </w:pPr>
      <w:r>
        <w:rPr>
          <w:rFonts w:ascii="Amiri" w:hAnsi="Amiri" w:eastAsia="Amiri" w:cs="Amiri"/>
          <w:color w:val="111111"/>
          <w:sz w:val="28"/>
          <w:sz w:val="28"/>
          <w:szCs w:val="28"/>
          <w:rtl w:val="true"/>
          <w:lang w:bidi="ar-SA"/>
        </w:rPr>
        <w:t>وأيضاً لا يلزم من فرض الخروج من بلد الإقامة وعدم العود إليها، عدم الرجوع بمجموع الطريق التي خرج منها، بل هو أعم منه ومن العود إليها مع عدم المرور ببلد الإقامة، فلابدّ من الاحتياج إلى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الحقّ بعض الأصحاب بهذا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قسم ناوي الخروج مع عدم العود إليه ما لو تردّد الخارج على الوجه المذكور في العود وعدمه، وما لو ذهل عن القصد إلى المفارقة أو العود بنية إقامة عشرة أو لا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حاصلٌ في الجميع؛ فإنّ المتردّدَ والذاهِلَ غير قاصدٍ للمسافة التي هي شرط العَود إلى القصر كما اقتضته المسألة الأُولى، فلا يتحقّق الحكم بالقصر؛ لعدم المقتضي إلى أن يتجدّد قصد المسافة وهو خارجٌ عن محلِّ الفرض، أو يتحقّق الشروع في العود إلى البلد والفرض أعمُّ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أقسامها أن يعزم على العود إلى موضع الإقامة مع عدم إقامة عَشَرةٍ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أكمل الأُولى، أم أقام بعضها، أم مرّ على محلِّ الإقامة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على قولين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مختار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w:t>
      </w:r>
      <w:r>
        <w:rPr>
          <w:rStyle w:val="FootnoteAnchor"/>
          <w:rtl w:val="true"/>
        </w:rPr>
        <w:footnoteReference w:id="781"/>
      </w:r>
      <w:r>
        <w:rPr>
          <w:rFonts w:ascii="Amiri" w:hAnsi="Amiri" w:eastAsia="Amiri" w:cs="Amiri"/>
          <w:color w:val="111111"/>
          <w:sz w:val="28"/>
          <w:sz w:val="28"/>
          <w:szCs w:val="28"/>
          <w:rtl w:val="true"/>
          <w:lang w:bidi="ar-SA"/>
        </w:rPr>
        <w:t xml:space="preserve">والعلّامة </w:t>
      </w:r>
      <w:r>
        <w:rPr>
          <w:rStyle w:val="FootnoteAnchor"/>
          <w:rtl w:val="true"/>
        </w:rPr>
        <w:footnoteReference w:id="782"/>
      </w:r>
      <w:r>
        <w:rPr>
          <w:rFonts w:ascii="Amiri" w:hAnsi="Amiri" w:eastAsia="Amiri" w:cs="Amiri"/>
          <w:color w:val="111111"/>
          <w:sz w:val="28"/>
          <w:sz w:val="28"/>
          <w:szCs w:val="28"/>
          <w:rtl w:val="true"/>
          <w:lang w:bidi="ar-SA"/>
        </w:rPr>
        <w:t xml:space="preserve">وجماعة </w:t>
      </w:r>
      <w:r>
        <w:rPr>
          <w:rStyle w:val="FootnoteAnchor"/>
          <w:rtl w:val="true"/>
        </w:rPr>
        <w:footnoteReference w:id="7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p>
    <w:p>
      <w:pPr>
        <w:pStyle w:val="BookText"/>
        <w:rPr/>
      </w:pPr>
      <w:r>
        <w:rPr>
          <w:rFonts w:ascii="Amiri" w:hAnsi="Amiri" w:eastAsia="Amiri" w:cs="Amiri"/>
          <w:color w:val="111111"/>
          <w:sz w:val="28"/>
          <w:sz w:val="28"/>
          <w:szCs w:val="28"/>
          <w:rtl w:val="true"/>
          <w:lang w:bidi="ar-SA"/>
        </w:rPr>
        <w:t>يرجع إلى التقصير في ذهابه ويستمرّ عليه في مقصده وعَوده، مُحْتَجِّينَ على ذلك بأنّه قد نَقَضَ مُقامه بالخروج من محلِّ الإقامة، وليس في نيّته إقامةٌ أُخرى فيعود إليه حكم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وعبارة المبسوط في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نَقَضَ مُقامَه لسفرٍ بينه وبين بلده يُقصِّرُ في مثله</w:t>
      </w:r>
      <w:r>
        <w:rPr>
          <w:rStyle w:val="FootnoteAnchor"/>
          <w:rtl w:val="true"/>
        </w:rPr>
        <w:footnoteReference w:id="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ضمَّ الرجوع إلى ما بقي من الذهاب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جملة من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جماعة من المتأخّرين منهم الشهيد</w:t>
      </w:r>
      <w:r>
        <w:rPr>
          <w:rStyle w:val="FootnoteAnchor"/>
          <w:rtl w:val="true"/>
        </w:rPr>
        <w:footnoteReference w:id="785"/>
      </w:r>
      <w:r>
        <w:rPr>
          <w:rFonts w:ascii="Amiri" w:hAnsi="Amiri" w:eastAsia="Amiri" w:cs="Amiri"/>
          <w:color w:val="111111"/>
          <w:sz w:val="28"/>
          <w:sz w:val="28"/>
          <w:szCs w:val="28"/>
          <w:rtl w:val="true"/>
          <w:lang w:bidi="ar-SA"/>
        </w:rPr>
        <w:t xml:space="preserve">والشيخ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وجوب التمام عليه في الذهاب والمقصد، والقصر في العود</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واحتجّوا على الحكم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التمام قبل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يخرج عن حكم الإقامة بقصد المسافة وهي منتفية في الذهاب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بوجود قصد المسافة حيث إنّه قاصد إلى بلده في الجملة، إمّا الآن أو بعد سفرٍ آخر، والبلد الذي كان مقيماً فيه قد ساوى غيره بالنسبة إليه من حين بلوغ محلّ الترخّص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آتٍ في الذهاب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لزوال حكم الإقامة ببلوغ حدّ الترخّص، وتحققِ عزمِ المسافةِ على الوجه السابق كما أشار إليه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تبِعَهُ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بينهم أنّ للذهاب حكماً منفرداً عن العود فلا يُكْمَلُ أحدهما بالآخر، إلّا فيمن قصَد أربعةَ فراسخَ عازماً على العَود في يومِهِ أو ليلته، وإنّما أخرجت هذه بحكم النصِّ</w:t>
      </w:r>
      <w:r>
        <w:rPr>
          <w:rStyle w:val="FootnoteAnchor"/>
          <w:rtl w:val="true"/>
        </w:rPr>
        <w:footnoteReference w:id="787"/>
      </w:r>
      <w:r>
        <w:rPr>
          <w:rFonts w:ascii="Amiri" w:hAnsi="Amiri" w:eastAsia="Amiri" w:cs="Amiri"/>
          <w:color w:val="111111"/>
          <w:sz w:val="28"/>
          <w:sz w:val="28"/>
          <w:szCs w:val="28"/>
          <w:rtl w:val="true"/>
          <w:lang w:bidi="ar-SA"/>
        </w:rPr>
        <w:t xml:space="preserve">، ولولا ذلك لكان المتردِّدُ في ثلاثة فراسخ ثلاث مرّاتٍ، أو في اثنين </w:t>
      </w:r>
    </w:p>
    <w:p>
      <w:pPr>
        <w:pStyle w:val="BookText"/>
        <w:rPr/>
      </w:pPr>
      <w:r>
        <w:rPr>
          <w:rFonts w:ascii="Amiri" w:hAnsi="Amiri" w:eastAsia="Amiri" w:cs="Amiri"/>
          <w:color w:val="111111"/>
          <w:sz w:val="28"/>
          <w:sz w:val="28"/>
          <w:szCs w:val="28"/>
          <w:rtl w:val="true"/>
          <w:lang w:bidi="ar-SA"/>
        </w:rPr>
        <w:t>أربع مراتٍ بحيث لا يبلغ حدود البلدِ حال عوده، يلزمه القصر، وهو باطل، بل كان نحو طالبِ الآبقِ يلزمه التقصير بعد المنزل الذي يبلغ ما قصد مسيره مع عوده إلى بلده ثمانية فراسخ، وهو باطل اتّفاقاً، وإنّما يلزمه التقصير بعد عزمِ العَود وبلوغ المسافة، أمّا قبله فلا، ولو زادَ على المسافة أضعافاً، بل لم يكن للتقييد بقصد العود ليومه أو ليلته فيمن قصد أربعة فراسخ معنى أصلاً؛ إذ لو اعتبر تكميل الذهاب بالعود صدق عزم المسافة فيمن قصد الرجوع من غَدِهِ، وهو معلوم البطلان هذا أقصى ما قرّروه في الاحتجاج على هذا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جَوْدَتِهِ ورجحانِهِ على ما ذُكِرَ في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على إطلاقه؛ فإنّ المحلّ الذي نوى فيه الإقامة، قد يكون على رأس المقصد، وقد يكون دونه، وعلى التقديرين فالمقصد الذي خرج إليه بعد نيّة الإقامة وهو دون المسافة، قد يكون إلى جهة بلدِهِ الذي يُريدُ الرجوع إليه في نفس طريقه، وقد يكون مخالفاً له في الجهة، وما ذكروه من تحقّق الرجوع بمفارقة المقصد الذي خرج إليه بعد الإقامة، لا يتمّ في جميع هذه الموارد؛ فإنّ المقصد لو كان في بعض الطريق التي سلكها من بلده بحيث يكون الخروج إليه بعد نيّة الإقامة بصورة الرجوع إلى البلد، ورجوعه منه بصورة الذهاب، كيف يُفرضُ كونُ الرجوع من محلٍّ هذا شأنه رجوعاً إلى بلد المسافر ؟ وهو على طرف النقيض للرجوع، ومثله ما لو لم يكن المقصد الذي خرج إليه على طريق بلده، ولكنّه يَقْرُب إليه بالخروج إلى المقصد ويبعد عن بلده بالرجوع منه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هذه المواردِ لا يَتمُّ ما ذكروه، ولا يتوجّهُ ما حكموا به من القصر بالأخذ في الرجوع إلى موضع الإقامة، بل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المسألة الأولى التي صدرنا بذكرها الرسالة بقاؤه على التمام في هذه المواردِ ذَهاباً وإقامةً في المقصد، وعَوداً إلى محلّ المُقام، وفي المقام فيه، وإنْ قَصُرَ عن العشرة، حتّى يتحقّق قصد المسافة ولو بتوجّهه نحو بلده بالسفر؛ لعدم تحقّق قصد المسافة بدون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القول فيما لو كان محلّ الإقامة في </w:t>
      </w:r>
      <w:bookmarkStart w:id="449" w:name="pg10113_92128"/>
    </w:p>
    <w:p>
      <w:pPr>
        <w:pStyle w:val="BookText"/>
        <w:rPr/>
      </w:pPr>
      <w:bookmarkEnd w:id="449"/>
      <w:r>
        <w:rPr>
          <w:rFonts w:ascii="Amiri" w:hAnsi="Amiri" w:eastAsia="Amiri" w:cs="Amiri"/>
          <w:color w:val="111111"/>
          <w:sz w:val="28"/>
          <w:sz w:val="28"/>
          <w:szCs w:val="28"/>
          <w:rtl w:val="true"/>
          <w:lang w:bidi="ar-SA"/>
        </w:rPr>
        <w:t>أثناء المسافة أو في أثناء طريق 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بعد بلوغ المسافة، وكان الخروج من محل الإقامة إلى جهةٍ تُخالِفُ جهة بلده، بحيث تتحقّق صورة الرجوع بالعود منه إلى محلِّ الإقامة وإن كان ذلك مقابلاً لجهة بلده؛ فإنّ المسافِرَ ما دام عازماً على الزيادة في السفر عن محلّ الإقامة والبعد عن البلد لا يتحقّق منه الرجوع، وإنْ حصلت صورةُ التوجّه نحو البلد؛ فإنّ ذلك ليس رجوعاً لغةً ولا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صحّ خلاف ذلك، لزم من انحراف طريق المسافر في أثناء السفر بحيث يَقْرُبُ في حالٍ من الأحوال إلى بلده عمّا كان في حالةٍ سابقةٍ تحقُّقُ الرجوع، والحكم بالتمام إن كان ذلك قبل بلوغ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رجع إلى بعض الطريق لأخذ شيءٍ نَسِيَهُ، وإنْ كان الرجوع إلى مكانٍ قد أقام فيه العَشَرة، ونحو ذلك ممّا يُقْطَعُ فيه بكونه ليس رجوعاً، وإن كان السير إلى جِهة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من ذلك أنّ الرجوع لا يتحقّقُ إلّا بالوصول إلى مقصده، ثمّ الخروج عنه نحو البلد قاصداً إليه، أو بالرجوع عن السفر قبل الانتهاء إلى المقصد والشروع في العَود، لا بمجرّد القرب نحو البلد بغير ذلك وإن كان بصورة الرجوع</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375487_1067777946"/>
      <w:bookmarkStart w:id="451" w:name="_Toc152"/>
      <w:bookmarkEnd w:id="450"/>
      <w:r>
        <w:rPr>
          <w:rtl w:val="true"/>
        </w:rPr>
        <w:t>لو كان طريق المقصد مستديراً</w:t>
      </w:r>
      <w:bookmarkEnd w:id="451"/>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من ذلك أنّ المسافرَ لو كان طريقُ مقصده مستديراً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يَصِلُ إليه إلّا بعد القرب إلى بلده بعد انتهاء البعد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ذَهابه مجموع المسافة التي بين البلد ومقصده وإنْ زاد عن نصف المسافة بكثير، ورجوعه من حينِ انفصاله عن موضع القصد إلى البلد، ولأنّ ذلك هو المتعارف، ولو فُرض تعدّد المقاصد كان منتهى الذهاب آخِرَها إلا أن يتحقّق الرجوع عرفاً قبل الآخرِ فيكون هو السابق، وهكذا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كلّه يقرب من مسألة البلدِ ذي الطريقين؛ فإنّهم قد حكموا فيها بكون الذهاب إليه لا يضمّ إلى العود حتّى لو كان طريق العود خاصّةً يبلغ المسافة قَصَّرَ فيه خاصّةً، ولو انعكس الفرض قَصَّرَ فيهما ومسألة الاستدارة جزئيّ من جزئيّات هذه، وهذه مسألة انجرّ البحث إليها وحَسُنَ التنبيه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فهذه الفروض كلّها خارجةٌ عن القولَينِ مخالفةٌ لحكم ما ذكروه، مقيِّدةٌ لِما أطلقوه، وإنما يتوجّه ما ذكروه في القول الثاني أن لو كان محلُّ الإقامة في غاية مقصده، أو قريباً منها، بحيث لا يخرج عن وصفها، ويكون خروجه بعد نيّة الإقامة منه إلى ما يخالف جهة البلد ويبعد بالسير إليه عنها وإن لم يكن على حد المقابلة؛ ليتحقّق من العَود من مقصده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دون المسافة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إلى بلده في الجملة؛ لانتهاء غرضه من السفر الموجب لقطع المسافة في جانب البُعد، وإن بقي منه ما يمكن استدراكه بالتدرّج في طريق الرجوع ولو بإقامة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جملة من الإشكالات الواردة على المسألة الثانية إذا أُخِذَتْ مطلقةً، كما هو المفهوم والمعمول عليه بين الناس، بحيث لو أدخل الإنسانُ عُنُقَهُ في رِبْقَةِ التقليد الصرف لم يتمّ له ذلك؛ لمخالفة المسألة الأُولى في هذه الموارد، فترجيح المقلّدِ لإحداهما دون الأُخرى، بعيدٌ عن مقاصد اللّه سبحانه وتعالى ورسوله وأئمته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بقواعد الشريعة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هذه الإشكالات إنّما يَتِمُّ على القول بأنّ المصلّى تماماً بعد نيّة الإقامة إنّما يعود إلى القصر بالسفر إلى المسافة وهذه دعوى لم يَقُمْ عليها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وعباراتهم دالّة بإطلاقها على تعليق العَود إلى القصر بالخروج، ولا يحتاج إلى نقلها؛ فإنّ مراجَعتها في ذلك 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رواية أبي ولّاد التي هي مستنَد الحكم تدلُّ بظاهرها عليه؛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نيّة إقامةِ العَشَرةِ في المدينة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فصلّيت بها صلاة فريضةٍ واحدةٍ بتمامٍ، فليس لك أنْ تُقصِّر حتّى تخرج منها</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فلا يتوجّه الإشكالُ بأنّ فرضَ الخروج إلى ما دون المسافة يقتضي التمام، وإن لم يَنْوِ بعد العود إقامة عشرةٍ مستأنفة، وكذا نظائره من الأنظار المتقدّمة</w:t>
      </w:r>
      <w:r>
        <w:rPr>
          <w:rFonts w:eastAsia="Amiri" w:cs="Amiri" w:ascii="Amiri" w:hAnsi="Amiri"/>
          <w:color w:val="111111"/>
          <w:sz w:val="28"/>
          <w:szCs w:val="28"/>
          <w:rtl w:val="true"/>
          <w:lang w:bidi="ar-SA"/>
        </w:rPr>
        <w:t xml:space="preserve">. </w:t>
      </w:r>
      <w:bookmarkStart w:id="452" w:name="pg10113_92130"/>
    </w:p>
    <w:p>
      <w:pPr>
        <w:pStyle w:val="BookText"/>
        <w:rPr/>
      </w:pPr>
      <w:bookmarkEnd w:id="452"/>
      <w:r>
        <w:rPr>
          <w:rFonts w:ascii="Amiri" w:hAnsi="Amiri" w:eastAsia="Amiri" w:cs="Amiri"/>
          <w:color w:val="111111"/>
          <w:sz w:val="28"/>
          <w:sz w:val="28"/>
          <w:szCs w:val="28"/>
          <w:rtl w:val="true"/>
          <w:lang w:bidi="ar-SA"/>
        </w:rPr>
        <w:t>ويؤيِّدُ إرادة هذا المعنى حكم الشيخ</w:t>
      </w:r>
      <w:r>
        <w:rPr>
          <w:rStyle w:val="FootnoteAnchor"/>
          <w:rtl w:val="true"/>
        </w:rPr>
        <w:footnoteReference w:id="789"/>
      </w:r>
      <w:r>
        <w:rPr>
          <w:rFonts w:ascii="Amiri" w:hAnsi="Amiri" w:eastAsia="Amiri" w:cs="Amiri"/>
          <w:color w:val="111111"/>
          <w:sz w:val="28"/>
          <w:sz w:val="28"/>
          <w:szCs w:val="28"/>
          <w:rtl w:val="true"/>
          <w:lang w:bidi="ar-SA"/>
        </w:rPr>
        <w:t>والعلّامة بالقصر في الذهاب أيضاً لمن لم يَنْوِ إقامة العشرة المستأنفة بعد العود</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مذهبهم في ذلك مبنيّاً على ما ذُكِرَ هنا من عدم اشتراط الخروج إلى مسافةٍ بعد الصلاة في العود إلى القصر</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375489_1067777946"/>
      <w:bookmarkStart w:id="454" w:name="_Toc153"/>
      <w:bookmarkEnd w:id="453"/>
      <w:r>
        <w:rPr>
          <w:rtl w:val="true"/>
        </w:rPr>
        <w:t>الفتوى في المسألة</w:t>
      </w:r>
      <w:bookmarkEnd w:id="454"/>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الاكتفاء في العود إلى القصر بمجرّد الخروج وإن لم يكن إلى 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على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عند القائلين باختصاص الحكم بالقصر بالعود من الخروج إلى ما دون المسافة بعد نيّة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لتصريحهم في التعليل والفتوى باشتراط المسافة؛ أمّا التعليل فقد تقدَّمت الإشارة</w:t>
      </w:r>
      <w:r>
        <w:rPr>
          <w:rStyle w:val="FootnoteAnchor"/>
          <w:rtl w:val="true"/>
        </w:rPr>
        <w:footnoteReference w:id="791"/>
      </w:r>
      <w:r>
        <w:rPr>
          <w:rFonts w:ascii="Amiri" w:hAnsi="Amiri" w:eastAsia="Amiri" w:cs="Amiri"/>
          <w:color w:val="111111"/>
          <w:sz w:val="28"/>
          <w:sz w:val="28"/>
          <w:szCs w:val="28"/>
          <w:rtl w:val="true"/>
          <w:lang w:bidi="ar-SA"/>
        </w:rPr>
        <w:t>إليه بقولهم في الاستدلال بأنّ المسافر إنّما يخرج عن حكم الإقامة بقصد المسافة، وهي منتفيةٌ في الذهاب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الفتوى فقد 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خرج بعد عزم الإقامة وقد صلّى تماماً اشتُرِطَ مسافةٌ أُخرى</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نيّة المقام عشراً، والتردّد ثلاثين إذا أتم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خرج بعدها اعتبرت المسافة حينئذٍ</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قطع السفر بعزم إقامة العشرة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نيّة المُقام على ما دون المسافة اشترِطَ مسافةٌ جديدةٌ في خروجه منه، وإن كان على مسافة فكذلك، غير أنه يكتفي هنا بالرجوع في القصر</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القائلون بالعودِ إلى القصرِ في الخروج كالشيخ والفاضل فإنّهم وإن أطلقوا </w:t>
      </w:r>
    </w:p>
    <w:p>
      <w:pPr>
        <w:pStyle w:val="BookText"/>
        <w:rPr/>
      </w:pPr>
      <w:r>
        <w:rPr>
          <w:rFonts w:ascii="Amiri" w:hAnsi="Amiri" w:eastAsia="Amiri" w:cs="Amiri"/>
          <w:color w:val="111111"/>
          <w:sz w:val="28"/>
          <w:sz w:val="28"/>
          <w:szCs w:val="28"/>
          <w:rtl w:val="true"/>
          <w:lang w:bidi="ar-SA"/>
        </w:rPr>
        <w:t>تعليق القصر على الخروجِ، لكنّهم قد صرّحوا في مسائلَ متعدّدة بكون ما بقي من مسافةِ الذهاب لا يضمُّ إلى العود، ولا يُقَصَّر فيه إلّا إذا كان مسافةً، وممّا صرحوا فيه بذلك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نوى في ابتداء السفر إقامة عشرة في أثنائه اعتبر من موضع خروجه إلى موضع نوى فيه الإقامة، فإن كان يبلغ المسافة قصّر في خروجه إلى موضع الإقامة وإلا فلا، ثمّ يُعْتَبَرُ ما بعد موضع الإقامة وغاية السفر، فإن كان أيضاً يبلغ المسافة قَصَّرَ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حكم قد صرّح به الفاضل في كتبه </w:t>
      </w:r>
      <w:r>
        <w:rPr>
          <w:rStyle w:val="FootnoteAnchor"/>
          <w:rtl w:val="true"/>
        </w:rPr>
        <w:footnoteReference w:id="795"/>
      </w:r>
      <w:r>
        <w:rPr>
          <w:rFonts w:ascii="Amiri" w:hAnsi="Amiri" w:eastAsia="Amiri" w:cs="Amiri"/>
          <w:color w:val="111111"/>
          <w:sz w:val="28"/>
          <w:sz w:val="28"/>
          <w:szCs w:val="28"/>
          <w:rtl w:val="true"/>
          <w:lang w:bidi="ar-SA"/>
        </w:rPr>
        <w:t xml:space="preserve">والشيخ </w:t>
      </w:r>
      <w:r>
        <w:rPr>
          <w:rStyle w:val="FootnoteAnchor"/>
          <w:rtl w:val="true"/>
        </w:rPr>
        <w:footnoteReference w:id="7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فائدة في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اتّفقوا جميعاً على أنّ من لم يربط قصده بالمسافة كطالب الآبق لا يقصِّر في الذَهاب وإنْ تمادى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أفرادهِ ما لو بلغ المسافة في ذهابه ثمّ عزم بعد ذلك على الوصول إلى ما دون المسافة ثم العود، فإنّه لا يقصِّر إلّا في الرجوع لا غير وبالجملة فمتى تحقّق القصد اعتبر المسافة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اشتراط قصد المسافة في العود إلى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المبحوث عنها في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حكمهم بأنّ ما نوى فيه الإقامة في حكم بلد المسافر فكما ينقطع سفره بالوصول إلى بلده كذلك ما نوى فيه الإقامة، وكذا لو نوى الإقامة في بلدٍ قبل الشروع في السفر اعتبرت المسافة بين مبدئه وبينه كالبلد إلى غير ذلك من الأحكام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يتوقّف القصر بالخروج من البلد على المسافة، فكذا ما هو في حكمه، خرج من هذه المساواة ما لو رجع عن النيّة قبل الصلاةِ تماماً، أو ما في حكمها بالنصّ </w:t>
      </w:r>
      <w:r>
        <w:rPr>
          <w:rStyle w:val="FootnoteAnchor"/>
          <w:rtl w:val="true"/>
        </w:rPr>
        <w:footnoteReference w:id="797"/>
      </w:r>
      <w:r>
        <w:rPr>
          <w:rFonts w:ascii="Amiri" w:hAnsi="Amiri" w:eastAsia="Amiri" w:cs="Amiri"/>
          <w:color w:val="111111"/>
          <w:sz w:val="28"/>
          <w:sz w:val="28"/>
          <w:szCs w:val="28"/>
          <w:rtl w:val="true"/>
          <w:lang w:bidi="ar-SA"/>
        </w:rPr>
        <w:t>عليه، فيبقى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من جهة الاعتبار أنّ السفر لمّا انقطع حكمه بنيّة الإقامة مع </w:t>
      </w:r>
    </w:p>
    <w:p>
      <w:pPr>
        <w:pStyle w:val="BookText"/>
        <w:rPr/>
      </w:pPr>
      <w:r>
        <w:rPr>
          <w:rFonts w:ascii="Amiri" w:hAnsi="Amiri" w:eastAsia="Amiri" w:cs="Amiri"/>
          <w:color w:val="111111"/>
          <w:sz w:val="28"/>
          <w:sz w:val="28"/>
          <w:szCs w:val="28"/>
          <w:rtl w:val="true"/>
          <w:lang w:bidi="ar-SA"/>
        </w:rPr>
        <w:t xml:space="preserve">الصلاة تماماً، صار كأنّ الماضي لم يكن، فلابدّ في العود إليه من اجتماع شرائطه التي من جملتها قصد المسافة، وكلّ خبرٍ دلّ على اشتراط قصد المسافة يصلح للدلالة هنا، وأكثرها صريحٌ في اعتبار الذَهاب لا غير، ومن ثَمَّ يستثنون منها الراجع ليومه؛ كقول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سليمان بن حفص المَرْوَزي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التقصير في الصلاة من </w:t>
      </w:r>
      <w:r>
        <w:rPr>
          <w:rStyle w:val="FootnoteAnchor"/>
          <w:rtl w:val="true"/>
        </w:rPr>
        <w:footnoteReference w:id="798"/>
      </w:r>
      <w:r>
        <w:rPr>
          <w:rFonts w:ascii="Amiri" w:hAnsi="Amiri" w:eastAsia="Amiri" w:cs="Amiri"/>
          <w:color w:val="111111"/>
          <w:sz w:val="28"/>
          <w:sz w:val="28"/>
          <w:szCs w:val="28"/>
          <w:rtl w:val="true"/>
          <w:lang w:bidi="ar-SA"/>
        </w:rPr>
        <w:t>بريدين أو بريد ذاهباً وجائياً</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 أيضاً الأصل وهو الحكم بالتمام، وبيانه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أنّه كان فرضه التمام بنيّة الإقامة، وبطل حكم القصر فيجب استصحاب الحكم بالتمام إلى أنْ يثبت المزيل له وهو السفر إلى المسافة، وهذا المعنى أحد المعاني الأربعة للأصل، كما حقق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المستمرة، وبيانها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الصلاة التمام، والقصر طارئ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ضَرَبْتُمْ فِي الْأَرْضِ فَلَيْسَ عَلَيْكُمْ جُنَاحٌ أَن تَقْصُرُواْ مِنَ الصَّلَوَاةِ</w:t>
      </w:r>
      <w:r>
        <w:rPr>
          <w:rFonts w:eastAsia="Amiri" w:cs="Amiri" w:ascii="Amiri" w:hAnsi="Amiri"/>
          <w:color w:val="111111"/>
          <w:sz w:val="28"/>
          <w:szCs w:val="28"/>
          <w:rtl w:val="true"/>
          <w:lang w:bidi="ar-SA"/>
        </w:rPr>
        <w:t>»</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العمل بهذا الأصل وإتمام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يثبت القصر بالضرب في الأرض إلى المسافة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محلّ 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يُضَعَّفُ حكمهم في المسألة الثانية بالعود إلى القصر بالخروج لمن نوى إقامة عَشَرةٍ بعد أن صلّى تماماً ولم يعزم على إقامة مستأنفةٍ بعد العود</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فرض أنّهم قائلون فى المسألةُ الأُولى بعدم اشتراط السفر إلى المسافة، وَرَدَ عليهم ما تقدّم من حكمهم باشتراطها في نظائر هذه المسألة، ثمّ يُطالبُون بالدليل على القصر؛ فإنّه على خلاف الأصل، مع أنك قد عرفت أنّه لو سلّم ذلك كلّه لهم لم يَزُلِ الإشكال عن المسألة التي نحن بصدد البحث عنها، وتناقضُ الأحكام بين المسألتينِ </w:t>
      </w:r>
    </w:p>
    <w:p>
      <w:pPr>
        <w:pStyle w:val="BookText"/>
        <w:rPr/>
      </w:pPr>
      <w:r>
        <w:rPr>
          <w:rFonts w:ascii="Amiri" w:hAnsi="Amiri" w:eastAsia="Amiri" w:cs="Amiri"/>
          <w:color w:val="111111"/>
          <w:sz w:val="28"/>
          <w:sz w:val="28"/>
          <w:szCs w:val="28"/>
          <w:rtl w:val="true"/>
          <w:lang w:bidi="ar-SA"/>
        </w:rPr>
        <w:t>وإن زال بعضُ ما تقدّم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الرواية فإطلاق الحكم من تعليق القصر على الخروج فيها صحيحٌ؛ فإنّ أبا ولادٍ كوفيٌ، وسؤاله كان عن الإقامة بالمدينة فخروجه عنها إلى بلده يوجب القصر، ولو سلّم كون الخروج منها أعمُّ من الخروج إلى بلده أمكن حملها على إرادة الخروج إلى المسافة الذي هو مقتضى القصر؛ فإنّ حملها على إطلاقها يُنقض في موارد لا يتمّ عندهم أيضاً، وكذا يحمل عليه ما أُطلق من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تصريحه باشتراط المسافة علّق الحكم بالقصر في بعض عباراته على الخروج من غير تفصيل</w:t>
      </w:r>
      <w:r>
        <w:rPr>
          <w:rStyle w:val="FootnoteAnchor"/>
          <w:rtl w:val="true"/>
        </w:rPr>
        <w:footnoteReference w:id="8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الأفاضل</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الحكم والإشكال مبنيّان على أنّ الذهاب لا يَضمُّ إلى الإياب مطلقاً، وذلك موضع النظر، وإنّما يستقيم عدم الضمّ فيما إذا كان لأحدهما تأثيرٌ في تكميل الآخر باعتبار حصول المسافة منهما، ولو لم يكن كذلك لزم أن يكون المسافر الذي يقطع المسافة البعيدة ويكرّر قطع بعض الأمكنة لأجل مصلحةٍ متمّماً حال الذهاب إلى هذا البعض، مع أنه يصدق عليه حال الذهاب أنه مسافر، وليس من المواضع التي يجب عليه الإتمام فيها بالنصّ والفتوى فيجب القصر؛ 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ضَرَبْتُمْ فِي الْأَرْضِ فَلَيْسَ عَلَيْكُمْ جُنَاحٌ أَن تَقْصُرُوا مِنَ الصَّلَوَاةِ</w:t>
      </w:r>
      <w:r>
        <w:rPr>
          <w:rFonts w:eastAsia="Amiri" w:cs="Amiri" w:ascii="Amiri" w:hAnsi="Amiri"/>
          <w:color w:val="111111"/>
          <w:sz w:val="28"/>
          <w:szCs w:val="28"/>
          <w:rtl w:val="true"/>
          <w:lang w:bidi="ar-SA"/>
        </w:rPr>
        <w:t>»</w:t>
      </w:r>
      <w:r>
        <w:rPr>
          <w:rStyle w:val="FootnoteAnchor"/>
          <w:rtl w:val="true"/>
        </w:rPr>
        <w:footnoteReference w:id="803"/>
      </w:r>
      <w:r>
        <w:rPr>
          <w:rFonts w:ascii="Amiri" w:hAnsi="Amiri" w:eastAsia="Amiri" w:cs="Amiri"/>
          <w:color w:val="111111"/>
          <w:sz w:val="28"/>
          <w:sz w:val="28"/>
          <w:szCs w:val="28"/>
          <w:rtl w:val="true"/>
          <w:lang w:bidi="ar-SA"/>
        </w:rPr>
        <w:t xml:space="preserve">، وقول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في السفر ركعتان</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يرد النقض بما تقدّم من حكم المتردّد في ثلاثة فراسخ ثلاث مرّاتٍ، وطالب الآبق الذي يجتمع من عوده وبقيّة ذهابه مسافة، 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إذا تدبّرت ما أسلفناه من الكلام، ظهر عليك جوابُ ما أُورد في هذا المَقام؛ فإنّ الحكم بعدم ضمّ الذَهاب إلى الإياب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أتوقّف تحقّقُ المسافة على الضمّ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قرّرناه ونقلناه من كلام الجماعة على الخصوص، وإنّ من جملته مسألة ذي المنازل إذا كان المجموع مسافات متعدِّدة؛ فإنّه يُعتَبر ما بين كلّ منزلَين، ويُعتبَر أيضا ما بين آخر المنازل وغاية السفر، ولا يَضمُّ إلى العود، مع أنّ مفروضهم فيه كونُ العود أزيدَ من المسافة، ومثله ناوي الإقامة ابتداءً في أثناء المسافة، ولو كان كما ذكره هذا الفاضل لما افتقر إلى اعتبار ما بين آخر المنازل ونهاية المقصد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خالف في مسألتنا كالعلّامه رحمه اللّه وافق على حكم مسألة ذي المنازل ونحوه</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كلّ واحدٍ من الذَهاب والإياب له حكم برأسه، أمرٌ مُجمَعٌ عليه في الجملة، ثابتٌ اعتباره في القصر وعدمه قطعاً، فتخصيص هذا الأمر المُجمَعِ عليه ببعض موارده لا وجه له، خصوصاً مع ما قد حَكَيْناه عنهم ممّا يقتضي المساواة بين الفرضَينِ في مخالفة حكم الذهاب للعود</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الاستدلال على ذلك بالآية والخبر،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وإن كان معلَّقاً على مطلق الضرب لكنّه مخصوصٌ بقصد المسافة في الذَهاب إلى غاية المقصد إجماعاً، ولا أثر لضمّ الرجوع في تحقّق المسافة فيما عدا المنصوص، فالكلام في قوّة هذا الاشتراط، ولمّا كان الإتمام بعد نيّة إقامة العَشَرة يقطع السفر السابق، ويوجب عدم العود إلى القصر إلّا بقصد المسافة، وجب الحكم بذلك هنا، وكانت الفتوى والدلالة متطابقتين على ذلك في غير صورة النزاع فيجب المصير إليهما فيه أيضاً؛ لأنّه بعض أفراد المسألة مضافاً إلى ما أسلفناه من الأصل المقتضي للبقاء على التمام الذي قد اتفق عليه بالإتمام بعد نيّة الإقامة إلى أن يحصل المُزيل شرعاً، وهو قصد المسافة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هنا ظهر الفرق بين ما قَصُرَ عن المسافة من الذهاب في المسافة من الذهاب في هذه المسألة، وبين ما يَتَكَرَّرُ من قطع بعض الأمكنة للمسافر؛ فإنّ المسافر لما قصد المسافة وشرع في السفر بحيث تجاوز حدود محله صار حكمه القصر ما دام مسافراً، إلى أنْ يحصل له أحدُ الأمور الموجبة لقطع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إقامةٍ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ففرضه في تردّده المذكور القصرُ؛ لعدم الموجب للإتمام، بل لو أقام أيّاماً متعدّدةً ففرضه القصر، فضلاً عن التردّد على هيئة المسافر، وهذا بخلاف مسألة الخارج بعد الإقامة بل هو على الضدّ منه؛ لأنّ هذا قد صار فرضه التمام وانقطع،سفره، فيحتاج إلى أنْ يقصد مسافةً جديدةً ولم يحصل بعد، فيبقى على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بذلك أنّ قوله </w:t>
      </w:r>
      <w:r>
        <w:rPr>
          <w:rStyle w:val="FootnoteAnchor"/>
          <w:rtl w:val="true"/>
        </w:rPr>
        <w:footnoteReference w:id="8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مسافر وليس هذا من المواضع التي يجب فيها الإتمام بالنصّ 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النظر،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المواضع التي يجب فيها الإتمام بالنصّ والفتوى؛ لعدم تحقّق موجب القصر الذي هو قصد المسافة في الذهاب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المعروف في كلّ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الإتمام إلى أن يتحقّق قصدُ المسافة ولو بالرجوع؛ لزوال حكم السفر السابق، فيدخل في عموم النصوص الكثيرة الدالّة على اشتراط قصد المسافة في الذهاب خاصّةً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انقطاع حكم كلّ واحدٍ من الذهاب والإياب عن الآخر وإن لم يتكمّل أحدهما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البلد ذي الطريقَين اللتَينِ إحداهما مسافةٌ والأُخرى ى غير مسافةٍ؛ فإنّهم حكموا فيها بأنّه لو قصد أوّلاً البعيدَةَ قَصَّرَ مطلقاً؛ لتحقّق قصد المسافة في الذهاب، فيبقى على القصر إلى أن يتحقّق المُزيلُ، وهو أحد الأُمور المشهورة التي أحدها الوصول إلى البلد، فيقصّر في العود وإنْ كان دون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سلك الأقربَ أوّلاً بقي على التمام فيها وفي البلد، ويقصِّر في الرجوع على الأبعدِ خاصةً، ولا يَضمُّ إحداهما إلى الأخرى، وهذا كلّه واضح وقد اتضح لك بحمد اللّه تعالى </w:t>
      </w:r>
      <w:bookmarkStart w:id="455" w:name="pg10113_92136"/>
    </w:p>
    <w:p>
      <w:pPr>
        <w:pStyle w:val="BookText"/>
        <w:rPr/>
      </w:pPr>
      <w:bookmarkEnd w:id="455"/>
      <w:r>
        <w:rPr>
          <w:rFonts w:ascii="Amiri" w:hAnsi="Amiri" w:eastAsia="Amiri" w:cs="Amiri"/>
          <w:color w:val="111111"/>
          <w:sz w:val="28"/>
          <w:sz w:val="28"/>
          <w:szCs w:val="28"/>
          <w:rtl w:val="true"/>
          <w:lang w:bidi="ar-SA"/>
        </w:rPr>
        <w:t>ما بين المسألتينِ من الاختلاف، وما اشتملنا عليه من الأحكام المتعارضة على تقدير أخذهما مطلقتين، ولم أظفَر إلى الآنَ لأحدٍ من الأصحاب بكلام في مصنَّفٍ ولا تعليقٍ يقتضي البحثَ عن ذلك، ولا الإشارة إلى ما يوجب الغُبار على شيءٍ منهما، بل كأنّهما مُتُلَقّاتان بالقبول مَعدُودَتان فى مسائل السفر من مسائل الأُصول</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375491_1067777946"/>
      <w:bookmarkStart w:id="457" w:name="_Toc154"/>
      <w:bookmarkEnd w:id="456"/>
      <w:r>
        <w:rPr>
          <w:rtl w:val="true"/>
        </w:rPr>
        <w:t>تقرير المؤلّف للمسألتين</w:t>
      </w:r>
      <w:bookmarkEnd w:id="457"/>
    </w:p>
    <w:p>
      <w:pPr>
        <w:pStyle w:val="BookText"/>
        <w:rPr/>
      </w:pPr>
      <w:r>
        <w:rPr>
          <w:rFonts w:ascii="Amiri" w:hAnsi="Amiri" w:eastAsia="Amiri" w:cs="Amiri"/>
          <w:color w:val="111111"/>
          <w:sz w:val="28"/>
          <w:sz w:val="28"/>
          <w:szCs w:val="28"/>
          <w:rtl w:val="true"/>
          <w:lang w:bidi="ar-SA"/>
        </w:rPr>
        <w:t>نَعَم وقفتُ لبعض المتأخّرين</w:t>
      </w:r>
      <w:r>
        <w:rPr>
          <w:rStyle w:val="FootnoteAnchor"/>
          <w:rtl w:val="true"/>
        </w:rPr>
        <w:footnoteReference w:id="807"/>
      </w:r>
      <w:r>
        <w:rPr>
          <w:rFonts w:ascii="Amiri" w:hAnsi="Amiri" w:eastAsia="Amiri" w:cs="Amiri"/>
          <w:color w:val="111111"/>
          <w:sz w:val="28"/>
          <w:sz w:val="28"/>
          <w:szCs w:val="28"/>
          <w:rtl w:val="true"/>
          <w:lang w:bidi="ar-SA"/>
        </w:rPr>
        <w:t>على تنبيهٍ يسير عند وقوفه على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خرج ناوي الإقامة إلى ما دون المسافة عازماً على العود من دون الإقامة المتجدّدة، أو على المفارقة، إنّه يعود إلى القصر على اختلاف في ابتدائه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يُنافي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ناوى المُقام عشراً إذا صلّى تماماً لا يعود إلى القصر إلا بالخروج إلى 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 عن التناقض بحمل المسألة المعتَرَض عليها بالخروج من موضع الإقامة إلى ما دون المسافة قبل الصلاة تماماً؛ ليتمّ القولان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مَحمِلٌ فاسدٌ قد عرفت فساده ممّا تقدّم؛ فإنّ الخارج قبل الصلاة تماماً لا يتوقّف رجوعه إلى القصر على الخروج، ولا يجري فيه الخلاف بالعود إلى القصر بتجاوز حدود البلد وهو موضع خَفاء الأذان والجُدْران، أو بمجرّد المفارقة؛ فإنّ الرجوع عن النيّة قبل الصلاة توجب العود إلى القصر وإن لم يخرج، بل وإنْ بقي في البلد شهراً،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لا يستقيم على هذا التأويل قولُ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يعود إلى القصر في بعض أقسام المسألة بالرجوع من المقصد الذي هو دون المسافة لا بالذهاب؛ فإنّ ذلك كلّه لا يتم إلّا مع الخروج بعد الصلاة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فلابدّ من فرض المسألة بجميع أقسامها في كون الخروج بعد الصلاة تماماً، أو ما في حكمها وإن أطلقه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الكلام بعد ذلك في المسألة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الآن نشرع في تحقيق ما تحصل لنا في المسألتين، وتحرير ما يوجب </w:t>
      </w:r>
    </w:p>
    <w:p>
      <w:pPr>
        <w:pStyle w:val="BookText"/>
        <w:rPr/>
      </w:pPr>
      <w:r>
        <w:rPr>
          <w:rFonts w:ascii="Amiri" w:hAnsi="Amiri" w:eastAsia="Amiri" w:cs="Amiri"/>
          <w:color w:val="111111"/>
          <w:sz w:val="28"/>
          <w:sz w:val="28"/>
          <w:szCs w:val="28"/>
          <w:rtl w:val="true"/>
          <w:lang w:bidi="ar-SA"/>
        </w:rPr>
        <w:t>الاعتماد عليه في أقسامهما ولنقدّم الكلام في بيان أصل المسألتين؛ ليصير الناظر فيهما على بصيرة، إذا وجد في إحداهما تقييداً لمطلقٍ، أو تخصيصاً لعامٍّ، فإنّ أصليهما ليسا متساويين في القوة حتّى يحصل التوقّف في ترجيح إحداهما على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المسألة الأُولى فقد ذكرها الأصحاب في كتبهم المختصرة والمطوّلة واتّفقوا على العمل بمضمونها، ومستندُها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الاتّفاق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التهذيب بإسناده إلى أبي ولّاد الحنّاط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المشدّدة بعد 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نَوَيْتُ حين دخلت المدينة أنْ أُقيمَ بها عَشَرَةَ أيّام فأُتِمَّ الصلاة، ثم بدا لي بعد أنْ أُقيم بها، فما ترى أُتِمَّ أم أقصِّر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دخلت المدينة فصليت بها صلاة فريضةٍ واحدةٍ بتمام فليس لك أن تقصِّر حتّى تخرج منها، وإنْ كنت حين دخلتها على نيّتك التمام فلم تُصَلِّ فيها صلاةَ فريضةٍ واحدةٍ بتمامٍ حتّى بدا لك أن لا تقيم فأنْت في تلك الحال بالخيار إنْ شئت فَانْوِ المُقامَ عَشراً وأتِمَّ، وإنْ لم تَنوِ المُقام فقصِّرْ ما بينك وبين شهر، فإذا مضى لك شهرٌ فأتِمَّ الصلاة</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الرواية قد دلّت على أنّ الرجوع قبل الصلاةِ موجب للعود إلى القصر وإن بقي في البلد شهراً، وإن كان الرجوع بعد الصلاة لو تؤثِّر نيّةُ الرجوع في العود إلى القصر وبقي على التمام إلى أن يخرج والمراد به إلى المسافة، كما مرّ، وكما يدلّ عليه حال السائل والبلد</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والفتوى شاملة لما لو كان في نيته بعد الخروج مفارقة ذلك البلد أبداً، أو العود إليه من غير إقامة العشرة، أو مع الشك في العود، أو في الإقامة، أو غير ذلك </w:t>
      </w:r>
    </w:p>
    <w:p>
      <w:pPr>
        <w:pStyle w:val="BookText"/>
        <w:rPr/>
      </w:pPr>
      <w:r>
        <w:rPr>
          <w:rFonts w:ascii="Amiri" w:hAnsi="Amiri" w:eastAsia="Amiri" w:cs="Amiri"/>
          <w:color w:val="111111"/>
          <w:sz w:val="28"/>
          <w:sz w:val="28"/>
          <w:szCs w:val="28"/>
          <w:rtl w:val="true"/>
          <w:lang w:bidi="ar-SA"/>
        </w:rPr>
        <w:t>من محتملات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تقرّر في الأُصول أنّ ترك الاستفصال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مُحتمَلات السؤال الباحث عن حكاية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عموم الحكم بحسب ما اقتضاه إطلاق المقال</w:t>
      </w:r>
      <w:r>
        <w:rPr>
          <w:rStyle w:val="FootnoteAnchor"/>
          <w:rtl w:val="true"/>
        </w:rPr>
        <w:footnoteReference w:id="809"/>
      </w:r>
      <w:r>
        <w:rPr>
          <w:rFonts w:ascii="Amiri" w:hAnsi="Amiri" w:eastAsia="Amiri" w:cs="Amiri"/>
          <w:color w:val="111111"/>
          <w:sz w:val="28"/>
          <w:sz w:val="28"/>
          <w:szCs w:val="28"/>
          <w:rtl w:val="true"/>
          <w:lang w:bidi="ar-SA"/>
        </w:rPr>
        <w:t>، فإن اشْتُرِطَ في الخروج قصد المسافة لزم من ذلك البقاء على التمام إلى أن يقصِدها، سواءٌ عَزَمَ على العود إلى موضع الإقامة وتجديدها أم لا، وإنْ لم يشترط المسافة لزم العَود إلى القصر بالخروج، سواءٌ عزم على العَود أيضاً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يتخرّج من ذلك على الوجهين ما لو عزم على العود وإقامة عشرةٍ مستأنَفَةٍ؛ فإنّه يتمّ مطلقاً بخروجه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بلدٍ فرضُه فيه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دون المسافة ثمّ عوده إلى ما يجب فيه التمام، لسبق نيّة إقامة العشرة فيه، فلا وجه للقصر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يجيء على احتمال التلفيق في الذَهاب والإياب اشتراط قصور منتهى الخروج بعد نيّة الإقامة عن نصف مسافةٍ؛ حذراً من اجتماع مسافةٍ من الذَهاب والعَود، إلّا أنّ هذا خیال فاسدٌ لا اعتبار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المسألة الثانية فلم نجد عليها نصّاً على الخصوص، ولا ادّعاء مدّعٍ من الأصحاب الذين تعرّضوا لبيان مستند المسائل، وإنّما ذكر أصلها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المبسوط في فرض مخصوص على سبيل التفريع على 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هي عادته في الكتاب، كما أشار إليه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يُفَرّعُ على المنصوص لتكثير المسائل الشرعيّة؛ لتنبيه المخالفين على أنّ إبطالنا القياس لا يوجب قِلّةَ فروعنا ونَزارةَ فقهائنا بزعمهم، كما بَيَّنَه في أوّل الكتاب </w:t>
      </w:r>
      <w:r>
        <w:rPr>
          <w:rStyle w:val="FootnoteAnchor"/>
          <w:rtl w:val="true"/>
        </w:rPr>
        <w:footnoteReference w:id="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ما هذا لفظه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خرج حاجّاً إلى مكّة وبينه وبينها مسافةٌ يقصّر فيها الصلاة، ونوى أنْ يقيمَ عشراً قصر في الطريق، فإذا وصل إليها أتم، وإن خرج إلى عرفة يريد قضاءَ نُسُكِهِ لا يريد مُقام عَشَرَة أيّام إذا رجع إلى مكّة كان له القصر؛ لأنه نَقَضَ مُقامه بسفرٍ </w:t>
      </w:r>
    </w:p>
    <w:p>
      <w:pPr>
        <w:pStyle w:val="BookText"/>
        <w:rPr/>
      </w:pPr>
      <w:r>
        <w:rPr>
          <w:rFonts w:ascii="Amiri" w:hAnsi="Amiri" w:eastAsia="Amiri" w:cs="Amiri"/>
          <w:color w:val="111111"/>
          <w:sz w:val="28"/>
          <w:sz w:val="28"/>
          <w:szCs w:val="28"/>
          <w:rtl w:val="true"/>
          <w:lang w:bidi="ar-SA"/>
        </w:rPr>
        <w:t>بينه وبين بلده يقصر في مثله، وإن كان يريد إذا قضى نُسُكَهُ مُقام عَشَرة أيّام بمكّةَ أتمّ بمنىً وعرفة ومكّةَ حتّى يخرج من مكّة مسافراً فيقصّر</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عبارته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يظهر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ذكره الأصحاب في هذه المسألة؛ لما بيّنّاه من عدم نصٍّ خاصٍّ عليها، وعدم سبق كتاب للأصحاب في التفريع على النصوص قبل المبسوط، ومن ثمَّ لم يذكرها الشيخ في النهاية، ولا في غيرها من كتب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تَبِعَهُ المتأخّرون على ذلك وإن عمّموا العبارة من غير تخصيص بمكّة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شرّفها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وخالفه بعضُهم في الحكم بالقصر في الذهاب إلى عرفَةَ علی تقدير عدم عزم الإقامة في العود، كما تقدّم </w:t>
      </w: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مختصرَيه</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ونقّحوا المسألة بما حَكَيْناه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الذكرى ذكرها منسوبةً إلى الشيخ بلفظ المبسوط الذي ذكرناه، وذكر اتّباعَ المتأخّرين له على ذلك، ولم يُرَجّحْ فيها شيئاً، ولا تَعَرَّضَ للحكم بنفي ولا إثبات</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دلالةٌ على التمريض، وإيماءٌ إلى عدم النصّ في المسألةِ؛ لأنّه في الكتاب لا يُخلّي المسألة من دليل نقلي مع إمكانه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إذا تأملت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سليماً عن كثيرٍ ممّا أوردناه على عبارة المتأخّرين؛ فإنّ مقصده بعد مُفارقَة موضعِ الإقامة زائدٌ على المسافة التي بين بلده وموضع الإقامة، ومقابلٌ له في الجهة، فسقط الإيراد بأن الخروج قد يكون نحو البلد، والرجوع إلى موضع الإقامة يكون بصورة الذهاب من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يتم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يقصِّر في الرجوع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يسقط ما ورد من أن الرجوع إلى بلد الإقامة قد </w:t>
      </w:r>
    </w:p>
    <w:p>
      <w:pPr>
        <w:pStyle w:val="BookText"/>
        <w:rPr/>
      </w:pPr>
      <w:r>
        <w:rPr>
          <w:rFonts w:ascii="Amiri" w:hAnsi="Amiri" w:eastAsia="Amiri" w:cs="Amiri"/>
          <w:color w:val="111111"/>
          <w:sz w:val="28"/>
          <w:sz w:val="28"/>
          <w:szCs w:val="28"/>
          <w:rtl w:val="true"/>
          <w:lang w:bidi="ar-SA"/>
        </w:rPr>
        <w:t xml:space="preserve">لا يكون بنيّةِ الرجوع وإنْ كان إلى جهة بلده؛ فإنّ عرفة لا يتعلّق بها للحاجّ الغريب غرضُ بغير النُسُك، وهي منتهى السفر، فإذا عاد فيها إلى مكّة فقد حصل ابتداء الرجوع إلى بلده وإن حصل له في مكّة إقامةٌ؛ اللّهم إلّا أن يكون طريق بلده يمرّ على عرفةَ بغير فصل فينتفي الإيراد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ما ذكره مبنيٌّ على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الإيرادات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يبقى فيه حكمه بالقصر عند خروجه إلى عرفة مع عدم نيّة الإقامة الجديدة في مكّةَ؛ فإنّ مختار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من اختصاص القصر بالرجوع أوضحُ؛ لعدم المسافة بين عرفةَ ومكّةَ، وانقطاع ما تقدّم منها بنيّة الإقامة والصلاة تماماً وما زاد على الكلام على الذهاب مُنْصَبٌّ على عبارة المتأخّرين؛ لسلامة مثال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إلّا على الوجه النادر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عرفت أنّ المسألة الأولى منصوصةٌ بنصٍّ صحيحٍ واضحٍ متلقّى بالقبول مُتَفَقٍ على ما تضمّنه من الحكم، وكانت الثانية ليست بهذه المثابة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هي تفاريعُ وأقسامٌ استخرجها المجتهدون بأنظارهم، وكلُّ وصل منها على حسب ما آتاه اللّه، واختار فيها ما فتح اللّه عليه حتّى أنّ الواحد منهم اضطربت فتواه في بعض أقسامها، كما ستقف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للنظر في أقسامها وللبحث في تفصيلها مجالٌ، والجمع بينها وبين الأُولى بتقييد مطلقها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فلنشرع الآن في ذكر أقسامها حسب ما قرّروه، ونذكر في كلّ واحدٍ منها ملخّص ما اختاروه، ثمّ نذكر ما عندنا فيه حَسَبَ ما تقدّم بحثه فنقول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خرج ناوي المُقام عَشَرةً إلى ما دون المسافة بعد أن صلّى تماماً فلا يخلو إمّا أنْ يَعْزِمَ على العَود والإقامة عشرةً أُخرى مستأنفةً، أو على المُقام دونها، أو على العَود من غير إقامةٍ، أو على المفارقةِ من غير عَودٍ، أو يتردّدَ في الإقامة وعديها، أو في العَود وعدمِه، أو يخرج ذاهلاً عن جميع ذلك، فالصور سبعٌ</w:t>
      </w:r>
      <w:r>
        <w:rPr>
          <w:rFonts w:eastAsia="Amiri" w:cs="Amiri" w:ascii="Amiri" w:hAnsi="Amiri"/>
          <w:color w:val="111111"/>
          <w:sz w:val="28"/>
          <w:szCs w:val="28"/>
          <w:rtl w:val="true"/>
          <w:lang w:bidi="ar-SA"/>
        </w:rPr>
        <w:t xml:space="preserve">: </w:t>
      </w:r>
      <w:bookmarkStart w:id="458" w:name="pg10113_92141"/>
    </w:p>
    <w:p>
      <w:pPr>
        <w:pStyle w:val="Heading4"/>
        <w:numPr>
          <w:ilvl w:val="3"/>
          <w:numId w:val="1"/>
        </w:numPr>
        <w:rPr/>
      </w:pPr>
      <w:bookmarkStart w:id="459" w:name="__RefHeading___Toc375493_1067777946"/>
      <w:bookmarkStart w:id="460" w:name="_Toc155"/>
      <w:bookmarkEnd w:id="458"/>
      <w:bookmarkEnd w:id="459"/>
      <w:r>
        <w:rPr>
          <w:rtl w:val="true"/>
        </w:rPr>
        <w:t>صور المسألة سبع صور</w:t>
      </w:r>
      <w:bookmarkEnd w:id="4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يَعْزِمَ على العَود وتجديد إقامةِ عشرةٍ مستأنَفَةٍ، وقد حكم الأصحاب</w:t>
      </w:r>
      <w:r>
        <w:rPr>
          <w:rStyle w:val="FootnoteAnchor"/>
          <w:rtl w:val="true"/>
        </w:rPr>
        <w:footnoteReference w:id="815"/>
      </w:r>
      <w:r>
        <w:rPr>
          <w:rFonts w:ascii="Amiri" w:hAnsi="Amiri" w:eastAsia="Amiri" w:cs="Amiri"/>
          <w:color w:val="111111"/>
          <w:sz w:val="28"/>
          <w:sz w:val="28"/>
          <w:szCs w:val="28"/>
          <w:rtl w:val="true"/>
          <w:lang w:bidi="ar-SA"/>
        </w:rPr>
        <w:t>هنا بأنه يتِمُّ ذاهباً وفي مقصده وعائداً؛ ووجهه أنّه خرج من موضعٍ يلزمه فيه الإتمام بسبب نيّة الإقامة إلى موضع يلزمه فيه الإتمام؛ لكونه دون المسافة، ثمّ العود إلى موضع يلزمه فيه الإتمام بسبب تقدّم نيّة الإقامة فيه بعد الرجوع إليه، فلا موجب للتقصير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من حكم عليه بالتقصير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الخروج لو لم ينو إقامةَ العشرةِ في 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الخروج إلى نصف مسافةٍ فما زاد؛ فإنّه حينئذٍ يجتمع من الذَهاب والعَود إلى موضع الإقامة مسافةٌ، فيلزمُهم القصر هنا وإن لم يعترفوا به؛ لأنّ مذهبهم ذاك يستلزم ضمَّ الذَهاب إلى العَود؛ وحيث كان ذلك ضعيفاً بل لا وجه له أصلاً ثبت ما حكموا به هنا من التمام والفرق بين الذَهاب المنضمِّ إلى 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بتحقّق المسافة بمجرّد 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غيره لا دليل عليه كما مرّ، ومسألتهم أعمُّ منهما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على تخصيصهم إقامة العشرة بموضع الإقامةِ أوّلاً، إيهامُ اختصاص الحكم به، وليس كذلك بل لا فرق بين كون نيّة الإقامة في تلك البلدة أو غيرها ممّا يقصُرُ عن المسافة؛ لما قد عرفته من التعليل، وكلام الشيخ سالم عن ذلك؛ لأنّه فَرَضَ المسألة في مثالٍ خاص يتفقُ وقوعه كثيراً للحاج فيمكن استخراج غيره منه، وأمّا الأصحاب فإنّهم ذكروه على وجه الضابط فهو محلُّ الوهمِ ومَطْرَحُ الفهم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يَعْزِمَ على العَودِ والمُقام دون عَشَرَةٍ مستأنفةٍ بل إمّا مع إكمال الأُولى أو لا معه، وقد تقدّم</w:t>
      </w:r>
      <w:r>
        <w:rPr>
          <w:rStyle w:val="FootnoteAnchor"/>
          <w:rtl w:val="true"/>
        </w:rPr>
        <w:footnoteReference w:id="816"/>
      </w:r>
      <w:r>
        <w:rPr>
          <w:rFonts w:ascii="Amiri" w:hAnsi="Amiri" w:eastAsia="Amiri" w:cs="Amiri"/>
          <w:color w:val="111111"/>
          <w:sz w:val="28"/>
          <w:sz w:val="28"/>
          <w:szCs w:val="28"/>
          <w:rtl w:val="true"/>
          <w:lang w:bidi="ar-SA"/>
        </w:rPr>
        <w:t xml:space="preserve">أنّ الشيخ والفاضل وجماعةٌ حكموا بالقصر في الذَهاب والإياب؛ لنقضه المُقام بالمُفارقة فيعود إلى حكم السفر، والقول بالقصر هنا في الذهاب </w:t>
      </w:r>
    </w:p>
    <w:p>
      <w:pPr>
        <w:pStyle w:val="BookText"/>
        <w:rPr/>
      </w:pPr>
      <w:r>
        <w:rPr>
          <w:rFonts w:ascii="Amiri" w:hAnsi="Amiri" w:eastAsia="Amiri" w:cs="Amiri"/>
          <w:color w:val="111111"/>
          <w:sz w:val="28"/>
          <w:sz w:val="28"/>
          <w:szCs w:val="28"/>
          <w:rtl w:val="true"/>
          <w:lang w:bidi="ar-SA"/>
        </w:rPr>
        <w:t>غير واضحٍ؛ لفرض كونه إلى ما دون المسافة بل يتمّ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الشهيد</w:t>
      </w:r>
      <w:r>
        <w:rPr>
          <w:rStyle w:val="FootnoteAnchor"/>
          <w:rtl w:val="true"/>
        </w:rPr>
        <w:footnoteReference w:id="8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إلى القصر في العَود خاصةً</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في توجيهه أنّ الرجوع يستلزم قصدَ المسافة في الجملة؛ لأنّه قاصدٌ بلده ولو بعد إقامة أيّام</w:t>
      </w:r>
      <w:r>
        <w:rPr>
          <w:rStyle w:val="FootnoteAnchor"/>
          <w:rtl w:val="true"/>
        </w:rPr>
        <w:footnoteReference w:id="819"/>
      </w:r>
      <w:r>
        <w:rPr>
          <w:rFonts w:ascii="Amiri" w:hAnsi="Amiri" w:eastAsia="Amiri" w:cs="Amiri"/>
          <w:color w:val="111111"/>
          <w:sz w:val="28"/>
          <w:sz w:val="28"/>
          <w:szCs w:val="28"/>
          <w:rtl w:val="true"/>
          <w:lang w:bidi="ar-SA"/>
        </w:rPr>
        <w:t>، وهذا يتمّ مع كون المحلِّ الذي خرج إليه مقابلاً لجهة بلده أو مخالفاً لها بحيث يكون منتهى السفر، كما مثله الشيخ في عرفة ومكّة؛ فإنّ العود من عرفة يقتضي الرجوع إلى بلد الحاجِّ في الجملة؛ لأنّها غاية السفر بالنسبة إلى بلد المسافر غالباً، ولا يتم فيما لو كان الخروج من موضع المُقام إلى جهة بلده، فإنّ العود حينئذٍ إلى موضع الإقامة لا يُعدّ رجوعاً إلى البلد فلا يتمُّ قصد المسافة من هذه الجهة بل اللازم هنا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يتمّ ذاهباً قطعاً؛ لأنّ المفروض كون السفر إلى ما دون المسافة، ثمّ ينظر في العود، فإن كان إلى موضع الإقامة لا غير، إمّا مع عزم عدم التجاوز إلى تمام المسافة بالنسبة إلى مبدإ العَود، أو مع الذهول عن الزيادة عن محلِّ الإقامة، أو مع التردّد فيها، وهذا فرضُه التمام في العود أيضاً كما في المسألة الأولى؛ لعدم تحقّق قصد المسافة الذي هو شرط القصر ولم يصدق العود إلى البلد، بل صَدَقَ ضده، وهو زيادة البعد عنه في العود من المقصد إلى موضع الإقامة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عزمه على الزيادة على موضع الإقامة بحيث يُكْمِلُ المسافة من مبدإ رجوعه إلى موضع الإقامة إلى منتهى المقصد فإنّه يقصِّر في الرجوع كما ذكروه، لصدق قصد المسافة وإن كان في نيّته الإقامة في أثنائها؛ لأنّ المفروض كون الإقامةِ دون عَشَرة أيّام، فلا يقطع السفر، وكذا لا يَتِمُّ فيما لو كان عَوده في موضع الإقامة بغير نيّة العَود إلى البلد؛ فإنّ هذا العود لا يصدق عليه اسم الرجوع إلى </w:t>
      </w:r>
    </w:p>
    <w:p>
      <w:pPr>
        <w:pStyle w:val="BookText"/>
        <w:rPr/>
      </w:pPr>
      <w:r>
        <w:rPr>
          <w:rFonts w:ascii="Amiri" w:hAnsi="Amiri" w:eastAsia="Amiri" w:cs="Amiri"/>
          <w:color w:val="111111"/>
          <w:sz w:val="28"/>
          <w:sz w:val="28"/>
          <w:szCs w:val="28"/>
          <w:rtl w:val="true"/>
          <w:lang w:bidi="ar-SA"/>
        </w:rPr>
        <w:t>البلد بحيث يَلْحَقُه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تحقيقه</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ذكرتم من التقييد وإن كان متوجّهاً إلّا أّنه لا يجوز العمل به؛ لعدم العلم بقائلٍ به من الأصحاب، بل أقوالهم في هذا القسم منحصرةٌ في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في العَود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فالتفصيل بالتمام في بعض أقسام العَود دون بعض يوجب إحداثَ قولٍ ثالثٍ رافعٍ لِما وقع عليه الإجماع المركّب من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عدم القائل به بل المدّعى أنّ القائل به أكثرُ من القائل بأحد القولَين؛ وذلك لما تَقَرَّرَ من أنهم قد أسلفونا قاعدةً كلّيّةً هي أنّ كلّ مَن نَوى إقامة عَشَرةِ أيّامٍ في موضعٍ وصلّى فيه تماماً ثمّ بدا له في الإقامة، فإنّه يبقى على التمام إلى أنْ يقصِد مسافةً جديدةً </w:t>
      </w:r>
      <w:r>
        <w:rPr>
          <w:rStyle w:val="FootnoteAnchor"/>
          <w:rtl w:val="true"/>
        </w:rPr>
        <w:footnoteReference w:id="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ذكرناه هنا من أفراد هذه القاعدة وإنْ كان ظاهرهم أنها مسألةٌ برأسها، فالمخالف هنا موافقٌ لنا في المعنى، فضلاً عمّن تعرّض من الأصحاب لبحث المسألة الأُولى دون الثانية وتفاريعها، وهم جماعةٌ من المتقدّمين والمتأخّرين </w:t>
      </w:r>
      <w:r>
        <w:rPr>
          <w:rStyle w:val="FootnoteAnchor"/>
          <w:rtl w:val="true"/>
        </w:rPr>
        <w:footnoteReference w:id="822"/>
      </w:r>
      <w:r>
        <w:rPr>
          <w:rFonts w:ascii="Amiri" w:hAnsi="Amiri" w:eastAsia="Amiri" w:cs="Amiri"/>
          <w:color w:val="111111"/>
          <w:sz w:val="28"/>
          <w:sz w:val="28"/>
          <w:szCs w:val="28"/>
          <w:rtl w:val="true"/>
          <w:lang w:bidi="ar-SA"/>
        </w:rPr>
        <w:t>الذين وقفتُ على كلامهم مع قلّة وقوفي على كلام السابقين؛ لخفاء مصنّفاتهم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كافٍ لنا وزيادة، مع أنا قد أسلفنا ما فيه من النصّ والاعتبار الموجَبينِ لردّ ما خرج عنهما إليهما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يَعْزِمَ على العود إلى موضع الإقامة من غير إقامةٍ جديدةٍ، وفيه القولان المذكوران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عليهما ما أوردناه حجّةً وجواباً والحكم فيهما واحدٌ</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حكمه في هذا القسم فذهب في الدروس إلى القصر في العود</w:t>
      </w:r>
      <w:r>
        <w:rPr>
          <w:rStyle w:val="FootnoteAnchor"/>
          <w:rtl w:val="true"/>
        </w:rPr>
        <w:footnoteReference w:id="823"/>
      </w:r>
      <w:r>
        <w:rPr>
          <w:rFonts w:ascii="Amiri" w:hAnsi="Amiri" w:eastAsia="Amiri" w:cs="Amiri"/>
          <w:color w:val="111111"/>
          <w:sz w:val="28"/>
          <w:sz w:val="28"/>
          <w:szCs w:val="28"/>
          <w:rtl w:val="true"/>
          <w:lang w:bidi="ar-SA"/>
        </w:rPr>
        <w:t>، كما نقلناه عنه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في البيان بعوده إلى القصر بالخروج</w:t>
      </w:r>
      <w:r>
        <w:rPr>
          <w:rStyle w:val="FootnoteAnchor"/>
          <w:rtl w:val="true"/>
        </w:rPr>
        <w:footnoteReference w:id="82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كمذهب الشيخ والعلّامة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ومختاره في الدروس أوضح مقيّداً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في كلامه في الدروس بحثٌ آخرُ وهو أنّه قال في القسم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فيه وجهين أقربهما القصر إلّا في الذهاب</w:t>
      </w:r>
      <w:r>
        <w:rPr>
          <w:rFonts w:eastAsia="Amiri" w:cs="Amiri" w:ascii="Amiri" w:hAnsi="Amiri"/>
          <w:color w:val="111111"/>
          <w:sz w:val="28"/>
          <w:szCs w:val="28"/>
          <w:rtl w:val="true"/>
          <w:lang w:bidi="ar-SA"/>
        </w:rPr>
        <w:t>»</w:t>
      </w:r>
      <w:r>
        <w:rPr>
          <w:rStyle w:val="FootnoteAnchor"/>
          <w:rtl w:val="true"/>
        </w:rPr>
        <w:footnoteReference w:id="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انتهاء التمام بالوصول إلى المقصد الذي هو دون المسافة، وذلك يوجب القصر في المقصد وإنْ أقام أيّاماً؛ إذ لا يسمّى ذلك ذهاباً وحجّته التي قرّرناها إنّما تدلّ على العود إلى القصر بالرجوع لا غير، وأنّ حكم الإقامة في المقصد حكم الذهاب في عدم القصر، لعدم تحقّق قصد المسافة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الأقوال على ظاهر الدروس في المسألة ثلاثةً، إلّا أنّ هذا الثالث لا وجهَ له؛ ولعلّه اراد بالذهاب كلّ ما قبل العَود على وجه المجاز؛ لدلالة الحجّة عليه، وإنْ لم يكن بيَّنَها في الكتاب، فترجع المسألة حينئذٍ إلى القولَين الأوّليَنِ، وهذا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يُعلم أنّ هذه مسألةٌ اجتهاديّةٌ لم تتّفق فيها الأنظارُ، ولا حرجَ فيها على من تفطّن لوجه راجح في بعض مواردها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يَعزِمَ على مفارقة موضع الإقامة، وقد اختلف الأصحاب المتعرّضون لبحث هذه المسألة في مبدإ الأخذ في التقصير بعد اتّفاقهم عليه في الجملة ذاهباً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فذهب بعضهم</w:t>
      </w:r>
      <w:r>
        <w:rPr>
          <w:rStyle w:val="FootnoteAnchor"/>
          <w:rtl w:val="true"/>
        </w:rPr>
        <w:footnoteReference w:id="826"/>
      </w:r>
      <w:r>
        <w:rPr>
          <w:rFonts w:ascii="Amiri" w:hAnsi="Amiri" w:eastAsia="Amiri" w:cs="Amiri"/>
          <w:color w:val="111111"/>
          <w:sz w:val="28"/>
          <w:sz w:val="28"/>
          <w:szCs w:val="28"/>
          <w:rtl w:val="true"/>
          <w:lang w:bidi="ar-SA"/>
        </w:rPr>
        <w:t>إلى التقصير بمجرّد الخروج من البلد وإنْ لم يتجاوزِ الحدود؛ لصدق السفر عليه والضرب في الأرض واختصاص توقّفه على مجاوزة موضع سماع الأذان ورؤية الجدار بموضع الوفاق، وهو بلد المسافر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وأصحّهما عندهم توقف القصر على مجاوزة الحدود؛ لصيرورة موضع الإقامة بالنسبة إلى صلاة التمام في حكم بلده، ولتساوي جميع أقطار موضع الإقامة إذا كان بلداً في وجوب الإتمام، وداخل الحدود من جملة البلد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أشكلُ</w:t>
      </w:r>
      <w:r>
        <w:rPr>
          <w:rStyle w:val="FootnoteAnchor"/>
          <w:rtl w:val="true"/>
        </w:rPr>
        <w:footnoteReference w:id="827"/>
      </w:r>
      <w:r>
        <w:rPr>
          <w:rFonts w:ascii="Amiri" w:hAnsi="Amiri" w:eastAsia="Amiri" w:cs="Amiri"/>
          <w:color w:val="111111"/>
          <w:sz w:val="28"/>
          <w:sz w:val="28"/>
          <w:szCs w:val="28"/>
          <w:rtl w:val="true"/>
          <w:lang w:bidi="ar-SA"/>
        </w:rPr>
        <w:t>الصُوَرِ وكلام الفريقين فيها على إطلاقه غير واضحٍ؛ لأنّ الفرض كون الخروج إلى ما دون المسافة فلا وجهَ للقصر؛ إذ لم يقصد المسافة بعدُ، اللّهمّ إلّا أنْ يكون مقصدُه الذي خرج إليه على طريق بلده، أو إلى جهته بحيث يصدق عليه الرجوع عرفاً، فيتوجّه ما قالوه على إشكالٍ فيه، وإن كان بعيداً عمّا أطلَقُوه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الإشكال ما قد عرفت من أنّ الرجوعَ لا يتحقّق إلّا بالقصد؛ فإنّ من الممكن أن يقصد الرجوع إلى بعض المسافة نحو بلده، مع عدم قصد الوصول إليها بل مع قصد عدم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الخروج إلى جهةٍ تُخالِفُ البلد والفرض كونه دون المسافة فحكمه التمام إلى أنْ يقصد المسافة ولو بالرجوع، كما تحقّق في المسألة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الأصحاب هنا الاتّفاق على القصر وإن اختلفوا في مبدئه فيكون القول بالتمام على بعض الوجوه غير جائز؛ لعدم تحقّق القائل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داخل فى القاعدة الأولى، فالقائل هناك قائل هنا؛ لأنهم أعطونا القانون الكلّيَّ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يَعزِمَ على العود إلى موضع الإقامة ويتردّد في إقامة العشرة وعدمها، وقد حكى بعضُ الأصحاب</w:t>
      </w:r>
      <w:r>
        <w:rPr>
          <w:rStyle w:val="FootnoteAnchor"/>
          <w:rtl w:val="true"/>
        </w:rPr>
        <w:footnoteReference w:id="828"/>
      </w:r>
      <w:r>
        <w:rPr>
          <w:rFonts w:ascii="Amiri" w:hAnsi="Amiri" w:eastAsia="Amiri" w:cs="Amiri"/>
          <w:color w:val="111111"/>
          <w:sz w:val="28"/>
          <w:sz w:val="28"/>
          <w:szCs w:val="28"/>
          <w:rtl w:val="true"/>
          <w:lang w:bidi="ar-SA"/>
        </w:rPr>
        <w:t>فيه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الإتمام مطلقاً لانتفاء المقتضي للقصر، وهو عزم المسافة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حكمه حكم العازم على العود الجازم بعدم الإقامة في مجيء الوجهَين السابقين، وما ذكرناه نحن في تلك المسألة آت هنا؛ فإنّ العود إلى الموضع المذكور إنْ كان مستلزماً للعود إلى بلده فالقصر في الرجوع واضح، وإن كان مخالفاً للرجوع إلى البلد فالمتجه البقاء على التمام إلى أن يتحقّق قصد المسافة، فمقتضى ما ذكروه في هذه </w:t>
      </w:r>
      <w:bookmarkStart w:id="461" w:name="pg10113_92146"/>
    </w:p>
    <w:p>
      <w:pPr>
        <w:pStyle w:val="BookText"/>
        <w:rPr/>
      </w:pPr>
      <w:bookmarkEnd w:id="461"/>
      <w:r>
        <w:rPr>
          <w:rFonts w:ascii="Amiri" w:hAnsi="Amiri" w:eastAsia="Amiri" w:cs="Amiri"/>
          <w:color w:val="111111"/>
          <w:sz w:val="28"/>
          <w:sz w:val="28"/>
          <w:szCs w:val="28"/>
          <w:rtl w:val="true"/>
          <w:lang w:bidi="ar-SA"/>
        </w:rPr>
        <w:t>الصورة ثلاثةُ أوجُهِ، وعلى ما ذكرناه تصير ير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بين ذكر وجه التمام مطلقاً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ذكره في الجازم بعد العود بعدم الإقامة؛ فإنّ التردّد ومجرّد احتمال الإقامة لا يوجب التمام من دون قصد إقامة العشرة، فينبغي أن تكون في المسألة السابقة أيضاً ثلاثة أوجهٍ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يتردّد في العود إلى موضع الإقامة،وعدمه، وذكروا هنا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كالثالثة؛ لأنّ حكم القصر موقوف على الجزم بالمفارقة ولم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أصحهما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كالرابعة؛ لأنّ المقتضي للإتمام في الذهاب هو العزم على العود ولم يحصل فهو مسافر ويجب تقييده بما قررناه في السابق </w:t>
      </w:r>
      <w:r>
        <w:rPr>
          <w:rStyle w:val="FootnoteAnchor"/>
          <w:rtl w:val="true"/>
        </w:rPr>
        <w:footnoteReference w:id="829"/>
      </w:r>
      <w:r>
        <w:rPr>
          <w:rFonts w:ascii="Amiri" w:hAnsi="Amiri" w:eastAsia="Amiri" w:cs="Amiri"/>
          <w:color w:val="111111"/>
          <w:sz w:val="28"/>
          <w:sz w:val="28"/>
          <w:szCs w:val="28"/>
          <w:rtl w:val="true"/>
          <w:lang w:bidi="ar-SA"/>
        </w:rPr>
        <w:t>إذ ليس مطلق الخروج على هذا الوجه سفراً يوجب القصر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يَذْهَلَ عن قصد العود والإقامة وعدمهما، وهي كالخامسة، إلّا أن يكون الذهول لاحقاً لِعزْم العود أو الإقامة أو غيرهما، فالمعتبر العزمُ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جملةُ ما حصر من صُوَرِ المسألة، وما حصل من تقييدها على وجه يحصل به الجمع بينها، وبين المسألة الأُولى التى هى الأصل وعليها الاعتماد، وقد عُلم أنّ صُوَرها غيرُ خالية من إجمال، محتاجة إلى تحقيق الحال، فعليك بالتأمّل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جَمَعَنا اللّه وإيّاك على الرشاد، وسَلَك بنا جادّة السداد، بمنّه وكرمه</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375495_1067777946"/>
      <w:bookmarkStart w:id="463" w:name="_Toc156"/>
      <w:bookmarkEnd w:id="462"/>
      <w:r>
        <w:rPr>
          <w:rtl w:val="true"/>
        </w:rPr>
        <w:t>اثنا عشر تنبيهاً للمؤلّف</w:t>
      </w:r>
      <w:bookmarkEnd w:id="463"/>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الخروج من موضع الإقامة بعد الصلاة تماماً بين كونه بعد إقامة العشرة أو في أثنائها؛ لاشتراك الجميع في العلّة؛ فإنّ نيّة إقامة العشرة والصلاة تُصَيِّرُ بلد </w:t>
      </w:r>
    </w:p>
    <w:p>
      <w:pPr>
        <w:pStyle w:val="BookText"/>
        <w:rPr/>
      </w:pPr>
      <w:r>
        <w:rPr>
          <w:rFonts w:ascii="Amiri" w:hAnsi="Amiri" w:eastAsia="Amiri" w:cs="Amiri"/>
          <w:color w:val="111111"/>
          <w:sz w:val="28"/>
          <w:sz w:val="28"/>
          <w:szCs w:val="28"/>
          <w:rtl w:val="true"/>
          <w:lang w:bidi="ar-SA"/>
        </w:rPr>
        <w:t>الإقامة في حكم بلد المسافر في هذه الأحكام، فتشترك ما قبل إكمال العشرة وبعدها في ذلك، ومِن ثَمَّ أطلق الأصحابُ والنص الحكم في ناوي المُقام بعد الصلاة على التمام، من غير تعرّض للفرق بين كون الخروج بعد العشرة أو قبل إكمالها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مع نيّة إقامة عَشَرةٍ مستأنفة بعد الخروج إلى ما دون المسافة بين كون إقامتها في بلد الإقامة الأولى، أو البلد الخارج إليه الذي هو المقصد، أو غيرهما من المواضع التي هي دون المسافة؛ لاشتراك الجميع في المعنى المقتضي للبقاء على التمام وهو خروجُ مَنْ فرضُه التمامُ إلى سفرِ حكمه التمام، والانتهاء بعده إلى موضعٍ سَبَقَهُ نيّة الإقامة فيه الموجبة للتمام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نيّته إقامة العَشَرَة المستأنفة في أحد المواضع المذكورة، لكن بعد التردّد إلى موضع نيّة الإقامة الأولى والثانية وغيرهما مما يساويهما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دون المسافة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أو مراراً، ففرضه في جميع هذه التردّدات التمامُ ذَهاباً وعوداً وفي المقصد المتردَّد منه وإليه؛ لاشتراك الجميع في المقتضي للإتمام، وهو خروجه من محلّ يُتِمُّ فيه إلى ما دون المسافة، وعزمه على إقامة العشرة بعد العود، أو بعد الفراغ من السفر القاصر عن المسافة، فلا وجه للقصر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وتعدّدُ مرّاتِ التردّد لا يقدح في ذلك؛ إذ لا يصير بذلك مسافراً بذلك مسافراً من دون قصد المسافة، وهو منتفٍ بقصد الإقامة قبله على ما ذكره الجماعة، ولعدم تحقّق قصد المسافة وإن لم ينو الإقامة بعدها على ما بيناه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لا فرق مع خروجه من موضع الإقامة ومجاوزة حدوده، بين رجوعه إلى موضع النيّة ليومه أو بعده في انقطاع حكم النيّة السابقة، والاحتياج إلى نيّة مُقامِ عَشَرَةٍ مستأنفةٍ عند الجماعة وعدم تأثير هذا الخروج إلّا مع اقترانه بقصد المسافة ولو بالرجوع، على ما حقّقناه</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وما يوجد في بعض القيود من أنّ الخروج إلى خارج الحدود مع العَود إلى موضع الإقامة ليومه أو ليلته لا يؤثِّر في نيّة الإقامة وإن لم ينو إقامة عشرة مستأنفة</w:t>
      </w:r>
      <w:r>
        <w:rPr>
          <w:rStyle w:val="FootnoteAnchor"/>
          <w:rtl w:val="true"/>
        </w:rPr>
        <w:footnoteReference w:id="831"/>
      </w:r>
      <w:r>
        <w:rPr>
          <w:rFonts w:ascii="Amiri" w:hAnsi="Amiri" w:eastAsia="Amiri" w:cs="Amiri"/>
          <w:color w:val="111111"/>
          <w:sz w:val="28"/>
          <w:sz w:val="28"/>
          <w:szCs w:val="28"/>
          <w:rtl w:val="true"/>
          <w:lang w:bidi="ar-SA"/>
        </w:rPr>
        <w:t>، لا حقيقة له ولم نقف عليه مستنداً إلى أحدٍ من المعتبرين الذين تُعتبر فتواهم، فيجب الحكم باطّراحه، حتّى لو كان ذلك في نيّته من أوّل الإقامة بحيث صاحَبَت هذه النيّة نيّة إقامةِ العشرة لم يعتد بنية الإقامة وكان باقياً على القصر؛ لعدم الجزم بإقامة العشرة المتوالية؛ فإنّ الخروج إلى ما يوجب الخفاء يقطعها، ونيّتة في ابتداء نيّتها تبطلها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فرق في إبطال نيّة إقامة العشرة بعزم الخروج إلى ما يتجاوز الحدود بين العزم على العود وإقامة عشرةٍ مستأنَفَةٍ،وعدمه، وإنّما يبقى على التمام بنية الإقامة بعد العود لو كان القصد إلى الخروج طارئاً على نيّة العشرة، وعلى الصلاة تماماً أيضاً؛ لما مر من أنّ الرجوع عن نيّة الإقامة قبل الصلاة يوجب العود إلى القصر؛ لفساد النيّة الأولى الموجبة للتمام بعزم الخروج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الحواشي المنسوبة إلى الإمام فخر الدين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832"/>
      </w:r>
      <w:r>
        <w:rPr>
          <w:rFonts w:ascii="Amiri" w:hAnsi="Amiri" w:eastAsia="Amiri" w:cs="Amiri"/>
          <w:color w:val="111111"/>
          <w:sz w:val="28"/>
          <w:sz w:val="28"/>
          <w:szCs w:val="28"/>
          <w:rtl w:val="true"/>
          <w:lang w:bidi="ar-SA"/>
        </w:rPr>
        <w:t>عدم قطع نيّة الخروج إلى القرى المتقاربة، والمزارع الخارجة عن الحدود لنيّة،الإقامة، بل يبقى على التمام، سواء أقارنت النيّة الأولى أم تأخّرتْ، وسَواءٌ نوى بعد الخروج إقامة عشرةٍ مستأنفة أم لا</w:t>
      </w:r>
      <w:r>
        <w:rPr>
          <w:rStyle w:val="FootnoteAnchor"/>
          <w:rtl w:val="true"/>
        </w:rPr>
        <w:footnoteReference w:id="8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غير واضحٍ والنسبة غير موثوقٍ بها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 لا بنيّة العَودِ والإقامة عشرةً ثمّ عَنَّ له أنْ يقيم في موضع الإقامة عشرةً مستأنفةً، فعلى ما اختاره الجماعة يخرج مقصراً؛ لعدم المقتضي للتمام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الشيخ،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يُتِمُّ من وقت النيّة؛ لحصول </w:t>
      </w:r>
    </w:p>
    <w:p>
      <w:pPr>
        <w:pStyle w:val="BookText"/>
        <w:rPr/>
      </w:pPr>
      <w:r>
        <w:rPr>
          <w:rFonts w:ascii="Amiri" w:hAnsi="Amiri" w:eastAsia="Amiri" w:cs="Amiri"/>
          <w:color w:val="111111"/>
          <w:sz w:val="28"/>
          <w:sz w:val="28"/>
          <w:szCs w:val="28"/>
          <w:rtl w:val="true"/>
          <w:lang w:bidi="ar-SA"/>
        </w:rPr>
        <w:t>المقتضي له وليس وقوع النيّة قبل إنشاء السفر شرطاً في الإتمام، بل نيّة الإقامة تؤثِّر في ابتداء السفر ودوامِهِ؛ إذ لو فرض خروج المسافر إلى مسافة مقصودة فعنَّ له في أثنائها إقامة العشرة في موضع لم يصل إليه بعد ولكنّه دون المسافة، أتمّ في الطريق و موضع الإقامة، ثمّ يعتبر نهاية مقصده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 تجدّدُ نيّة العود لا غير رجع إلى التمام على مذهب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يأخذ في الرجوع فيقصِّرَ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اخترناه هو باقٍ على التمام في جميع الفروض حتّى يتحقّق قصد المسافة والشروع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انعكس الفرض بأن رجع عن نيّة الإقامة المستأنفة بعد الخروج إلى مقصده، رجع إلى التقصير عندهم؛ لزوال المقتضي للتمام، وكذا لو رجع عن نيّة العود عند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ما بيناه لا يتغيّر الحكم إلّا بقصد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لو خرج ناوياً لإقامة العشرة في موضع الإقامة واستمرّ على التمام، ثمّ تغيّرت نيّته إلى الإقامة بغيره مما هو دون المسافة لم يتغيّر الحكم؛ لاشتراك الموضعَينِ في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انعكس الفرض أو طرأ له بعد الوصول إلى موضع نوى فيه إقامة العشرة المستأنفة أنْ يخرج منها إلى ما دون المسافة مرةً أخرى، أو مراراً قبل الصلاة فيه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هذه وبين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توقف تلك على الخروج بعد الصلاة دون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الأولى مسافر وفرضه القصر فلا ينقطع سفره إلّا بنية العشرة، ولا تصير البلد في حكم بلده بحيث لا يقصر حتّى يخرج منها إلى المسافة إلّا بالصلاة، بخلاف الثانية؛ فإنّ سفره قد انقطع بالإقامة الأولى، فلا يعود إلى القصر إلّا بقصد المسافة ولم يحصل بعد، والخروج من الموضع المذكور وإن تكرّر لا يُصَيِّره مسافراً ولا يوجب القصر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 مع قصد المسافة لكن بعد تردّده إلى بلد الإقامة مرّةً أو مراراً، بقي على التمام إلى أن يخرج إلى المسافة بعد التردّد؛ لعدم تحقّق شرط القصر قبله، وهو </w:t>
      </w:r>
    </w:p>
    <w:p>
      <w:pPr>
        <w:pStyle w:val="BookText"/>
        <w:rPr/>
      </w:pPr>
      <w:r>
        <w:rPr>
          <w:rFonts w:ascii="Amiri" w:hAnsi="Amiri" w:eastAsia="Amiri" w:cs="Amiri"/>
          <w:color w:val="111111"/>
          <w:sz w:val="28"/>
          <w:sz w:val="28"/>
          <w:szCs w:val="28"/>
          <w:rtl w:val="true"/>
          <w:lang w:bidi="ar-SA"/>
        </w:rPr>
        <w:t>الخروج إلى المسافة المقصودة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خرج بقصد المسافة ثمّ عَنَّ له التردّد بعد إنشاء السفر إلى بلد الإقامة أو غيرها، بقي على القصر حالة التردّد؛ والفرق أنّه قد لزمه القصر بالإنشاء؛ لاجتماع شرائط القصر، فلا ينقطع إلّا بنية إقامة العشرة على ما فصل، أو التردّد ثلاثين يوماً، ولم يحصل فيبقى على القصر، بخلاف الأوّل؛ فإنّ فرضه التمام إلى أن يقصد المسافة ويَشْرَعَ فيها ولم يحصل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فقد صارت بلد الإقامة بعد الصلاة تماماً في حكم البلد بالنسبة إلى اشتراط الخروج إلى المسافة، فكما لا يقصر المتردّدُ من بلده إلى ما دون المسافة قبل الشروع في السفر إلى المسافة فكذا من بلد الإقامة، وأمّا تردّده بعد قصد المسافة إلى بلد الإقامة فلا يؤثر في قطع السفر كما قلناه، وإن كان عود المسافر إلى بلده يوجب قطع السفر؛ لأنّ بلد الإقامة ليست كبلد المقيم في جميع الأحكام، بل إذا خرج منها ساوت غيرها فلا يقطع السفرَ عَوده إليها، كما لا يقطع عوده إلى غير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عزمه على التردّد إلى غير بلد الإقامة قبل المسافة ففي إلحاقه ببلد الإقامة نظر؛ من أنّه شروع في السفر حيث لم يرجع إلى مبدإ المسافة فيقصر وإن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عدم تحقّق الذهاب مع قصد التردّد إلى محلّ خاصٍّ قبله والإشكال آتٍ فيما لو كان التردّد إلى المحلّ في أثناء المسافة حيث كان؛ لاشتراك الجميع في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الوجه هنا القصر؛ لصدق قصد المسافة في الجملة، والشروع فيها؛ ولأنّ ذلك لو أثَرَ لزم اشتراط أن لا يخرج المسافر عن مجموع طريق المسافة إلى غيره ممّا يوجب مجاوزة الحدود وهو بعيدٌ لا دلالة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عزمه على التردّد مراراً يخرج بها عن اسم المسافر إلى المسافة عرفاً توجّه احتمال عدم القصر بل تعيّن المصير إليه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قصد المسافة الشخصيّة أم يكفي قصد مسافة في الجملة وإن </w:t>
      </w:r>
    </w:p>
    <w:p>
      <w:pPr>
        <w:pStyle w:val="BookText"/>
        <w:rPr/>
      </w:pPr>
      <w:r>
        <w:rPr>
          <w:rFonts w:ascii="Amiri" w:hAnsi="Amiri" w:eastAsia="Amiri" w:cs="Amiri"/>
          <w:color w:val="111111"/>
          <w:sz w:val="28"/>
          <w:sz w:val="28"/>
          <w:szCs w:val="28"/>
          <w:rtl w:val="true"/>
          <w:lang w:bidi="ar-SA"/>
        </w:rPr>
        <w:t>كانت نوعيّة ؟ يُحتمل الأوّل ؛ لأنّه المعهود لأصحاب القصود والمتعارف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الثاني؛ لحصول الشرط وهو قصد المسافة في الجملة، والأصل عدم اشتراط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الفائدة فيما لو قصد الخروج إلى أحد بلدين اشتركا في أوّل المسافة ولم يجزم بأحدهما عند الشروع في السفر، فعلى الأوّل يبقى على التمام إلى أن يعزم على أحدهما بعينه، وعلى الثاني يقصر، مع كونهما معاً 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البحث فيما لو تعدّدت البلدان على الوجه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ويتفرع على ذلك أيضاً ما لو قصد مسافةً معيّنةً ثمّ تجدد له في أثنائها مسافة أخرى؛ فإنّه يستمر القصر على الثاني، وعلى الأوّل يُتِمُّ إلى أنْ يشرع في السفر إلى تلك المسافة، وإن بقي في مكانٍ تغيّرت فيه النيّة أيّاماً كثيرةً؛ ولا فرق حينئذٍ بين أن تكون المسافة الثانية على طريق البلد التي كان قد أقام فيها العشرة أو غيرها؛ لمساواتها غيرها عند الخروج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الأقوى الثاني؛ لعموم الدليل الدال على القصر بالضرب في الأرض</w:t>
      </w:r>
      <w:r>
        <w:rPr>
          <w:rStyle w:val="FootnoteAnchor"/>
          <w:rtl w:val="true"/>
        </w:rPr>
        <w:footnoteReference w:id="834"/>
      </w:r>
      <w:r>
        <w:rPr>
          <w:rFonts w:ascii="Amiri" w:hAnsi="Amiri" w:eastAsia="Amiri" w:cs="Amiri"/>
          <w:color w:val="111111"/>
          <w:sz w:val="28"/>
          <w:sz w:val="28"/>
          <w:szCs w:val="28"/>
          <w:rtl w:val="true"/>
          <w:lang w:bidi="ar-SA"/>
        </w:rPr>
        <w:t>، مع قصد المسافة المتناول الصورة النزاع؛ وللحكم بالقصر عند قصدُ المسافة فيستصحب إلى أن يقوم ما ينافيه، وهو إما الرجوع عن السفر، أو قصد إقامة العشرة، أو مقام ثلاثين متردّداً، والجميع منتفٍ هنا، فيبقى على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الرجوع عن المسافة الأولى إلى مقصدٍ آخر في أثناء المسافة، بحيث يجتمع ممّا مضى وما بقي إلى المقصد الثاني مسافة، ولا يبلغ من ابتداء الرجوع عن النيّة مسافة، ففي الاستمرار على القصر أو العود إلى التمام بتغير النيّة الوجهان، وبقاء القصر متوجّه هنا أيضاً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أقف للأصحاب في هذه الفروع على شيءٍ يُعتمد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قرب الشهيد في البيان </w:t>
      </w:r>
    </w:p>
    <w:p>
      <w:pPr>
        <w:pStyle w:val="BookText"/>
        <w:rPr/>
      </w:pPr>
      <w:r>
        <w:rPr>
          <w:rFonts w:ascii="Amiri" w:hAnsi="Amiri" w:eastAsia="Amiri" w:cs="Amiri"/>
          <w:color w:val="111111"/>
          <w:sz w:val="28"/>
          <w:sz w:val="28"/>
          <w:szCs w:val="28"/>
          <w:rtl w:val="true"/>
          <w:lang w:bidi="ar-SA"/>
        </w:rPr>
        <w:t xml:space="preserve">أنّ الراجع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قصد المسافة ثم يعود إلى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يحتسب ما مضى من المسافة</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قريب مما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هذه الفروع بين قاصد المسافة من بلده، ومن مُقام العشرة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w:t>
      </w:r>
      <w:r>
        <w:rPr>
          <w:rStyle w:val="FootnoteAnchor"/>
          <w:rtl w:val="true"/>
        </w:rPr>
        <w:footnoteReference w:id="836"/>
      </w:r>
      <w:r>
        <w:rPr>
          <w:rFonts w:ascii="Amiri" w:hAnsi="Amiri" w:eastAsia="Amiri" w:cs="Amiri"/>
          <w:color w:val="111111"/>
          <w:sz w:val="28"/>
          <w:sz w:val="28"/>
          <w:szCs w:val="28"/>
          <w:rtl w:val="true"/>
          <w:lang w:bidi="ar-SA"/>
        </w:rPr>
        <w:t>أنّ بلد الإقامة تصير بحكم بلد المسافر في اعتبار مجاوزة حدودها في جواز القصر؛ فلا يقصِّر الخارج منها حتّى يخفى عليه أذانها وجدارها، وكذا الداخل إليها مع سبق نيّة المُقام بها على الدخول إليها فينتهي السفر بالوصول إلى حدودها على خلافٍ في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ويقوى في نفسي الفرق بين حالتي الدخول والخروج، بمعنى أنّه لا يقصِّر في الخروج إلى أن يصل إلى محلّ الخَفاء، ولا ينقطع السفر في حالة الدخول إلّا بالوصول؛ وذلك لما قد عرفت من أنّ بلد الإقامة مع الصلاة فيه تماماً تصير بحكم البلد في انقطاع حكم السفر وافتقار العود إلى مسافةٍ جديدةٍ، وتلك الحدود في حكم البلد شرعاً بخلاف حالة الدخول؛ فإنّ مجرّد الوصول إليها لا يُعَيِّنُ عليه التمام؛ ومِن ثُمَّ لو رَجَعَ عن نيّة الإقامة قبل الصلاة تماماً، أو فَعَلَ ما هو في حكمها يعود إلى القصر ولو أقام في البلد شهراً، فلا فرق حينئذٍ بين هذه البلد وغيرها إلّا في جواز التمام بناء على النيّة السابقة، ومجرّد ذلك لا يوجب إلحاقها ببلده؛ لمخالفتها لها مخالَفةً ظاهرةً، وبالجملة فصيرورتها بحكمها تتوقف على الصلاة تماماً كما مرّ</w:t>
      </w:r>
      <w:r>
        <w:rPr>
          <w:rStyle w:val="FootnoteAnchor"/>
          <w:rtl w:val="true"/>
        </w:rPr>
        <w:footnoteReference w:id="837"/>
      </w:r>
      <w:r>
        <w:rPr>
          <w:rFonts w:ascii="Amiri" w:hAnsi="Amiri" w:eastAsia="Amiri" w:cs="Amiri"/>
          <w:color w:val="111111"/>
          <w:sz w:val="28"/>
          <w:sz w:val="28"/>
          <w:szCs w:val="28"/>
          <w:rtl w:val="true"/>
          <w:lang w:bidi="ar-SA"/>
        </w:rPr>
        <w:t>، وذلك شرط لا يحصل إلا بعد الوصول إليها فقبله تساوي غيرها، فلا ينقطع سفره بمجرّد وصوله إلى حدودها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يتعدّى هذا الحكم إلى غيرها وغير بلد الملك والإقامة الدأئمّة، فلو خرج من أحد الثلاثة غير عازم على المسافة، ثمّ عزم عليها بعد تجاوز حدوده من بلدٍ آخر أو </w:t>
      </w:r>
    </w:p>
    <w:p>
      <w:pPr>
        <w:pStyle w:val="BookText"/>
        <w:rPr/>
      </w:pPr>
      <w:r>
        <w:rPr>
          <w:rFonts w:ascii="Amiri" w:hAnsi="Amiri" w:eastAsia="Amiri" w:cs="Amiri"/>
          <w:color w:val="111111"/>
          <w:sz w:val="28"/>
          <w:sz w:val="28"/>
          <w:szCs w:val="28"/>
          <w:rtl w:val="true"/>
          <w:lang w:bidi="ar-SA"/>
        </w:rPr>
        <w:t>غيره لم يتوقّف القصر على مجاوزة حدود ذلك المكان، بل يكفي الشروع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الفرع لا يختص بهذه المسألة لكن ناسب الحال ذكره والتنبيه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لوخرج غير عازمٍ على المسافة، إمّا لتردّده أو لجزمه بعدم قصد المسافة، ثم تجدّد له قصدها قَصَّرَ حينئذٍ كما مرّ، لكن يُشترط بلوغ ما قصده بعد القصد مسافةً، فلا يكفي تلفيقها منه وممّا سبق، وهو ما بعد موضع الإقامة، فحينئذٍ إنْ كان آخذاً في الذهاب فالمعتبر كون الباقي منه مسافة، وإن عزم على العَود إلى وطنه وكان قد بلغ المسافة كفى قصد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ذكره الجماعة من التقصير بمجرّد الخروج من غير قصد المسافة يسقط هذا الشرطُ، ويجوز التلفيقُ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ناوي المُقام بعد صلاة التمام إلى المسافة لكن عزم في أثنائها على التوقف على رُفْقَةٍ علّق سفره عليها، كان حكمه في ذلك حكم متوقِّع الرفقة عند الخروج من بلده، فإن كان ذلك في نيّته من ابتداء الخروج من موضع الإقامة بقي على التمام في طريقه إلى مكان يتوقع فيه الرفقةً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إنْ عَلَّقَ سفّره عليها ولم يَعْلَم بمجيئها قبل مضيّ عَشَرة أيّام، ويستمر عليه إلى أن يسافر معها أو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جزم بالسفر من دونها إن لم تجيء قبل العشرة أو علم مجيئها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علّق سفره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ولو غلب على ظنّه مجيئها فالظاهر أنه كالعالم و به جزم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الذكرى</w:t>
      </w: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طرأ له الانتظارُ بعد الشروع في السفر إلى المسافة رجع إلى التمام، ولو كان الانتظار على رأس المسافة استمرّ على القصر إلى ثلاثين يوماً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فحكمه حكم منتظر الرُفقة في غير هذا المحلّ، وإنما خصّصناه بالذكر لفائدةٍ 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منتظر الرفقة بعد مجاوَزَة الحدود إن لزمه التقصير حال انتظاره كانت المسافة معتبرةً من حين الخروج فيلفِّق ما قبل الانتظار فيلفّق ما قبل الانتظار مع ما بعده، وإن كان حكمه التمام اشتُرِط كون ما بعد ذلك مسافةً ولا يضمُّ إلى ما سبق من السير؛ لأنه خارج عن حكم المسافر بانتظاره، فهو في قوة قاصد ما دون المسافة، وقد تقدّم تفصيله</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وليكن هذا آخِرَ ما نُمْليه فى هذه المسألة، ونحن نسأل ممّن وقف عليها من أهل التحقيق أنْ لا يُقَلَّدَنا في شيءٍ من فروعها قبلَ تَدَبُّر ما فَصَّلْناه، عسى أنْ يَظْهَرَ عليه باب من أبواب الصواب فإنّ البرهان هو المعيار لأُولي الألباب</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فرغ من هذه النسخة مؤلفها العبد المفتقر إلى عفو اللّه تعالى وجوده زينُ الدين بنُ عليّ بن أحمد يوم الإثنين سابع عشرين</w:t>
      </w:r>
      <w:r>
        <w:rPr>
          <w:rStyle w:val="FootnoteAnchor"/>
          <w:rtl w:val="true"/>
        </w:rPr>
        <w:footnoteReference w:id="840"/>
      </w:r>
      <w:r>
        <w:rPr>
          <w:rFonts w:ascii="Amiri" w:hAnsi="Amiri" w:eastAsia="Amiri" w:cs="Amiri"/>
          <w:color w:val="111111"/>
          <w:sz w:val="28"/>
          <w:sz w:val="28"/>
          <w:szCs w:val="28"/>
          <w:rtl w:val="true"/>
          <w:lang w:bidi="ar-SA"/>
        </w:rPr>
        <w:t>شهر رمضان المعظّم، سنة خمسين و تسعمائة حامِداً للّه تعالى على آلائه، شاكراً له على نعمائه، صابراً على بلائه، مصلّياً على سيد خلقه وأشرف أحبائه، محمّدٍ وعلى الطاهرين من أبنائه، اللّهمّ اختم بخيرٍ</w:t>
      </w:r>
      <w:r>
        <w:rPr>
          <w:rFonts w:eastAsia="Amiri" w:cs="Amiri" w:ascii="Amiri" w:hAnsi="Amiri"/>
          <w:color w:val="111111"/>
          <w:sz w:val="28"/>
          <w:szCs w:val="28"/>
          <w:rtl w:val="true"/>
          <w:lang w:bidi="ar-SA"/>
        </w:rPr>
        <w:t xml:space="preserve">. </w:t>
      </w:r>
      <w:bookmarkStart w:id="464" w:name="pg10113_92155"/>
    </w:p>
    <w:p>
      <w:pPr>
        <w:pStyle w:val="Heading2"/>
        <w:numPr>
          <w:ilvl w:val="1"/>
          <w:numId w:val="1"/>
        </w:numPr>
        <w:rPr/>
      </w:pPr>
      <w:bookmarkStart w:id="465" w:name="__RefHeading___Toc375497_1067777946"/>
      <w:bookmarkStart w:id="466" w:name="_Toc157"/>
      <w:bookmarkEnd w:id="464"/>
      <w:bookmarkEnd w:id="465"/>
      <w:r>
        <w:rPr>
          <w:rtl w:val="true"/>
        </w:rPr>
        <w:t>القسم الرابع</w:t>
      </w:r>
      <w:r>
        <w:rPr>
          <w:rtl w:val="true"/>
        </w:rPr>
        <w:t xml:space="preserve">: </w:t>
      </w:r>
      <w:r>
        <w:rPr>
          <w:rtl w:val="true"/>
        </w:rPr>
        <w:t>الحج</w:t>
      </w:r>
      <w:bookmarkEnd w:id="466"/>
    </w:p>
    <w:p>
      <w:pPr>
        <w:pStyle w:val="Heading3"/>
        <w:numPr>
          <w:ilvl w:val="2"/>
          <w:numId w:val="1"/>
        </w:numPr>
        <w:rPr/>
      </w:pPr>
      <w:bookmarkStart w:id="467" w:name="__RefHeading___Toc375499_1067777946"/>
      <w:bookmarkStart w:id="468" w:name="_Toc158"/>
      <w:bookmarkEnd w:id="467"/>
      <w:r>
        <w:rPr>
          <w:rtl w:val="true"/>
        </w:rPr>
        <w:t>إشارة</w:t>
      </w:r>
      <w:r>
        <w:rPr>
          <w:rtl w:val="true"/>
        </w:rPr>
        <w:t>:</w:t>
      </w:r>
      <w:bookmarkEnd w:id="468"/>
    </w:p>
    <w:p>
      <w:pPr>
        <w:pStyle w:val="BookText"/>
        <w:rPr/>
      </w:pPr>
      <w:r>
        <w:rPr>
          <w:rFonts w:ascii="Amiri" w:hAnsi="Amiri" w:eastAsia="Amiri" w:cs="Amiri"/>
          <w:color w:val="111111"/>
          <w:sz w:val="28"/>
          <w:sz w:val="28"/>
          <w:szCs w:val="28"/>
          <w:rtl w:val="true"/>
          <w:lang w:bidi="ar-SA"/>
        </w:rPr>
        <w:t>ويَضُمُّ ثلاثَ رسائل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معرفته من أحكام الحجّ والعمرة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نيّات الحجّ والعمرة</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والعمرة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9" w:name="pg10113_92157"/>
      <w:bookmarkStart w:id="470" w:name="pg10113_92157"/>
      <w:bookmarkEnd w:id="470"/>
    </w:p>
    <w:p>
      <w:pPr>
        <w:pStyle w:val="Heading3"/>
        <w:numPr>
          <w:ilvl w:val="2"/>
          <w:numId w:val="1"/>
        </w:numPr>
        <w:rPr/>
      </w:pPr>
      <w:bookmarkStart w:id="471" w:name="pg10113_92157"/>
      <w:bookmarkStart w:id="472" w:name="__RefHeading___Toc375501_1067777946"/>
      <w:bookmarkStart w:id="473" w:name="_Toc159"/>
      <w:bookmarkEnd w:id="471"/>
      <w:bookmarkEnd w:id="472"/>
      <w:r>
        <w:rPr/>
        <w:t>18</w:t>
      </w:r>
      <w:r>
        <w:rPr>
          <w:rtl w:val="true"/>
        </w:rPr>
        <w:t xml:space="preserve">. </w:t>
      </w:r>
      <w:r>
        <w:rPr>
          <w:rtl w:val="true"/>
        </w:rPr>
        <w:t>أقلّ ما يجب معرفتُه من أحكام الحجّ والعمرة</w:t>
      </w:r>
      <w:bookmarkEnd w:id="473"/>
    </w:p>
    <w:p>
      <w:pPr>
        <w:pStyle w:val="Heading4"/>
        <w:numPr>
          <w:ilvl w:val="3"/>
          <w:numId w:val="1"/>
        </w:numPr>
        <w:rPr/>
      </w:pPr>
      <w:bookmarkStart w:id="474" w:name="__RefHeading___Toc375503_1067777946"/>
      <w:bookmarkStart w:id="475" w:name="_Toc160"/>
      <w:bookmarkEnd w:id="474"/>
      <w:r>
        <w:rPr>
          <w:rtl w:val="true"/>
        </w:rPr>
        <w:t>إشارة</w:t>
      </w:r>
      <w:r>
        <w:rPr>
          <w:rtl w:val="true"/>
        </w:rPr>
        <w:t>:</w:t>
      </w:r>
      <w:bookmarkEnd w:id="475"/>
    </w:p>
    <w:p>
      <w:pPr>
        <w:pStyle w:val="BookText"/>
        <w:rPr/>
      </w:pPr>
      <w:r>
        <w:rPr>
          <w:rFonts w:ascii="Amiri" w:hAnsi="Amiri" w:eastAsia="Amiri" w:cs="Amiri"/>
          <w:color w:val="111111"/>
          <w:sz w:val="28"/>
          <w:sz w:val="28"/>
          <w:szCs w:val="28"/>
          <w:rtl w:val="true"/>
          <w:lang w:bidi="ar-SA"/>
        </w:rPr>
        <w:t>تحقيق</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رضا المختاري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6" w:name="pg10113_92159"/>
      <w:bookmarkStart w:id="477" w:name="pg10113_92159"/>
      <w:bookmarkEnd w:id="477"/>
    </w:p>
    <w:p>
      <w:pPr>
        <w:pStyle w:val="BookText"/>
        <w:rPr/>
      </w:pPr>
      <w:bookmarkStart w:id="478" w:name="pg10113_92159"/>
      <w:bookmarkEnd w:id="478"/>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مُسَهِّل الصعاب ومُيَسِّرِ الحساب</w:t>
      </w:r>
    </w:p>
    <w:p>
      <w:pPr>
        <w:pStyle w:val="BookText"/>
        <w:rPr/>
      </w:pPr>
      <w:r>
        <w:rPr>
          <w:rFonts w:ascii="Amiri" w:hAnsi="Amiri" w:eastAsia="Amiri" w:cs="Amiri"/>
          <w:color w:val="111111"/>
          <w:sz w:val="28"/>
          <w:sz w:val="28"/>
          <w:szCs w:val="28"/>
          <w:rtl w:val="true"/>
          <w:lang w:bidi="ar-SA"/>
        </w:rPr>
        <w:t>والصلاة على أشرف الأحباب، وعلى آله وأصحابه خير آل وأصحاب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فهذه جملة كافلة ببيان أقل ما يجب معرفته من أحكام الحجّ والعمرة؛ تسهيلاً على المكلّفين وتيسيراً على المتعلمين، فإنّ التيسير مُرادُ اللّه تعالى، وهو حَسْبُنا ونعم المُعين</w:t>
      </w:r>
      <w:r>
        <w:rPr>
          <w:rFonts w:eastAsia="Amiri" w:cs="Amiri" w:ascii="Amiri" w:hAnsi="Amiri"/>
          <w:color w:val="111111"/>
          <w:sz w:val="28"/>
          <w:szCs w:val="28"/>
          <w:rtl w:val="true"/>
          <w:lang w:bidi="ar-SA"/>
        </w:rPr>
        <w:t>.</w:t>
      </w:r>
    </w:p>
    <w:p>
      <w:pPr>
        <w:pStyle w:val="Heading4"/>
        <w:numPr>
          <w:ilvl w:val="3"/>
          <w:numId w:val="1"/>
        </w:numPr>
        <w:rPr/>
      </w:pPr>
      <w:bookmarkStart w:id="479" w:name="__RefHeading___Toc375505_1067777946"/>
      <w:bookmarkStart w:id="480" w:name="_Toc161"/>
      <w:bookmarkEnd w:id="479"/>
      <w:r>
        <w:rPr>
          <w:rtl w:val="true"/>
        </w:rPr>
        <w:t>صفة عمرة التمتّع</w:t>
      </w:r>
      <w:bookmarkEnd w:id="480"/>
    </w:p>
    <w:p>
      <w:pPr>
        <w:pStyle w:val="BookText"/>
        <w:rPr/>
      </w:pPr>
      <w:r>
        <w:rPr>
          <w:rFonts w:ascii="Amiri" w:hAnsi="Amiri" w:eastAsia="Amiri" w:cs="Amiri"/>
          <w:color w:val="111111"/>
          <w:sz w:val="28"/>
          <w:sz w:val="28"/>
          <w:szCs w:val="28"/>
          <w:rtl w:val="true"/>
          <w:lang w:bidi="ar-SA"/>
        </w:rPr>
        <w:t xml:space="preserve">اعلم أنّ الواجب على الآفاقى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نأى منزله عن مكّة بمرحلتين مع استطاعته إلى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التمتّع، وهو الذي تقدّم عُمرتُه على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والواجبُ إِذا وَصَلَ إلى ميقات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مسجدُ الشَجَرة لمن حجّ على طريق المدينة، والجُحْفَةُ لمن حجّ على طريقِ مصرَ، ويَلَمْلَمُ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 اليمن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مرَّ به، والعقيقُ لأهل العِراقِ ومن في معناهم، ومُحاذِي أحد المواقيت ولو ظنّاً لمن لم يُصادف طريقه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يُحْرِمَ منه بأنْ يَنْزِعَ المخيط ويَكْشِفَ رأسه وقدَمَيْهِ إِلَّا ما يتوقّف عليه لبس النعلَيْنِ إنْ كان رجلاً، ويُزيلُ ما على بدنه من رائحة الطِيْب</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ينوي العمرة، وصفتها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أُحْرِمُ بعمرة التمتّع لوجوبه قربةً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اقتصر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أُحْرمُ بالعمرةِ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يُلبّى ناوياً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أُلبّي لوجوبه قربةً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أُلبِّي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لبّيك، إن الحمد والنعمة والمُلك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شريكَ لَكَ لبّيك</w:t>
      </w:r>
      <w:r>
        <w:rPr>
          <w:rFonts w:eastAsia="Amiri" w:cs="Amiri" w:ascii="Amiri" w:hAnsi="Amiri"/>
          <w:color w:val="111111"/>
          <w:sz w:val="28"/>
          <w:szCs w:val="28"/>
          <w:rtl w:val="true"/>
          <w:lang w:bidi="ar-SA"/>
        </w:rPr>
        <w:t xml:space="preserve">». </w:t>
      </w:r>
      <w:bookmarkStart w:id="481" w:name="pg10113_92160"/>
    </w:p>
    <w:p>
      <w:pPr>
        <w:pStyle w:val="BookText"/>
        <w:rPr/>
      </w:pPr>
      <w:bookmarkEnd w:id="481"/>
      <w:r>
        <w:rPr>
          <w:rFonts w:ascii="Amiri" w:hAnsi="Amiri" w:eastAsia="Amiri" w:cs="Amiri"/>
          <w:color w:val="111111"/>
          <w:sz w:val="28"/>
          <w:sz w:val="28"/>
          <w:szCs w:val="28"/>
          <w:rtl w:val="true"/>
          <w:lang w:bidi="ar-SA"/>
        </w:rPr>
        <w:t>ويُسَنُّ قبل الإحرام توفير شعر الرأس من أوّل ذي القعدة، والتنظيفُ عندَه بإزالة شعر العانة والإبْطِ وقصِّ الأظفار، والغُسل، ثمّ يُصَلّي سُنَّةَ الإحرام، وهي ستٌّ ركعاتٍ، وأقلُّها ركعتان، ونيّتةا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أُصَلي ركعتين مِنْ سُنّة الإحرام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نَزَعَ المخيط لَبِسَ تَوْبَي الإحرام يَأْتَزِرُ بأحدهما ويَرْتدِي بالآخر أو يَتَوَشَحُ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كونهما من جنس ما تصحّ الصلاة فيه اختياراً، وتجوز الزيادة عليهما، ويُسَنُّ كونُهما من القُطْنِ الأبيض الخالِصِ</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375507_1067777946"/>
      <w:bookmarkStart w:id="483" w:name="_Toc162"/>
      <w:bookmarkEnd w:id="482"/>
      <w:r>
        <w:rPr>
          <w:rtl w:val="true"/>
        </w:rPr>
        <w:t>عقد الإحرام</w:t>
      </w:r>
      <w:bookmarkEnd w:id="483"/>
    </w:p>
    <w:p>
      <w:pPr>
        <w:pStyle w:val="BookText"/>
        <w:rPr/>
      </w:pPr>
      <w:r>
        <w:rPr>
          <w:rFonts w:ascii="Amiri" w:hAnsi="Amiri" w:eastAsia="Amiri" w:cs="Amiri"/>
          <w:color w:val="111111"/>
          <w:sz w:val="28"/>
          <w:sz w:val="28"/>
          <w:szCs w:val="28"/>
          <w:rtl w:val="true"/>
          <w:lang w:bidi="ar-SA"/>
        </w:rPr>
        <w:t xml:space="preserve">فإذا عقد الإحرام بالتلبيةِ حَرُمَ عليه صَيْدُ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المُمتَنِع بالأصالة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المحلَّل، وستة من المحرَّم الأسَدُ والتَعْلَبُ والأَرْنَبُ والضَبُّ والتربوعُ والقُنْفُذُ، وأكله والإعانة عليه، والاستمتاع بالجماع ومقدِّماته، وعقدُ النكاح، واستعمال الطيّب مطلقاً، والاكتحال بالسواد، والادهانُ بالدُهْنِ الْمُطَيَّبِ وغيره، وإخْراجُ الدم، وإزالة الشعر اختياراً فيهما، وقَلْمُ الأظفار، وقَطْعُ الشجر والحشيش النابِتَيْنِ في الحرم إلّا الإِذْخِر وما في معناه والفسوق وهو الكَذِبُ مطلقاً، والجدال وهو الخَلْفُ مطلقاً، ولُبْسُ الخاتم، والحِنّاء للزينة لا لِلسُنّة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والفارِقُ القصد، وقَتْلُ القَمْلِ وغيره مِن هَوام الجسد، والنظرُ في المرآة، ولُبسُ المَخِيطِ للرجلِ وإِنْ قَلَّتِ الخياطة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المِنْطَقَةِ والهِمْيانِ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معناها الزر والخَلالُ، ولُبْسُ ما أحاط بالبدن من اللبد والدرع، والتظليلُ سائراً اختياراً، وتغطية الرأس ولو بالارتماس، وسَتْرُ ظَهْر القَدَم بالخُفٌ ونحوه، وتغطية المرأةِ وَجْهَها إلا القدر الذي يتوقّف عليه تغطية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لها سَدْلُ ثوب على وجهها على وجه لا يُصِيبُهُ، ويَحْرُمُ عليها لُبْسُ ما لم تَعْتَدُهُ من الحَلْي، وما اعتادته بقصد الزينة أو مع إظهاره للزوج</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فَعَلَ المُحْرِمُ شيئاً مِنْ هذه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جاهلاً أو ناسياً فلا شيء عليه إلا في الصَّيْد، فلا يَفْرُقُ فيه بين العامد وغيره، وإن كان عامداً أثِمَ ووَجَبَتْ عليه الكفّارة، إلّا في الاكتحال والادّهانِ بغير المُطَيَّب وإخراج الدم ولبس الخاتمِ والحِنَّاء والنظر في </w:t>
      </w:r>
      <w:bookmarkStart w:id="484" w:name="pg10113_92161"/>
    </w:p>
    <w:p>
      <w:pPr>
        <w:pStyle w:val="BookText"/>
        <w:rPr/>
      </w:pPr>
      <w:bookmarkEnd w:id="484"/>
      <w:r>
        <w:rPr>
          <w:rFonts w:ascii="Amiri" w:hAnsi="Amiri" w:eastAsia="Amiri" w:cs="Amiri"/>
          <w:color w:val="111111"/>
          <w:sz w:val="28"/>
          <w:sz w:val="28"/>
          <w:szCs w:val="28"/>
          <w:rtl w:val="true"/>
          <w:lang w:bidi="ar-SA"/>
        </w:rPr>
        <w:t>المرآة والفسوق ولُبْسِ الحَلّي، فلا شيء فيها سوى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والكفّارة في الباقي مفصَّلةٌ في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وَصَلَ إلى مكّة وجب أن يبتدِئَ بطوافِ العمرة، فيَتَطَهَّر من الحَدَث والخبثِ على حدّ ما يُعْتَبَرُ في الصلاة، ويَسْتُر عورته، ويَخْتَتِن إنْ كان رجلاً مع المُكْنَةِ كالصلاة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وكيفيّة الطوافِ أَنْ يَقِفَ بإزاء الحَجَر الأسودِ مُسْتَقْبِلاً له جاعِلاً أوّلَ جزءٍ منه ممّا يلي الركن اليماني مُحاذِياً لأوّل كتفه الأيمن ولو ظنّاً، ثمّ يَنْوِي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أطُوفُ طواف العمرة لوجوبه 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يَنْفَتِلَ</w:t>
      </w:r>
      <w:r>
        <w:rPr>
          <w:rStyle w:val="FootnoteAnchor"/>
          <w:rtl w:val="true"/>
        </w:rPr>
        <w:footnoteReference w:id="841"/>
      </w:r>
      <w:r>
        <w:rPr>
          <w:rFonts w:ascii="Amiri" w:hAnsi="Amiri" w:eastAsia="Amiri" w:cs="Amiri"/>
          <w:color w:val="111111"/>
          <w:sz w:val="28"/>
          <w:sz w:val="28"/>
          <w:szCs w:val="28"/>
          <w:rtl w:val="true"/>
          <w:lang w:bidi="ar-SA"/>
        </w:rPr>
        <w:t>وَيَجْعَلَ البيت على يساره، ويطوف به سبعة أشواطٍ من غير زيادة ولا نُقصان في القَدْر الذي بين البيت والمقام، مُدْخِلاً للحجْر في الطوافِ مُخْرجاً لجميع بدنه عن البَيْتِ فلا يَمُسُّ الحائط ماشياً بل يقفُ إنْ أراده ولا ينتقل حتّى يُخْرِجَ يَدَهُ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 مِن الطواف وَجَبَ عليه صلاة ركعتيه خَلْفَ المَقام أو مع أحَدِ جانِبَيْهِ ونيّتها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أَصَلِّي رَكْعتي طوافِ العمرة لوجوبة </w:t>
      </w:r>
      <w:r>
        <w:rPr>
          <w:rStyle w:val="FootnoteAnchor"/>
          <w:rtl w:val="true"/>
        </w:rPr>
        <w:footnoteReference w:id="842"/>
      </w:r>
      <w:r>
        <w:rPr>
          <w:rFonts w:ascii="Amiri" w:hAnsi="Amiri" w:eastAsia="Amiri" w:cs="Amiri"/>
          <w:color w:val="111111"/>
          <w:sz w:val="28"/>
          <w:sz w:val="28"/>
          <w:szCs w:val="28"/>
          <w:rtl w:val="true"/>
          <w:lang w:bidi="ar-SA"/>
        </w:rPr>
        <w:t>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فَرَغَ من الصلاة خرج إلى السعي بين الصفا والمروة سَبْعة أشواط بادِئاً بالصفا خاتماً بالمروة، مُسْتَقْبِلاً للمطلوب بوجهه، ذاهباً بالطريق المعهود، ونيّتة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الصفا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أسعى سَعْىَ العمرة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 من السعي قَصَّرَ مِنْ ظُفُره أو مِن شَعْره مُسَمّاه ناوياً أُقَصِّرُ لوجوبه قُرْبَةً إلى اللّه</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375509_1067777946"/>
      <w:bookmarkStart w:id="486" w:name="_Toc163"/>
      <w:bookmarkEnd w:id="485"/>
      <w:r>
        <w:rPr>
          <w:rtl w:val="true"/>
        </w:rPr>
        <w:t>التحلّل من عمرة التمتّع</w:t>
      </w:r>
      <w:bookmarkEnd w:id="486"/>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وبالتقصير يَتَحَلَّلُ مِنْ عُمرة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آخر أفعالها، ويبقى على إحلاله إلى أنْ يُحْرِمَ بالحجِّ</w:t>
      </w:r>
      <w:r>
        <w:rPr>
          <w:rFonts w:eastAsia="Amiri" w:cs="Amiri" w:ascii="Amiri" w:hAnsi="Amiri"/>
          <w:color w:val="111111"/>
          <w:sz w:val="28"/>
          <w:szCs w:val="28"/>
          <w:rtl w:val="true"/>
          <w:lang w:bidi="ar-SA"/>
        </w:rPr>
        <w:t xml:space="preserve">. </w:t>
      </w:r>
      <w:bookmarkStart w:id="487" w:name="pg10113_92162"/>
    </w:p>
    <w:p>
      <w:pPr>
        <w:pStyle w:val="BookText"/>
        <w:rPr/>
      </w:pPr>
      <w:bookmarkEnd w:id="487"/>
      <w:r>
        <w:rPr>
          <w:rFonts w:ascii="Amiri" w:hAnsi="Amiri" w:eastAsia="Amiri" w:cs="Amiri"/>
          <w:color w:val="111111"/>
          <w:sz w:val="28"/>
          <w:sz w:val="28"/>
          <w:szCs w:val="28"/>
          <w:rtl w:val="true"/>
          <w:lang w:bidi="ar-SA"/>
        </w:rPr>
        <w:t>ويُسْتَحَبُّ كونُه يومَ الثامن من ذي الحجة من المسجد الحرام، وأفضله المقام أو الحِجْرُ تحتَ الميزاب، ونيّتة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أحرِمُ بحج التمتّع لوجوبه 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ينوي التلبية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أُلبي لوجوبه قربةً إلى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لبّيك، إن الحمد والنعمة والمُلْكَ لك، لا شريك لك لبّيك</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375511_1067777946"/>
      <w:bookmarkStart w:id="489" w:name="_Toc164"/>
      <w:bookmarkEnd w:id="488"/>
      <w:r>
        <w:rPr>
          <w:rtl w:val="true"/>
        </w:rPr>
        <w:t>صفة حجّ التمتّع</w:t>
      </w:r>
      <w:bookmarkEnd w:id="489"/>
    </w:p>
    <w:p>
      <w:pPr>
        <w:pStyle w:val="BookText"/>
        <w:rPr/>
      </w:pPr>
      <w:r>
        <w:rPr>
          <w:rFonts w:ascii="Amiri" w:hAnsi="Amiri" w:eastAsia="Amiri" w:cs="Amiri"/>
          <w:color w:val="111111"/>
          <w:sz w:val="28"/>
          <w:sz w:val="28"/>
          <w:szCs w:val="28"/>
          <w:rtl w:val="true"/>
          <w:lang w:bidi="ar-SA"/>
        </w:rPr>
        <w:t xml:space="preserve">فإذا وصل إلى عرفات وجب عليه الكَوْنُ بها من زوال الشمس يوم التاسع إلى غروبها، ناوياً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الزوال أو بعده بغير فصل تقريباً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أقِفُ بعَرَفَةَ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غَرَبتِ الشمسُ أفاض إلى المشعر الحرام، ووَجَبَ عليه المَبِيتُ به بقيّة تلك الليلةِ، ناوياً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أبيتُ بالمشعر لوجوبه قربةً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أصْبَحَ وجب عليه الكَوْنُ به إلى طلوع الشمس، ناوياً بعد الفجر أو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أقفُ بالمشعر لوجوبه 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اقْتَصَرَ على نيّة واحدةٍ حين الوصول إليه ليلاً تَشْتَمِلُ على قصد الكَوْنِ به إلى طلوع الشمس 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طَلَعَتِ الشمسُ أفاض إلى مِنّى، ووجب عليه بها ثلاثة 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جَمْرة العقبة بسَبْعِ حَصَياتٍ حَرَميّةٍ،أبكارٍ، مُبتدِئاً به عند وصوله إلى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ذَبْحُ الهَدْي، وهو ثَنيُّ من النَعَم تامُّ الخِلقةِ سَمين بحيث يكون على كُلْيَتَيْه شَحْمٌ ولو ظنّاً، وتفريقه ثلاثة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فيأكل شيئاً منه ويُهْدِي ثُلْثَه لبعض إخوانه من المؤمنين، وَيَتَصَدَّق بتليه على فقير من فقرائهم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ونيّة الرَمْي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أَرْمِي هذه الجَمْرَةَ بِسَبْعِ حَصَياتٍ لوجوبه 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ونيّة الذَبْحِ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أَذْبَحُ هذا الهَدْيَ لوجوبه 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ونيّة الأكل والإهداء والصدقة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آكُلُ من هذا الهَدْي لوجوبه قُربةً إلى اللّه، أُهْدِي ثُلْثَ هذا الهَدْي لوجوبه قربةً إلى اللّه، أتَصَدَّقُ بثُلْثِ هذا الهَدْي لوجوبه قربةً إلى اللّه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 مِنْ ذلك حَلَقَ رأسَهُ أو قَصَّرَ مِن شَعْره أو ظفره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أخلِقُ رأسي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لوجوبه قربةً إلى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فَعَلَ ذلك أحَلَّ مِن كلّ شيءٍ عدا النساء والطيّب والصَيْدِ، فإذا طاف للحج وسَعى حَلَّ له الطِيْبُ، فإذا طافَ للنساء حَلَلْنَ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يَخْرُجُ إلى مكّة مِنْ يومه إن أمكنه الرجوع قبل الغروب، وإلّا فمِنْ غده، أو بعد انتصاف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وَصَلَ إلى مكّة وجب عليه طوافُ الحجّ وصلاة ركعتيه ثمّ السعي بين الصفا والمروة سبعاً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طواف النساء ثمّ صلاة ركعتيه، وكيفياتها وواجباتها كما مرّ، إلّا أنّه ينوي طوافَ الحجّ وسَعْيه وطواف النساء، وصفته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أطُوفُ طواف الحجّ لوجوبه قربةً إلى اللّه، أصلي ركعتي طوافِ الحجّ لوجوبه</w:t>
      </w:r>
      <w:r>
        <w:rPr>
          <w:rStyle w:val="FootnoteAnchor"/>
          <w:rtl w:val="true"/>
        </w:rPr>
        <w:footnoteReference w:id="843"/>
      </w:r>
      <w:r>
        <w:rPr>
          <w:rFonts w:ascii="Amiri" w:hAnsi="Amiri" w:eastAsia="Amiri" w:cs="Amiri"/>
          <w:color w:val="111111"/>
          <w:sz w:val="28"/>
          <w:sz w:val="28"/>
          <w:szCs w:val="28"/>
          <w:rtl w:val="true"/>
          <w:lang w:bidi="ar-SA"/>
        </w:rPr>
        <w:t xml:space="preserve">قربةً إلى اللّه، أسعى سَعْيَ الحجّ لوجوبه قريةً إلى اللّه، أطُوفُ طواف النساء لوجوبه قربةً إلى اللّه، أُصلِّي ركعتي طوافِ النساء لوجوبه </w:t>
      </w:r>
      <w:r>
        <w:rPr>
          <w:rStyle w:val="FootnoteAnchor"/>
          <w:rtl w:val="true"/>
        </w:rPr>
        <w:footnoteReference w:id="844"/>
      </w:r>
      <w:r>
        <w:rPr>
          <w:rFonts w:ascii="Amiri" w:hAnsi="Amiri" w:eastAsia="Amiri" w:cs="Amiri"/>
          <w:color w:val="111111"/>
          <w:sz w:val="28"/>
          <w:sz w:val="28"/>
          <w:szCs w:val="28"/>
          <w:rtl w:val="true"/>
          <w:lang w:bidi="ar-SA"/>
        </w:rPr>
        <w:t>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 مِنْ ذلك وجب عليه الرجوع إلى مِنيَّ للمبيت بها ليالي التشريق الثلاث، وهي الحادية عشرةَ والثانية عشرة والثالثة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لمن اتّقى الصَّيْدَ والنساء الاقتصارُ على مَبِيتِ الليلتينِ الأُولَيَيْن ما لم تَغْرُبْ عليه الشمسُ في الليلة الثالثة، فيجب عليه مبيتها مطلقاً، ناوياً عند الغروب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أبيتُ هذه الليلةَ بِمنى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رَمْيُ الجَمَرَاتِ الثلاثِ كلّ واحدةٍ بسبْعِ حَصَيَاتٍ في كلّ يومٍ يجبُ مَبِيتُ ليلته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ونيّة الرّمي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أرْمي هذه الجمرة بسبع حصيات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اقْتَصَرَ في جميع هذه النِيَّاتِ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أفْعَلُ كذا للّه من غير تعرُّضٍ للوجوب ولفظِ القربة 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وحَسْبُنا اللّه وكفى</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والنائب عن غيره يُضِيفُ إلى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نيابةً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اسْتُؤْجِرْتُ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 وصلّى اللّه على سيِّدنا محمّدٍ وآله أجمعين</w:t>
      </w:r>
      <w:r>
        <w:rPr>
          <w:rFonts w:eastAsia="Amiri" w:cs="Amiri" w:ascii="Amiri" w:hAnsi="Amiri"/>
          <w:color w:val="111111"/>
          <w:sz w:val="28"/>
          <w:szCs w:val="28"/>
          <w:rtl w:val="true"/>
          <w:lang w:bidi="ar-SA"/>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0" w:name="pg10113_92165"/>
      <w:bookmarkStart w:id="491" w:name="pg10113_92165"/>
      <w:bookmarkEnd w:id="491"/>
    </w:p>
    <w:p>
      <w:pPr>
        <w:pStyle w:val="Heading3"/>
        <w:numPr>
          <w:ilvl w:val="2"/>
          <w:numId w:val="1"/>
        </w:numPr>
        <w:rPr/>
      </w:pPr>
      <w:bookmarkStart w:id="492" w:name="pg10113_92165"/>
      <w:bookmarkStart w:id="493" w:name="__RefHeading___Toc375513_1067777946"/>
      <w:bookmarkStart w:id="494" w:name="_Toc165"/>
      <w:bookmarkEnd w:id="492"/>
      <w:bookmarkEnd w:id="493"/>
      <w:r>
        <w:rPr/>
        <w:t>19</w:t>
      </w:r>
      <w:r>
        <w:rPr>
          <w:rtl w:val="true"/>
        </w:rPr>
        <w:t xml:space="preserve">. </w:t>
      </w:r>
      <w:r>
        <w:rPr>
          <w:rtl w:val="true"/>
        </w:rPr>
        <w:t>نيّات الحجّ والعمرة</w:t>
      </w:r>
      <w:bookmarkEnd w:id="494"/>
    </w:p>
    <w:p>
      <w:pPr>
        <w:pStyle w:val="Heading4"/>
        <w:numPr>
          <w:ilvl w:val="3"/>
          <w:numId w:val="1"/>
        </w:numPr>
        <w:rPr/>
      </w:pPr>
      <w:bookmarkStart w:id="495" w:name="__RefHeading___Toc375515_1067777946"/>
      <w:bookmarkStart w:id="496" w:name="_Toc166"/>
      <w:bookmarkEnd w:id="495"/>
      <w:r>
        <w:rPr>
          <w:rtl w:val="true"/>
        </w:rPr>
        <w:t>إشارة</w:t>
      </w:r>
      <w:r>
        <w:rPr>
          <w:rtl w:val="true"/>
        </w:rPr>
        <w:t>:</w:t>
      </w:r>
      <w:bookmarkEnd w:id="496"/>
    </w:p>
    <w:p>
      <w:pPr>
        <w:pStyle w:val="BookText"/>
        <w:rPr/>
      </w:pPr>
      <w:r>
        <w:rPr>
          <w:rFonts w:ascii="Amiri" w:hAnsi="Amiri" w:eastAsia="Amiri" w:cs="Amiri"/>
          <w:color w:val="111111"/>
          <w:sz w:val="28"/>
          <w:sz w:val="28"/>
          <w:szCs w:val="28"/>
          <w:rtl w:val="true"/>
          <w:lang w:bidi="ar-SA"/>
        </w:rPr>
        <w:t>تحقيق</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رضا المختاري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7" w:name="pg10113_92167"/>
      <w:bookmarkStart w:id="498" w:name="pg10113_92167"/>
      <w:bookmarkEnd w:id="498"/>
    </w:p>
    <w:p>
      <w:pPr>
        <w:pStyle w:val="BookText"/>
        <w:rPr/>
      </w:pPr>
      <w:bookmarkStart w:id="499" w:name="pg10113_92167"/>
      <w:bookmarkEnd w:id="499"/>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على محمّدٍ وآله الطاهرين</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375517_1067777946"/>
      <w:bookmarkStart w:id="501" w:name="_Toc167"/>
      <w:bookmarkEnd w:id="500"/>
      <w:r>
        <w:rPr>
          <w:rtl w:val="true"/>
        </w:rPr>
        <w:t>نيّة غسل الإحرام والإحرام</w:t>
      </w:r>
      <w:bookmarkEnd w:id="501"/>
    </w:p>
    <w:p>
      <w:pPr>
        <w:pStyle w:val="BookText"/>
        <w:rPr/>
      </w:pPr>
      <w:r>
        <w:rPr>
          <w:rFonts w:ascii="Amiri" w:hAnsi="Amiri" w:eastAsia="Amiri" w:cs="Amiri"/>
          <w:color w:val="111111"/>
          <w:sz w:val="28"/>
          <w:sz w:val="28"/>
          <w:szCs w:val="28"/>
          <w:rtl w:val="true"/>
          <w:lang w:bidi="ar-SA"/>
        </w:rPr>
        <w:t>إذا عَزَمْتَ على سبيل الحجّ، وقطعت العلائق، فقِفْ على باب بيتك، وانو الحجّ والعمرة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أتوجَّهُ إلى البيت الحرام والمشاعر العظام، لأعْتَمِرَ عُمرةَ الإسلام عمرةَ التمتّع، وأحُجَّ حجّ الإسلام حجّ التمتّع،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وَصَلتَ إلى الميقات، اسْتُحِبَّ أنْ تَغْتَسِلَ غُسل الإحرام، ونيّتة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أغْتَسِلُ غُسل الإحرام لنديه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من الغسل، فَالبَس ثوبي الإحرام، تأتزرُ بأحدهما وترتدي بالآخر، ثمّ تصلّي سنّة الإحرام استحباباً، وهي ستّ ركعات، وأقلّها ركعتان، والنيّة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أُصَلِّي ركعتين مِن سنة الإحرام لندبه</w:t>
      </w:r>
      <w:r>
        <w:rPr>
          <w:rStyle w:val="FootnoteAnchor"/>
          <w:rtl w:val="true"/>
        </w:rPr>
        <w:footnoteReference w:id="845"/>
      </w:r>
      <w:r>
        <w:rPr>
          <w:rFonts w:ascii="Amiri" w:hAnsi="Amiri" w:eastAsia="Amiri" w:cs="Amiri"/>
          <w:color w:val="111111"/>
          <w:sz w:val="28"/>
          <w:sz w:val="28"/>
          <w:szCs w:val="28"/>
          <w:rtl w:val="true"/>
          <w:lang w:bidi="ar-SA"/>
        </w:rPr>
        <w:t>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الإحرام من ميقات المدينة فليدخل مسجد الشجرة، ويُحْرِمُ بعمرة التمتّع من داخله، ونيّتة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أُحرم بالعمرة المتمتع بها إلى الحجّ حجّ الإسلام حجّ التمتّع، والتي التلبيات الأربع لعقد هذا الإحرام، لوجوب الجميع قربة إلى اللّه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ويُقارن بالنيّة التلبية،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لبّيك إنّ الحمد والنعمة والملك لك، لا شريك لك لبّيك</w:t>
      </w:r>
      <w:r>
        <w:rPr>
          <w:rFonts w:eastAsia="Amiri" w:cs="Amiri" w:ascii="Amiri" w:hAnsi="Amiri"/>
          <w:color w:val="111111"/>
          <w:sz w:val="28"/>
          <w:szCs w:val="28"/>
          <w:rtl w:val="true"/>
          <w:lang w:bidi="ar-SA"/>
        </w:rPr>
        <w:t xml:space="preserve">». </w:t>
      </w:r>
      <w:bookmarkStart w:id="502" w:name="pg10113_92168"/>
    </w:p>
    <w:p>
      <w:pPr>
        <w:pStyle w:val="BookText"/>
        <w:rPr/>
      </w:pPr>
      <w:bookmarkEnd w:id="502"/>
      <w:r>
        <w:rPr>
          <w:rFonts w:ascii="Amiri" w:hAnsi="Amiri" w:eastAsia="Amiri" w:cs="Amiri"/>
          <w:color w:val="111111"/>
          <w:sz w:val="28"/>
          <w:sz w:val="28"/>
          <w:szCs w:val="28"/>
          <w:rtl w:val="true"/>
          <w:lang w:bidi="ar-SA"/>
        </w:rPr>
        <w:t>ثم يتوجّه إلى مكّة مكرّراً للتلبية استحباباً، فإذا وَصَلَ إلى مكّة بدأ بالطواف حول الكعبة سبعة أشواطٍ، يبدأ بالحجر الأسود ويختم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والنيّة مقارنة لأوّل الطواف عند محاذاة أوّل جزءٍ منه لأوّل جزءٍ من الحجر الأسود، علماً أو ظنّاً، مستقبلاً بوجهه الكعبة، أو جاعلاً لها على اليسار وصفتها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أطوف بالبيت سبعة أشواطٍ في عمرة الإسلام عمرة التمتّع، لوجوبه 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ويقارن بالنيّة الحركة، ويختم الشوط السابع كما بدأ أولاً بمحاذاة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فَرَغَ من الطواف مضى إلى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وصلّى ركعتي الطواف خلفَه، أو إلى أحد جانبيه، ونيّتها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أُصَلِّي ركعتي طواف عمرة الإسلام عمرة التمتّع أداء، لوجوبه قربة إلى اللّه</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375519_1067777946"/>
      <w:bookmarkStart w:id="504" w:name="_Toc168"/>
      <w:bookmarkEnd w:id="503"/>
      <w:r>
        <w:rPr>
          <w:rtl w:val="true"/>
        </w:rPr>
        <w:t>نيّة السعي</w:t>
      </w:r>
      <w:bookmarkEnd w:id="504"/>
    </w:p>
    <w:p>
      <w:pPr>
        <w:pStyle w:val="BookText"/>
        <w:rPr/>
      </w:pPr>
      <w:r>
        <w:rPr>
          <w:rFonts w:ascii="Amiri" w:hAnsi="Amiri" w:eastAsia="Amiri" w:cs="Amiri"/>
          <w:color w:val="111111"/>
          <w:sz w:val="28"/>
          <w:sz w:val="28"/>
          <w:szCs w:val="28"/>
          <w:rtl w:val="true"/>
          <w:lang w:bidi="ar-SA"/>
        </w:rPr>
        <w:t xml:space="preserve">فإذا فَرَغَ منها مضى إلى السعي بين الصفا والمروة سبعة أشواط، يحتسب من الصفا إليه شوطين، حتّى يُكمل السبعة خاتماً بالمروة، ونيّته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الصفا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أسعى سبعة أشواط بين الصفا والمروة في عمرة الإسلام عمرة التمتّع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 من السعي قَصَّرَ من شعره، أو من ظفره، ونيّتة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أُقَصِّرُ للإحلال من إحرام عمرة الإسلام عمرة التمتّع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والتقصيرُ آخر أفعال العمرة، فإذا فعله بقى على الإحلال من كلّ ما حرّمه الإحرام إلى أن يُحرم بالحجّ يوم الثامن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كونه بعد أن يصلّى الظهرين ذلك اليوم، فيُخرم له من مكّة، وأفضلها المسجد الحرام، وخلاصته</w:t>
      </w:r>
      <w:r>
        <w:rPr>
          <w:rStyle w:val="FootnoteAnchor"/>
          <w:rtl w:val="true"/>
        </w:rPr>
        <w:footnoteReference w:id="846"/>
      </w:r>
      <w:r>
        <w:rPr>
          <w:rFonts w:ascii="Amiri" w:hAnsi="Amiri" w:eastAsia="Amiri" w:cs="Amiri"/>
          <w:color w:val="111111"/>
          <w:sz w:val="28"/>
          <w:sz w:val="28"/>
          <w:szCs w:val="28"/>
          <w:rtl w:val="true"/>
          <w:lang w:bidi="ar-SA"/>
        </w:rPr>
        <w:t>الحجر أو المقام فينوي بعد الغسل ولبس ثوبي الإحرام وصلاة السنّة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أُحرِمُ بحج الإسلام حجّ التمتّع، وأُلبّي التلبياتِ الأربع لعقد هذا </w:t>
      </w:r>
      <w:bookmarkStart w:id="505" w:name="pg10113_92169"/>
    </w:p>
    <w:p>
      <w:pPr>
        <w:pStyle w:val="BookText"/>
        <w:rPr/>
      </w:pPr>
      <w:bookmarkEnd w:id="505"/>
      <w:r>
        <w:rPr>
          <w:rFonts w:ascii="Amiri" w:hAnsi="Amiri" w:eastAsia="Amiri" w:cs="Amiri"/>
          <w:color w:val="111111"/>
          <w:sz w:val="28"/>
          <w:sz w:val="28"/>
          <w:szCs w:val="28"/>
          <w:rtl w:val="true"/>
          <w:lang w:bidi="ar-SA"/>
        </w:rPr>
        <w:t>الإحرام، لوجوب الجميع 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يلبّي مقارناً بها النيّة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لبّيك إن الحمد والنعمة والملك لك لا شريك لك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يمضي إلى عرفات، فيقفُ بها يوم التاسع من الزوال إلى غروب الشمس بمعنى الكون بها، والنيّة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تحقّق الزوال بلا فصل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أقفُ بعرفة إلى غروب الشمس في حجّ الإسلام حجّ التمتّع ؛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غرَبتِ الشمسُ أفاض إلى المشعر، فإذا وَصَلَ إليه وجب عليه المَبيتُ به ناوياً عند وصوله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أبيتُ هذه الليلة بالمشعر في حجّ الإسلام حجّ التمتّع لوجوبه قربةً إلى اللّه</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375521_1067777946"/>
      <w:bookmarkStart w:id="507" w:name="_Toc169"/>
      <w:bookmarkEnd w:id="506"/>
      <w:r>
        <w:rPr>
          <w:rtl w:val="true"/>
        </w:rPr>
        <w:t>نيّة الوقوف بعرفة</w:t>
      </w:r>
      <w:bookmarkEnd w:id="507"/>
    </w:p>
    <w:p>
      <w:pPr>
        <w:pStyle w:val="BookText"/>
        <w:rPr/>
      </w:pPr>
      <w:r>
        <w:rPr>
          <w:rFonts w:ascii="Amiri" w:hAnsi="Amiri" w:eastAsia="Amiri" w:cs="Amiri"/>
          <w:color w:val="111111"/>
          <w:sz w:val="28"/>
          <w:sz w:val="28"/>
          <w:szCs w:val="28"/>
          <w:rtl w:val="true"/>
          <w:lang w:bidi="ar-SA"/>
        </w:rPr>
        <w:t>فإذا أصْبَحَ وجب عليه الوقوفُ به إلى طلوع الشمس بمعنى الكون به، وتجب النيّة عند تحقّق 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أقِفُ بالمشعر إلى طلوع الشمس في حجّ الإسلام حجّ التمتّع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طلعتِ الشمسُ أفاض إلى مِنّى، فإذا وصل إليها وجب عليه فيها ثلاثة 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جمرة العقبة بسبع حصياتٍ، ثمّ ذَبْحُ الهدي، ثمّ حَلْقُ الرأس أو التقصير ونيّة الرمي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أرمي هذه الجمرة بسبع حَصَياتٍ في حجّ الإسلام حجّ التمتّع أداءً، لوجوبه قربة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مقارناً للنيّة برمي الحصاة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ونيّة الذِّبْح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أَذْبَحُ هذا الهدي في حجّ الإسلام حجّ التمتّع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يأكل منه شيئاً، وأنْ يُهْدي ثلثه لإخوانه المؤمنين، ويتصدّق بثلثه على فقرائهم، والنيّة مقارنةً للأكل وتسليم القابض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آكُلُ مِن لحم هَدْيي هذا في حجّ الإسلام حجّ التمتّع لوجوبه قربةً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أهْدَيْتُك يافلان ثُلثَ هَدْبي هذا في حجّ الإسلام حجّ التمتّع، لوجوبه قربةً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أتصدَّق بثلثِ هَدْيِي هذا في حجّ الإسلام حجّ التمتّع لوجوبه قربة إلى اللّه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يَحْلِقُ رأسه، أو يُقَصِّرُ مِن شَعْره أو ظُفُرِه كما مرّ، ونيّتة مقارنة للفعل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أحْلِقُ </w:t>
      </w:r>
      <w:bookmarkStart w:id="508" w:name="pg10113_92170"/>
    </w:p>
    <w:p>
      <w:pPr>
        <w:pStyle w:val="BookText"/>
        <w:rPr/>
      </w:pPr>
      <w:bookmarkEnd w:id="508"/>
      <w:r>
        <w:rPr>
          <w:rFonts w:ascii="Amiri" w:hAnsi="Amiri" w:eastAsia="Amiri" w:cs="Amiri"/>
          <w:color w:val="111111"/>
          <w:sz w:val="28"/>
          <w:sz w:val="28"/>
          <w:szCs w:val="28"/>
          <w:rtl w:val="true"/>
          <w:lang w:bidi="ar-SA"/>
        </w:rPr>
        <w:t xml:space="preserve">رأسي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 في حجّ الإسلام حجّ التمتّع،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 من ذلك مضى إلى مكّة للطواف والسعي، فإذا وَصَلَ إليها بدأ بطواف الحجّ، وصفته كما مرّ، ونيّتة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أطوف بالبيت سبعة أشواطٍ في حجّ الإسلام حجّ التمتّع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يُصَلِّي رَكعَتَيْه خلف المقام، ونيّتها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أُصلي ركعتي طواف حجّ الإسلام حجّ التمتّع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يسعى كما مر ونيّتة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أسعى سبعة أشواط بين الصفا والمروة في حجّ الإسلام حجّ التمتّع لوجوبه قربة إلى اللّه</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375523_1067777946"/>
      <w:bookmarkStart w:id="510" w:name="_Toc170"/>
      <w:bookmarkEnd w:id="509"/>
      <w:r>
        <w:rPr>
          <w:rtl w:val="true"/>
        </w:rPr>
        <w:t>نيّة الطواف بالبيت الحرام</w:t>
      </w:r>
      <w:bookmarkEnd w:id="510"/>
    </w:p>
    <w:p>
      <w:pPr>
        <w:pStyle w:val="BookText"/>
        <w:rPr/>
      </w:pPr>
      <w:r>
        <w:rPr>
          <w:rFonts w:ascii="Amiri" w:hAnsi="Amiri" w:eastAsia="Amiri" w:cs="Amiri"/>
          <w:color w:val="111111"/>
          <w:sz w:val="28"/>
          <w:sz w:val="28"/>
          <w:szCs w:val="28"/>
          <w:rtl w:val="true"/>
          <w:lang w:bidi="ar-SA"/>
        </w:rPr>
        <w:t>ثمّ يطوف طواف النساء، ونيّتة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أطوف بالبيت طواف النساء سبعة أشواط في حجّ الإسلام حجّ التمتّع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يصلّى ركعتيه ونيّتها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أُصلي ركعتي طواف النساء في حجّ الإسلام حجّ التمتّع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 من هذه الأفعال رجع إلى مِنيَّ للمبيت بها ليالي التشريق الثلاث وهي الحادية عشرة والثانية عشرة والثالثة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لمن اتّقى الصيد والنساء، ولم تغرب عليه ليلة الثالثة عشرة الاقتصار على مبيت الليلتين وتجب النيّة عند الغروب أبِيتُ هذه الليلة بمنىً في حجّ الإسلام حجّ التمتّع، لوجوبه 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رمي الحمار الثلاث في كلّ يوم يجب مبيت ليلته، يبدأ بالأُولى ثم الوسطى ثمّ جَمْرة العقبة، ونيّة الرمي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أرْمِي هذه الجَمْرةَ بسبع حصياتٍ في حجّ الإسلام حجّ التمتّع؛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 من أفعاله، ورجع إلى مكّة اسْتُحِبَّ له الإكثار من الطواف المندوب، ونيّتة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أطوف بالبيت سبعة أشواط، لندبه قربة إلى اللّه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يصلّي ركعتيه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ونيتهما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أُصلّي ركعتي الطواف لندبه قربة إلى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أراد الخروج من مكّة اسْتُحِبَّ له طوافُ الوداع، ونيّتة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أطوفُ بالبيت سبعة أشواطٍ طواف الوداع، لندبه 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ويصلّي ركعتي طواف الوَداع، ونيّة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أُصلّي ركعتي طواف الوداع، لندبه قربة إلى اللّه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الحاجّ نائباً عن غيره، أضاف إلى هذه النيّات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نيابةً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فينوي في الإحرام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أُحرِمُ بالعمرة المتمتِّع بها إلى حجّ الإسلام حجّ التمتّع، وأُلَبّي التلبيات الأربع لعقد هذا الإحرام نيابةً عن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عمّن اسْتُؤْجِرتُ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لوجوبه عليه بالأصالة وعليّ بالنيابة 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اقتصر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نيابةً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لوجوبه 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الكافي، وحسبنا اللّه ونعم الوكيل، والحمد للّه وحده، وصلّى اللّه على سيّدنا محمد وآله وسلّم</w:t>
      </w:r>
      <w:r>
        <w:rPr>
          <w:rFonts w:eastAsia="Amiri" w:cs="Amiri" w:ascii="Amiri" w:hAnsi="Amiri"/>
          <w:color w:val="111111"/>
          <w:sz w:val="28"/>
          <w:szCs w:val="28"/>
          <w:rtl w:val="true"/>
          <w:lang w:bidi="ar-SA"/>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1" w:name="pg10113_92173"/>
      <w:bookmarkStart w:id="512" w:name="pg10113_92173"/>
      <w:bookmarkEnd w:id="512"/>
    </w:p>
    <w:p>
      <w:pPr>
        <w:pStyle w:val="Heading3"/>
        <w:numPr>
          <w:ilvl w:val="2"/>
          <w:numId w:val="1"/>
        </w:numPr>
        <w:rPr/>
      </w:pPr>
      <w:bookmarkStart w:id="513" w:name="pg10113_92173"/>
      <w:bookmarkStart w:id="514" w:name="__RefHeading___Toc375525_1067777946"/>
      <w:bookmarkStart w:id="515" w:name="_Toc171"/>
      <w:bookmarkEnd w:id="513"/>
      <w:bookmarkEnd w:id="514"/>
      <w:r>
        <w:rPr/>
        <w:t>20</w:t>
      </w:r>
      <w:r>
        <w:rPr>
          <w:rtl w:val="true"/>
        </w:rPr>
        <w:t xml:space="preserve">. </w:t>
      </w:r>
      <w:r>
        <w:rPr>
          <w:rtl w:val="true"/>
        </w:rPr>
        <w:t>مناسك الحجّ والعمرة</w:t>
      </w:r>
      <w:bookmarkEnd w:id="515"/>
    </w:p>
    <w:p>
      <w:pPr>
        <w:pStyle w:val="Heading4"/>
        <w:numPr>
          <w:ilvl w:val="3"/>
          <w:numId w:val="1"/>
        </w:numPr>
        <w:rPr/>
      </w:pPr>
      <w:bookmarkStart w:id="516" w:name="__RefHeading___Toc375527_1067777946"/>
      <w:bookmarkStart w:id="517" w:name="_Toc172"/>
      <w:bookmarkEnd w:id="516"/>
      <w:r>
        <w:rPr>
          <w:rtl w:val="true"/>
        </w:rPr>
        <w:t>إشارة</w:t>
      </w:r>
      <w:r>
        <w:rPr>
          <w:rtl w:val="true"/>
        </w:rPr>
        <w:t>:</w:t>
      </w:r>
      <w:bookmarkEnd w:id="517"/>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السيّد أبو الحسن المطّلبي</w:t>
      </w:r>
    </w:p>
    <w:p>
      <w:pPr>
        <w:pStyle w:val="BookText"/>
        <w:rPr/>
      </w:pPr>
      <w:r>
        <w:rPr>
          <w:rFonts w:ascii="Amiri" w:hAnsi="Amiri" w:eastAsia="Amiri" w:cs="Amiri"/>
          <w:color w:val="111111"/>
          <w:sz w:val="28"/>
          <w:sz w:val="28"/>
          <w:szCs w:val="28"/>
          <w:rtl w:val="true"/>
          <w:lang w:bidi="ar-SA"/>
        </w:rPr>
        <w:t>مراجعة</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أسعد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المختاري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8" w:name="pg10113_92175"/>
      <w:bookmarkStart w:id="519" w:name="pg10113_92175"/>
      <w:bookmarkEnd w:id="519"/>
    </w:p>
    <w:p>
      <w:pPr>
        <w:pStyle w:val="BookText"/>
        <w:rPr/>
      </w:pPr>
      <w:bookmarkStart w:id="520" w:name="pg10113_92175"/>
      <w:bookmarkEnd w:id="520"/>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نَحْمَدكَ اللّهم يامَنْ شَرَعَ لنا مَسالك الأحكام، وشَرَحَ لنا مَناسكَ حجّ بيته الحرام ونَشْكُرُكَ على ما فَضَّلْتَنا به من فضائلِ الإكرام، وغَمَرْتَنا به مِن جَلائلِ الإنعام، ونُصلّي ونُسَلِّم على نبيّك محمَّدٍ الداعي إلى دار السلام أشْرَفِ مَنْ طاف بالبيت الحرام، وسعى بينَ الرُكن والمقام، وعلى آله المخصوصين بالتطهير من بين الأنام صلاة وسلاماً دائمين بدوام الليالي والأيّام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فهذه جملة ٌكافِلةٌ ببيان واجبات الحجّ والعمرة، ونبْذَةٌ مِن سُنَنِهما الفعليّة، وأذكارهما اللفظيّة، ووظائفهما القلبيّة، حاولتُ فيها بَسْطَ اللفظ وسُهولة المعنى؛ طلباً للتسهيل، ورَجاءً للثواب الجزيل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ورَتَّبْتُها على مقدّمة ومقالتين وخاتمةٍ</w:t>
      </w:r>
      <w:r>
        <w:rPr>
          <w:rFonts w:eastAsia="Amiri" w:cs="Amiri" w:ascii="Amiri" w:hAnsi="Amiri"/>
          <w:color w:val="111111"/>
          <w:sz w:val="28"/>
          <w:szCs w:val="28"/>
          <w:rtl w:val="true"/>
          <w:lang w:bidi="ar-SA"/>
        </w:rPr>
        <w:t>.</w:t>
      </w:r>
    </w:p>
    <w:p>
      <w:pPr>
        <w:pStyle w:val="Heading4"/>
        <w:numPr>
          <w:ilvl w:val="3"/>
          <w:numId w:val="1"/>
        </w:numPr>
        <w:rPr/>
      </w:pPr>
      <w:bookmarkStart w:id="521" w:name="__RefHeading___Toc375529_1067777946"/>
      <w:bookmarkStart w:id="522" w:name="_Toc173"/>
      <w:bookmarkEnd w:id="521"/>
      <w:r>
        <w:rPr>
          <w:rtl w:val="true"/>
        </w:rPr>
        <w:t>الحجّ من أركان الإسلام، وفضل الحجّ</w:t>
      </w:r>
      <w:bookmarkEnd w:id="522"/>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المقدّمة فاعْلَمْ أنّ الحجّ ركن عظيم من أركان الإسلام، ومفهومه مشتهرٌ بينَ ذَوَي،الأفهام، وتعريُفه الصناعي مع عِزّة سلامتِهِ لا يَليقُ بحثه بهذا المقام، والحَثُ عليه في الكتاب والسنّة أوْضَحُ دليلاً لمَنْ فَكَّرَ في ذلك مِن العالمين، وناهيك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 وَمَن كَفَرَ فَإِنَّ اللّه غَنِيٌّ عَنِ الْعَالَمِينَ</w:t>
      </w:r>
      <w:r>
        <w:rPr>
          <w:rFonts w:eastAsia="Amiri" w:cs="Amiri" w:ascii="Amiri" w:hAnsi="Amiri"/>
          <w:color w:val="111111"/>
          <w:sz w:val="28"/>
          <w:szCs w:val="28"/>
          <w:rtl w:val="true"/>
          <w:lang w:bidi="ar-SA"/>
        </w:rPr>
        <w:t>»</w:t>
      </w:r>
      <w:r>
        <w:rPr>
          <w:rStyle w:val="FootnoteAnchor"/>
          <w:rtl w:val="true"/>
        </w:rPr>
        <w:footnoteReference w:id="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الآية ضُروب من التأكيد عليه جَليّة المباني تُعْلَمُ من صناعة </w:t>
      </w:r>
    </w:p>
    <w:p>
      <w:pPr>
        <w:pStyle w:val="BookText"/>
        <w:rPr/>
      </w:pPr>
      <w:r>
        <w:rPr>
          <w:rFonts w:ascii="Amiri" w:hAnsi="Amiri" w:eastAsia="Amiri" w:cs="Amiri"/>
          <w:color w:val="111111"/>
          <w:sz w:val="28"/>
          <w:sz w:val="28"/>
          <w:szCs w:val="28"/>
          <w:rtl w:val="true"/>
          <w:lang w:bidi="ar-SA"/>
        </w:rPr>
        <w:t>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من السنّة المُطَهَّرة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وَجَبَ عليه الحجّ ولم يَحُجَّ فَلْيَمُتْ إِنْ شاء يهودياً وإن شاء نصرانياً</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ويَكْفِيكَ في فضله مِن جهة الاعتبار أنّه جَمَعَ ضُروباً من العبادات كالصلاة، وبَذْلِ المال المضاهِي لِلزَّكَواتِ والأخْماسِ والكفارات، والصوم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والتعرُّض للجهاد كذلك، مع اشتماله على أنواعِ المَشاق والأهوال، والتغرير بالنفس والمال، ومفارَقَةِ الأهل والولد والوطن والبلد إلى غير ذلك من المزايا، ومن هنا وَرَدَ فيه من الثواب الجزيل ما قد تَظافَرَتْ به الأخبارُ عن النبيّ وآله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ولم يَرْفُتْ ولم يَفْسُقُ خَرَجَ مِن ذُنوبه كيومٍ وَلَدَتْه أُمُّه</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الحُجّاج والعمّار وَفْدُ اللّه وزُوّاره إنْ سَألوه أَعْطاهم وإنِ اسْتَغْفَرُوه غَفَرَ لهم، وإنْ دَعوه استجاب لهم وإنْ شَفَعوا إليه شَفَّعَهم</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حجّة مبرورة خيرٌ من الدنيا وما فيها، وحجّةٌ مَبرورةٌ ليس لها أجْرٌ إلّا الجنة</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رُئي الشيطانُ في يومٍ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 ولا أَدْحَرُ ولا أحقرُ ولا أغْيَظُ منه يومَ عَرَفةَ، وذلك لما يرى فيه مِن نُزول الرحمة وتجاوز اللّه عن الذنوب العظام</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 xml:space="preserve">. </w:t>
      </w:r>
      <w:bookmarkStart w:id="523" w:name="pg10113_92177"/>
    </w:p>
    <w:p>
      <w:pPr>
        <w:pStyle w:val="Heading4"/>
        <w:numPr>
          <w:ilvl w:val="3"/>
          <w:numId w:val="1"/>
        </w:numPr>
        <w:rPr/>
      </w:pPr>
      <w:bookmarkStart w:id="524" w:name="__RefHeading___Toc375531_1067777946"/>
      <w:bookmarkStart w:id="525" w:name="_Toc174"/>
      <w:bookmarkEnd w:id="523"/>
      <w:bookmarkEnd w:id="524"/>
      <w:r>
        <w:rPr>
          <w:rtl w:val="true"/>
        </w:rPr>
        <w:t>المستحبّات لمن أراد الحجّ</w:t>
      </w:r>
      <w:bookmarkEnd w:id="525"/>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تَوَجَّهْتَ إلى سبيل الحجّ ثُمَّ رَكِبْتَ راحِلتك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ومَضَتْ بك راحلتك لم تَضَعْ راحِلتُك خُفّاً وتَرْفَعْ خُفّاً إِلَّا كَتَبَ اللّه لك حسنةً، ومحا عنك سيّئةً، فإذا أحْرَمْتَ ولبَّيتَ كتب اللّه لك بكلِّ تلبية عَشْرَ حَسناتٍ، ومحا عنك عَشْرَ 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طفت بالبيت أُسبوعاً كان لك بذلك عند اللّه عَهْدٌ وذِكْرٌ يَسْتَحْيِي أَنْ يُعذِّبَك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صَلَّيْتَ عندَ المَقام ركعتينِ كَتَبَ اللّه لك بهما ألفي ركعةٍ 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سَعَيْتَ بين الصفا والمروة سبعة أشواط، كان لك بذلك عند اللّه عزّ وجلّ مثلُ أجرٍ مَنْ حجّ ماشياً من بلاده، ومثلُ أجرٍ مَنْ أعْتَقَ سبعينَ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وَقَفْتَ بعرفات إلى غروب الشمس فلو كان عليك من الذنوب مثلُ رَمْلِ عالِج وزَبَدِ البحر لَغَفَرها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رَمَيْتَ الجِمارَ كَتَبَ اللّه لك بكلِّ حَصاةٍ عَشْرَ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ذَبَحْتَ هَديَك كَتَبَ اللّه لك بكلِّ قطرةٍ مِن دَمها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طُفْتَ بالبيت للزيارة أُسبوعاً وصَلَّيْتَ عندَ المقام ركعتينِ ضَرَبَ مَلَكٌ كريمٌ بينَ كَتِفَيْك،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وامض فقد غَفَرَ اللّه لك</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حجّ هذا البيتَ بنيّةٍ صادقةٍ جَعَلَهُ اللّه في الرفيق الأعلى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النَّبِيِّينَ وَالصِّدِّيقِينَ وَالشُّهَدَاءِ وَالصَّالِحِينَ وَحَسُنَ أُوْلَئِكَ رَفِيقًا</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الأحاديث</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لمن أراد الحجّ قَطْعُ العلائق بينه وبين مُعامِليه، وإيصال كلّ ذي حق حقه، واختيارُ يوم صالحٍ للسفر كالسَبْتِ والثلاثاء ورفيق صالحٍ، وتحسينُ الخُلُقِ زيادةً على </w:t>
      </w:r>
    </w:p>
    <w:p>
      <w:pPr>
        <w:pStyle w:val="BookText"/>
        <w:rPr/>
      </w:pPr>
      <w:r>
        <w:rPr>
          <w:rFonts w:ascii="Amiri" w:hAnsi="Amiri" w:eastAsia="Amiri" w:cs="Amiri"/>
          <w:color w:val="111111"/>
          <w:sz w:val="28"/>
          <w:sz w:val="28"/>
          <w:szCs w:val="28"/>
          <w:rtl w:val="true"/>
          <w:lang w:bidi="ar-SA"/>
        </w:rPr>
        <w:t>الحَضَر، والتَوَسُّعُ في الزاد، وطيبُ النَّفْسِ في البذل والإنفاق بالعَدلِ دونَ البُخْل والتقتير والتبذير؛ فإنّ بَذْلَ الزادِ في طريق مكّة إنفاق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المبرور ليس له أجرُ إلَّا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برّ الحجّ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الكلام وإطعامُ الطعام</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واحدٌ في الحجّ أفضلُ مِن ألفي ألف درهم فيما سِواه في سبيل اللّه، والهديّهُ من نفقة الحجّ</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عَزَمَ على الخروج صَلّى في منزله ركعتين؛ فإنّهما أفضلُ ما اسْتَخْلَفَه الرجلُ على أهله، ويقول بعدهما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أسْتَوْدِعُكَ نَفْسي وأهلي ومالي وذُرِّيتي ودنياي وآخرتي وأمانتي وخاتمة عملي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فيُعطيه اللّه ما يَسْأَلُ، كما ورد في الخبر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ويَفْتَتِحُ سفره بالصدقة، ثم يقومُ على باب داره ويقرأ فاتحة الكتاب وآية الكرسي أمامه الذي يتوجّه نحوه وعن يمينه وشماله، ويَدعو بكلمات الفرج مُضيفاً إليها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احْفَظْنى واحْفَظْ ما معي، وسَلِّمْني وسَلّمْ ما معي، وبلِّغني وبلِّغ ما معي ببلاغك الحَسَنِ الجميل </w:t>
      </w:r>
      <w:r>
        <w:rPr>
          <w:rStyle w:val="FootnoteAnchor"/>
          <w:rtl w:val="true"/>
        </w:rPr>
        <w:footnoteReference w:id="859"/>
      </w:r>
      <w:r>
        <w:rPr>
          <w:rFonts w:ascii="Amiri" w:hAnsi="Amiri" w:eastAsia="Amiri" w:cs="Amiri"/>
          <w:color w:val="111111"/>
          <w:sz w:val="28"/>
          <w:sz w:val="28"/>
          <w:szCs w:val="28"/>
          <w:rtl w:val="true"/>
          <w:lang w:bidi="ar-SA"/>
        </w:rPr>
        <w:t xml:space="preserve">، والحمد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كُنْ لي جاراً مِنْ كلّ جبّارٍ عنيدٍ، ومِنْ كلّ شيطانٍ مريدٍ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باسم اللّه دَخَلْتُ، وباسم اللّه خَرَجْتُ،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وفى سبيل اللّه تَوَجَّهْتُ، اللّهم إنّي أُقَدِّمُ بين يدي نشياني وعَجَلتي باسم اللّه وما شاء اللّه في سفري هذا ذكرتُه أو نَسِيتُهُ، اللّهم أنت المُسْتَعانُ على الأُمور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الصاحب في السفر والخليفة في الأهل، اللّهمَّ هَوِّنْ علينا سَفَرَنا، واطو لنا الأرضَ، وسَيِّرْنا فيها بطاعتك وطاعة رسولك، اللّهم أصْلِحْ لنا ظَهْرَنا، وبارك لنا فيما رَزَقْتَنا وقنا عذاب النار، اللّهمَّ إنِّي أعوذُ بك مِنْ وَعْناء السفر وكَآبة المنْقَلب وسوءِ المنْظَر فى الأهل والمال والولد، اللّهمّ أنت عَضُدي وناصري، بك أحُلُّ وبك أسِيرُ، اللّهمّ إنّي أسألك في سفري هذا السرور والعمل بما يُرْضِيك عنِّي، اللّهمَّ اقْطَعْ عنِّي بُعدَه ومَشَقَّتَه، واصْحَبْني فيه، واخْلُفْنِي في أهلي بخير، ولا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عبدك، وهذا حُمْلانك</w:t>
      </w:r>
      <w:r>
        <w:rPr>
          <w:rStyle w:val="FootnoteAnchor"/>
          <w:rtl w:val="true"/>
        </w:rPr>
        <w:footnoteReference w:id="860"/>
      </w:r>
      <w:r>
        <w:rPr>
          <w:rFonts w:ascii="Amiri" w:hAnsi="Amiri" w:eastAsia="Amiri" w:cs="Amiri"/>
          <w:color w:val="111111"/>
          <w:sz w:val="28"/>
          <w:sz w:val="28"/>
          <w:szCs w:val="28"/>
          <w:rtl w:val="true"/>
          <w:lang w:bidi="ar-SA"/>
        </w:rPr>
        <w:t>، والوجه وجهك، والسفر إليك، وقد اطَّلَعْتَ على ما لم يَطَّلع عليه أحدٌ غيرُك، فاجْعَلْ سَفَري هذا كفارةً لِما قَبْلَه مِنْ ذنوبي، وكُنْ عوناً لي عليه، واكفني وَعْتَه ومَشَقَّتَه ولَقَنِّي مِنَ القول والعمل رضاك؛ فإنّما أنا عبدك وبك ولَك</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ينوي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أتوجَّهُ إلى البيت الحرام والمشاعر العظام لأعْتَمِر عمرة الإسلام عمرة التمتّع وأحُجَّ حجّ الإسلام حجّ التمتّع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وليَخْرُج مُتَحَنِّكاً لِيَرْجِعَ إلى أهله سالِماً متطهِّراً لِتُقضى حاجته، فإذا وَضَعَ رِجلَه في الركاب فليَقُلْ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باسم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استوى على راحلته فليَقُلْ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هدانا للإسلام، ومَنَّ علينا،بمحمّد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سُبْحانَ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سَخَّرَ لَنَا هَذَا وَمَا كُنَّا لَهُ مُقْرِنِينَ وَإِنَّا إِلَى رَبِّنَا لَمُنقَلِبُونَ</w:t>
      </w:r>
      <w:r>
        <w:rPr>
          <w:rFonts w:eastAsia="Amiri" w:cs="Amiri" w:ascii="Amiri" w:hAnsi="Amiri"/>
          <w:color w:val="111111"/>
          <w:sz w:val="28"/>
          <w:szCs w:val="28"/>
          <w:rtl w:val="true"/>
          <w:lang w:bidi="ar-SA"/>
        </w:rPr>
        <w:t>»</w:t>
      </w:r>
      <w:r>
        <w:rPr>
          <w:rStyle w:val="FootnoteAnchor"/>
          <w:rtl w:val="true"/>
        </w:rPr>
        <w:footnoteReference w:id="862"/>
      </w:r>
      <w:r>
        <w:rPr>
          <w:rFonts w:ascii="Amiri" w:hAnsi="Amiri" w:eastAsia="Amiri" w:cs="Amiri"/>
          <w:color w:val="111111"/>
          <w:sz w:val="28"/>
          <w:sz w:val="28"/>
          <w:szCs w:val="28"/>
          <w:rtl w:val="true"/>
          <w:lang w:bidi="ar-SA"/>
        </w:rPr>
        <w:t xml:space="preserve">والحمد للّه ربِّ العالمين، اللّهم أنت الحامل على الظهر، والمُسْتَعانُ على الأمر، اللّهم بلغنا بلاغاً يُبَلِّغُ إلى خير، بلاغاً يُبَلِّغُ إلى مغفرتِك ورضوانك اللّهم لا طير إلّا طيرُكَ، لا خير إلّا خيرك، ولا حافظ غيرُك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وينبغي أَنْ يَخْرُج رَبثَ</w:t>
      </w:r>
      <w:r>
        <w:rPr>
          <w:rStyle w:val="FootnoteAnchor"/>
          <w:rtl w:val="true"/>
        </w:rPr>
        <w:footnoteReference w:id="864"/>
      </w:r>
      <w:r>
        <w:rPr>
          <w:rFonts w:ascii="Amiri" w:hAnsi="Amiri" w:eastAsia="Amiri" w:cs="Amiri"/>
          <w:color w:val="111111"/>
          <w:sz w:val="28"/>
          <w:sz w:val="28"/>
          <w:szCs w:val="28"/>
          <w:rtl w:val="true"/>
          <w:lang w:bidi="ar-SA"/>
        </w:rPr>
        <w:t>ّ الهيئةِ أَقْرَبَ إلى الشَعَثِ مُلازماً ذلك في السفر، فخيرُ الحاجّ الشعِثُ التَفِث</w:t>
      </w:r>
      <w:r>
        <w:rPr>
          <w:rStyle w:val="FootnoteAnchor"/>
          <w:rtl w:val="true"/>
        </w:rPr>
        <w:footnoteReference w:id="86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لملائكته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أنظروا إلى زُوّار بَيْتِي قد جاؤوني شُعْثاً غُبراً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فَجٍّ عَمِيقٍ</w:t>
      </w:r>
      <w:r>
        <w:rPr>
          <w:rFonts w:eastAsia="Amiri" w:cs="Amiri" w:ascii="Amiri" w:hAnsi="Amiri"/>
          <w:color w:val="111111"/>
          <w:sz w:val="28"/>
          <w:szCs w:val="28"/>
          <w:rtl w:val="true"/>
          <w:lang w:bidi="ar-SA"/>
        </w:rPr>
        <w:t>»</w:t>
      </w:r>
      <w:r>
        <w:rPr>
          <w:rStyle w:val="FootnoteAnchor"/>
          <w:rtl w:val="true"/>
        </w:rPr>
        <w:footnoteReference w:id="866"/>
      </w:r>
      <w:r>
        <w:rPr>
          <w:rFonts w:ascii="Amiri" w:hAnsi="Amiri" w:eastAsia="Amiri" w:cs="Amiri"/>
          <w:color w:val="111111"/>
          <w:sz w:val="28"/>
          <w:sz w:val="28"/>
          <w:szCs w:val="28"/>
          <w:rtl w:val="true"/>
          <w:lang w:bidi="ar-SA"/>
        </w:rPr>
        <w:t>أَشْهِدُكم أنّي قد غَفَرْتُ لهم</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يَرْكَبَ الراحلة دونَ المَحْمِلِ إلّا لِعذرٍ؛ تأسياً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حجّ على راحلته وكان تحتَه رَحْلٌ رثُّ وقَطِيفةٌ خَلِقَةٌ قيمته أربعه دراهم، وطاف على الراحلةِ لِيَنْظُرَ </w:t>
      </w:r>
      <w:bookmarkStart w:id="526" w:name="pg10113_92181"/>
    </w:p>
    <w:p>
      <w:pPr>
        <w:pStyle w:val="BookText"/>
        <w:rPr/>
      </w:pPr>
      <w:bookmarkEnd w:id="526"/>
      <w:r>
        <w:rPr>
          <w:rFonts w:ascii="Amiri" w:hAnsi="Amiri" w:eastAsia="Amiri" w:cs="Amiri"/>
          <w:color w:val="111111"/>
          <w:sz w:val="28"/>
          <w:sz w:val="28"/>
          <w:szCs w:val="28"/>
          <w:rtl w:val="true"/>
          <w:lang w:bidi="ar-SA"/>
        </w:rPr>
        <w:t>الناس،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يَمْشِي مع القدرة؛ فإنّ ذلك أفْضَلُ وأدْخَلُ في الإذعانِ لعبوديّة اللّه تعالى، اللّهمَّ إِلَّا أَنْ يُنافِيَ ما هو أفضلُ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يَرْفُق بالدابَّة ولا يُحملها ما لا تُطِيقُ، وأنْ يَنْزِلَ عنها غُدْوَةً وَعَشِيَّةٌ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يُصَلِّيَ في كلّ منزلٍ ركعتين عند النزول والارتحال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يقول عند مشاهدة المنازل والقُرى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السماء وما أظَلَّتْ، وربَّ الأرض وما أقلَّتْ وربَّ الرياح وما ذَرَتْ، وربَّ الأنهار وما جَرَتْ، عرّفنا خير هذه القرية وخير أهلها، وأعِذْنا مِن شرِّها وشرِّ أهلها، إنك على كلّ شيءٍ قدير</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يكونَ طَيِّبَ النفس بما يُنْفِقُه وبما يُصِيبُهُ مُتَعَوِّضاً عنه بما عند اللّه، فإنّ ذلك من علامة قبول الحجّ</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375533_1067777946"/>
      <w:bookmarkStart w:id="528" w:name="_Toc175"/>
      <w:bookmarkEnd w:id="527"/>
      <w:r>
        <w:rPr>
          <w:rtl w:val="true"/>
        </w:rPr>
        <w:t>إحضار القلب في حركاته وسكناته</w:t>
      </w:r>
      <w:bookmarkEnd w:id="528"/>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يُحْضِرَ قلبه في حركاته وسكناته؛ فإنّه روح العبادة فيَتَبَيَّنُ له بذلك أنّ هذا السفر مثال لسفر الآخرة ؛ فيَتَذَكَّرُ بوصيّته قبل السفر وجَمْعِ أهلِهِ اجتماعهم على وصيّته عند إشرافه على لقاء اللّه تعالى؛ وبتهيئته الزاد والراحلةَ وملاحظة الاحتياج إليهما والتعرُّض للهلاك عند التقصير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قصرِ هذا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احتياجه إلى ذلك في سفر الآخرة، وَتَعرُّضَه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وقوعه في الهلاك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التقصير في زاده من الأعمال الصالحة والتوجُّهات المُخْلِصة الناجحة؛ وبذِلَّتِهِ وانكساره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مشاهَدَةِ ذَوِي الأخطار العظيمة والثروة الجسيمة مع نُفودِ زاده ونفوق راحلته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يَلْقاه المُقَصِّرُ مِن الذُّلّ والانكسار حين تجتمع الخلائق ببضائع</w:t>
      </w:r>
      <w:r>
        <w:rPr>
          <w:rStyle w:val="FootnoteAnchor"/>
          <w:rtl w:val="true"/>
        </w:rPr>
        <w:footnoteReference w:id="870"/>
      </w:r>
      <w:r>
        <w:rPr>
          <w:rFonts w:ascii="Amiri" w:hAnsi="Amiri" w:eastAsia="Amiri" w:cs="Amiri"/>
          <w:color w:val="111111"/>
          <w:sz w:val="28"/>
          <w:sz w:val="28"/>
          <w:szCs w:val="28"/>
          <w:rtl w:val="true"/>
          <w:lang w:bidi="ar-SA"/>
        </w:rPr>
        <w:t xml:space="preserve">الآخرة والمتاجِرِ الفاخرة، وهو مُفْلِسٌ مِن </w:t>
      </w:r>
    </w:p>
    <w:p>
      <w:pPr>
        <w:pStyle w:val="BookText"/>
        <w:rPr/>
      </w:pPr>
      <w:r>
        <w:rPr>
          <w:rFonts w:ascii="Amiri" w:hAnsi="Amiri" w:eastAsia="Amiri" w:cs="Amiri"/>
          <w:color w:val="111111"/>
          <w:sz w:val="28"/>
          <w:sz w:val="28"/>
          <w:szCs w:val="28"/>
          <w:rtl w:val="true"/>
          <w:lang w:bidi="ar-SA"/>
        </w:rPr>
        <w:t>الأعمال مُضَيِّعٌ نفسَه بسابق الإهمال، إلى غير ذلك من التنبيهات إلى آخر الأفعال، وستأتي جملةٌ منها في الخاتمة إن شاء اللّه تعالى</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وقاعدةُ ذلك كلّه ومرجعُه إلى ما روي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أردتَ الحجّ فجرِّد قلبك للّه تعالى من كلّ شاغل وحجاب كلّ حاجب؛ وفَوِّضُ أُمورَك كلها إلى خالقك؛ وتوكَّلْ عليه في جميع ما يظهر من حركاتك وسكناتك؛ وسَلّمْ لقضائه وحُكْمه وقَدَرِه؛ وودّع الدنيا والراحة والخَلْقَ؛ واخْرُجْ مِن حقوق تَلْزَمُكَ مِن جهة المخلوقين؛ ولا تَعْتَمِد على زادك وراحلتك وأصحابك وقُوَّتِك وشبابك ومالك، مخافة أَنْ يَصِيرَ ذلك </w:t>
      </w:r>
      <w:r>
        <w:rPr>
          <w:rStyle w:val="FootnoteAnchor"/>
          <w:rtl w:val="true"/>
        </w:rPr>
        <w:footnoteReference w:id="871"/>
      </w:r>
      <w:r>
        <w:rPr>
          <w:rFonts w:ascii="Amiri" w:hAnsi="Amiri" w:eastAsia="Amiri" w:cs="Amiri"/>
          <w:color w:val="111111"/>
          <w:sz w:val="28"/>
          <w:sz w:val="28"/>
          <w:szCs w:val="28"/>
          <w:rtl w:val="true"/>
          <w:lang w:bidi="ar-SA"/>
        </w:rPr>
        <w:t>عَدُوّاً ووبالاً، فإنّ مَنْ ادَّعى رِضى اللّه واعْتَمَدَ على ما سواه صَيَّرَه عليه وبالاً وعدُوّاً، ليعلم أنه ليس له قوّةً ولا حيلة، ولا لأحدٍ إلّا بعصمة اللّه تعالى وتوفيقه؛ واسْتَعِدَّ استعدادَ مَنْ لا يَرجو الرجوع؛ وأحْسِنِ الصُحْبة؛ وراعٍ أوقات فرائض اللّه وسُنَنِ نبيّه، وما يجب عليك من الأدب والاحتمال والصبر والشكر والشفَقَةِ والسخاء وإيثار الزادِ على دوام الأوقاتِ؛ ثمّ اغْسِلْ بماء التوبة الخالصة ذُنوبك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والْبَش كسوة</w:t>
      </w:r>
      <w:r>
        <w:rPr>
          <w:rStyle w:val="FootnoteAnchor"/>
          <w:rtl w:val="true"/>
        </w:rPr>
        <w:footnoteReference w:id="872"/>
      </w:r>
      <w:r>
        <w:rPr>
          <w:rFonts w:ascii="Amiri" w:hAnsi="Amiri" w:eastAsia="Amiri" w:cs="Amiri"/>
          <w:color w:val="111111"/>
          <w:sz w:val="28"/>
          <w:sz w:val="28"/>
          <w:szCs w:val="28"/>
          <w:rtl w:val="true"/>
          <w:lang w:bidi="ar-SA"/>
        </w:rPr>
        <w:t xml:space="preserve">الصدق والصفاء والخضوع والخشوع؛ وأحْرِم من كلّ شيءٍ يَمْنَعُك عن ذكر اللّه تعالى ويَحْجُبُك عن طاعته؛ ولَبِّ بمعنى إجابة صافية خالصة زاكية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دعوتك مُتَمَسِّكاً بالعروة الوثقى؛ وطُفْ بقلبك مع الملائكة حولَ العرش كطوافك الملائكة حول العرش كطوافك مع المسلمين بنفسك حول البيت؛ وهَرْوِلْ هَرولةً مِن هَواك وتبرؤاً مِن حولك وقوتك، واخْرُجْ مِنْ غَفْلَتِك وزَلّاتِك بخروجك إلى مِنِّي، ولا تَتَمَنَّ ما لا يَحِلُّ لك ولا تَسْتَحِقُه؛ واعترف بالخطايا بعرفات؛ وجَدِّدْ عهدَك عند اللّه تعالى بوحدانيته وتقرَّبْ إليه واتَّقِه بمُزْدَلِفَة؛ واصْعَدْ بروحك إلى الملإ الأعلى بصعودك إلى الجبل، واذْبَحِ الهوى والطمع عند الذبيحة؛ وَارمِ الشهواتِ والخَساسة والدناءة والذميمة عندَ رَمْي الجَمَراتِ واحْلَقِ العيوبَ الظاهرة </w:t>
      </w:r>
      <w:bookmarkStart w:id="529" w:name="pg10113_92183"/>
    </w:p>
    <w:p>
      <w:pPr>
        <w:pStyle w:val="BookText"/>
        <w:rPr/>
      </w:pPr>
      <w:bookmarkEnd w:id="529"/>
      <w:r>
        <w:rPr>
          <w:rFonts w:ascii="Amiri" w:hAnsi="Amiri" w:eastAsia="Amiri" w:cs="Amiri"/>
          <w:color w:val="111111"/>
          <w:sz w:val="28"/>
          <w:sz w:val="28"/>
          <w:szCs w:val="28"/>
          <w:rtl w:val="true"/>
          <w:lang w:bidi="ar-SA"/>
        </w:rPr>
        <w:t>والباطنةَ بِحَلْقٍ شَعْرِك؛ وادخُلْ في أمان اللّه تعالى وكَنَفَه وسَتْرِه وكلاءته من متابعة مرادك بدخولك الحرم؛ ودر حولَ البيت مُتَحققاً لتعظيم صاحبه ومعرفة جلاله وسلطانه؛ واسْتَلِمِ الحَجَرَ رضى بقسمته وخضوعاً لعزَّته؛ ووَدِّعْ ماسواه بطواف الوداع، وأصْفِ روحك وسِرَّك للقائه يومَ تَلْقاه بوقوفك على الصفاء وكُنْ بِمَرأى من اللّه عند المَروة؛ واسْتَقِمْ على شرط حجّك هذا ووفاء عهدك الذي عاهَدتَ مع ربِّك، وأوْجَبْتَه له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بأنّ اللّه تعالى لم يفترض الحجّ ولم يَخُصَّه من جميع الطاعات بالإضافة إلى نفسه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w:t>
      </w:r>
      <w:r>
        <w:rPr>
          <w:rStyle w:val="FootnoteAnchor"/>
          <w:rtl w:val="true"/>
        </w:rPr>
        <w:footnoteReference w:id="873"/>
      </w:r>
      <w:r>
        <w:rPr>
          <w:rFonts w:ascii="Amiri" w:hAnsi="Amiri" w:eastAsia="Amiri" w:cs="Amiri"/>
          <w:color w:val="111111"/>
          <w:sz w:val="28"/>
          <w:sz w:val="28"/>
          <w:szCs w:val="28"/>
          <w:rtl w:val="true"/>
          <w:lang w:bidi="ar-SA"/>
        </w:rPr>
        <w:t>إلّا للاستعانة على الموت والقبر والبَعْثِ والقيامة والجنّة والنار بمشاهَدَة</w:t>
      </w:r>
      <w:r>
        <w:rPr>
          <w:rStyle w:val="FootnoteAnchor"/>
          <w:rtl w:val="true"/>
        </w:rPr>
        <w:footnoteReference w:id="874"/>
      </w:r>
      <w:r>
        <w:rPr>
          <w:rFonts w:ascii="Amiri" w:hAnsi="Amiri" w:eastAsia="Amiri" w:cs="Amiri"/>
          <w:color w:val="111111"/>
          <w:sz w:val="28"/>
          <w:sz w:val="28"/>
          <w:szCs w:val="28"/>
          <w:rtl w:val="true"/>
          <w:lang w:bidi="ar-SA"/>
        </w:rPr>
        <w:t>مَناسِكِ الحجّ مِن أوَّلها إلى آخرها، وفي ذلك عبرة لأولي الألباب والنهى</w:t>
      </w:r>
      <w:r>
        <w:rPr>
          <w:rFonts w:eastAsia="Amiri" w:cs="Amiri" w:ascii="Amiri" w:hAnsi="Amiri"/>
          <w:color w:val="111111"/>
          <w:sz w:val="28"/>
          <w:szCs w:val="28"/>
          <w:rtl w:val="true"/>
          <w:lang w:bidi="ar-SA"/>
        </w:rPr>
        <w:t>»</w:t>
      </w:r>
      <w:r>
        <w:rPr>
          <w:rStyle w:val="FootnoteAnchor"/>
          <w:rtl w:val="true"/>
        </w:rPr>
        <w:footnoteReference w:id="8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4"/>
        <w:numPr>
          <w:ilvl w:val="3"/>
          <w:numId w:val="1"/>
        </w:numPr>
        <w:rPr/>
      </w:pPr>
      <w:bookmarkStart w:id="530" w:name="__RefHeading___Toc375535_1067777946"/>
      <w:bookmarkStart w:id="531" w:name="_Toc176"/>
      <w:bookmarkEnd w:id="530"/>
      <w:r>
        <w:rPr>
          <w:rtl w:val="true"/>
        </w:rPr>
        <w:t>أنواع الحجّ</w:t>
      </w:r>
      <w:bookmarkEnd w:id="531"/>
    </w:p>
    <w:p>
      <w:pPr>
        <w:pStyle w:val="BookText"/>
        <w:rPr/>
      </w:pPr>
      <w:r>
        <w:rPr>
          <w:rFonts w:ascii="Amiri" w:hAnsi="Amiri" w:eastAsia="Amiri" w:cs="Amiri"/>
          <w:color w:val="111111"/>
          <w:sz w:val="28"/>
          <w:sz w:val="28"/>
          <w:szCs w:val="28"/>
          <w:rtl w:val="true"/>
          <w:lang w:bidi="ar-SA"/>
        </w:rPr>
        <w:t>ولْنَشْرَعِ الآن في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 الحجّ ثلاثة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 وقران وإفراد، فالتمتّع فَرْضُ مَنْ نأى عن مكّة بثمانية وأربعين ميلاً، والآخرانِ فَرْضُ حاضريها ومن في حكمهم والفرق بينها أنّ التمتّع تقدّم فيه العمرةُ على الحجّ، وليس في عُمرته طواف النساء بخلافهما، ويَخْتَصَّانِ عنه أيضاً بجواز تقديم طواف الحجّ على الخروج إلى عرفة لغير عذر والفرق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اشتراكهما في تلك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عقدِ إحرام الإفراد في التلبية، والتخيير في القرآن بينهما وبَيْنَ سياق الهَدْي</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تقرّر ذلك فأفعالُ عُمْرة التمتّع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والتلبية ولبس ثوبي الإحرام والطوافُ وركعتاه والسعيُ والتقصيرُ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وأفعالُ عُمرة الإفراد جميع ذلك مع طواف النساء بعد التقصير ورَكْعَتَيْه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وأفعالُ الحجّ بأنواعه سِتَّةَ عَشَرَ الإحرام والتلبية واللبسُ والوقوف بعرفة والمبيتُ بالمشعر والوقوفُ به ورَمْيُ جَمْرة العَقَبَةِ والذَبْحُ والحَلْقُ والتقصيرُ وطَوافُ الحجّ وركعتاه والسعي وطواف النساء وركعتاه والمبيتُ بِمَنِّى ليالي التشريق ورَمْيُ الجَمَراتِ الثلاث</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والأركانُ من ذلك أَحَدَ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الإحرامانِ والتلبيتان والطوافان والسعيان والوقوفانِ والترتيب بين الأفعال، والمراد بالركن هنا ما يَبْطُلُ الحجّ بتركه عمداً لا سهواً، إلّا أن يكون الفائتُ الوقوفين فيبطل وإن كان سهواً، ولا يَبْطُلُ بقوات باقي الأفعال وإن كان عمداً</w:t>
      </w:r>
      <w:r>
        <w:rPr>
          <w:rFonts w:eastAsia="Amiri" w:cs="Amiri" w:ascii="Amiri" w:hAnsi="Amiri"/>
          <w:color w:val="111111"/>
          <w:sz w:val="28"/>
          <w:szCs w:val="28"/>
          <w:rtl w:val="true"/>
          <w:lang w:bidi="ar-SA"/>
        </w:rPr>
        <w:t xml:space="preserve">. </w:t>
      </w:r>
      <w:bookmarkStart w:id="532" w:name="pg10113_92185"/>
    </w:p>
    <w:p>
      <w:pPr>
        <w:pStyle w:val="Heading4"/>
        <w:numPr>
          <w:ilvl w:val="3"/>
          <w:numId w:val="1"/>
        </w:numPr>
        <w:rPr/>
      </w:pPr>
      <w:bookmarkStart w:id="533" w:name="__RefHeading___Toc375537_1067777946"/>
      <w:bookmarkStart w:id="534" w:name="_Toc177"/>
      <w:bookmarkEnd w:id="532"/>
      <w:bookmarkEnd w:id="533"/>
      <w:r>
        <w:rPr>
          <w:rtl w:val="true"/>
        </w:rPr>
        <w:t>المقالةُ الأُولى في أفعال عمرة التمتّع</w:t>
      </w:r>
      <w:bookmarkEnd w:id="534"/>
    </w:p>
    <w:p>
      <w:pPr>
        <w:pStyle w:val="Heading5"/>
        <w:numPr>
          <w:ilvl w:val="4"/>
          <w:numId w:val="1"/>
        </w:numPr>
        <w:rPr/>
      </w:pPr>
      <w:bookmarkStart w:id="535" w:name="__RefHeading___Toc375539_1067777946"/>
      <w:bookmarkStart w:id="536" w:name="_Toc178"/>
      <w:bookmarkEnd w:id="535"/>
      <w:r>
        <w:rPr>
          <w:rtl w:val="true"/>
        </w:rPr>
        <w:t>إشارة</w:t>
      </w:r>
      <w:r>
        <w:rPr>
          <w:rtl w:val="true"/>
        </w:rPr>
        <w:t>:</w:t>
      </w:r>
      <w:bookmarkEnd w:id="536"/>
    </w:p>
    <w:p>
      <w:pPr>
        <w:pStyle w:val="BookText"/>
        <w:rPr/>
      </w:pPr>
      <w:r>
        <w:rPr>
          <w:rFonts w:ascii="Amiri" w:hAnsi="Amiri" w:eastAsia="Amiri" w:cs="Amiri"/>
          <w:color w:val="111111"/>
          <w:sz w:val="28"/>
          <w:sz w:val="28"/>
          <w:szCs w:val="28"/>
          <w:rtl w:val="true"/>
          <w:lang w:bidi="ar-SA"/>
        </w:rPr>
        <w:t>وفيها فصولٌ</w:t>
      </w:r>
      <w:r>
        <w:rPr>
          <w:rFonts w:eastAsia="Amiri" w:cs="Amiri" w:ascii="Amiri" w:hAnsi="Amiri"/>
          <w:color w:val="111111"/>
          <w:sz w:val="28"/>
          <w:szCs w:val="28"/>
          <w:rtl w:val="true"/>
          <w:lang w:bidi="ar-SA"/>
        </w:rPr>
        <w:t>:</w:t>
      </w:r>
    </w:p>
    <w:p>
      <w:pPr>
        <w:pStyle w:val="Heading5"/>
        <w:numPr>
          <w:ilvl w:val="4"/>
          <w:numId w:val="1"/>
        </w:numPr>
        <w:rPr/>
      </w:pPr>
      <w:bookmarkStart w:id="537" w:name="__RefHeading___Toc375541_1067777946"/>
      <w:bookmarkStart w:id="538" w:name="_Toc179"/>
      <w:bookmarkEnd w:id="537"/>
      <w:r>
        <w:rPr/>
        <w:t>1</w:t>
      </w:r>
      <w:r>
        <w:rPr>
          <w:rtl w:val="true"/>
        </w:rPr>
        <w:t xml:space="preserve"> – </w:t>
      </w:r>
      <w:r>
        <w:rPr>
          <w:rtl w:val="true"/>
        </w:rPr>
        <w:t>الإحرام</w:t>
      </w:r>
      <w:bookmarkEnd w:id="53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وتوابعه، وهو توطين النفس على تَرْكِ أُمورٍ مخصوصةٍ إلى أنْ يأتي بالمُحَلِّل، وسيأتي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التروك منها ما يَشْتَرِكُ بينَ الذَّكَرِ وغيره وهو سِنَّةَ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البَرِّ المُحَلَّل المُمْتَنِع بالأصالة وسِتَّةٍ مِن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والثَعْلَبِ والأرْنَبِ والضَبّ والیربوع والقُنْفُذ، اصطياداً وأكلاً وذَبْحاً ودلالةً وإغلاقاً، مباشَرَةً وتسبيباً ولو بإعارة الآلة، والاستمتاعُ بالجِماع ومقدِّماته حتّى العقد، والطيبُ بأنواعه شمّاً وسُعُوطاً واطّلاءً وكَحْلاً وصَبْغاً وغيرها، والاكتحال بالسواد، والادهانُ مطلقاً، وإخْراج الدم، وقلمُ الأظفار، وإزالةُ الشعر، وقطعُ الحشيش والشجر النابِتَيْنِ في الحرمِ إِلَّا الإِذْخِرَ والمَحالة وعُودَيْها وشجرَ الفواكه والنابت في ملكه والكَذِبُ مطلقاً، والجدال وهو الخَلْفُ مطلقاً، ولُبْسُ الخاتم، والحِنّاء للزينة لا للسنَّة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والفارقُ القصد، ولُبْسُ السلاح اختياراً، وقتل هوام الجَسَدِ كالقَمْل، والنظرُ في المرآة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يَخْتَصُّ بالرجل، وهو لُبْسُ المَخِيط وإنْ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المِنْطَقَةِ والهمْيانِ، ويَلْحَقُ به الزِرُّ والخِلالُ وما أحاط بالبدن من اللبد والدرع المنسوج وغيرهما مما أشبه المخيط، والتظليلُ سائراً اختياراً ولا يَحْرُمُ المشي في ظلِّ المَحْمِل ولا المرورُ تحتَ الظَّلِّ، وتَغطية الرأس ولو بالارتماس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اختصاصه بتحريم سَتْر ظَهْر القَدَمِ بالخُفّ ونحوه أو عموم التحريم قولان</w:t>
      </w:r>
      <w:r>
        <w:rPr>
          <w:rStyle w:val="FootnoteAnchor"/>
          <w:rtl w:val="true"/>
        </w:rPr>
        <w:footnoteReference w:id="876"/>
      </w:r>
      <w:r>
        <w:rPr>
          <w:rFonts w:ascii="IRNazanin" w:hAnsi="IRNazanin" w:eastAsia="IRNazanin"/>
          <w:color w:val="111111"/>
          <w:sz w:val="28"/>
          <w:sz w:val="28"/>
          <w:szCs w:val="28"/>
          <w:rtl w:val="true"/>
          <w:lang w:bidi="fa-IR"/>
        </w:rPr>
        <w:t>أقربهما الأوّل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ومنها ما يَخْتَصُّ بالمرأة، وهو تغطية الوجه إلّا القدر الذي يتوقّف عليه تغطية الرأس فيَحْرُمُ عليها النقاب ونحوه، ويجوز لها أنْ تَسْدُلَ قِناعَها بحيث لا يُصيب وجهَها، ولُبْسُ ما لم تَعْتَدُه مِن الحَلْي وما اعتادته بقصد الزينة لا بدونها، لكنْ يَحْرُمُ عليها إظهاره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والخُنثى المُشكِلُ في ذلك كالرَجُل إلّا في كَشفِ الرأسِ فيَتَخَيَّرُ بينه وبين كشف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في الإحرام إيقاعه في أحد المواقيت التي وَقَتَها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مسجد الشجرة لأهل المدينة ومن اجتاز بها، والجُحْفَةُ لأهل المصر والشام إنْ مَروا بها، ويَلَمْلَمُ لأهل اليمنِ، وقَرْنُ المنازل لأهل الطائف والعَقِيقُ لأهل العراق وهو المَسْلَخُ وذاتُ عِرْقٍ وما بينهما، وأفضله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منزله دون الميقات فميقاته منزله، ولو سَلَكَ طريقاً لا يَمُرُّ بميقاتٍ أَحْرَمَ، أَحْرَمَ عند محاذاة الميقات ولو ظنّاً، ولا فرق في ذلك بين البَرِّ والبحر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المواقيتُ لحجّ القرآنِ والإفراد ولعمرة التمتّع وللمفردة إذا مَرَّ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بمكة خرج لها إلى أدنى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وميقات حجّ التمتّع اختياراً مكّة، وأفضلها المسجد وأفضله المَقامُ أو تحت المِيزاب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أيضاً في غير عمرة الإفراد وقوعه في أشهر الحجّ وهي شوّال وذو القعدة وذو الحِجَّةِ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قبل الإحرام تَوْفِيرُ شَعْرِ الرأس من أوَّل ذي القعدة، ويَتَأكَّدُ عندَ هِلال ذي الحجّة، واستكمال التنظيف عنده بإزالة شعر الإبط</w:t>
      </w:r>
      <w:r>
        <w:rPr>
          <w:rStyle w:val="FootnoteAnchor"/>
          <w:rtl w:val="true"/>
        </w:rPr>
        <w:footnoteReference w:id="877"/>
      </w:r>
      <w:r>
        <w:rPr>
          <w:rFonts w:ascii="Amiri" w:hAnsi="Amiri" w:eastAsia="Amiri" w:cs="Amiri"/>
          <w:color w:val="111111"/>
          <w:sz w:val="28"/>
          <w:sz w:val="28"/>
          <w:szCs w:val="28"/>
          <w:rtl w:val="true"/>
          <w:lang w:bidi="ar-SA"/>
        </w:rPr>
        <w:t xml:space="preserve">والعانِة بالحَلْقِ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منه الاطّلاءُ</w:t>
      </w:r>
      <w:r>
        <w:rPr>
          <w:rStyle w:val="FootnoteAnchor"/>
          <w:rtl w:val="true"/>
        </w:rPr>
        <w:footnoteReference w:id="878"/>
      </w:r>
      <w:r>
        <w:rPr>
          <w:rFonts w:ascii="Amiri" w:hAnsi="Amiri" w:eastAsia="Amiri" w:cs="Amiri"/>
          <w:color w:val="111111"/>
          <w:sz w:val="28"/>
          <w:sz w:val="28"/>
          <w:szCs w:val="28"/>
          <w:rtl w:val="true"/>
          <w:lang w:bidi="ar-SA"/>
        </w:rPr>
        <w:t xml:space="preserve">وإنْ كان مُطَّلِباً قبل ذلك، ما لم يَقْصُرْ وقته عن خَمْسَةَ عَشَرَ يوماً فلا يتأكد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 الأظفار وإزالةِ الشَعَثِ، والغُسْلُ على الأقوى، ويُجزِئُ غُسلُ النهارِ </w:t>
      </w:r>
    </w:p>
    <w:p>
      <w:pPr>
        <w:pStyle w:val="BookText"/>
        <w:rPr/>
      </w:pPr>
      <w:r>
        <w:rPr>
          <w:rFonts w:ascii="Amiri" w:hAnsi="Amiri" w:eastAsia="Amiri" w:cs="Amiri"/>
          <w:color w:val="111111"/>
          <w:sz w:val="28"/>
          <w:sz w:val="28"/>
          <w:szCs w:val="28"/>
          <w:rtl w:val="true"/>
          <w:lang w:bidi="ar-SA"/>
        </w:rPr>
        <w:t>ليومه والليل لليلته ما لم ينم أو يُحْدِث أو يَأكُل أو يَتَطيِّب أو يَلْبَش ما يَحْرُم على المُحْرِم فيُعيده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تَعَذَّرَ الغُسْلُ 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خافَ عَوْزُ الماء في الميقات قَدَّمَه في أقرب أوقات الإمكان إليه، ثمّ يَلْبَسُ ثوبي الإحرام، وسيأتي بيانهما، ثم يُصلّي سُنةَ الإحرام وهي ستُّ ركعات أو أربعٌ أو ركعتان، ثمّ يُصلِّي الفريضة الحاضرة إنْ كانَتْ وأفضلها الظهر، وإلّا قضى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ونيّة الغُسل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أغْتَسِلُ غُسل الإحرام لندبه 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ونيّة السنّة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أُصلي ركعتين مِنْ سُنّة الإحرام لنَدْبهما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النيّة عند نزع المخيط ولُبس الثوبين، وليستْ شرطاً في الصحّة وإن توقَّفَ عليها الثوابُ، فينوي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أنزعُ المَخيط لوجوبه قربةً إلى اللّه، ألْبَسُ تَوْبَي الإحرام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ونيّة الإحرام بالعمرة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أُحرِمُ بالعمرة المُتَمَتَّع بها إلى حجّ الإسلام حجّ التمتّع، وأُلَبِّي التلبياتِ الأربع لعقد هذا الإحرام لوجوب الجميع 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ويُقارِنُ بها التلبية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إنّ الحمد والنِعْمَةَ والمُلك لك، لا شريك لك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النيّة هي القصد إلى الفعل المعيَّن المتَّصِفِ بالأوصاف المذكورة فلابدّ من معرفة المكلّف بمعانيها ليتحقّق القصدُ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أُحْرِمُ أي أُوطِّنُ نفسي على ترك الأُمور المذكورة سابقاً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والعُمرة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البيت مع أداء مناسك مخصوصةٍ، وتُطلقُ على مجموع تلك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العمرة</w:t>
      </w:r>
      <w:r>
        <w:rPr>
          <w:rFonts w:eastAsia="Amiri" w:cs="Amiri" w:ascii="Amiri" w:hAnsi="Amiri"/>
          <w:color w:val="111111"/>
          <w:sz w:val="28"/>
          <w:szCs w:val="28"/>
          <w:rtl w:val="true"/>
          <w:lang w:bidi="ar-SA"/>
        </w:rPr>
        <w:t>»</w:t>
      </w:r>
      <w:r>
        <w:rPr>
          <w:rStyle w:val="FootnoteAnchor"/>
          <w:rtl w:val="true"/>
        </w:rPr>
        <w:footnoteReference w:id="879"/>
      </w:r>
      <w:r>
        <w:rPr>
          <w:rFonts w:ascii="Amiri" w:hAnsi="Amiri" w:eastAsia="Amiri" w:cs="Amiri"/>
          <w:color w:val="111111"/>
          <w:sz w:val="28"/>
          <w:sz w:val="28"/>
          <w:szCs w:val="28"/>
          <w:rtl w:val="true"/>
          <w:lang w:bidi="ar-SA"/>
        </w:rPr>
        <w:t>الحجّ والمتمتّع بها إلى الحجّ أي التي يَتَخَلَّلُ بينها وبين الحجّ راحةً وتحلل مُسْتَمِرُّ من الفراغ منها إلى أنْ يَشْتَغِل بالحجِّ، وبهذا القيد تَتَمَيَّز عن العمرة المفردة؛ فإنّها تقع بعد الحجّ أو</w:t>
      </w:r>
      <w:r>
        <w:rPr>
          <w:rStyle w:val="FootnoteAnchor"/>
          <w:rtl w:val="true"/>
        </w:rPr>
        <w:footnoteReference w:id="880"/>
      </w:r>
      <w:r>
        <w:rPr>
          <w:rFonts w:ascii="Amiri" w:hAnsi="Amiri" w:eastAsia="Amiri" w:cs="Amiri"/>
          <w:color w:val="111111"/>
          <w:sz w:val="28"/>
          <w:sz w:val="28"/>
          <w:szCs w:val="28"/>
          <w:rtl w:val="true"/>
          <w:lang w:bidi="ar-SA"/>
        </w:rPr>
        <w:t xml:space="preserve">غيرَ مُرْتَبِطةٍ به، وبقيد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تخرج العمرة المتمتَّع بها إلى حجّ النذر وشبهه، ولوجوب الجميع إشارةٌ إلى الوجه الذي يقع عليه الفعلُ وبه يَمْتاز عن المندوب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غاية الفعل المتعبَّدِ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والمرادُ بالقربة إليه سبحانه موافقةُ إرادته والتقرُّبُ إلى رضاه تعالى لا القربُ المكاني والزماني، لتنزُّهِه تعالى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وأُوثِرُ هذه الصيغةَ لورودها كثيراً في الكتاب والسنّة، ولو اقْتَصَرَ على جَعْلها للّه تعالى 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في التلبية مقارنتها للنيّة كتكبيرة الإحرام بالنسبة إلى نيّة الصلاة، وترتيبُها على الوجه المذكور، وموالاتُها وإعرابُها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لبّيك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إجابةً بعد إجابة لك ياربِّ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إخلاصاً بعد 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على طاعتك بعد 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وفتحها، والأوّل أجود</w:t>
      </w:r>
      <w:r>
        <w:rPr>
          <w:rStyle w:val="FootnoteAnchor"/>
          <w:rtl w:val="true"/>
        </w:rPr>
        <w:footnoteReference w:id="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الخبر أنّ هذه التلبية جوابٌ للنداء المذكور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فِي النَّاسِ بِالْحَجِّ</w:t>
      </w:r>
      <w:r>
        <w:rPr>
          <w:rFonts w:eastAsia="Amiri" w:cs="Amiri" w:ascii="Amiri" w:hAnsi="Amiri"/>
          <w:color w:val="111111"/>
          <w:sz w:val="28"/>
          <w:szCs w:val="28"/>
          <w:rtl w:val="true"/>
          <w:lang w:bidi="ar-SA"/>
        </w:rPr>
        <w:t xml:space="preserve">» </w:t>
      </w:r>
      <w:r>
        <w:rPr>
          <w:rStyle w:val="FootnoteAnchor"/>
          <w:rtl w:val="true"/>
        </w:rPr>
        <w:footnoteReference w:id="882"/>
      </w:r>
      <w:r>
        <w:rPr>
          <w:rFonts w:ascii="Amiri" w:hAnsi="Amiri" w:eastAsia="Amiri" w:cs="Amiri"/>
          <w:color w:val="111111"/>
          <w:sz w:val="28"/>
          <w:sz w:val="28"/>
          <w:szCs w:val="28"/>
          <w:rtl w:val="true"/>
          <w:lang w:bidi="ar-SA"/>
        </w:rPr>
        <w:t xml:space="preserve">حيث صَعِدَ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قُبَيْسٍ ونادى بالحجِّ</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شريك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إرغامٌ لأنوف الجاهليّة الذين كانوا يُشْرِكونَ الأصنام والأوثان بالتلبية، وفي تكرارها بَعْثُ للقلب على الإقبال على خالص الأعمال وتلافٍ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من الإخلال بوظائف عبوديّة المَلِك المتعال كتكرار الركعات والتسبيحات والتكبيرات وغيرها من الأفعال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الإكثارُ منها ومن باقي التلبياتِ المستحبَّةِ خصوصاً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ذا المعارِج،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منها، ومن المستحبة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لبّيك ذا المعارج إلى دار السلام، لبّيك لبّيك غفّار الذنوبِ، لبّيك لبّيك أهلَ التلبية، لبّيك لبّيك ذا الجَلالِ والإكرام، لبّيك </w:t>
      </w:r>
    </w:p>
    <w:p>
      <w:pPr>
        <w:pStyle w:val="BookText"/>
        <w:rPr/>
      </w:pPr>
      <w:r>
        <w:rPr>
          <w:rFonts w:ascii="Amiri" w:hAnsi="Amiri" w:eastAsia="Amiri" w:cs="Amiri"/>
          <w:color w:val="111111"/>
          <w:sz w:val="28"/>
          <w:sz w:val="28"/>
          <w:szCs w:val="28"/>
          <w:rtl w:val="true"/>
          <w:lang w:bidi="ar-SA"/>
        </w:rPr>
        <w:t>لبّيك تُبْدِئُ والمعاد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لبّيك تَسْتَغْني ويُفْتَقَرُ إليك، لبّيك لبّيك مَرهوباً ومرغوباً إليك، لبّيك لبّيك إله الحقِّ، لبّيك لبّيك ذا النغماء وذا الفَضْلِ الحَسَنِ الجَميل، لبّيك لبّيك كَشَافَ الكُرَبِ العِظامِ، لبّيك لبّيك عبدك وابن عبديك، لبّيك لبّيك أَتَقَرَّبُ إِليك بمحمّدٍ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ياكريمُ لبّيك، لبّيك بالعمرة المتمتَّع بها إلى الحجّ لبّيك</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كان لإحرام الحجّ قال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مميزاته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في الثوبينِ صحّة الصلاة فيهما اختياراً، فلا يُجْزِئ النَّجِسُ ولا الحريرُ المخضُ ولا جِلدُ غير المأكول، ولا الرقيق الذي يحكي العورة ولْيَأْتَزِرُ بأحدهما ويرتد بالآخر بأنْ يُغَطِّيَ به مِنْكَبَيْهِ أو يَتَوشّح به بأنْ يُغَطِّيَ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تَأدّتِ الوظيفتانِ بثوب طويل أجزأ عنهما</w:t>
      </w:r>
      <w:r>
        <w:rPr>
          <w:rFonts w:eastAsia="Amiri" w:cs="Amiri" w:ascii="Amiri" w:hAnsi="Amiri"/>
          <w:color w:val="111111"/>
          <w:sz w:val="28"/>
          <w:szCs w:val="28"/>
          <w:rtl w:val="true"/>
          <w:lang w:bidi="ar-SA"/>
        </w:rPr>
        <w:t>)</w:t>
      </w:r>
      <w:r>
        <w:rPr>
          <w:rStyle w:val="FootnoteAnchor"/>
          <w:rtl w:val="true"/>
        </w:rPr>
        <w:footnoteReference w:id="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عَقدُ الإزارِ دون الرداء، والزيادةُ عليهما للحاجة، وإبدالهما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الطوافُ في الأولين، وأن يكونا من القطن الأبيض، ويُكْرَهُ غَسْلُهما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تَوَسَّخا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وكونُهما غيرَ أَبيضَيْنِ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 لا يَمْنَعُ الإحرام، فلو اتَّفَقَ حالة الإحرام أحْرَمَتْ كذلك مِنْ غير غُسْلٍ</w:t>
      </w:r>
      <w:r>
        <w:rPr>
          <w:rStyle w:val="FootnoteAnchor"/>
          <w:rtl w:val="true"/>
        </w:rPr>
        <w:footnoteReference w:id="886"/>
      </w:r>
      <w:r>
        <w:rPr>
          <w:rFonts w:ascii="Amiri" w:hAnsi="Amiri" w:eastAsia="Amiri" w:cs="Amiri"/>
          <w:color w:val="111111"/>
          <w:sz w:val="28"/>
          <w:sz w:val="28"/>
          <w:szCs w:val="28"/>
          <w:rtl w:val="true"/>
          <w:lang w:bidi="ar-SA"/>
        </w:rPr>
        <w:t>ولا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ميقاتها مسجد الشجرة أحْرَمَتْ مِنْ خارجه أو مُجْتازةً به مع أمن التلويث</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لها أنْ تَلْبَسَ ثياباً طاهرةً حالة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أحْرَمَت نَزَعَتْها إن شاءت </w:t>
      </w:r>
      <w:r>
        <w:rPr>
          <w:rFonts w:eastAsia="Amiri" w:cs="Amiri" w:ascii="Amiri" w:hAnsi="Amiri"/>
          <w:color w:val="111111"/>
          <w:sz w:val="28"/>
          <w:szCs w:val="28"/>
          <w:rtl w:val="true"/>
          <w:lang w:bidi="ar-SA"/>
        </w:rPr>
        <w:t xml:space="preserve">- </w:t>
      </w:r>
      <w:bookmarkStart w:id="539" w:name="pg10113_92190"/>
    </w:p>
    <w:p>
      <w:pPr>
        <w:pStyle w:val="BookText"/>
        <w:rPr/>
      </w:pPr>
      <w:bookmarkEnd w:id="539"/>
      <w:r>
        <w:rPr>
          <w:rFonts w:ascii="Amiri" w:hAnsi="Amiri" w:eastAsia="Amiri" w:cs="Amiri"/>
          <w:color w:val="111111"/>
          <w:sz w:val="28"/>
          <w:sz w:val="28"/>
          <w:szCs w:val="28"/>
          <w:rtl w:val="true"/>
          <w:lang w:bidi="ar-SA"/>
        </w:rPr>
        <w:t>وأنْ تَسْتَثْفِرَ</w:t>
      </w:r>
      <w:r>
        <w:rPr>
          <w:rStyle w:val="FootnoteAnchor"/>
          <w:rtl w:val="true"/>
        </w:rPr>
        <w:footnoteReference w:id="887"/>
      </w:r>
      <w:r>
        <w:rPr>
          <w:rFonts w:ascii="Amiri" w:hAnsi="Amiri" w:eastAsia="Amiri" w:cs="Amiri"/>
          <w:color w:val="111111"/>
          <w:sz w:val="28"/>
          <w:sz w:val="28"/>
          <w:szCs w:val="28"/>
          <w:rtl w:val="true"/>
          <w:lang w:bidi="ar-SA"/>
        </w:rPr>
        <w:t>بَعدَ الحَشْوِ وتَتَنَظَّفَ ثمَّ تُحْرِمَ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تَرَكَتِ الإحرام لظنّها فَسادَه رَجَعَتْ إلى الميقات مع الإمكان، فإن تعذّر فمِنْ حيث أمْكَنَ ولو مِنْ أدنَى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طَهُرَتْ قبل وقتِ الطَوافِ فظاهرٌ، وإلّا أخَّرته وما بعدَه مِن الأفعال إلى أنْ تَطْهُرَ أو يَضِيقَ الوقتُ بالتلبس بالحجّ، فإنْ ضاقَ ولمّا تَطْهُرْ عَدَلَتْ إلى حجّ الإفراد، وَخَرَجَتْ إلى عَرَفَةَ بإحرامِها الأوّل، ثمّ اعْتَمَرَتْ بعد الحجّ عمرةً مفردةً وأجزأها عن فرضها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لوعَرَضَ الحَيضُ بعد الإحرام وقبل أن تطوف أربعة أشواط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عَرَضَ بعدَ أنْ طافَتِ الأربعةَ سَعَتْ وأكْمَلَتِ العمرة، وأخَّرَتْ بقيّة الطوافِ والصلاة إلى أنْ تَطْهُرَ</w:t>
      </w:r>
      <w:r>
        <w:rPr>
          <w:rFonts w:eastAsia="Amiri" w:cs="Amiri" w:ascii="Amiri" w:hAnsi="Amiri"/>
          <w:color w:val="111111"/>
          <w:sz w:val="28"/>
          <w:szCs w:val="28"/>
          <w:rtl w:val="true"/>
          <w:lang w:bidi="ar-SA"/>
        </w:rPr>
        <w:t>.</w:t>
      </w:r>
    </w:p>
    <w:p>
      <w:pPr>
        <w:pStyle w:val="Heading5"/>
        <w:numPr>
          <w:ilvl w:val="4"/>
          <w:numId w:val="1"/>
        </w:numPr>
        <w:rPr/>
      </w:pPr>
      <w:bookmarkStart w:id="540" w:name="__RefHeading___Toc375543_1067777946"/>
      <w:bookmarkStart w:id="541" w:name="_Toc180"/>
      <w:bookmarkEnd w:id="540"/>
      <w:r>
        <w:rPr/>
        <w:t>2</w:t>
      </w:r>
      <w:r>
        <w:rPr>
          <w:rtl w:val="true"/>
        </w:rPr>
        <w:t xml:space="preserve"> - </w:t>
      </w:r>
      <w:r>
        <w:rPr>
          <w:rtl w:val="true"/>
        </w:rPr>
        <w:t>الطواف</w:t>
      </w:r>
      <w:bookmarkEnd w:id="541"/>
    </w:p>
    <w:p>
      <w:pPr>
        <w:pStyle w:val="BookText"/>
        <w:rPr/>
      </w:pPr>
      <w:r>
        <w:rPr>
          <w:rFonts w:ascii="Amiri" w:hAnsi="Amiri" w:eastAsia="Amiri" w:cs="Amiri"/>
          <w:color w:val="111111"/>
          <w:sz w:val="28"/>
          <w:sz w:val="28"/>
          <w:szCs w:val="28"/>
          <w:rtl w:val="true"/>
          <w:lang w:bidi="ar-SA"/>
        </w:rPr>
        <w:t>الثاني في الطواف، وهي الحركة الدورية حول البيت على الوجه المخصوص للقربة، وله مقدِّماتٌ مَسنونةٌ وفُروضٌ وسُنَنٌ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عند دخول الحرم، ودخوله ماشياً حافياً ونعله بيده، فمَنْ فَعَلَ ذلك تواضعاً للّه تعالى محا اللّه عنه مائة ألفِ سَيِّئَةٍ، وكَتَبَ له مائة ألفِ حسنةٍ، وبَنى له مائة ألف درجةٍ، وقضى له مائة ألف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أبانُ بنُ تَغْلِبَ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والدعاء عند دخوله، فإذا أرادَ دخول مكّة اغْتَسَلَ أيضاً بالأَبْطحِ مِنْ بِئرٍ مَيْمُونٍ أو غيره، ولا يُحْدِثَ بعده حتّى يدخُلَها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الغُسل ثالثاً لدخول المسجد الحرام، ثمّ يدخله حافياً خاضعاً خاشعاً مِنْ باب بني شَيْبَةَ، وهو بإزاء باب السلام أدْخَلُ منه نحو المسجد، ويَقِفُ عنده ويقول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أيُّها النبيّ ورحمة اللّه وبركاته باسم اللّه وباللّه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اللّه و</w:t>
      </w:r>
      <w:r>
        <w:rPr>
          <w:rFonts w:eastAsia="Amiri" w:cs="Amiri" w:ascii="Amiri" w:hAnsi="Amiri"/>
          <w:color w:val="111111"/>
          <w:sz w:val="28"/>
          <w:szCs w:val="28"/>
          <w:rtl w:val="true"/>
          <w:lang w:bidi="ar-SA"/>
        </w:rPr>
        <w:t>]</w:t>
      </w:r>
      <w:r>
        <w:rPr>
          <w:rStyle w:val="FootnoteAnchor"/>
          <w:rtl w:val="true"/>
        </w:rPr>
        <w:footnoteReference w:id="889"/>
      </w:r>
      <w:r>
        <w:rPr>
          <w:rFonts w:ascii="IRNazanin" w:hAnsi="IRNazanin" w:eastAsia="IRNazanin"/>
          <w:color w:val="111111"/>
          <w:sz w:val="28"/>
          <w:sz w:val="28"/>
          <w:szCs w:val="28"/>
          <w:rtl w:val="true"/>
          <w:lang w:bidi="fa-IR"/>
        </w:rPr>
        <w:t xml:space="preserve">ما شاء </w:t>
      </w:r>
    </w:p>
    <w:p>
      <w:pPr>
        <w:pStyle w:val="BookText"/>
        <w:rPr/>
      </w:pPr>
      <w:r>
        <w:rPr>
          <w:rFonts w:ascii="Amiri" w:hAnsi="Amiri" w:eastAsia="Amiri" w:cs="Amiri"/>
          <w:color w:val="111111"/>
          <w:sz w:val="28"/>
          <w:sz w:val="28"/>
          <w:szCs w:val="28"/>
          <w:rtl w:val="true"/>
          <w:lang w:bidi="ar-SA"/>
        </w:rPr>
        <w:t>اللّه والسلام على أنبياء اللّه ورسله والسلام على رسول اللّه، والسلام على إبراهيمَ خليل اللّه والحمد للّه ربّ العالمين</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يَرفَعُ يَدَيْه ويَسْتَقْبِلُ البيت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في مقامي هذا في أوَّلِ مناسكي أنْ تَقْبَلَ تَوْبَتِي، وأنْ تجاوَزَ عَنْ خَطيئتي وتَضَعَ عَنِّي وِزْري، الحمد للّه الذي بلغني بيته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أُشْهِدُك أنّ هذا بيتك الحرام الذي جَعَلْتَه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مَثَابَةٌ لِلنَّاسِ وَأَمْنًا</w:t>
      </w:r>
      <w:r>
        <w:rPr>
          <w:rFonts w:eastAsia="Amiri" w:cs="Amiri" w:ascii="Amiri" w:hAnsi="Amiri"/>
          <w:color w:val="111111"/>
          <w:sz w:val="28"/>
          <w:szCs w:val="28"/>
          <w:rtl w:val="true"/>
          <w:lang w:bidi="ar-SA"/>
        </w:rPr>
        <w:t>»</w:t>
      </w:r>
      <w:r>
        <w:rPr>
          <w:rStyle w:val="FootnoteAnchor"/>
          <w:rtl w:val="true"/>
        </w:rPr>
        <w:footnoteReference w:id="891"/>
      </w:r>
      <w:r>
        <w:rPr>
          <w:rFonts w:ascii="Amiri" w:hAnsi="Amiri" w:eastAsia="Amiri" w:cs="Amiri"/>
          <w:color w:val="111111"/>
          <w:sz w:val="28"/>
          <w:sz w:val="28"/>
          <w:szCs w:val="28"/>
          <w:rtl w:val="true"/>
          <w:lang w:bidi="ar-SA"/>
        </w:rPr>
        <w:t>ومُبارَكاً وهُدًى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عبدك، والبلد بلدك، والبيت بيتك، جئتُ أطْلُبُ رحمتك وأوْمّ طاعتك، مُطيعاً لأمرك، راضياً بقدرك، أسألك مسألة الفقير إليك الخائف مِنْ عُقوبتك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افْتَحْ لي أبواب رحمتك، واسْتَعْمِلْنِي بطاعتك ومَرْضاتِك، واحفَظْنِي بحفظ الإيمان أبداً ما أبْقَيْتَنِي، جَلَّ ثناءُ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جَعَلَني مِن وَفْدِهِ وزُوّارِه، وَجعَلَني مِمَّنْ يَعْمُرُ مساجِدَه، وجَعَلَني مِمَّن يُناجيه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عبدك وزائرك وفي بيتك، وعلى كلّ مأتي حقٌّ لِمَنْ أتاه وزاره، وأنت خيرُ ماتي وأكرمُ مَزُورٍ، فأسألك يا اللّه يا رحمانُ بأنك أنتَ اللّه لا إلهَ إلّا أنت وحدك لا شريك لك، وبأنك واحِدٌ أحَدٌ صَمَدٌ لم تلد ولم تُولَد ولم يكن لك كفواً أحدٌ، وأنّ محمَّداً عبدك ورسولك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جوادُ يا ماجِدُ يَاحَنّانُ يامَنّانُ ياكريمُ أسألك أنْ تَجْعَلَ تُحْفَتَكَ إِيَّاي مِن زيارتي إِيَّاكَ فَكاكَ رَقَبَني مِن النار، اللّهم فُكَ رَقَبَتي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وأوْسِعْ عليَّ مِن رزقك الحلال، وادْراً عنِّي شرَّ شياطين الجن والإنسِ وَشَرَّ فَسَقَةِ العرب والعجم</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يمشي نحو البيت، فإذا دَنا مِن الحَجَر الأسودِ رَفَعَ يَدَيْهِ وحَمِدَ اللّه وأثنى عليه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الَّذِى هَدَانَا لِهَذَا وَمَا كُنَّا لِنَهْتَدِى لَوْلا أَنْ هَدَانَا اللّه</w:t>
      </w:r>
      <w:r>
        <w:rPr>
          <w:rFonts w:eastAsia="Amiri" w:cs="Amiri" w:ascii="Amiri" w:hAnsi="Amiri"/>
          <w:color w:val="111111"/>
          <w:sz w:val="28"/>
          <w:szCs w:val="28"/>
          <w:rtl w:val="true"/>
          <w:lang w:bidi="ar-SA"/>
        </w:rPr>
        <w:t>»</w:t>
      </w:r>
      <w:r>
        <w:rPr>
          <w:rStyle w:val="FootnoteAnchor"/>
          <w:rtl w:val="true"/>
        </w:rPr>
        <w:footnoteReference w:id="893"/>
      </w:r>
      <w:r>
        <w:rPr>
          <w:rFonts w:ascii="Amiri" w:hAnsi="Amiri" w:eastAsia="Amiri" w:cs="Amiri"/>
          <w:color w:val="111111"/>
          <w:sz w:val="28"/>
          <w:sz w:val="28"/>
          <w:szCs w:val="28"/>
          <w:rtl w:val="true"/>
          <w:lang w:bidi="ar-SA"/>
        </w:rPr>
        <w:t>، سبحان اللّه والحمد للّه ولا إله إلا اللّه واللّه أكبر</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يَسْتَلِمُ الحَجَرَ ويُقَبِّلُه، فإنْ لم يَسْتَطِعْ أشار بيده إليه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أَوْمِنُ بوعدك، وأوفي بعهدك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أمانتي أدَّيتها وميثاقي تعاهَدْتُه لِتَشْهَدَ لي بالموافاة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تصديقاً بكتابك وعلى سنّة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أشهدُ أنْ لا إلهَ إلا اللّه وحده لا شريك له، وأنّ محمَّداً عبده ورسوله آمَنْتُ باللّه وكَفَرْتُ بالجبت والطاغوت وباللاتِ والعُزّى وعبادةِ الشَّيطانِ وعبادةِ كلّ نِدٍّ يُدعى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يَقْدِرُ على جميع ذلك قال بعضه</w:t>
      </w:r>
      <w:r>
        <w:rPr>
          <w:rStyle w:val="FootnoteAnchor"/>
          <w:rtl w:val="true"/>
        </w:rPr>
        <w:footnoteReference w:id="8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إليك بَسَطْتُ يدي، وفيما عندك عَظُمَتْ رَغْبَتي، فَاقْبَل سُبْحَتي</w:t>
      </w:r>
      <w:r>
        <w:rPr>
          <w:rStyle w:val="FootnoteAnchor"/>
          <w:rtl w:val="true"/>
        </w:rPr>
        <w:footnoteReference w:id="896"/>
      </w:r>
      <w:r>
        <w:rPr>
          <w:rFonts w:ascii="Amiri" w:hAnsi="Amiri" w:eastAsia="Amiri" w:cs="Amiri"/>
          <w:color w:val="111111"/>
          <w:sz w:val="28"/>
          <w:sz w:val="28"/>
          <w:szCs w:val="28"/>
          <w:rtl w:val="true"/>
          <w:lang w:bidi="ar-SA"/>
        </w:rPr>
        <w:t>، واغفر لي وارْحَمْني اللّهمَّ إِنِّي أعوذُ بك من الكفر والفقر ومواقفِ الخزي في الدنيا والآخرة</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الفروض فعلى ضربين شروط متقدمة ومقارنة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فالشروط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من الحدث ولو بالتيمم مع تعذَّر المائية، ولا يُشْتَرَطُ ذلك في الطواف المندوب على الأقوى وإنْ كان مِنْ كماله نَعم، هي شرطٌ في صلاة الطوافِ مطلقاً؛ وإزاله النّجاسة عن الثوب والبدن على حدٍّ ما يُعتبر في الصلاة؛ وسَتْرُ العورة الواجبِ سَتْرُها في الصلاة بحسب حال الطائف؛ والخِتانُ في الرجل مع المُكْنة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والمقارنةُ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مقارنةً لأوّل جزءٍ من الحجر الأسود، بحيث يكونُ أوّلُ بدنِه مُحاذياً لأوَّلِ جزءٍ من الحجر عِلْماً أو ظنَّاً، لِيَمُرَّ عليه بجميع بدنه، ولا يُشْتَرَطُ استقبال البيتِ أوّلاً ثمّ الانحراف بل يكفي جَعْلُه على اليسار ابتداء، وإن كان الأوّل أولى وصفتها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أطوفُ بالبيتِ سبعة أشواط لعمرة الإسلام عمرة التمتّع لوجوبه قربةً إلى اللّه مُسْتَدامةَ الحكم إلى آخره، مقارنةً للحركة عقيبها بنفسه أو حامله؛ وجعل البيت على اليسار؛ والمقام على اليمين ولو تقديراً، بمعنى مراعاة النسبة في جميع الجهات؛ والخروج بجميع البدن عن البيت، فلا يَمَسَّ الحائط ماشياً بل يَقِفُ إِنْ أرادَه لئلا تَدْخُلَ يده على الشاذروان؛ وموالاة أربعة أشواط مِنَ السبعة، ويجوز تفريق الباقي منها لضرورة أو قضاء حاجةٍ أو صلاة فريضةٍ أو نافلةٍ يُخاف فوتها أو لدخول البيت وإدخالُ الحِجْرِ في الطواف، فلو طافَ فيه أو مشى على حائطه لم يُجْزِى، ولا يجب الخروج عن شيءٍ آخَرَ خارجه إجماعاً؛ والختم في الشوط السابع بما بدأ به، بمعنى جَعْلِ أَوّلِ جزءٍ مِن الحَجَرِ مُحاذياً لأوّلِ بدنه حَذَراً مِن الزيادة والنقيصة المُبْطِلَتين ولو بخُطُوةٍ، حتّى لو لم يَحْصُل العدد أو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النقيصة مطلقاً وفي الزيادة قبل بلوغ الركن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ولو بَلَغَه قَطَعَ وصَحَّ طَوافه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بعد الفراغ لم يَلْتَفِتْ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الطوافُ نَفْلاً بَنى على الأقل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المبادَرَةُ إليه حينَ يَدْخُلُ المسجدَ؛ لأنّه تَحيَّتَهُ إِلَّا أَنْ يَخافُ فَوْتَ الجماعةِ فيُقَدِّمها ؛ وتقبيلُ الحجر واسْتِلامُه ببطنه وما أمْكَنَ مِن بدنه في ابتداء الطواف وفي كلّ شوط، فإنْ تَعَذَّرَ فبيده، فإنْ تَعَذَّرَ أوْمَاً إليه كما مَرَّ؛ واستلام الأركان كلّها وتقبيلها خصوصاً العراقي واليماني، بل قيل بوجوب استلام اليماني</w:t>
      </w:r>
      <w:r>
        <w:rPr>
          <w:rStyle w:val="FootnoteAnchor"/>
          <w:rtl w:val="true"/>
        </w:rPr>
        <w:footnoteReference w:id="898"/>
      </w:r>
      <w:r>
        <w:rPr>
          <w:rFonts w:ascii="Amiri" w:hAnsi="Amiri" w:eastAsia="Amiri" w:cs="Amiri"/>
          <w:color w:val="111111"/>
          <w:sz w:val="28"/>
          <w:sz w:val="28"/>
          <w:szCs w:val="28"/>
          <w:rtl w:val="true"/>
          <w:lang w:bidi="ar-SA"/>
        </w:rPr>
        <w:t xml:space="preserve">والاقتصاد في المشي، والتداني من البيت وإنْ قلَّتِ الخُطَا والتزامُ المُسْتَجارِ في الشوط السابع، وهو مقابِلُ </w:t>
      </w:r>
      <w:bookmarkStart w:id="542" w:name="pg10113_92194"/>
    </w:p>
    <w:p>
      <w:pPr>
        <w:pStyle w:val="BookText"/>
        <w:rPr/>
      </w:pPr>
      <w:bookmarkEnd w:id="542"/>
      <w:r>
        <w:rPr>
          <w:rFonts w:ascii="Amiri" w:hAnsi="Amiri" w:eastAsia="Amiri" w:cs="Amiri"/>
          <w:color w:val="111111"/>
          <w:sz w:val="28"/>
          <w:sz w:val="28"/>
          <w:szCs w:val="28"/>
          <w:rtl w:val="true"/>
          <w:lang w:bidi="ar-SA"/>
        </w:rPr>
        <w:t>الباب قريباً من الركن اليماني؛ وبَسْطُ اليدين على حائطه؛ وإلصاق البطنِ والخَدَّيْنِ به؛ وتَعدادُ الذُنوبِ مُفَصَّلَةً والاستغفارُ منها؛ والدعاء عنده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البيت بيتك والعبدُ عبدك، وهذا مكانُ العائذ بك من النار</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ومتى الْتَزَمَ أو اسْتَلَمَ حَفِظَ موضع قيامه وعاد إلى طوافه منه حَذَراً من التقدّم والتأخُر؛ وأنْ يقول في حال الطواف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باسمك الذي يُمْشي به على طَلَلِ الماء كما يُمْشى به على جَدَدِ الأرضِ وأسألك باسمك الذي يَهْتَزُّ له عرشك، وأسألُكَ باسمك الذي تَهْتَزُّ له أقدامُ ملائكتك وأسألك باسمك الذي دعاك به موسى بنُ عِمرانَ مِن جانبِ الطورِ فَاسْتَجَبْتَ له والْقَيْتَ عليه مَحَبَّةٌ منك، وأسألك باسمك الذي غَفَرْتَ به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ذنبه وما تَأخَّر وأتْمَمْتَ عليه نِعْمَتَكَ</w:t>
      </w:r>
      <w:r>
        <w:rPr>
          <w:rStyle w:val="FootnoteAnchor"/>
          <w:rtl w:val="true"/>
        </w:rPr>
        <w:footnoteReference w:id="900"/>
      </w:r>
      <w:r>
        <w:rPr>
          <w:rFonts w:ascii="Amiri" w:hAnsi="Amiri" w:eastAsia="Amiri" w:cs="Amiri"/>
          <w:color w:val="111111"/>
          <w:sz w:val="28"/>
          <w:sz w:val="28"/>
          <w:szCs w:val="28"/>
          <w:rtl w:val="true"/>
          <w:lang w:bidi="ar-SA"/>
        </w:rPr>
        <w:t xml:space="preserve">أَنْ تَفْعَلَ بي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إليك فقير، وإنِّي خائفٌ مُسْتَجِيرُ، فلا تُبَدِّل اسمي ولا تُغيّر جسمي</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فَرَغَ مِن الطواف أتى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ركعتيه خلفه أو عن أحد جانبيه، ونيّتها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أصلِّي ركعتي طوافِ عمرةِ الإسلام عمرة التمتّع أداءً لوجوبه</w:t>
      </w:r>
      <w:r>
        <w:rPr>
          <w:rStyle w:val="FootnoteAnchor"/>
          <w:rtl w:val="true"/>
        </w:rPr>
        <w:footnoteReference w:id="902"/>
      </w:r>
      <w:r>
        <w:rPr>
          <w:rFonts w:ascii="Amiri" w:hAnsi="Amiri" w:eastAsia="Amiri" w:cs="Amiri"/>
          <w:color w:val="111111"/>
          <w:sz w:val="28"/>
          <w:sz w:val="28"/>
          <w:szCs w:val="28"/>
          <w:rtl w:val="true"/>
          <w:lang w:bidi="ar-SA"/>
        </w:rPr>
        <w:t>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كاليومية في الشرائط والأفعال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ويَتَخَيَّرُ فيها بين الجهر والإخفات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يَقرأ في الركعة الأُولى بعد الحمدِ التوحيد وفي الثانية الجحد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ويدعو بعدهما بالمأثور أو بما سَنَحَ</w:t>
      </w:r>
      <w:r>
        <w:rPr>
          <w:rFonts w:eastAsia="Amiri" w:cs="Amiri" w:ascii="Amiri" w:hAnsi="Amiri"/>
          <w:color w:val="111111"/>
          <w:sz w:val="28"/>
          <w:szCs w:val="28"/>
          <w:rtl w:val="true"/>
          <w:lang w:bidi="ar-SA"/>
        </w:rPr>
        <w:t>.</w:t>
      </w:r>
    </w:p>
    <w:p>
      <w:pPr>
        <w:pStyle w:val="Heading5"/>
        <w:numPr>
          <w:ilvl w:val="4"/>
          <w:numId w:val="1"/>
        </w:numPr>
        <w:rPr/>
      </w:pPr>
      <w:bookmarkStart w:id="543" w:name="__RefHeading___Toc375545_1067777946"/>
      <w:bookmarkStart w:id="544" w:name="_Toc181"/>
      <w:bookmarkEnd w:id="543"/>
      <w:r>
        <w:rPr/>
        <w:t>3</w:t>
      </w:r>
      <w:r>
        <w:rPr>
          <w:rtl w:val="true"/>
        </w:rPr>
        <w:t xml:space="preserve">- </w:t>
      </w:r>
      <w:r>
        <w:rPr>
          <w:rtl w:val="true"/>
        </w:rPr>
        <w:t>السعي</w:t>
      </w:r>
      <w:bookmarkEnd w:id="544"/>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وهي الحركات المعهودة بين الصفا والمروة للقربة، وله مقدِّماتُ </w:t>
      </w:r>
    </w:p>
    <w:p>
      <w:pPr>
        <w:pStyle w:val="BookText"/>
        <w:rPr/>
      </w:pPr>
      <w:r>
        <w:rPr>
          <w:rFonts w:ascii="Amiri" w:hAnsi="Amiri" w:eastAsia="Amiri" w:cs="Amiri"/>
          <w:color w:val="111111"/>
          <w:sz w:val="28"/>
          <w:sz w:val="28"/>
          <w:szCs w:val="28"/>
          <w:rtl w:val="true"/>
          <w:lang w:bidi="ar-SA"/>
        </w:rPr>
        <w:t>مشنونةٌ وفروض وسُنَن مقارِنَةٌ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التعجيلُ إليه عقيب صلاة الطواف والطهارة مِن الحَدَثِ والخَبَث على أشهر القولين</w:t>
      </w:r>
      <w:r>
        <w:rPr>
          <w:rStyle w:val="FootnoteAnchor"/>
          <w:rtl w:val="true"/>
        </w:rPr>
        <w:footnoteReference w:id="903"/>
      </w:r>
      <w:r>
        <w:rPr>
          <w:rFonts w:ascii="Amiri" w:hAnsi="Amiri" w:eastAsia="Amiri" w:cs="Amiri"/>
          <w:color w:val="111111"/>
          <w:sz w:val="28"/>
          <w:sz w:val="28"/>
          <w:szCs w:val="28"/>
          <w:rtl w:val="true"/>
          <w:lang w:bidi="ar-SA"/>
        </w:rPr>
        <w:t>، واستلامُ الحَجَرِ، والشربُ مِنْ زَمْزَمَ وصَبُّ الماء عليه مِن الدلو المقابل للحَجَر وإلّا فمِنْ غيره، والأفضل استقاؤه بنفسه قائلاً عند الشرب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عِلْماً نافعاً ورزقاً واسعاً وشفاءً مِن كلّ داءٍ وسُقمِ</w:t>
      </w:r>
      <w:r>
        <w:rPr>
          <w:rFonts w:eastAsia="Amiri" w:cs="Amiri" w:ascii="Amiri" w:hAnsi="Amiri"/>
          <w:color w:val="111111"/>
          <w:sz w:val="28"/>
          <w:szCs w:val="28"/>
          <w:rtl w:val="true"/>
          <w:lang w:bidi="ar-SA"/>
        </w:rPr>
        <w:t>»</w:t>
      </w:r>
      <w:r>
        <w:rPr>
          <w:rStyle w:val="FootnoteAnchor"/>
          <w:rtl w:val="true"/>
        </w:rPr>
        <w:footnoteReference w:id="904"/>
      </w:r>
      <w:r>
        <w:rPr>
          <w:rFonts w:ascii="Amiri" w:hAnsi="Amiri" w:eastAsia="Amiri" w:cs="Amiri"/>
          <w:color w:val="111111"/>
          <w:sz w:val="28"/>
          <w:sz w:val="28"/>
          <w:szCs w:val="28"/>
          <w:rtl w:val="true"/>
          <w:lang w:bidi="ar-SA"/>
        </w:rPr>
        <w:t xml:space="preserve">، والخروج إلى الصفا من الباب المقابل للحجر، وهو الآن في داخل المسجد بإزاء الباب المعروف بباب الصفا مُعَلَّمٌ بأَسْطُوانتين معروفتين، فليَخْرُجُ مِن بينهما إلى الباب، والصعود على الصفا بحيث يرى البيت من،بابه، واستقبالُ الرُّكْنِ العِراقي، وإطالة الوقوفِ عليه، وقراءة سورة البقرة، وحمد اللّه وتكبيره وتسبيحه وتهليله والصلاة على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مائة وأقلُّه التكبير والتهليل سَبْعاً سَبْعاً،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لا شريك له، له الملك وله الحمدُ، يُحْيي ويُمِيتُ وهو حي لا يموتُ بيده الخَيرُ وهو على كلّ شيءٍ قدير</w:t>
      </w:r>
      <w:r>
        <w:rPr>
          <w:rStyle w:val="FootnoteAnchor"/>
          <w:rtl w:val="true"/>
        </w:rPr>
        <w:footnoteReference w:id="90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إله إلا اللّه وحده وحدَه، أَنْجَزَ وعده، ونَصَرَ عبده، وهَزَمَ الأحزاب وحده، فله الملكُ، وله الحمدُ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لي في الموت وفيما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ظلمة القبر ووحشته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أظِلَّنِي تحت عرشك يوم لا ظلَّ إِلَّا ظِلُّك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أسْتَودِعُ اللّه الرحمن الرحيم، الذي لا يُضيع ودائعه دينى ونفسى وأهلى</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 xml:space="preserve">. </w:t>
      </w:r>
      <w:bookmarkStart w:id="545" w:name="pg10113_92196"/>
    </w:p>
    <w:p>
      <w:pPr>
        <w:pStyle w:val="BookText"/>
        <w:rPr/>
      </w:pPr>
      <w:bookmarkEnd w:id="545"/>
      <w:r>
        <w:rPr>
          <w:rFonts w:ascii="Amiri" w:hAnsi="Amiri" w:eastAsia="Amiri" w:cs="Amiri"/>
          <w:color w:val="111111"/>
          <w:sz w:val="28"/>
          <w:sz w:val="28"/>
          <w:szCs w:val="28"/>
          <w:rtl w:val="true"/>
          <w:lang w:bidi="ar-SA"/>
        </w:rPr>
        <w:t>وفروضه النيّة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أسعى سبعة أشواط لِعُمْرَة الإسلام عمرة التمتّع لوجوبه 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مقارنةً للصفا بأنْ يُلصِقَ عَقِبه به أو يَصْعَدَ عليه، والحركة بعدها في الطريق المعهود بوجهه مستدامة الحكم إلى آخره ويَخْتِمُ بالمروة ولو بأصابع قدميه إن لم يَدْخُلْ، فإذا عاد ألْصَقَ عَقِبَه بها وأصابعه بالصفا آخِراً إنْ لم يَصْعَدْ كذلك، وإتمام السبعة، مِنَ الصفا إليه شوطانِ، من غير زيادةٍ ولا نقصان، فلو زادَ عمداً بَطَلَ وناسياً 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نَقَصَ عادَ للإكمال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ويَستَنِيبُ مع التعذُر، ولا يَتَحَلَّلُ بدونه، وإيقاعه يومَ الطواف، فإِنْ أَخَرَه أثِمَ وأَجْزَأ، والأحوط موالاته كالطوافِ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السَعْى ماشياً مع القدرة والسكينة والوقار، وأنْ لا يَقْطَعَه لغير ضرورة، والهَرْوَلَهُ للرجل بينَ المَنارة وزُقاق العطارين، ولو نَسِيَها رَجَعَ القَهْقَرَى وتَدارَكَها ما لم يَشْرَعْ في الشوط الثاني، والراكِبُ يُحَرِّكُ دابته ما لم يُؤذ أحَداً، وأنْ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اللّه واللّه أكبر، وصلّى اللّه على محمَّد و آله، اللّهمَّ اغْفِرْ وَارْحَمْ، وتجاوَزْ عمّا تَعْلَم، إِنَّكَ أَنتَ الأعزُّ الأَكْرَمُ</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6" w:name="__RefHeading___Toc375547_1067777946"/>
      <w:bookmarkStart w:id="547" w:name="_Toc182"/>
      <w:bookmarkEnd w:id="546"/>
      <w:r>
        <w:rPr/>
        <w:t>4</w:t>
      </w:r>
      <w:r>
        <w:rPr>
          <w:rtl w:val="true"/>
        </w:rPr>
        <w:t xml:space="preserve"> – </w:t>
      </w:r>
      <w:r>
        <w:rPr>
          <w:rtl w:val="true"/>
        </w:rPr>
        <w:t>التقصير</w:t>
      </w:r>
      <w:bookmarkEnd w:id="547"/>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وهو إبانةٌ مُسَمَّى الشعرِ أو الظُّفُرِ، وبه يُحِلُّ مِن إحرام العمرة المُتَمَتَّع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المُفْردَةُ فلا يَتِمُّ الإحلال منها إلّا بطواف النساء بعده وصلاة ركعتيه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مقارنةً للفعل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أُقَصِّرُ للإحلال مِن إحرام العمرة المتمتَّع بها إلى حجّ الإسلام حجّ التمتّع لوجوبه قربةً إلى اللّه مستدامة الحكم إلى آخره، ولا تَتَعَيَّنُ له آلةٌ مخصوصةٌ، فيُجْزِئُ الحديد والنُورةُ والتَتْفُ والقَرْضُ بالسن وغيرها، ولا فرق بينَ شَعْرِ الرأس وغيره، ولا يُجْزِئُ الحَلْقُ هنا، نَعَمْ يُجْزِئُ فى المفردة، ومكانه مكَّة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كونه على المروة، والبدأة بالناصية، والأخذُ مِن جميع جوانب شعره على المُشْطِ، وتقليم الأظفار مع أخْذِ الشعر، والتشبه بالمُحْرمين بعده في ترك لبس المخيط إلى أنْ يَتَلَبَّسَ بالحج، وكذا لأهلِ مكّة طُولِ المَوْسِمِ</w:t>
      </w:r>
      <w:r>
        <w:rPr>
          <w:rFonts w:eastAsia="Amiri" w:cs="Amiri" w:ascii="Amiri" w:hAnsi="Amiri"/>
          <w:color w:val="111111"/>
          <w:sz w:val="28"/>
          <w:szCs w:val="28"/>
          <w:rtl w:val="true"/>
          <w:lang w:bidi="ar-SA"/>
        </w:rPr>
        <w:t xml:space="preserve">. </w:t>
      </w:r>
      <w:bookmarkStart w:id="548" w:name="pg10113_92197"/>
    </w:p>
    <w:p>
      <w:pPr>
        <w:pStyle w:val="Heading4"/>
        <w:numPr>
          <w:ilvl w:val="3"/>
          <w:numId w:val="1"/>
        </w:numPr>
        <w:rPr/>
      </w:pPr>
      <w:bookmarkStart w:id="549" w:name="__RefHeading___Toc375549_1067777946"/>
      <w:bookmarkStart w:id="550" w:name="_Toc183"/>
      <w:bookmarkEnd w:id="548"/>
      <w:bookmarkEnd w:id="549"/>
      <w:r>
        <w:rPr>
          <w:rtl w:val="true"/>
        </w:rPr>
        <w:t>المقالة الثانية فى أفعال الحجّ</w:t>
      </w:r>
      <w:bookmarkEnd w:id="550"/>
    </w:p>
    <w:p>
      <w:pPr>
        <w:pStyle w:val="Heading5"/>
        <w:numPr>
          <w:ilvl w:val="4"/>
          <w:numId w:val="1"/>
        </w:numPr>
        <w:rPr/>
      </w:pPr>
      <w:bookmarkStart w:id="551" w:name="__RefHeading___Toc375551_1067777946"/>
      <w:bookmarkStart w:id="552" w:name="_Toc184"/>
      <w:bookmarkEnd w:id="551"/>
      <w:r>
        <w:rPr>
          <w:rtl w:val="true"/>
        </w:rPr>
        <w:t>إشارة</w:t>
      </w:r>
      <w:r>
        <w:rPr>
          <w:rtl w:val="true"/>
        </w:rPr>
        <w:t>:</w:t>
      </w:r>
      <w:bookmarkEnd w:id="552"/>
    </w:p>
    <w:p>
      <w:pPr>
        <w:pStyle w:val="BookText"/>
        <w:rPr/>
      </w:pPr>
      <w:r>
        <w:rPr>
          <w:rFonts w:ascii="Amiri" w:hAnsi="Amiri" w:eastAsia="Amiri" w:cs="Amiri"/>
          <w:color w:val="111111"/>
          <w:sz w:val="28"/>
          <w:sz w:val="28"/>
          <w:szCs w:val="28"/>
          <w:rtl w:val="true"/>
          <w:lang w:bidi="ar-SA"/>
        </w:rPr>
        <w:t>وفيها فصولٌ</w:t>
      </w:r>
      <w:r>
        <w:rPr>
          <w:rFonts w:eastAsia="Amiri" w:cs="Amiri" w:ascii="Amiri" w:hAnsi="Amiri"/>
          <w:color w:val="111111"/>
          <w:sz w:val="28"/>
          <w:szCs w:val="28"/>
          <w:rtl w:val="true"/>
          <w:lang w:bidi="ar-SA"/>
        </w:rPr>
        <w:t>:</w:t>
      </w:r>
    </w:p>
    <w:p>
      <w:pPr>
        <w:pStyle w:val="Heading5"/>
        <w:numPr>
          <w:ilvl w:val="4"/>
          <w:numId w:val="1"/>
        </w:numPr>
        <w:rPr/>
      </w:pPr>
      <w:bookmarkStart w:id="553" w:name="__RefHeading___Toc375553_1067777946"/>
      <w:bookmarkStart w:id="554" w:name="_Toc185"/>
      <w:bookmarkEnd w:id="553"/>
      <w:r>
        <w:rPr/>
        <w:t>1</w:t>
      </w:r>
      <w:r>
        <w:rPr>
          <w:rtl w:val="true"/>
        </w:rPr>
        <w:t xml:space="preserve"> – </w:t>
      </w:r>
      <w:r>
        <w:rPr>
          <w:rtl w:val="true"/>
        </w:rPr>
        <w:t>الإحرام</w:t>
      </w:r>
      <w:bookmarkEnd w:id="55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وتحقيقه كما مرَّ في الواجبات والمحرَّمات إلّا أنّه يَنْوِي هنا إحرام الحجّ، وصفة النيّة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أُحرِمُ بحج الإسلام حجّ التمتّع، وألبّي التلبيات الأربعَ لعقد هذا الإحرام لوجوب الجميع قربةً إلى اللّه، لبّيك 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Style w:val="FootnoteAnchor"/>
          <w:rtl w:val="true"/>
        </w:rPr>
        <w:footnoteReference w:id="908"/>
      </w:r>
      <w:r>
        <w:rPr>
          <w:rFonts w:ascii="Amiri" w:hAnsi="Amiri" w:eastAsia="Amiri" w:cs="Amiri"/>
          <w:color w:val="111111"/>
          <w:sz w:val="28"/>
          <w:sz w:val="28"/>
          <w:szCs w:val="28"/>
          <w:rtl w:val="true"/>
          <w:lang w:bidi="ar-SA"/>
        </w:rPr>
        <w:t>أنّ محلَّه مكّة، وأفضلها المسجد وخلاصته</w:t>
      </w:r>
      <w:r>
        <w:rPr>
          <w:rStyle w:val="FootnoteAnchor"/>
          <w:rtl w:val="true"/>
        </w:rPr>
        <w:footnoteReference w:id="909"/>
      </w:r>
      <w:r>
        <w:rPr>
          <w:rFonts w:ascii="Amiri" w:hAnsi="Amiri" w:eastAsia="Amiri" w:cs="Amiri"/>
          <w:color w:val="111111"/>
          <w:sz w:val="28"/>
          <w:sz w:val="28"/>
          <w:szCs w:val="28"/>
          <w:rtl w:val="true"/>
          <w:lang w:bidi="ar-SA"/>
        </w:rPr>
        <w:t>المقام أو تحت المِيزابِ، وأفضلُ زمانه يوم الثامن بعد الزوال عقيب الظهرينِ المُتَعَقِّبَيْنِ لِسُنّة الإحرام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رفع الصوتِ بالتلبية في موضع الإحرام إن كان ماشياً، وإن كان راكباً إذا نَهَضَ به بَعيرُه، متوجّهاً إلى عرفات خصوصاً إذا أشْرَفَ على الأبطح، وأنْ يقول عند توجهه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إيّاكَ أرجو وإياك أدعو، فبلغني أمَلي وأصْلِحْ لي عملي</w:t>
      </w:r>
      <w:r>
        <w:rPr>
          <w:rFonts w:eastAsia="Amiri" w:cs="Amiri" w:ascii="Amiri" w:hAnsi="Amiri"/>
          <w:color w:val="111111"/>
          <w:sz w:val="28"/>
          <w:szCs w:val="28"/>
          <w:rtl w:val="true"/>
          <w:lang w:bidi="ar-SA"/>
        </w:rPr>
        <w:t>»</w:t>
      </w:r>
      <w:r>
        <w:rPr>
          <w:rStyle w:val="FootnoteAnchor"/>
          <w:rtl w:val="true"/>
        </w:rPr>
        <w:footnoteReference w:id="9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وَصَلَ إلى منى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هذه منى وهي ممّا مَنَنْتَ به علينا من المناسِكِ، فأسْأَلُكَ أنْ تَمُنَّ عليَّ بما مَنَنْتَ به على أنبيائك، فإنّما أنا عبدك وفي قَبْضَتِكَ</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المَبِيتُ بها ليلة التاسع، وأنْ لا يَجُوزَها حتّى تَطْلُعَ الشمسُ، فإذا تَوَجَّهَ إلى </w:t>
      </w:r>
      <w:bookmarkStart w:id="555" w:name="pg10113_92198"/>
    </w:p>
    <w:p>
      <w:pPr>
        <w:pStyle w:val="BookText"/>
        <w:rPr/>
      </w:pPr>
      <w:bookmarkEnd w:id="555"/>
      <w:r>
        <w:rPr>
          <w:rFonts w:ascii="Amiri" w:hAnsi="Amiri" w:eastAsia="Amiri" w:cs="Amiri"/>
          <w:color w:val="111111"/>
          <w:sz w:val="28"/>
          <w:sz w:val="28"/>
          <w:szCs w:val="28"/>
          <w:rtl w:val="true"/>
          <w:lang w:bidi="ar-SA"/>
        </w:rPr>
        <w:t>عرفات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إليك قَصَدْتُ، وإياك اعْتَمَدْتُ ووَجْهَكَ أردتُ أسألك أنْ تُبارِكَ لي في رِخلتي، وأنْ تَقْضِيَ لي،حاجتي، وأنْ تَجْعَلَنِي ممّن تُباهِي به اليومَ مَنْ هو أفضلُ منّي</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ولْيَسْتَمِرَّ على التلبية استحباباً إلى أنْ يَصِلَ إلى عَرَفَةَ</w:t>
      </w:r>
      <w:r>
        <w:rPr>
          <w:rFonts w:eastAsia="Amiri" w:cs="Amiri" w:ascii="Amiri" w:hAnsi="Amiri"/>
          <w:color w:val="111111"/>
          <w:sz w:val="28"/>
          <w:szCs w:val="28"/>
          <w:rtl w:val="true"/>
          <w:lang w:bidi="ar-SA"/>
        </w:rPr>
        <w:t>.</w:t>
      </w:r>
    </w:p>
    <w:p>
      <w:pPr>
        <w:pStyle w:val="Heading5"/>
        <w:numPr>
          <w:ilvl w:val="4"/>
          <w:numId w:val="1"/>
        </w:numPr>
        <w:rPr/>
      </w:pPr>
      <w:bookmarkStart w:id="556" w:name="__RefHeading___Toc375555_1067777946"/>
      <w:bookmarkStart w:id="557" w:name="_Toc186"/>
      <w:bookmarkEnd w:id="556"/>
      <w:r>
        <w:rPr/>
        <w:t>2</w:t>
      </w:r>
      <w:r>
        <w:rPr>
          <w:rtl w:val="true"/>
        </w:rPr>
        <w:t xml:space="preserve"> - </w:t>
      </w:r>
      <w:r>
        <w:rPr>
          <w:rtl w:val="true"/>
        </w:rPr>
        <w:t>الوقوف بعرفة</w:t>
      </w:r>
      <w:bookmarkEnd w:id="557"/>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بعرفة، وهو الكَوْنُ بها من زوال الشمس إلى غروبها مِن يَوْم التاسع مقارناً أوّلَه بالنيّة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تحقّق الزوال مُسْتدامة الحكم إلى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أقفُ بعرَفَةَ في حجّ الإسلام حجّ التمتّع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والركنُ منه مسمّى الكَوْنِ بعد النيّة وإنْ كان عابر سبيل، وباقيه موصوف بالوجوب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عَرَفَةَ ما بين ثَوِيَّةَ وعُرَنَةَ وذي المَجاز وذي الأراك</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قبل الزوال، وجَمْعُ الرَّحْلِ وقطع العلائق المانعة من الإقبال على اللّه تعالى في ذلك الوقت، والجمع بين الظهرين في أوّل الوقت بأذان وإقامتين، والوقوفُ بالسَفْحِ في مَيْسَرَةِ الجبلِ والقُرْبُ منه، والقيام بعد الصلاة مع الاختيار، واستقبال القبلة، وإحضار القلب والإكثار من التكبير والتحميد والتهليل والتمجيد والتسبيح والثناء على اللّه تعالى بما هو أهله والاستعاذة باللّه من الشيطان الرجيم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حريص على أن يُذْهِلَ المؤمنَ في ذلك المَوْطنِ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والاستغفارُ بالقلب واللسان، وتعداد الذنوب، والبكاءُ أو التباكي، والدعاء للإخوان وأقلّهم أربعون والبروز تحت السماء إلّا لضرورة، وصرفُ الزمانِ كلّه في الدعاء والاستغفار والذكر، بل قيل بوجوبه</w:t>
      </w:r>
      <w:r>
        <w:rPr>
          <w:rStyle w:val="FootnoteAnchor"/>
          <w:rtl w:val="true"/>
        </w:rPr>
        <w:footnoteReference w:id="913"/>
      </w:r>
      <w:r>
        <w:rPr>
          <w:rFonts w:ascii="IRNazanin" w:hAnsi="IRNazanin" w:eastAsia="IRNazanin"/>
          <w:color w:val="111111"/>
          <w:sz w:val="28"/>
          <w:sz w:val="28"/>
          <w:szCs w:val="28"/>
          <w:rtl w:val="true"/>
          <w:lang w:bidi="fa-IR"/>
        </w:rPr>
        <w:t xml:space="preserve">، والدعاء بالمأثور </w:t>
      </w:r>
      <w:r>
        <w:rPr>
          <w:rStyle w:val="FootnoteAnchor"/>
          <w:rtl w:val="true"/>
        </w:rPr>
        <w:footnoteReference w:id="914"/>
      </w:r>
      <w:bookmarkStart w:id="558" w:name="pg10113_92199"/>
    </w:p>
    <w:p>
      <w:pPr>
        <w:pStyle w:val="BookText"/>
        <w:rPr/>
      </w:pPr>
      <w:bookmarkEnd w:id="558"/>
      <w:r>
        <w:rPr>
          <w:rFonts w:ascii="Amiri" w:hAnsi="Amiri" w:eastAsia="Amiri" w:cs="Amiri"/>
          <w:color w:val="111111"/>
          <w:sz w:val="28"/>
          <w:sz w:val="28"/>
          <w:szCs w:val="28"/>
          <w:rtl w:val="true"/>
          <w:lang w:bidi="ar-SA"/>
        </w:rPr>
        <w:t xml:space="preserve">وهو كثيرٌ لا يَقْتَضِي الحالُ ذكره هنا، وأعظَمُهُ دعاء الحسين وولده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وقراءةُ عَشْرِ مِن أوَّل البقرة ثمّ التوحيدِ ثلاثاً وآية الكرسي والسُخْرَةِ</w:t>
      </w:r>
      <w:r>
        <w:rPr>
          <w:rStyle w:val="FootnoteAnchor"/>
          <w:rtl w:val="true"/>
        </w:rPr>
        <w:footnoteReference w:id="915"/>
      </w:r>
      <w:r>
        <w:rPr>
          <w:rFonts w:ascii="Amiri" w:hAnsi="Amiri" w:eastAsia="Amiri" w:cs="Amiri"/>
          <w:color w:val="111111"/>
          <w:sz w:val="28"/>
          <w:sz w:val="28"/>
          <w:szCs w:val="28"/>
          <w:rtl w:val="true"/>
          <w:lang w:bidi="ar-SA"/>
        </w:rPr>
        <w:t>والمُعَوَّذَتَيْنِ ثمّ حمد اللّه تعالى على نِعَمِه مُفَصَّلةً، وفِعْلُ الخيرِ مَا اسْتَطَاعَ وتَرْكُ الهَذَرِ</w:t>
      </w:r>
      <w:r>
        <w:rPr>
          <w:rFonts w:eastAsia="Amiri" w:cs="Amiri" w:ascii="Amiri" w:hAnsi="Amiri"/>
          <w:color w:val="111111"/>
          <w:sz w:val="28"/>
          <w:szCs w:val="28"/>
          <w:rtl w:val="true"/>
          <w:lang w:bidi="ar-SA"/>
        </w:rPr>
        <w:t>.</w:t>
      </w:r>
    </w:p>
    <w:p>
      <w:pPr>
        <w:pStyle w:val="Heading5"/>
        <w:numPr>
          <w:ilvl w:val="4"/>
          <w:numId w:val="1"/>
        </w:numPr>
        <w:rPr/>
      </w:pPr>
      <w:bookmarkStart w:id="559" w:name="__RefHeading___Toc375557_1067777946"/>
      <w:bookmarkStart w:id="560" w:name="_Toc187"/>
      <w:bookmarkEnd w:id="559"/>
      <w:r>
        <w:rPr/>
        <w:t>3</w:t>
      </w:r>
      <w:r>
        <w:rPr>
          <w:rtl w:val="true"/>
        </w:rPr>
        <w:t xml:space="preserve"> - </w:t>
      </w:r>
      <w:r>
        <w:rPr>
          <w:rtl w:val="true"/>
        </w:rPr>
        <w:t>الوقوف بالمشعر الحرام</w:t>
      </w:r>
      <w:bookmarkEnd w:id="560"/>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بالمشعر الحرام إذا غَرَبَتِ الشمسُ مِن يوم عرفةَ، فَلْيُفض إليه وجوباً بالسكينة والوقار مُسْتغفِراً داعياً بالمأثور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تَجْعَلْه آخِرَ العهدِ مِنْ هذا المَوْقِفِ، وارْزُقْنِيه أبَداً ما أَبْقَيْتَنِي، واقْلِبْني اليومَ مُفْلِحاً مُنْجِحاً مُسْتَجاباً لي مرحوماً مغفوراً لي بأفضل ما يَنْقَلِبُ به اليوم أحدٌ مِن وَفْدِك عليك، وأَعْطِنِي أَفْضَلَ مَا أَعْطَيْتَ أحداً مِنهم من الخيرِ والبَرَكةِ والرِضوان والمغفرة، وبارِكْ لي فيما أرْجِعُ إليه مِنْ أهل أو مالٍ أو قليل أو كثيرٍ، وبارِكْ لَهم فيَّ</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ولْيُكْثِرُ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أعْتِقْ رَقَبَتى مِن النار</w:t>
      </w:r>
      <w:r>
        <w:rPr>
          <w:rFonts w:eastAsia="Amiri" w:cs="Amiri" w:ascii="Amiri" w:hAnsi="Amiri"/>
          <w:color w:val="111111"/>
          <w:sz w:val="28"/>
          <w:szCs w:val="28"/>
          <w:rtl w:val="true"/>
          <w:lang w:bidi="ar-SA"/>
        </w:rPr>
        <w:t>»</w:t>
      </w:r>
      <w:r>
        <w:rPr>
          <w:rStyle w:val="FootnoteAnchor"/>
          <w:rtl w:val="true"/>
        </w:rPr>
        <w:footnoteReference w:id="917"/>
      </w:r>
      <w:r>
        <w:rPr>
          <w:rFonts w:ascii="Amiri" w:hAnsi="Amiri" w:eastAsia="Amiri" w:cs="Amiri"/>
          <w:color w:val="111111"/>
          <w:sz w:val="28"/>
          <w:sz w:val="28"/>
          <w:szCs w:val="28"/>
          <w:rtl w:val="true"/>
          <w:lang w:bidi="ar-SA"/>
        </w:rPr>
        <w:t xml:space="preserve">فإذا بَلَغَ المَشْعَرَ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ما بين المأزِمَيْنِ إلى الحِياض إلى وادي مُحَسِّرٍ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الكَوْنُ به إلى الفجر ناوياً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أبيتُ هذه الليلة بالمشعرِ في حجّ الإسلام حجّ التمتّع لوجوبه قربةً إلى اللّه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إحياءُ تلك الليلة بالعبادة؛ فإنّ أبواب السماء لا تُغْلَقُ تلك الليلة لأصوات المؤمنين</w:t>
      </w:r>
      <w:r>
        <w:rPr>
          <w:rStyle w:val="FootnoteAnchor"/>
          <w:rtl w:val="true"/>
        </w:rPr>
        <w:footnoteReference w:id="918"/>
      </w:r>
      <w:r>
        <w:rPr>
          <w:rFonts w:ascii="Amiri" w:hAnsi="Amiri" w:eastAsia="Amiri" w:cs="Amiri"/>
          <w:color w:val="111111"/>
          <w:sz w:val="28"/>
          <w:sz w:val="28"/>
          <w:szCs w:val="28"/>
          <w:rtl w:val="true"/>
          <w:lang w:bidi="ar-SA"/>
        </w:rPr>
        <w:t xml:space="preserve">فإذا أصْبَحَ وجب عليه الكَوْنُ به إلى طلوع الشمس ناوياً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تحقّق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أقفُ بالمَشْعَرِ في حجّ الإسلام حجّ التمتّع لوجوبه 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مُسْتَدامَةَ الحكم 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مع الاختيار، أمّا مع الاضطرار فيُجْزِئ مُسَمّى الوقوفِ بعرفة ليلة العاشر، وبالمشعرِ مُسمّاه أيضاً في تلك الليلة وفيما بين طلوع الشمس وزوالِها مِنْ 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ويُدْرَكُ الحجّ بإدراكِ الاختياريَّيْنِ وأحدهما، والاضطراريَّيْنِ وأحدهما مع اختياري الآخر لا مُنْفَرداً، وفي اضطراري المشعر وحده قول قوي بالإجزاء</w:t>
      </w:r>
      <w:r>
        <w:rPr>
          <w:rStyle w:val="FootnoteAnchor"/>
          <w:rtl w:val="true"/>
        </w:rPr>
        <w:footnoteReference w:id="9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القوات عمداً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الدعاءُ في المَشْعَرِ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هذه جَمْعٌ فَاجْمَعْ لي فيها جوامِعَ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تُؤْيِسْني من الخير الذي سألتك أن تجمعه لي في قلبي، ثم أطلب إليك أن تُعَرِّفني ما عَرَّفْتَ أولياءَك في منزلي هذا، وأنْ تَقِيَني جوامع الشرّ</w:t>
      </w:r>
      <w:r>
        <w:rPr>
          <w:rStyle w:val="FootnoteAnchor"/>
          <w:rtl w:val="true"/>
        </w:rPr>
        <w:footnoteReference w:id="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ربَّ المشعر الحرام فُكَ رَقَبَتِي مِن النار، وأوسع عليَّ مِن رزقك الحلال، وادْراً عنِّي شَرَّ فَسَقَةِ الجنّ والإنس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خيرُ مطلوب إليه وخير مدعو وخيرُ مسؤولٍ، ولكُلِّ وافِدٍ جائزةً، فاجْعَلْ جائزتي في مَوْطِني هذا أَنْ تُقِيلَنِي عَشْرَتي وتَقْبَلَ مَعْذِرتي، وأنْ تَجاوَزَ عَنْ خَطيئتي، ثمَّ اجْعَلِ التقوى من الدنيا زادي</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طَلَعَتِ الشمسُ أفاض إلى مِنىً بالسكينة والوقار والذكر للّه تعالى والاستغفار والدعاء</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والهَرْوَلَةُ</w:t>
      </w:r>
      <w:r>
        <w:rPr>
          <w:rStyle w:val="FootnoteAnchor"/>
          <w:rtl w:val="true"/>
        </w:rPr>
        <w:footnoteReference w:id="922"/>
      </w:r>
      <w:r>
        <w:rPr>
          <w:rFonts w:ascii="Amiri" w:hAnsi="Amiri" w:eastAsia="Amiri" w:cs="Amiri"/>
          <w:color w:val="111111"/>
          <w:sz w:val="28"/>
          <w:sz w:val="28"/>
          <w:szCs w:val="28"/>
          <w:rtl w:val="true"/>
          <w:lang w:bidi="ar-SA"/>
        </w:rPr>
        <w:t xml:space="preserve">بوادي مُحَسّرٍ للماشي والراكب، ولو نَسِيَها رَجَعَ لِتَداركها ولو مِن مكَّةَ، </w:t>
      </w:r>
      <w:bookmarkStart w:id="561" w:name="pg10113_92201"/>
    </w:p>
    <w:p>
      <w:pPr>
        <w:pStyle w:val="BookText"/>
        <w:rPr/>
      </w:pPr>
      <w:bookmarkEnd w:id="561"/>
      <w:r>
        <w:rPr>
          <w:rFonts w:ascii="Amiri" w:hAnsi="Amiri" w:eastAsia="Amiri" w:cs="Amiri"/>
          <w:color w:val="111111"/>
          <w:sz w:val="28"/>
          <w:sz w:val="28"/>
          <w:szCs w:val="28"/>
          <w:rtl w:val="true"/>
          <w:lang w:bidi="ar-SA"/>
        </w:rPr>
        <w:t>كما ورد في الخبر</w:t>
      </w: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فيها </w:t>
      </w:r>
      <w:r>
        <w:rPr>
          <w:rStyle w:val="FootnoteAnchor"/>
          <w:rtl w:val="true"/>
        </w:rPr>
        <w:footnoteReference w:id="9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سَلّمْ عَهْدي واقْبَلْ تَوْبَتي وأجِبْ دَعوتي واخْلُفْنِي فِيمَنْ تَرَكْتُ بَعدي</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التقاط الحَصى للرمي مِنَ المشعر وهي سبعون حصاةً، ولو احتاط بالزائد فلا بأسَ ويُسْتَحَبُّ كونُها بُرْشاً كُحْلِيّةً مُلْتَقَطَةٌ مُنَقَطَةٌ رِخْوَةً بِقَدْرِ الأَنمُلَةِ طاهرة مغسولة</w:t>
      </w:r>
      <w:r>
        <w:rPr>
          <w:rFonts w:eastAsia="Amiri" w:cs="Amiri" w:ascii="Amiri" w:hAnsi="Amiri"/>
          <w:color w:val="111111"/>
          <w:sz w:val="28"/>
          <w:szCs w:val="28"/>
          <w:rtl w:val="true"/>
          <w:lang w:bidi="ar-SA"/>
        </w:rPr>
        <w:t>.</w:t>
      </w:r>
    </w:p>
    <w:p>
      <w:pPr>
        <w:pStyle w:val="Heading5"/>
        <w:numPr>
          <w:ilvl w:val="4"/>
          <w:numId w:val="1"/>
        </w:numPr>
        <w:rPr/>
      </w:pPr>
      <w:bookmarkStart w:id="562" w:name="__RefHeading___Toc375559_1067777946"/>
      <w:bookmarkStart w:id="563" w:name="_Toc188"/>
      <w:bookmarkEnd w:id="562"/>
      <w:r>
        <w:rPr/>
        <w:t>4</w:t>
      </w:r>
      <w:r>
        <w:rPr>
          <w:rtl w:val="true"/>
        </w:rPr>
        <w:t xml:space="preserve"> - </w:t>
      </w:r>
      <w:r>
        <w:rPr>
          <w:rtl w:val="true"/>
        </w:rPr>
        <w:t>نزول منى يوم النحر</w:t>
      </w:r>
      <w:bookmarkEnd w:id="563"/>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مِنّى يوم النَحْرِ لِرَمْي جَمْرة العَقَبَةِ والذبح والحَلْقِ مُرَتَّباً كما ذُكِرَ، ولو عَكَسَ أيْمَ وأجزأ، فإذا وَصَلَ مِنى فليبدأ أولاً برَمْي جَمْرةِ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على حد مِنّى إلى جهة مكّة كما أن حدَّها الآخَرَ وادي مُحَسّرٍ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 حَصَيَاتٍ حَرَمِيةٍ غيرِ مسجدية أبكار بما يُسمّى رَمْياً مُصِيبةً بفعله مباشرةً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وتجب فيه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مقارناً بها لأوّله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أرمي هذه الجَمْرةَ بِسَبْعِ حَصَياتٍ في حجّ الإسلام حجّ التمتّع أداءً لوجوبه 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مُسْتَدامة الحكم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الأداء والتَعَرُّضَ للعددِ مِنْ كَمال النيّة لا واجبٌ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ووَقْتُهُ ما بين طلوع الشمس إلى غروبها، ويُقضى لو فات مقدَّماً على الحاضر، ويَخْرُجُ وقتُه بخروج الثالثَ عَشَرَ إلى القابل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وتُسْتَحَبُّ الطهارة، والمَشْيُ إليه ورَمْيُ جَمْرَةِ العقبة مُسْتَدبِراً للقبلة مُقابلاً لها والتباعد عنها بِعَشْرِ أَذْرُعٍ إِلى خَمْسَ عَشْرَةَ، والرّمْيُ خَذْفاً بأنْ يَضَعَ الحَصاة على إيهام يده اليُمْنى ويَدْفَعُها بظُفُر السبّابة، ولو تَعارَضَ الخَذْفُ والتباعُدُ قُدِّمَ الخَذْفُ تَخَلُّصاً مِنْ خلافِ مَنْ أَوْجَبَه </w:t>
      </w:r>
      <w:r>
        <w:rPr>
          <w:rStyle w:val="FootnoteAnchor"/>
          <w:rtl w:val="true"/>
        </w:rPr>
        <w:footnoteReference w:id="926"/>
      </w:r>
      <w:r>
        <w:rPr>
          <w:rFonts w:ascii="Amiri" w:hAnsi="Amiri" w:eastAsia="Amiri" w:cs="Amiri"/>
          <w:color w:val="111111"/>
          <w:sz w:val="28"/>
          <w:sz w:val="28"/>
          <w:szCs w:val="28"/>
          <w:rtl w:val="true"/>
          <w:lang w:bidi="ar-SA"/>
        </w:rPr>
        <w:t>ويَدْعو مع رَمْيِ كلّ حَصاة بالمنقول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ادحر عنّي </w:t>
      </w:r>
    </w:p>
    <w:p>
      <w:pPr>
        <w:pStyle w:val="BookText"/>
        <w:rPr/>
      </w:pP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تصديقاً بكتابك وعلى سُنَّةِ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حَجّاً مَبْرُوراً، وعملاً مقبولاً وسعياً مشكوراً وذنباً مغفوراً</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والهَدْي بعد الرمي واجب على المُتَمَتِّع وإنْ كان مکِّیّاً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كونُه مِنَ النَّعَمِ، وأفضله البُدْنُ ثمّ البَقَرَ ثمّ الغَنَم، وأقله الثَنيُّ وهو مِنَ الإِبل ما دَخَلَ فِي السنّة السادسة ومِن الأخيرين ما دَخَلَ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الضأن إكمال الشهر السابع وكونُه تامّاً، فلا يُجْزِئُ الأعْوَرُ والمريضُ والأعرجُ والأجرب ومكسورُ القَرْنِ الداخل ومقطوعُ الأُذُنِ أو بعضها والخَصِيُّ، ويُجْزِئ فاقدُ القَرْنِ والأُذُنِ خِلْقةً؛ وكونه سميناً بأنْ يكونَ على كُلْيَتَيْه شَحْمٌ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الظَنُّ الْمُسْتَنِدُ إلى التجربة أو إخبار عارفٍ، وإنْ أخْطَأ بعد الذَبح لا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تَبَيَّنَ النُقْصانُ لم يُجْزِئ مطلقاً، وكذا لو ظَهَرَ السِمَنُ مع عدمِ الظَّنِّ به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يُوجَدْ إلَّا فاقد الشرائط أجْزَاً، فإنْ فُقِدَ خَلَّفَ ثَمَنه عند ثقةٍ لِيَذْبَحَ عنه في ذي الحِجّة، فإِنْ تَعَذَّرَ فمِنَ 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عَجَزَ عن الثَّمَنِ صامَ بدله ثلاثةَ أيّام 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متواليةً وسبعةً إذا رَجَعَ إلى أهله، أو مضى للمجاور مقدار وصوله أو شَهْرٌ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كونه أُنثى من الإبل والبقر ذكراً من غيرهما قد حَضَرَ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قولُ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سميناً زيادةً على ما شُرِطَ والمباشَرَةُ إنْ أحْسَنَ وإِلَّا جَعَلَ يده مع يدِ الفاعل، والدعاء عند ذَبْحِه أو نَحْره،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وَجَّهْتُ وَجْهِيَ لِلَّذِي فَطَرَ السَّمَوَاتِ وَالْأَرْضَ حَنِيفًا وَمَا أَنَا مِنَ الْمُشْرِكِينَ</w:t>
      </w:r>
      <w:r>
        <w:rPr>
          <w:rStyle w:val="FootnoteAnchor"/>
          <w:rtl w:val="true"/>
        </w:rPr>
        <w:footnoteReference w:id="928"/>
      </w:r>
      <w:r>
        <w:rPr>
          <w:rFonts w:ascii="Amiri" w:hAnsi="Amiri" w:eastAsia="Amiri" w:cs="Amiri"/>
          <w:color w:val="111111"/>
          <w:sz w:val="28"/>
          <w:sz w:val="28"/>
          <w:szCs w:val="28"/>
          <w:rtl w:val="true"/>
          <w:lang w:bidi="ar-SA"/>
        </w:rPr>
        <w:t>، إِنَّ صَلَاتِي وَنُسُكِي وَمَحْيَايَ وَمَمَاتِي للّه رَبِّ الْعَلَمِينَ، لَا شَرِيكَ لَهُ، وَبِذَلِكَ أُمِرْتُ وَأَنَا مِن الْمُسْلِمِينَ</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اللّهمَّ مِنكَ ولَك باسم اللّه واللّه أكبر، اللّهم تَقَبَّلْ مِنّى</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وتجب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مُقارِنَةً للفعل مُسْتدامة الحكم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أَذْبَحُ أو أَنْحَرُ هذا الهَدْيَ في حجّ الإسلام حجّ التمتّع لوجوبه قربةً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وقسمتُه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ثُلثاً يأكله أو بعضه، وثُلْثاً يُهْدِيه لإخوانه من المؤمنين، وثُلْثاً يَتَصَدَّقُ به على فُقرائهم، ولا ترتيب بينها؛ والنيّة مقارنةً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آكُلُ مِنْ هَدْيِ حجّ الإسلام حجّ التمتّع لوجوبه قربةً إلى اللّه، أُهْدِي ثلثَ هَدْيِ حجّ الإسلام حجّ التمتّع لوجوبه قربةً إلى اللّه، أتَصَدَّقُ بِظُلْتِ هَدْي حجّ الإسلام حجّ التمتّع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يَحْلِقُ رأسه أو يُقَصِّرُ مِنْ شَعْره أو ظُفُرِه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ويتعين على المرأة والخنثى التقصيرُ، والنيّة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مقارنةً مُسْتَدامة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للإحلال من إحرام حجّ الإسلام حجّ التمتّع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استقبال القبلة، والبدأةُ بالقَرْن الأيمن من ناصيته، وتسمية المحلوق والدعاء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أعْطِني بكُلِّ شَعْرةٍ نوراً يومَ القيامة</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يَخْرُجْ مِن مِنّى حتّى يأتي بالثلاثة في ذي الحجة، ويَرْجِعُ للذبحِ والحَلْقِ لو خَرَجَ بدونه 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تَعَذَّرَ خَلَّفَ ثَمَنَ الهَدْي كما مرّ، وحَلَقَ مكانه وجوباً، وبَعَثَ بالشعر لِيُدْفَنَ بها ندباً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الرمئ فيَخْرُجُ وقته بخروج الثالثَ عَشَرَ، فيُقْضى في القابل</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وبالحَلْقِ أو التقصير يَتَعَلَّلُ مِن جميع المحرمات المتقدّمة إلّا الطيّب والنساء والصَّيْدَ، ثمّ يَتَحَلَّلُ مِن الطيّب بالسعي بعد الطواف، ومن النساء بطوافهنَّ بعدهما، والأولى تَوَقُفُ حِلِّ الصَيْدِ الإحرامي على طواف النساء</w:t>
      </w:r>
      <w:r>
        <w:rPr>
          <w:rFonts w:eastAsia="Amiri" w:cs="Amiri" w:ascii="Amiri" w:hAnsi="Amiri"/>
          <w:color w:val="111111"/>
          <w:sz w:val="28"/>
          <w:szCs w:val="28"/>
          <w:rtl w:val="true"/>
          <w:lang w:bidi="ar-SA"/>
        </w:rPr>
        <w:t xml:space="preserve">. </w:t>
      </w:r>
      <w:bookmarkStart w:id="564" w:name="pg10113_92204"/>
    </w:p>
    <w:p>
      <w:pPr>
        <w:pStyle w:val="Heading5"/>
        <w:numPr>
          <w:ilvl w:val="4"/>
          <w:numId w:val="1"/>
        </w:numPr>
        <w:rPr/>
      </w:pPr>
      <w:bookmarkStart w:id="565" w:name="__RefHeading___Toc375561_1067777946"/>
      <w:bookmarkStart w:id="566" w:name="_Toc189"/>
      <w:bookmarkEnd w:id="564"/>
      <w:bookmarkEnd w:id="565"/>
      <w:r>
        <w:rPr/>
        <w:t>5</w:t>
      </w:r>
      <w:r>
        <w:rPr>
          <w:rtl w:val="true"/>
        </w:rPr>
        <w:t xml:space="preserve"> - </w:t>
      </w:r>
      <w:r>
        <w:rPr>
          <w:rtl w:val="true"/>
        </w:rPr>
        <w:t>العود إلى مكّة للطوافين والسعي</w:t>
      </w:r>
      <w:bookmarkEnd w:id="566"/>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إلى مكّة للطوافَيْنِ والسعي، ومقدماتها وكيفيتها وواجباتها ومندوباتها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أطوفُ بالبيت سبعة أشواط طواف حجّ الإسلام حجّ التمتّع لوجوبه قربةً إلى اللّه، أصَلِّي ركعتي طواف حجّ الإسلام حجّ التمتّع أداءً لوجوبه قربةً إلى اللّه، أسعى سبعة أشواطٍ سَعْيَ حجّ الإسلام حجّ التمتّع لوجوبه قربةً إلى اللّه، أطُوفُ طوافَ النساءِ في حجّ الإسلام حجّ التمتّع لوجوبه قربةً إلى اللّه، أُصَلِّي ركعتي طوافِ النساء في حجّ الإسلام حجّ التمتّع أداءً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وتُسْتَحَبُّ كونُ ذلك يومَ النَحْر، فإنْ أَخَرَه فمِنْ غَدِه، وفي جواز تأخيره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غَدِهِ 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 أقربهما الجواز</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وتَظْهَرُ الفائدة في الإثم وعدمه لا في الصحّة والبطلان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ويَخْرُجُ وقتها بخروج ذي الحِجَّة إجماعاً، وهى مترتبة كما ذكرناه وليس طواف النساء مخصوصاً بمَنْ يَغْشاهنَّ، بل يجب على الخصى والهم والمرأة وغيرهم، ويَسْتَمِرُّ بتركه ما كان قد حَرَّمَه الإحرامُ مِنهنَّ</w:t>
      </w:r>
      <w:r>
        <w:rPr>
          <w:rFonts w:eastAsia="Amiri" w:cs="Amiri" w:ascii="Amiri" w:hAnsi="Amiri"/>
          <w:color w:val="111111"/>
          <w:sz w:val="28"/>
          <w:szCs w:val="28"/>
          <w:rtl w:val="true"/>
          <w:lang w:bidi="ar-SA"/>
        </w:rPr>
        <w:t>.</w:t>
      </w:r>
    </w:p>
    <w:p>
      <w:pPr>
        <w:pStyle w:val="Heading5"/>
        <w:numPr>
          <w:ilvl w:val="4"/>
          <w:numId w:val="1"/>
        </w:numPr>
        <w:rPr/>
      </w:pPr>
      <w:bookmarkStart w:id="567" w:name="__RefHeading___Toc375563_1067777946"/>
      <w:bookmarkStart w:id="568" w:name="_Toc190"/>
      <w:bookmarkEnd w:id="567"/>
      <w:r>
        <w:rPr/>
        <w:t>6</w:t>
      </w:r>
      <w:r>
        <w:rPr>
          <w:rtl w:val="true"/>
        </w:rPr>
        <w:t xml:space="preserve"> - </w:t>
      </w:r>
      <w:r>
        <w:rPr>
          <w:rtl w:val="true"/>
        </w:rPr>
        <w:t>العود إلى منى للمبيت بها</w:t>
      </w:r>
      <w:bookmarkEnd w:id="568"/>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إلى مِنى للمَبيتِ بها ليالي التشريق والرمي أيّامها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لِمَنِ اتَّقَى الصَّيْدَ والنساء في إحرامه ترك مبيت الثالثة، إلّا أنْ تَغْرُبَ الشمس وهو بمنى فَيَتَعَيَّنُ، والأفضلُ مَبِيتُ الثالثة لغيرهما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الكَوْنُ بها لَيلاً إلى نصف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بات بغيرها فَمَنْ كلّ ليلةٍ شاة، إلّا أنْ يَبيتَ بمكَّةَ مُشْتَغِلاً بالعبادة الواجبة أو المُسْتَحَبّةِ طول الليلِ إِلَّا ما يَضْطَرُّ إليه مِنْ غِذاء أو شَرابِ أو نومٍ يَغْلِبُ عليه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وتجبُ في المَبِيتِ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تحقّق الغروب مُسْتَدامَةَ الحكم إلى آخره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أبيتُ </w:t>
      </w:r>
    </w:p>
    <w:p>
      <w:pPr>
        <w:pStyle w:val="BookText"/>
        <w:rPr/>
      </w:pPr>
      <w:r>
        <w:rPr>
          <w:rFonts w:ascii="Amiri" w:hAnsi="Amiri" w:eastAsia="Amiri" w:cs="Amiri"/>
          <w:color w:val="111111"/>
          <w:sz w:val="28"/>
          <w:sz w:val="28"/>
          <w:szCs w:val="28"/>
          <w:rtl w:val="true"/>
          <w:lang w:bidi="ar-SA"/>
        </w:rPr>
        <w:t>هذه الليلةَ بمِنيَّ في حجّ الإسلامِ حجّ التمتّع لوجوبه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يَرْمِيَ الجَمَرَاتِ الثلاث في كلّ يومٍ بحَسَبِ مَبِيتِ ليلتِهِ كلّ واحدةٍ بِسَبْعِ حَصَياتٍ مُرَتِّباً، يَبْدأ بالأولى ثمّ الوُسْطى ثمّ جَمْرةِ العَقَبَةِ، فلو نَكَسَ أعاد على ما يَحْصُلُ معه الترتيب، وهو يَحْصُلُ بأربعٍ حَصَياتٍ مع النسيان أو الجهل لا مع التعمُّدِ، فيُعيدُ الأخيرتين ويبني على الأربع في الأولى، وكذا لو رَمَى الثانية بأربعٍ ورَمَى الثالثة بعدها، ولو نَقَصَ عن الأربع بَطَلَ ما بعده مطلقاً وهو أيضاً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وكَيْفِيةُ الرّمي وواجباته وسُنَنُه كما مرّ، إلّا أنه يُسْتَحَبُّ استقبال القبلة في الأُوليَيْنِ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ورميهما عن يسارهما ويَمينِه، وقد تقدّم أنّه يَسْتَدْبِرُ القبلةَ في جَمْرِةِ العقبة، وأفْضَلُ أوقاتِ الرَّمْي عندَ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الإقامةُ بِمِنّى بقيّةَ أيّام التشريق بل قد رُوي أنّ المُقامُ بها أفضلُ مِن الطوافِ تَطَوُّعاً</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ووقتُ النَفْر الأوّل بعد الزوال إلا لضرورة، أمّا النَّفْرُ الثاني فيجوز قبله إذا رَمَى الجمار، والأفضل فيه التأخيرُ إليه ليوقع الرمي عنده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للمُقِيمِ أَنْ يَجْعَلَ صلاته فَرْضاً ونفلاً في مسجد الخَيْفِ، وأفضلُه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المنارة إلى نحوِ مِن ثلاثين ذراعاً إلى جهة القبلة وعن يَمِينِها ويسارها </w:t>
      </w:r>
      <w:r>
        <w:rPr>
          <w:rStyle w:val="FootnoteAnchor"/>
          <w:rtl w:val="true"/>
        </w:rPr>
        <w:footnoteReference w:id="934"/>
      </w:r>
      <w:r>
        <w:rPr>
          <w:rFonts w:ascii="Amiri" w:hAnsi="Amiri" w:eastAsia="Amiri" w:cs="Amiri"/>
          <w:color w:val="111111"/>
          <w:sz w:val="28"/>
          <w:sz w:val="28"/>
          <w:szCs w:val="28"/>
          <w:rtl w:val="true"/>
          <w:lang w:bidi="ar-SA"/>
        </w:rPr>
        <w:t>كذلك، فقد صَلّى فيه ألفُ نَبِيَّ</w:t>
      </w:r>
      <w:r>
        <w:rPr>
          <w:rStyle w:val="FootnoteAnchor"/>
          <w:rtl w:val="true"/>
        </w:rPr>
        <w:footnoteReference w:id="935"/>
      </w:r>
      <w:r>
        <w:rPr>
          <w:rFonts w:ascii="Amiri" w:hAnsi="Amiri" w:eastAsia="Amiri" w:cs="Amiri"/>
          <w:color w:val="111111"/>
          <w:sz w:val="28"/>
          <w:sz w:val="28"/>
          <w:szCs w:val="28"/>
          <w:rtl w:val="true"/>
          <w:lang w:bidi="ar-SA"/>
        </w:rPr>
        <w:t>، ورُوي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صَلَّى في مسجدِ مِنيَّ مائةَ رَكْعَةٍ عَدَلَتْ عِبادة سبعينَ عاماً، ومَنْ سَبَّحَ اللّه فيه مائةَ تَسبيحةٍ كَتَبَ اللّه له أجرَ عِتْقِ رَقَبَةٍ، ومَنْ هَلَّلَ اللّه فيه مائةً عَدَلَتْ إحياءَ نَسَمَةٍ، ومَنْ 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مائةً </w:t>
      </w:r>
    </w:p>
    <w:p>
      <w:pPr>
        <w:pStyle w:val="BookText"/>
        <w:rPr/>
      </w:pPr>
      <w:r>
        <w:rPr>
          <w:rFonts w:ascii="Amiri" w:hAnsi="Amiri" w:eastAsia="Amiri" w:cs="Amiri"/>
          <w:color w:val="111111"/>
          <w:sz w:val="28"/>
          <w:sz w:val="28"/>
          <w:szCs w:val="28"/>
          <w:rtl w:val="true"/>
          <w:lang w:bidi="ar-SA"/>
        </w:rPr>
        <w:t>عَدَلَتْ خَراجَ العِراقَيْنِ يُنْفَقُ في سبيل اللّه</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وتُسْتَحَبُّ صلاةُ سِتٌ رَكَعَاتٍ به في أصل الصَوْمَعَةِ إِذا 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قضى مَناسِكَه بِمِنّى اسْتُحِبَّ العودُ إلى مكّة لطوافِ الوَداعِ ودخول البيتِ خصوصاً الضرورة بعد الغُسل والتحفّي مُصاحباً للسكينة والوقار آخذاً بحَلْقَتي الباب عند الدخول، ثمّ يَقْصِدُ الرخامةَ الحَمْراءَ بينَ الأسْطُوانتَيْنِ اللتينِ تَلِيانِ البابَ ويُصَلِّي عليها ركعتين، وفي كلّ واحدةٍ مِن الزوايا الأربع ركعتين، ثم يعودُ إلى الرخامة الحمراء فيَقِفُ عليها، ويَرْفَعُ رأسَهُ إلى السماء، يُطِيلُ الدعاءَ مُبالغاً في حضور القلب والخُشوع والخُضوعِ وقَصْرِ النظر عمّا يَشْغَلُ القلب، فإذا خَرَجَ منه صلّى رَكعتينِ عَنْ يَمِينِ البابِ، وهو مَوْضِعُ المَقام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الآن مُنْخَفِضُ عن المَطافِ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إتيان المساجد والمواضع المشرفة بمكّة، وزيارة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وإتيان قبور الشهداء والصحابة والصالحين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حجّ ولم يَزُرْني فقد جَفاني، ومَنْ جفاني جَفَوْتُهُ يومَ القيامة </w:t>
      </w:r>
      <w:r>
        <w:rPr>
          <w:rStyle w:val="FootnoteAnchor"/>
          <w:rtl w:val="true"/>
        </w:rPr>
        <w:footnoteReference w:id="9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أتاني زائراً كنت شفيعه يوم القيامة</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أبي أنّه مَنْ سَلَّمَ عليه وعليَّ ثلاثةَ أيّام أَوْجَبَ اللّه له الجنَّةَ، فقيل لها في حياتكما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وبعد موتنا</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وَلْتُزَر ببيتها والروضة والبقيع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ابدؤوا بمكّة واخْتِموا بنا</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إماماً مفترض الطاعة كان له ثوابُ حجّة مبرورة</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إمام عهداً في أعناق أوليائه وشيعته، وإن من تمام الوفاء بالعهد وحُسْنِ الأداء زيارة قبورهم فمَنْ زَارهم رغبةً في زيارتهم وتصديقاً بما رغبوا فيه كانتْ أئمّتُهم شُفَعاءَهم يوم القيامة</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والأخبار في ذلك خارجة عن حد الحصر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وسُنَنُ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قبل دخول المشهد، والكون حالتها على طهارة، وإتيانه بالخضوع والخشوع في ثياب طاهرةٍ جُدَدٍ، والوقوفُ على بابه والدعاء والاستئذان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 خشوعاً ورقةً دخل وإلّا تَحَرّى زمان الرقة، فإذا دخل قَدَّمَ رجله اليمنى، ووقف على الضريح مُلاصقاً له أو غير ملاصق، وقبل الضريح الشريف واستقبل وجه المزور واسْتَدْبَرَ القبلة، ويَزُوره بالمأثور، وأقلُّها الحضور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يَضَعُ خده الأيمن عليه عند الفراغ، ويدعو متضرّعاً، ثم خده الأيسر سائلاً من اللّه تعالى بحقه وحق صاحب القبر أنْ يَجْعَلَه من أهل،شفاعته، ثمّ يُصلّى ركعتى الزيارة عند الفراغ، فإنْ كان زائراً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الروضة، وإن كان لأحد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رأسه، ورُوِيتْ رخصةٌ في صلاتهما إلى القبر</w:t>
      </w:r>
      <w:r>
        <w:rPr>
          <w:rStyle w:val="FootnoteAnchor"/>
          <w:rtl w:val="true"/>
        </w:rPr>
        <w:footnoteReference w:id="944"/>
      </w:r>
      <w:r>
        <w:rPr>
          <w:rFonts w:ascii="Amiri" w:hAnsi="Amiri" w:eastAsia="Amiri" w:cs="Amiri"/>
          <w:color w:val="111111"/>
          <w:sz w:val="28"/>
          <w:sz w:val="28"/>
          <w:szCs w:val="28"/>
          <w:rtl w:val="true"/>
          <w:lang w:bidi="ar-SA"/>
        </w:rPr>
        <w:t>بمعنى جعل القبر في قبلة المصلّي، ويجوز استدباره وإن كان غير مستحسن، ويُهدي الصلاة للمزور، ويدعو بعدها بالمأثور، وإلّا فيما سَنَحَ، وَلْيُعَمِّم الدعاء؛ فإنّه أقرب إلى الإجابة، ويتلو بعد ذلك شيئاً من القرآن ويُهْدِيه للمزور تعظيماً له، والمنتفع بذلك كلّه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ويَخْتِم ذلك كلّه بالصدقة على السَدَنَةِ</w:t>
      </w:r>
      <w:r>
        <w:rPr>
          <w:rStyle w:val="FootnoteAnchor"/>
          <w:rtl w:val="true"/>
        </w:rPr>
        <w:footnoteReference w:id="945"/>
      </w:r>
      <w:r>
        <w:rPr>
          <w:rFonts w:ascii="Amiri" w:hAnsi="Amiri" w:eastAsia="Amiri" w:cs="Amiri"/>
          <w:color w:val="111111"/>
          <w:sz w:val="28"/>
          <w:sz w:val="28"/>
          <w:szCs w:val="28"/>
          <w:rtl w:val="true"/>
          <w:lang w:bidi="ar-SA"/>
        </w:rPr>
        <w:t>والمَحاويج بتلك البقعة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بعد الحجّ والزيارة خيراً منه قبلهما؛ فإنّ ذلك علامة القبول وبلوغ المأمول</w:t>
      </w:r>
      <w:r>
        <w:rPr>
          <w:rFonts w:eastAsia="Amiri" w:cs="Amiri" w:ascii="Amiri" w:hAnsi="Amiri"/>
          <w:color w:val="111111"/>
          <w:sz w:val="28"/>
          <w:szCs w:val="28"/>
          <w:rtl w:val="true"/>
          <w:lang w:bidi="ar-SA"/>
        </w:rPr>
        <w:t xml:space="preserve">. </w:t>
      </w:r>
      <w:bookmarkStart w:id="569" w:name="pg10113_92208"/>
    </w:p>
    <w:p>
      <w:pPr>
        <w:pStyle w:val="Heading4"/>
        <w:numPr>
          <w:ilvl w:val="3"/>
          <w:numId w:val="1"/>
        </w:numPr>
        <w:rPr/>
      </w:pPr>
      <w:bookmarkStart w:id="570" w:name="__RefHeading___Toc375565_1067777946"/>
      <w:bookmarkStart w:id="571" w:name="_Toc191"/>
      <w:bookmarkEnd w:id="569"/>
      <w:bookmarkEnd w:id="570"/>
      <w:r>
        <w:rPr>
          <w:rtl w:val="true"/>
        </w:rPr>
        <w:t>من وظائف الحجّ القلبيّة</w:t>
      </w:r>
      <w:bookmarkEnd w:id="571"/>
    </w:p>
    <w:p>
      <w:pPr>
        <w:pStyle w:val="BookText"/>
        <w:rPr/>
      </w:pPr>
      <w:r>
        <w:rPr>
          <w:rFonts w:ascii="Amiri" w:hAnsi="Amiri" w:eastAsia="Amiri" w:cs="Amiri"/>
          <w:color w:val="111111"/>
          <w:sz w:val="28"/>
          <w:sz w:val="28"/>
          <w:szCs w:val="28"/>
          <w:rtl w:val="true"/>
          <w:lang w:bidi="ar-SA"/>
        </w:rPr>
        <w:t>وأمّا الخاتمة</w:t>
      </w:r>
    </w:p>
    <w:p>
      <w:pPr>
        <w:pStyle w:val="BookText"/>
        <w:rPr/>
      </w:pPr>
      <w:r>
        <w:rPr>
          <w:rFonts w:ascii="Amiri" w:hAnsi="Amiri" w:eastAsia="Amiri" w:cs="Amiri"/>
          <w:color w:val="111111"/>
          <w:sz w:val="28"/>
          <w:sz w:val="28"/>
          <w:szCs w:val="28"/>
          <w:rtl w:val="true"/>
          <w:lang w:bidi="ar-SA"/>
        </w:rPr>
        <w:t>فتشتمل على جملة موجزة في وظائف الحجّ القلبيَّةِ يَحْسُنُ فَهْمُها وتَذكَارُها لمن أرادَ الحجّ مِن العالمين قد أخرجها الحقّ سبحانه على لسان بعض الكاملين</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أنّ أوّل الحجّ فهمُ موقع الحجّ في الدين، ثمّ العزم عليه، ثم قطع العلائق المانعة عنه، ثمّ تهيئةُ أسباب الوصول إليه من الزاد والراحلة، ثم السير، ثمّ الإحرام من الميقات بالتلبية، ثمّ دخول مكّة، ثمّ استتمامُ الأفعال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حالة من هذه الحالات تذكرة للمتذكَّر، وعبرةٌ للمعتبر، وتنبية للمريد الصادق، وإشارة للفطن الحاذِقِ إلى أسرارٍ يَقِفُ عليها بصفاء قلبه وطهارة باطنه إن ساعَدَه التوفيق</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فاعلم أنّه لا وصول إلى اللّه سبحانه وتعالى إلّا بتنحية ما عداه عن القصد من المشتَهَياتِ البدنية واللذّات الدنيويّة، والتجريد في جميع الحالات والاقتصار على الضرورات؛ ولهذا انْفَرَد الرهبان في الأعصار السالفة عن الخلق في قُلل الجبال؛ توحشاً من الخلق وطلباً للأُنس بالخالق، وأعرضوا عن جميع ما سواه؛ ولذلك مَدَحَهم اللّه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مِنْهُمْ قِسَيسِينَ وَرُهْبَانًا وَأَنَّهُمْ لَا يَسْتَكْبِرُونَ</w:t>
      </w:r>
      <w:r>
        <w:rPr>
          <w:rFonts w:eastAsia="Amiri" w:cs="Amiri" w:ascii="Amiri" w:hAnsi="Amiri"/>
          <w:color w:val="111111"/>
          <w:sz w:val="28"/>
          <w:szCs w:val="28"/>
          <w:rtl w:val="true"/>
          <w:lang w:bidi="ar-SA"/>
        </w:rPr>
        <w:t>»</w:t>
      </w:r>
      <w:r>
        <w:rPr>
          <w:rStyle w:val="FootnoteAnchor"/>
          <w:rtl w:val="true"/>
        </w:rPr>
        <w:footnoteReference w:id="9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انْدَرَس ذلك وأقبل الخلقُ على اتباع الشهوات والإقبال على الدنيا والالتفات عن اللّه تعالى بَعَثَ اللّه 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لإحياء طريق الآخرة وتجديد سُنَّةِ المرسلين في سلوكها، فسأله أهل الملل عن الرهبانية والسياحة في دينه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أبْدَلَنا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948"/>
      </w:r>
      <w:r>
        <w:rPr>
          <w:rFonts w:ascii="Amiri" w:hAnsi="Amiri" w:eastAsia="Amiri" w:cs="Amiri"/>
          <w:color w:val="111111"/>
          <w:sz w:val="28"/>
          <w:sz w:val="28"/>
          <w:szCs w:val="28"/>
          <w:rtl w:val="true"/>
          <w:lang w:bidi="ar-SA"/>
        </w:rPr>
        <w:t xml:space="preserve">بها الجهادَ والتكبير </w:t>
      </w:r>
    </w:p>
    <w:p>
      <w:pPr>
        <w:pStyle w:val="BookText"/>
        <w:rPr/>
      </w:pPr>
      <w:r>
        <w:rPr>
          <w:rFonts w:ascii="Amiri" w:hAnsi="Amiri" w:eastAsia="Amiri" w:cs="Amiri"/>
          <w:color w:val="111111"/>
          <w:sz w:val="28"/>
          <w:sz w:val="28"/>
          <w:szCs w:val="28"/>
          <w:rtl w:val="true"/>
          <w:lang w:bidi="ar-SA"/>
        </w:rPr>
        <w:t>على كلّ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السائحين،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الصائمون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رهبانيّةً لهذه الأمة، فشَرَّفَ البيت العتيق بإضافته إلى نفسه، ونَصَبه مقصداً لعباده، وجَعَلَ ما حوله حرماً لبيته؛ تفخيماً وتعظيماً لشأنه، وجَعَلَ عرفات كالميدان على باب حَرَمه، وأكَّد حرمة الموضع بتحريم صَيْده وشَجَره، ووضعه على مثال حضرة الملوك يَقْصِدُه الزوّار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فَجٍّ عَمِيقٍ</w:t>
      </w:r>
      <w:r>
        <w:rPr>
          <w:rFonts w:eastAsia="Amiri" w:cs="Amiri" w:ascii="Amiri" w:hAnsi="Amiri"/>
          <w:color w:val="111111"/>
          <w:sz w:val="28"/>
          <w:szCs w:val="28"/>
          <w:rtl w:val="true"/>
          <w:lang w:bidi="ar-SA"/>
        </w:rPr>
        <w:t>»</w:t>
      </w:r>
      <w:r>
        <w:rPr>
          <w:rStyle w:val="FootnoteAnchor"/>
          <w:rtl w:val="true"/>
        </w:rPr>
        <w:footnoteReference w:id="949"/>
      </w:r>
      <w:r>
        <w:rPr>
          <w:rFonts w:ascii="Amiri" w:hAnsi="Amiri" w:eastAsia="Amiri" w:cs="Amiri"/>
          <w:color w:val="111111"/>
          <w:sz w:val="28"/>
          <w:sz w:val="28"/>
          <w:szCs w:val="28"/>
          <w:rtl w:val="true"/>
          <w:lang w:bidi="ar-SA"/>
        </w:rPr>
        <w:t xml:space="preserve">شُعْناً غُبْراً متواضعين لربِّ البيت، مُسْتَكينينَ له؛ خضوعاً لجلاله واستكانةً لعزّته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الاعتراف بتنزيهه سبحانه عن أنْ يَحْوِيه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ذلك أبلغ في رقّهم وعبوديّتهم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وَظَفَ عليهم فيها أعمالاً لا تَأنَسُ بها النفوس ولا تَهْتَدي لمعانيها العقولُ، كرمي الجمار بالأحجار، والتردُّدِ بين الصفا والمروة على سبيل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وبمثل هذه الأعمالِ يَظهر كمالُ الرِق والعبودية بخلاف سائر العبادات كالزكاة التي هي إرفاق من وجه،معلوم وللعقل إليه ميل والصَوْمِ الذي هو كَسْرٌ للشهوة 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آلة</w:t>
      </w:r>
      <w:r>
        <w:rPr>
          <w:rFonts w:eastAsia="Amiri" w:cs="Amiri" w:ascii="Amiri" w:hAnsi="Amiri"/>
          <w:color w:val="111111"/>
          <w:sz w:val="28"/>
          <w:szCs w:val="28"/>
          <w:rtl w:val="true"/>
          <w:lang w:bidi="ar-SA"/>
        </w:rPr>
        <w:t xml:space="preserve">] </w:t>
      </w:r>
      <w:r>
        <w:rPr>
          <w:rStyle w:val="FootnoteAnchor"/>
          <w:rtl w:val="true"/>
        </w:rPr>
        <w:footnoteReference w:id="950"/>
      </w:r>
      <w:r>
        <w:rPr>
          <w:rFonts w:ascii="Amiri" w:hAnsi="Amiri" w:eastAsia="Amiri" w:cs="Amiri"/>
          <w:color w:val="111111"/>
          <w:sz w:val="28"/>
          <w:sz w:val="28"/>
          <w:szCs w:val="28"/>
          <w:rtl w:val="true"/>
          <w:lang w:bidi="ar-SA"/>
        </w:rPr>
        <w:t>عدو اللّه وتفرغ للعبادة بالكفّ عن الشواغل وكالركوع والسجود في الصلاة التي هي تواضع للّه سبحانه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أمثال هذه الأعمال فإنّه لا اهتداء للعقل إلى أسرارها، فلا يكون في الإقدام عليها إلا الأمرُ المجرّد وقصد امتثاله من حيث هو واجب الاتباع فقط، وفيه عَزَّل للعقل عن تصرُّفه وصرفُ النفس والطبع عن محل أنسه المعين على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اقْتَضَتْ حكمة اللّه سبحانه وتعالى ربط نجاة الخلق بكون أعمالهم على خلاف أهوية طباعهم وأنْ تكون أزمتها بيد الشارع فيَتَردَّدون في أعمالهم على سنن الانقياد ومقتضى الاستعباد، كان ما لا يُهْتَدى إلى معانيه أبلغ أنواع التعبدات في تزكية النفوس، وصرفها عن ميل الطبع إلى مقتضى الاسترقاق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العَزْمُ فَلْيَسْتَحْضِرْ في ذهنه أنّه بِعَزْمِه مُفارق للأهل والولد هاجِرٌ للشهواتِ،واللذّات مُهاجِرٌ إلى ربِّه، متوجّه إلى زيارة بيته ولْيُعْظِمْ قدر البيتِ لِقدرِ ربِّ البيت ولْيُخْلِصْ عَزْمَه للّه تعالى وليتحقّق أنّه لا يُقْبَل مِن عمله إلّا الخالص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قطع العلائقِ فحذف جميع الخواطر عن جميع الخواطر عن قلبه غير قصد عبادة اللّه والتوبةُ الخالصة عن المعاصي، فكلُّ علاقةٍ من المعاصي خصم حاضرٌ متعلّق به يُنادي عليه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أَتَقْصِدُ بيتَ مَلِكِ الملوك، وهو مطَّلِعُ منك على تضييع أوامره، واستهانتك به وعدم التفاتك إلى نواهيه وزَواجِره، أما تَسْتَحِي أَنْ تقدّم عليه قدوم العبد العاصي، فيُغْلِقَ دونك أبواب رحمته، ويُلْقِيَك في مهاوي نَقِمَتِه، فإن كنت راغباً في قبول زيارتك فَابْرُزُ إليه من جميع معاصيك، واقْطَعْ علاقة قلبك عن الالتفات إلى ما وراءك، لِتَتَوَجَّه إليه بوجه قلبك كما أنت متوجّه إلى بيته بوجه ظاهرك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وليَذْكُرْ عند قطعه العلائق لسفر الحجّ قطع العلائق لسفر الآخرة؛ فإنّ كلّ هذه أمثلة قريبةٌ يَتَرقّى منها إلى أسرارها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الزادُ فليَطْلُبُه مِن موضعٍ حلال، فإذا أحسَّ مِنْ نفسه بالحرص على استكثاره وطيبه وطَلَب ما يبقى منه على طول السفر، وأنْ لا يَنْفَدَ قبل بلوغ المقصد فليَذْكُرْ أنّ سفر الآخرة أطولُ مِن هذا السفر وأنّ زاده التقوى، وما عداه لا يصلُحُ زاداً ولْيَحْذَرْ أنْ يُفْسِدَ أعماله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زاد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بشوائب الرياء وكدورات التقصير، فيَدْخُلَ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تُنَبِّئُكُم بِالْأَخْسَرِينَ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فِي الْحَيَوةِ الدُّنْيَا وَهُمْ يَحْسَبُونَ أَنَّهُمْ يُحْسِنُونَ صُنْعا</w:t>
      </w:r>
      <w:r>
        <w:rPr>
          <w:rFonts w:eastAsia="Amiri" w:cs="Amiri" w:ascii="Amiri" w:hAnsi="Amiri"/>
          <w:color w:val="111111"/>
          <w:sz w:val="28"/>
          <w:szCs w:val="28"/>
          <w:rtl w:val="true"/>
          <w:lang w:bidi="ar-SA"/>
        </w:rPr>
        <w:t>»</w:t>
      </w:r>
      <w:r>
        <w:rPr>
          <w:rStyle w:val="FootnoteAnchor"/>
          <w:rtl w:val="true"/>
        </w:rPr>
        <w:footnoteReference w:id="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عند سفره نَقْلَتَه إلى منازل الآخرة التي لا شكّ فيها، ولعلّه أقرب من سفره هذا، فيَحْتاط في أمره، وليَعْلَمْ أنّ هذه أمثلةٌ محسوسةٌ يَتَرقّى منها إلى مراكب النّجاةِ مِن عذاب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الخروج من البلد فلْيَسْتَحْضِرُ عندَه أنّه يُفارِقُ الأهل والولد متوجّهاً إلى اللّه سبحانه في سفرٍ غير أسفار الدنيا، وأنّه متوجّه إلى ملك الملوك وجبار الجبابرة في جملة الزائرين الذين نُودوا فأجابوا، وشُوِّقوا فاشتاقوا، وقطعوا العلائق، وفارقوا الخلائق، وأقبلوا على بيت اللّه تعالى طلباً لرضى اللّه تعالى وطمعاً في النظر إلى وجهه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ولْيُحْضِرْ أيضاً قلبه للوصول إلى المَلِك والقبول له بِسعَةِ فضله، ولْيَعْتَقِدْ أنّه إن مات قبل الوصول إليه لَقِي اللّه تعالى وافداً عليه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يَخْرُجُ مِن بَيْتِهِ مُهَاجِرًا إِلَى اللّه وَرَسُولِهِ، ثُمَّ يُدْرِكْهُ المَوْتُ فَقَدْ وَقَعَ أَجْرُهُ عَلَى اللّه</w:t>
      </w:r>
      <w:r>
        <w:rPr>
          <w:rFonts w:eastAsia="Amiri" w:cs="Amiri" w:ascii="Amiri" w:hAnsi="Amiri"/>
          <w:color w:val="111111"/>
          <w:sz w:val="28"/>
          <w:szCs w:val="28"/>
          <w:rtl w:val="true"/>
          <w:lang w:bidi="ar-SA"/>
        </w:rPr>
        <w:t>»</w:t>
      </w:r>
      <w:r>
        <w:rPr>
          <w:rStyle w:val="FootnoteAnchor"/>
          <w:rtl w:val="true"/>
        </w:rPr>
        <w:footnoteReference w:id="9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لْيَتَذَكَّرْ في أثناء طريقه من مشاهدة عقبات الطريق عَقَباتِ طريق الآخرة، ومن السباع والحَيّاتِ حَشَراتِ القبر، ومِنْ وحشةِ البَراري وحشة القبر وانفراده عن الإنس؛ فإنّ كلّ هذه الأُمور جاذبةٌ إلى اللّه سبحانه، ومُذَكِّرةٌ له أمرَ مَعاده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تَوْبُ الإحرام ولُبْسُه فليَتَذَكَّر معه الكفنَ ودَرْجَه فيه، ولعلّه أقرب إليه، ولْيَتَذَكَّر معها </w:t>
      </w:r>
      <w:r>
        <w:rPr>
          <w:rStyle w:val="FootnoteAnchor"/>
          <w:rtl w:val="true"/>
        </w:rPr>
        <w:footnoteReference w:id="953"/>
      </w:r>
      <w:r>
        <w:rPr>
          <w:rFonts w:ascii="Amiri" w:hAnsi="Amiri" w:eastAsia="Amiri" w:cs="Amiri"/>
          <w:color w:val="111111"/>
          <w:sz w:val="28"/>
          <w:sz w:val="28"/>
          <w:szCs w:val="28"/>
          <w:rtl w:val="true"/>
          <w:lang w:bidi="ar-SA"/>
        </w:rPr>
        <w:t>التَسَرْبُلَ بأنوارِ اللّه تعالى التي لا مَخْلَصَ مِن عقابه إلّا بها، فيَجْتَهِد في تحصيلها بقدر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الإحرام والتلبيه فليَسْتَحْضِر أنّه إجابةُ نِداء اللّه سبحانه وتعالى</w:t>
      </w:r>
      <w:r>
        <w:rPr>
          <w:rStyle w:val="FootnoteAnchor"/>
          <w:rtl w:val="true"/>
        </w:rPr>
        <w:footnoteReference w:id="9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في قبول إجابته بينَ خوفٍ ورجاء، مُفَوِّضاً أمره إلى اللّه، مُتَوكَّلاً على فضله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زين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أَحْرَمَ واسْتَوَتْ به راحلته اصْفَرَّ لونُه، وَوَقَعَتْ عليه الرِعْدَةُ ولم يَسْتَطِعْ أنْ يُلَبِّي،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تُلَبِّي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أخشى أنْ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لبّيك ولا سَعْدَيْك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لَبّى غُشِيَ عليه وسَقَطَ عن </w:t>
      </w:r>
    </w:p>
    <w:p>
      <w:pPr>
        <w:pStyle w:val="BookText"/>
        <w:rPr/>
      </w:pPr>
      <w:r>
        <w:rPr>
          <w:rFonts w:ascii="Amiri" w:hAnsi="Amiri" w:eastAsia="Amiri" w:cs="Amiri"/>
          <w:color w:val="111111"/>
          <w:sz w:val="28"/>
          <w:sz w:val="28"/>
          <w:szCs w:val="28"/>
          <w:rtl w:val="true"/>
          <w:lang w:bidi="ar-SA"/>
        </w:rPr>
        <w:t>راحلته، فلم يَزَلْ يَعْتَريه ذلك حتّى قُضي عليه</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ولْيَذْكُرْ عند إجابته نداءَ اللّه سبحانه إجابة ندائه بالنفخ في الصور، وحَشر الخلق من القبور، وازدحامهم في عَرَصات القيامةِ مُجيبينَ لندائه، مُنْقَسِمينَ إلى مقرَّبين ومَمْقُوتين،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مقبولين و</w:t>
      </w:r>
      <w:r>
        <w:rPr>
          <w:rFonts w:eastAsia="Amiri" w:cs="Amiri" w:ascii="Amiri" w:hAnsi="Amiri"/>
          <w:color w:val="111111"/>
          <w:sz w:val="28"/>
          <w:szCs w:val="28"/>
          <w:rtl w:val="true"/>
          <w:lang w:bidi="ar-SA"/>
        </w:rPr>
        <w:t>]</w:t>
      </w:r>
      <w:r>
        <w:rPr>
          <w:rStyle w:val="FootnoteAnchor"/>
          <w:rtl w:val="true"/>
        </w:rPr>
        <w:footnoteReference w:id="956"/>
      </w:r>
      <w:r>
        <w:rPr>
          <w:rFonts w:ascii="Amiri" w:hAnsi="Amiri" w:eastAsia="Amiri" w:cs="Amiri"/>
          <w:color w:val="111111"/>
          <w:sz w:val="28"/>
          <w:sz w:val="28"/>
          <w:szCs w:val="28"/>
          <w:rtl w:val="true"/>
          <w:lang w:bidi="ar-SA"/>
        </w:rPr>
        <w:t>،مردودين ومتردّدين بين الخوف والرجاء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دخولُ مكّة فَلْيَسْتَحْضِرُ عندَه أنّه قد انتهى إلى حرم اللّه الأمين، ولْيَرْجُ عندَه أنْ يَأمن بدخوله من عقاب اللّه وَلْيَخْشَ أنْ لا يكون من أهل القُرب، وليكن رجاؤه أغلب؛ فإنّ الكرمَ عميمٌ، وشرف البيت عظيم، وحقَّ الزائر مَرْعيٌّ، وذمام المستجير محفوظٌ، خصوصاً عند أكرم الأكرمين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ولْيَسْتَحْضِر أنّ هذا الحرم مثال للحرم الحقيقي، لِيَتَرقَّى من الشوق إلى دخول هذا الحرم والأمنِ بدخوله من العقاب إلى الشوق إلى دخول ذلك الحرم والمقام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وَقَعَ بصرُه على البيت فليَسْتَحْضِرْ عظمته في قلبه، ولْيَتَرَقَّ بفكره إلى مشاهَدَة حضرة ربِّ البيت في جوار الملائكة المقرَّبين، ولْيَتَشَوَّقْ أَنْ يَرْزُقَهُ النظر إلى وجهه الكريم، كما رَزَقَه الوصول إلى بيته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وليُكْثِرُ من الذكر والشكر على تبليغ اللّه إيّاه هذه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فلا يَغْفَلْ عن تَذَكَّر أحوال الآخرة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الطواف بالبيت فلْيَسْتَحْضِرُ فى قلبه التعظيمَ والخَوْفَ والخَشْيَةَ والمحبة، وليَعْلَمُ أنّه بذلك مُتَشَبِّه بالملائكة المقرّبين، الحافِّينَ حول العرش الطائفين حوله، ولا تَظُنُّنَّ أن المقصود طوافُ جسمك بالبيت بل طوافُ قلبك بذكرِ ربِّ البَيْت، حتّى لا تَبْتَدى بالذكر إلّا منه ولا تَخْتِمَ إلّا به، كما تبتدئُ بالبيت وتَخْتِمُ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قال أهل الحقيقة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طوافُ أهل العبارة بالقالب، وطواف أهل الإشارة بالقلب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الطواف المطلوب هو </w:t>
      </w:r>
    </w:p>
    <w:p>
      <w:pPr>
        <w:pStyle w:val="BookText"/>
        <w:rPr/>
      </w:pPr>
      <w:r>
        <w:rPr>
          <w:rFonts w:ascii="IRNazanin" w:hAnsi="IRNazanin" w:eastAsia="IRNazanin"/>
          <w:color w:val="111111"/>
          <w:sz w:val="28"/>
          <w:sz w:val="28"/>
          <w:szCs w:val="28"/>
          <w:rtl w:val="true"/>
          <w:lang w:bidi="fa-IR"/>
        </w:rPr>
        <w:t>طوافُ القلب بحضرة الربوبية، وإن البيتَ مِثالٌ ظاهرٌ في عالم الشهادة لتلك الحضرة التى هى عالَمُ الغيب، كما أنّ الانسان الظاهر مثاللٌ ظاهر في عالم الشهادة للإنسان الباطن الذي لا يُشاهد بالبصر، وهو في عالم الغيب، وإنّ عالَمَ المُلكِ والشهادة مرقاةٌ ومدْرَجٌ إلى عالم الغيب والملكوت لِمَنْ فُتِح له باب الرحمة، وأخَذَتِ العناية الإلهيّة بیده لسلوك الصراط المستقيم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استلام الحَجَر فَلْيَسْتَحْضِرْ عنده أنّه مُبايع اللّه على طاعته، مُصَمِّم عزيمته على الوفاء ببيعته،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نَّكَثَ فَإِنَّمَا يَنكُثُ عَلَى نَفْسِهِ، وَمَنْ أَوْفَى بِمَا عَهَدَ عَلَيْهُ اللّه فَسَيُؤْتِيهِ أَجْرًا عَظِيمًا</w:t>
      </w:r>
      <w:r>
        <w:rPr>
          <w:rFonts w:eastAsia="Amiri" w:cs="Amiri" w:ascii="Amiri" w:hAnsi="Amiri"/>
          <w:color w:val="111111"/>
          <w:sz w:val="28"/>
          <w:szCs w:val="28"/>
          <w:rtl w:val="true"/>
          <w:lang w:bidi="ar-SA"/>
        </w:rPr>
        <w:t>»</w:t>
      </w:r>
      <w:r>
        <w:rPr>
          <w:rStyle w:val="FootnoteAnchor"/>
          <w:rtl w:val="true"/>
        </w:rPr>
        <w:footnoteReference w:id="9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 الأسود يمين اللّه في الأرض، يُصافِحُ بها خَلْقَه كما يُصافِحُ الرجلَ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قَبَّلَه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لأعلَمُ أنّك حَجَرٌ لا تَضُرُّ ولا تَنْفَعُ، ولولا أنّي رأيتُ رسول اللّه يُقَبِّلُك لَما قَبَّلْتُك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مَة يا عُمرُ، بَلْ يَضُرُّ ويَنْفَعُ؛ فإنّ اللّه سبحانه لَمّا أَخَذَ المِيثَاقَ على بني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بَنِى ءَادَمَ مِن ظُهُورِهِمْ ذُرِّيَّتَهُمْ وَأَشْهَدَهُمْ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9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ألْقَمَه هذا الحجر ليكون شاهداً عليهم بأداء أمانتهم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معنى قول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استلامه أمانتي أدَّيْتُها، وميثاقي تعاهَدْتُه لِتَشْهَدَ لي عندَ رَبِّكَ بالموافاة</w:t>
      </w:r>
      <w:r>
        <w:rPr>
          <w:rFonts w:eastAsia="Amiri" w:cs="Amiri" w:ascii="Amiri" w:hAnsi="Amiri"/>
          <w:color w:val="111111"/>
          <w:sz w:val="28"/>
          <w:szCs w:val="28"/>
          <w:rtl w:val="true"/>
          <w:lang w:bidi="ar-SA"/>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التعلَّق بأشتار الكعبة والالتصاق بالملتزم فليستحضر فيه طلب القرب؛ حُبّاً للّه وشوقاً إلى لقائه؛ تَبَرُّكاً بالمماسة ورجاءً للتحصُّن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ولتكن النيّة في التعلُّقِ بالسِتر الإلحاح في طلب الرحمة، وتوجيه الذهن إلى الواحد الحق، وسؤال الأمان من </w:t>
      </w:r>
    </w:p>
    <w:p>
      <w:pPr>
        <w:pStyle w:val="BookText"/>
        <w:rPr/>
      </w:pPr>
      <w:r>
        <w:rPr>
          <w:rFonts w:ascii="Amiri" w:hAnsi="Amiri" w:eastAsia="Amiri" w:cs="Amiri"/>
          <w:color w:val="111111"/>
          <w:sz w:val="28"/>
          <w:sz w:val="28"/>
          <w:szCs w:val="28"/>
          <w:rtl w:val="true"/>
          <w:lang w:bidi="ar-SA"/>
        </w:rPr>
        <w:t>عذابه، كالمُذْنِبِ المتعلّق بأذيالِ مَن عَصاه المُتَضَرِّع إليه في عفوه عنه، المعترف له بأنّه لا ملجأ منه إلّا إليه، ولا مَفْزَعَ له إلّا عفوه وكرمه، وأنّه لا يُفارِقُ ذيله إلَّا بالعفو، وبذل الطاعة</w:t>
      </w:r>
      <w:r>
        <w:rPr>
          <w:rStyle w:val="FootnoteAnchor"/>
          <w:rtl w:val="true"/>
        </w:rPr>
        <w:footnoteReference w:id="960"/>
      </w:r>
      <w:r>
        <w:rPr>
          <w:rFonts w:ascii="Amiri" w:hAnsi="Amiri" w:eastAsia="Amiri" w:cs="Amiri"/>
          <w:color w:val="111111"/>
          <w:sz w:val="28"/>
          <w:sz w:val="28"/>
          <w:szCs w:val="28"/>
          <w:rtl w:val="true"/>
          <w:lang w:bidi="ar-SA"/>
        </w:rPr>
        <w:t>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السعي بين الصفا والمروة في فناء البيت فمثال لتردُّد العبد بفناء دار الملك جائياً وذاهباً مرّةً بعد أخرى؛ إظهاراً للخُلوص في الخدمة، ورجاء لملاحظته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الرحمة، كالذي دَخَلَ على المَلِك وهو لا يَدْري ما الذي يقضي المَلِكُ في حقه من قبول أو ردّ، فيكون تردُّده رجاءَ أنْ يَرْحَمَه في الثانية إنْ لم يكن رَحِمَه في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ولْيَتَذَكَّرْ عندَ تردُّدِه بين الصفا والمروة تردُّدَه بين كفّتي الميزان في عرصة القيامة، ولْيُمَثِّل الصفا بكفّة الحَسَناتِ والمروة بكفّة السيِّئاتِ، ولْيَتَذَكَّر تردُّده بين الكفتين ملاحظاً للرجحانِ والنقصان، متردداً بين العذاب والغُفران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الوقوف بعرفة فَلْيَتَذَكَّر بما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ازدحام الناس وارتفاع الأصوات واختلاف اللغات، واتّباعِ الفِرَقِ أئمّتَهم في التردُّداتِ على المشاعر اقتفاء بهم وسَيْراً بسيرتهم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عَرَصاتِ القيامة، واجتماع الأمم مع الأنبياء والأئمّة، واقتفاء كلّ أُمَّةٍ أثر نبيِّها وإمامها، هادياً كان أم مُضِلّاً، وتحيَّرَهم في ذلك الصعيد الواحدِ بين الردِّ والقبولِ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تَذَكَّرَ ذلك فَلْيُلْزِمْ قلبه الضراعة والابتهال إلى اللّه تعالى في أنْ يَحْشُرَه في زُمْرة الفائزين المرحومين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ولْيَكُنْ رجاؤه أغلب؛ فإنّ الموقِف شريفٌ، والرحمة إنّما تَصِلُ مِن ذي الجلال إلى كافَّة الخلق بواسطة النفوس الكاملة من أوتاد الأرض ونحوهم، ولا يخلو الموقِفُ مِنْ طائفة من الأبدال والأوتاد وطوائف من الصالحين وأرباب القلوب، فإذا اجْتَمَعَتْ هِمَمُهُمْ، وتَجَرَّدتْ لِلضَراعة نفوسهم، وارْتَفَعتُ إلى اللّه تعالى أيدِيهِم </w:t>
      </w:r>
    </w:p>
    <w:p>
      <w:pPr>
        <w:pStyle w:val="BookText"/>
        <w:rPr/>
      </w:pPr>
      <w:r>
        <w:rPr>
          <w:rFonts w:ascii="Amiri" w:hAnsi="Amiri" w:eastAsia="Amiri" w:cs="Amiri"/>
          <w:color w:val="111111"/>
          <w:sz w:val="28"/>
          <w:sz w:val="28"/>
          <w:szCs w:val="28"/>
          <w:rtl w:val="true"/>
          <w:lang w:bidi="ar-SA"/>
        </w:rPr>
        <w:t>وامْتَدَّتْ إليه أعناقهم، يرمقون بأبصارهم جهة الرحمة طالبين لها، فلا تَظُنُّنَّ أنَّه يَخِيبُ سَعْيُهُم مِن رحمةٍ تَغْمُرُهُمْ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جاء ما تقدّم </w:t>
      </w:r>
      <w:r>
        <w:rPr>
          <w:rStyle w:val="FootnoteAnchor"/>
          <w:rtl w:val="true"/>
        </w:rPr>
        <w:footnoteReference w:id="961"/>
      </w:r>
      <w:r>
        <w:rPr>
          <w:rFonts w:ascii="Amiri" w:hAnsi="Amiri" w:eastAsia="Amiri" w:cs="Amiri"/>
          <w:color w:val="111111"/>
          <w:sz w:val="28"/>
          <w:sz w:val="28"/>
          <w:szCs w:val="28"/>
          <w:rtl w:val="true"/>
          <w:lang w:bidi="ar-SA"/>
        </w:rPr>
        <w:t>من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ما رُئِیَ أدْحَرَ ولا أَحْفَرَ ولا أَصْغَرَ منه يومَ عَرَفَةً، وذلك لما يرى مِنْ نزول الرحمة على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اجتماعُ الأُمم بعرفات والاستظهارُ بمجاوَرَةِ الأبدالِ والأَوْتَادِ المجتمعينَ من أقطار الأرض هو السِرُّ الأعظمُ مِن الحجّ ومقاصده، فلا طريق إلى استنزال رحمة اللّه أعظمُ مِن اجتماع الهِمَم وتعاوُنِ القلوبِ في وقتٍ واحدٍ على صعيدٍ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الوقوفُ بالمَشْعَر فَلْيَسْتَحْضِرْ أنّه قد أقبل عليه مولاه بعد أن كان مُدْبِراً عنه، طارداً له عن بابه، فأذن له فى دخول حرمه؛ فإنّ المَشْعَرَ مِن جملة الحرم وعَرَفَةَ خارجةً، فقد أشْرَقَتْ عليه أنوارُ الرحمة، وهَبَّتْ عليه نَسَمَاتُ الرأفة، وكُسِيَ خِلَعَ القبول بالإذن في دخول حرم المَلِك</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رمي الجمار فَلْيَقْصد به الانقياد لأمره وإظهار الرق والعبودية، ثمّ لْيَقْصِد به التَشَبُّة بإبراهيمَ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عَرَضَ له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الموضع لِيُدْخِلَ عليه شبهةً أو يَفْتِنَه بمعصيةٍ، فأمَرَه اللّه تعالى برميه بالحجارة؛ طَرْداً له وقطعاً لأمله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خَطَرَ له أنّ الشيطانَ عَرَضَ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يَعْرِضُ له، فَليَعْلَمْ أنّ هذا الخاطرَ مِن الشيطان، وهو الذي ألقاه على قلبه لِيُخَيِّلَ إليه أنّه لا فائدة في الرمي، وأنّه يُشْبِهُ اللَعْبَ، فَلْيَطْرُدُه عن نفسه بالجدّ والتشمير</w:t>
      </w:r>
      <w:r>
        <w:rPr>
          <w:rStyle w:val="FootnoteAnchor"/>
          <w:rtl w:val="true"/>
        </w:rPr>
        <w:footnoteReference w:id="962"/>
      </w:r>
      <w:r>
        <w:rPr>
          <w:rFonts w:ascii="Amiri" w:hAnsi="Amiri" w:eastAsia="Amiri" w:cs="Amiri"/>
          <w:color w:val="111111"/>
          <w:sz w:val="28"/>
          <w:sz w:val="28"/>
          <w:szCs w:val="28"/>
          <w:rtl w:val="true"/>
          <w:lang w:bidi="ar-SA"/>
        </w:rPr>
        <w:t>في الرمي فيه برغم أنْفِ الشيطان؛ فإنه وإن كان رمياً للجَمْرة بالحَصى فهو في الحقيقة رَمْي لوجهِ إبليسَ وقَصْمٌ لظهره إذ لا يَحْصُلُ إرغام أنفه إلّا بامتثال أمر اللّه تعالى تعظيماً لمجرّد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ذَبْحُ الهَدْي فَلْيَعْلَمْ أنّه تَقَرُّبُ إلى اللّه تعالى بحكم الامتثال فَلْيُكْمِل الهَدْيَ وأجزاءه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يُشْبِهُ القرب إلى المَلِك بالذبح له وإتمام الضيافة والقرى والغاية منه تذكر المعبود الأوّل سبحانه عند النيّة في الذبح واعتقادُ أنّه مُتَقَرِّب به إلى اللّه تعالى</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هي الإشارة إلى أشرار الحجّ الباطنة، فراعها بفكر صحيح تطلعك على ما فوقها مِن المَدارِج، وتَعْرُج بك على أشرفِ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وفَّقنا اللّه وإياك لتلقى الأسرار، وَجَعَلَنا مِن المخلصين الأبرار، إنّه جواد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لِقاءُ الحاج ومصافحته وتقبيله والتِماسُ بَرَكته وما عَلِقَ</w:t>
      </w:r>
      <w:r>
        <w:rPr>
          <w:rStyle w:val="FootnoteAnchor"/>
          <w:rtl w:val="true"/>
        </w:rPr>
        <w:footnoteReference w:id="964"/>
      </w:r>
      <w:r>
        <w:rPr>
          <w:rFonts w:ascii="Amiri" w:hAnsi="Amiri" w:eastAsia="Amiri" w:cs="Amiri"/>
          <w:color w:val="111111"/>
          <w:sz w:val="28"/>
          <w:sz w:val="28"/>
          <w:szCs w:val="28"/>
          <w:rtl w:val="true"/>
          <w:lang w:bidi="ar-SA"/>
        </w:rPr>
        <w:t>به مِنْ آثار رحمة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مَنْ لم يَحُجَّ اسْتَبْشِرُوا بالحاجّ، وصافحوهم، وعَظّموهم؛ فإنّ ذلك عليكم، تُشاركوهم في الأجر</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عانَقَ حاجاً بغُباره كان كأنّما اسْتَلَمَ الحجر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 الصدوق في الفقيه</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وَلْنَقْتَصِرْ على ما أفردناه، سائلينَ مِمَّن انتفع به أنْ يُشاركنا في دعائه وتوجّهاته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جَمَعَنا اللّه وإيّاكم على طاعاته، وتَقَبَّلَ مِنا ومنكم بفضله وكرمه</w:t>
      </w:r>
      <w:r>
        <w:rPr>
          <w:rFonts w:eastAsia="Amiri" w:cs="Amiri" w:ascii="Amiri" w:hAnsi="Amiri"/>
          <w:color w:val="111111"/>
          <w:sz w:val="28"/>
          <w:szCs w:val="28"/>
          <w:rtl w:val="true"/>
          <w:lang w:bidi="ar-SA"/>
        </w:rPr>
        <w:t xml:space="preserve">.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واتَّفَقَ الفَراغُ مِنْ تأليفه ضُحى يوم الجمعة</w:t>
      </w:r>
      <w:r>
        <w:rPr>
          <w:rStyle w:val="FootnoteAnchor"/>
          <w:rtl w:val="true"/>
        </w:rPr>
        <w:footnoteReference w:id="967"/>
      </w:r>
      <w:r>
        <w:rPr>
          <w:rFonts w:ascii="Amiri" w:hAnsi="Amiri" w:eastAsia="Amiri" w:cs="Amiri"/>
          <w:color w:val="111111"/>
          <w:sz w:val="28"/>
          <w:sz w:val="28"/>
          <w:szCs w:val="28"/>
          <w:rtl w:val="true"/>
          <w:lang w:bidi="ar-SA"/>
        </w:rPr>
        <w:t xml:space="preserve">سابع عشر شهر رمضان المبارك سنة خمسين وتسعمائة من الهجرة النبوية المصطفويّة </w:t>
      </w:r>
      <w:r>
        <w:rPr>
          <w:rStyle w:val="FootnoteAnchor"/>
          <w:rtl w:val="true"/>
        </w:rPr>
        <w:footnoteReference w:id="9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Style w:val="FootnoteAnchor"/>
          <w:rtl w:val="true"/>
        </w:rPr>
        <w:footnoteReference w:id="969"/>
      </w:r>
      <w:r>
        <w:rPr>
          <w:rFonts w:ascii="Amiri" w:hAnsi="Amiri" w:eastAsia="Amiri" w:cs="Amiri"/>
          <w:color w:val="111111"/>
          <w:sz w:val="28"/>
          <w:sz w:val="28"/>
          <w:szCs w:val="28"/>
          <w:rtl w:val="true"/>
          <w:lang w:bidi="ar-SA"/>
        </w:rPr>
        <w:t xml:space="preserve">المذنب المفتقر إلى عفو اللّه تعالى وكرمه زين الدين بن عليّ بن أحمد الشامي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عامله اللّه بفضله، وعفا عنه بمنّه وكرمه</w:t>
      </w:r>
      <w:r>
        <w:rPr>
          <w:rFonts w:eastAsia="Amiri" w:cs="Amiri" w:ascii="Amiri" w:hAnsi="Amiri"/>
          <w:color w:val="111111"/>
          <w:sz w:val="28"/>
          <w:szCs w:val="28"/>
          <w:rtl w:val="true"/>
          <w:lang w:bidi="ar-SA"/>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2" w:name="pg10113_92219"/>
      <w:bookmarkStart w:id="573" w:name="pg10113_92219"/>
      <w:bookmarkEnd w:id="573"/>
    </w:p>
    <w:p>
      <w:pPr>
        <w:pStyle w:val="Heading2"/>
        <w:numPr>
          <w:ilvl w:val="1"/>
          <w:numId w:val="1"/>
        </w:numPr>
        <w:rPr/>
      </w:pPr>
      <w:bookmarkStart w:id="574" w:name="pg10113_92219"/>
      <w:bookmarkStart w:id="575" w:name="__RefHeading___Toc375567_1067777946"/>
      <w:bookmarkStart w:id="576" w:name="_Toc192"/>
      <w:bookmarkEnd w:id="574"/>
      <w:bookmarkEnd w:id="575"/>
      <w:r>
        <w:rPr>
          <w:rtl w:val="true"/>
        </w:rPr>
        <w:t>القسم الخامس</w:t>
      </w:r>
      <w:r>
        <w:rPr>
          <w:rtl w:val="true"/>
        </w:rPr>
        <w:t xml:space="preserve">: </w:t>
      </w:r>
      <w:r>
        <w:rPr>
          <w:rtl w:val="true"/>
        </w:rPr>
        <w:t>الطلاق</w:t>
      </w:r>
      <w:bookmarkEnd w:id="576"/>
    </w:p>
    <w:p>
      <w:pPr>
        <w:pStyle w:val="Heading3"/>
        <w:numPr>
          <w:ilvl w:val="2"/>
          <w:numId w:val="1"/>
        </w:numPr>
        <w:rPr/>
      </w:pPr>
      <w:bookmarkStart w:id="577" w:name="__RefHeading___Toc375569_1067777946"/>
      <w:bookmarkStart w:id="578" w:name="_Toc193"/>
      <w:bookmarkEnd w:id="577"/>
      <w:r>
        <w:rPr>
          <w:rtl w:val="true"/>
        </w:rPr>
        <w:t>إشارة</w:t>
      </w:r>
      <w:r>
        <w:rPr>
          <w:rtl w:val="true"/>
        </w:rPr>
        <w:t>:</w:t>
      </w:r>
      <w:bookmarkEnd w:id="578"/>
    </w:p>
    <w:p>
      <w:pPr>
        <w:pStyle w:val="BookText"/>
        <w:rPr/>
      </w:pPr>
      <w:r>
        <w:rPr>
          <w:rFonts w:ascii="Amiri" w:hAnsi="Amiri" w:eastAsia="Amiri" w:cs="Amiri"/>
          <w:color w:val="111111"/>
          <w:sz w:val="28"/>
          <w:sz w:val="28"/>
          <w:szCs w:val="28"/>
          <w:rtl w:val="true"/>
          <w:lang w:bidi="ar-SA"/>
        </w:rPr>
        <w:t>ويَضُمُّ رسالةً واحدةً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الغائب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9" w:name="pg10113_92221"/>
      <w:bookmarkStart w:id="580" w:name="pg10113_92221"/>
      <w:bookmarkEnd w:id="580"/>
    </w:p>
    <w:p>
      <w:pPr>
        <w:pStyle w:val="Heading3"/>
        <w:numPr>
          <w:ilvl w:val="2"/>
          <w:numId w:val="1"/>
        </w:numPr>
        <w:rPr/>
      </w:pPr>
      <w:bookmarkStart w:id="581" w:name="pg10113_92221"/>
      <w:bookmarkStart w:id="582" w:name="__RefHeading___Toc375571_1067777946"/>
      <w:bookmarkStart w:id="583" w:name="_Toc194"/>
      <w:bookmarkEnd w:id="581"/>
      <w:bookmarkEnd w:id="582"/>
      <w:r>
        <w:rPr/>
        <w:t>21</w:t>
      </w:r>
      <w:r>
        <w:rPr>
          <w:rtl w:val="true"/>
        </w:rPr>
        <w:t xml:space="preserve">. </w:t>
      </w:r>
      <w:r>
        <w:rPr>
          <w:rtl w:val="true"/>
        </w:rPr>
        <w:t>طلاق الغائب</w:t>
      </w:r>
      <w:bookmarkEnd w:id="583"/>
    </w:p>
    <w:p>
      <w:pPr>
        <w:pStyle w:val="Heading4"/>
        <w:numPr>
          <w:ilvl w:val="3"/>
          <w:numId w:val="1"/>
        </w:numPr>
        <w:rPr/>
      </w:pPr>
      <w:bookmarkStart w:id="584" w:name="__RefHeading___Toc375573_1067777946"/>
      <w:bookmarkStart w:id="585" w:name="_Toc195"/>
      <w:bookmarkEnd w:id="584"/>
      <w:r>
        <w:rPr>
          <w:rtl w:val="true"/>
        </w:rPr>
        <w:t>إشارة</w:t>
      </w:r>
      <w:r>
        <w:rPr>
          <w:rtl w:val="true"/>
        </w:rPr>
        <w:t>:</w:t>
      </w:r>
      <w:bookmarkEnd w:id="585"/>
    </w:p>
    <w:p>
      <w:pPr>
        <w:pStyle w:val="BookText"/>
        <w:rPr/>
      </w:pPr>
      <w:r>
        <w:rPr>
          <w:rFonts w:ascii="Amiri" w:hAnsi="Amiri" w:eastAsia="Amiri" w:cs="Amiri"/>
          <w:color w:val="111111"/>
          <w:sz w:val="28"/>
          <w:sz w:val="28"/>
          <w:szCs w:val="28"/>
          <w:rtl w:val="true"/>
          <w:lang w:bidi="ar-SA"/>
        </w:rPr>
        <w:t>تحقيق</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العابدي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المختاري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6" w:name="pg10113_92223"/>
      <w:bookmarkStart w:id="587" w:name="pg10113_92223"/>
      <w:bookmarkEnd w:id="587"/>
    </w:p>
    <w:p>
      <w:pPr>
        <w:pStyle w:val="BookText"/>
        <w:rPr/>
      </w:pPr>
      <w:bookmarkStart w:id="588" w:name="pg10113_92223"/>
      <w:bookmarkEnd w:id="588"/>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حقَّ حمده، والصلاة على سيّدِ رُسُله محمَّدٍ النبيّ وآله الطاهرين</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375575_1067777946"/>
      <w:bookmarkStart w:id="590" w:name="_Toc196"/>
      <w:bookmarkEnd w:id="589"/>
      <w:r>
        <w:rPr>
          <w:rtl w:val="true"/>
        </w:rPr>
        <w:t>اختلاف الأصحاب في طلاق الغائب</w:t>
      </w:r>
      <w:bookmarkEnd w:id="59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العلماءُ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تحريم طلاق الحائض الحائلِ الحاضرِ زوجُها عندَها المدخول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وأجمع أصحابنا على بطلانه، وأنّه لابدَّ لصحة طلاقها من كونها طاهراً طُهْراً لم يَقْرَبْها فيه بجماع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ذلك الطُّهْرُ المتعقِّب لأوَّلِ حَيْضَةٍ بعد المُواقَعَةِ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طَهُرَتْ ثانياً ثمّ حاضت لم يصحّ طلاقها حالته؛ لأن الشرط مركّب 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كونها طاهراً من الحَيْضِ وما في معناه وهو النفاسُ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 انتقالها من طهرِ المُواقعةِ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اختلفوا في الغائب عنها غَيبَةٌ لا يُمكِنه استعلام حالها فيها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طلاقها حينئذٍ على كلّ حالٍ، سَواءٌ كانت طاهراً أم حائضاً، وسَواءٌ عَلِمَ الزوج بذلك أم لا</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 xml:space="preserve">. </w:t>
      </w:r>
      <w:bookmarkStart w:id="591" w:name="pg10113_92224"/>
    </w:p>
    <w:p>
      <w:pPr>
        <w:pStyle w:val="BookText"/>
        <w:rPr/>
      </w:pPr>
      <w:bookmarkEnd w:id="591"/>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إلا بعد مدَّةٍ، ثم اختلفوا في تلك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أشهرٍ، وهو خِيَرةُ ابن الجُنَيْدِ</w:t>
      </w:r>
      <w:r>
        <w:rPr>
          <w:rStyle w:val="FootnoteAnchor"/>
          <w:rtl w:val="true"/>
        </w:rPr>
        <w:footnoteReference w:id="971"/>
      </w:r>
      <w:r>
        <w:rPr>
          <w:rFonts w:ascii="Amiri" w:hAnsi="Amiri" w:eastAsia="Amiri" w:cs="Amiri"/>
          <w:color w:val="111111"/>
          <w:sz w:val="28"/>
          <w:sz w:val="28"/>
          <w:szCs w:val="28"/>
          <w:rtl w:val="true"/>
          <w:lang w:bidi="ar-SA"/>
        </w:rPr>
        <w:t xml:space="preserve">من المتقدّمين، والعلّامة في المختلف </w:t>
      </w:r>
      <w:r>
        <w:rPr>
          <w:rStyle w:val="FootnoteAnchor"/>
          <w:rtl w:val="true"/>
        </w:rPr>
        <w:footnoteReference w:id="972"/>
      </w:r>
      <w:r>
        <w:rPr>
          <w:rFonts w:ascii="Amiri" w:hAnsi="Amiri" w:eastAsia="Amiri" w:cs="Amiri"/>
          <w:color w:val="111111"/>
          <w:sz w:val="28"/>
          <w:sz w:val="28"/>
          <w:szCs w:val="28"/>
          <w:rtl w:val="true"/>
          <w:lang w:bidi="ar-SA"/>
        </w:rPr>
        <w:t>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وهو خِيَرةُ الشيخ رحمه اللّه في النهاية</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المدة شهر وأوسطها ثلاثة، وأقصاها خمسة أشهرٍ أو ستَّةٌ، وهو خِيَرَةُ الصدوق</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المدَّةِ أنْ يَعْلَمَ انتقالها من الطهرِ الذي واقعها فيه إلى آخر بحسب عادتها، ولا يَتَقدَّرُ بمدَّةٍ غَير ذلك، وهو خِيَرَةُ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الاستبصار</w:t>
      </w:r>
      <w:r>
        <w:rPr>
          <w:rStyle w:val="FootnoteAnchor"/>
          <w:rtl w:val="true"/>
        </w:rPr>
        <w:footnoteReference w:id="975"/>
      </w:r>
      <w:r>
        <w:rPr>
          <w:rFonts w:ascii="Amiri" w:hAnsi="Amiri" w:eastAsia="Amiri" w:cs="Amiri"/>
          <w:color w:val="111111"/>
          <w:sz w:val="28"/>
          <w:sz w:val="28"/>
          <w:szCs w:val="28"/>
          <w:rtl w:val="true"/>
          <w:lang w:bidi="ar-SA"/>
        </w:rPr>
        <w:t>، وتبعه عليه ابنُ إدريس</w:t>
      </w:r>
      <w:r>
        <w:rPr>
          <w:rStyle w:val="FootnoteAnchor"/>
          <w:rtl w:val="true"/>
        </w:rPr>
        <w:footnoteReference w:id="976"/>
      </w:r>
      <w:r>
        <w:rPr>
          <w:rFonts w:ascii="Amiri" w:hAnsi="Amiri" w:eastAsia="Amiri" w:cs="Amiri"/>
          <w:color w:val="111111"/>
          <w:sz w:val="28"/>
          <w:sz w:val="28"/>
          <w:szCs w:val="28"/>
          <w:rtl w:val="true"/>
          <w:lang w:bidi="ar-SA"/>
        </w:rPr>
        <w:t>، والمتأخّرون، ومنهم العلّامة</w:t>
      </w:r>
      <w:r>
        <w:rPr>
          <w:rStyle w:val="FootnoteAnchor"/>
          <w:rtl w:val="true"/>
        </w:rPr>
        <w:footnoteReference w:id="977"/>
      </w:r>
      <w:r>
        <w:rPr>
          <w:rFonts w:ascii="Amiri" w:hAnsi="Amiri" w:eastAsia="Amiri" w:cs="Amiri"/>
          <w:color w:val="111111"/>
          <w:sz w:val="28"/>
          <w:sz w:val="28"/>
          <w:szCs w:val="28"/>
          <w:rtl w:val="true"/>
          <w:lang w:bidi="ar-SA"/>
        </w:rPr>
        <w:t>في غير المختلف وولده فخر المحقّقين، وزاد أنّه مع عدم العلم بذلك تكون المدة ثلاثة أشهرٍ</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2" w:name="__RefHeading___Toc375577_1067777946"/>
      <w:bookmarkStart w:id="593" w:name="_Toc197"/>
      <w:bookmarkEnd w:id="592"/>
      <w:r>
        <w:rPr>
          <w:rtl w:val="true"/>
        </w:rPr>
        <w:t>منشأ اختلافهم الأخبار الواردة</w:t>
      </w:r>
      <w:bookmarkEnd w:id="593"/>
    </w:p>
    <w:p>
      <w:pPr>
        <w:pStyle w:val="BookText"/>
        <w:rPr/>
      </w:pPr>
      <w:r>
        <w:rPr>
          <w:rFonts w:ascii="Amiri" w:hAnsi="Amiri" w:eastAsia="Amiri" w:cs="Amiri"/>
          <w:color w:val="111111"/>
          <w:sz w:val="28"/>
          <w:sz w:val="28"/>
          <w:szCs w:val="28"/>
          <w:rtl w:val="true"/>
          <w:lang w:bidi="ar-SA"/>
        </w:rPr>
        <w:t xml:space="preserve">ومنشأ هذا الاختلاف اختلاف الأخبار الواردة في ذلك عن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الإطلاق</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فروى محمَّد بن مسلم في الصحيح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يُطلِّق امرأته وهو غائبٌ،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طلاقه على كلّ حالٍ وتعتد امرأته من يوم طَلَّقها</w:t>
      </w:r>
      <w:r>
        <w:rPr>
          <w:rFonts w:eastAsia="Amiri" w:cs="Amiri" w:ascii="Amiri" w:hAnsi="Amiri"/>
          <w:color w:val="111111"/>
          <w:sz w:val="28"/>
          <w:szCs w:val="28"/>
          <w:rtl w:val="true"/>
          <w:lang w:bidi="ar-SA"/>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الصحيح عن إسماعيل الجعفي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يُطَلِّقهُنَّ الرجل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والتي لم يدخُلْ بها، والغائب عنها زوجها، والتي لم تحض، والتي قد يئست من المحيض</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ومثلها روى الحلبي في الحَسَنِ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يُطَلّق امرأته وهو غائبٌ فيَعْلَم أنّه يوم طَلَّقَها كانت طامِئاً،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الأخبار حجَّةُ القول الأوّل وهو خِيَرةُ المفيد</w:t>
      </w:r>
      <w:r>
        <w:rPr>
          <w:rStyle w:val="FootnoteAnchor"/>
          <w:rtl w:val="true"/>
        </w:rPr>
        <w:footnoteReference w:id="983"/>
      </w:r>
      <w:r>
        <w:rPr>
          <w:rFonts w:ascii="Amiri" w:hAnsi="Amiri" w:eastAsia="Amiri" w:cs="Amiri"/>
          <w:color w:val="111111"/>
          <w:sz w:val="28"/>
          <w:sz w:val="28"/>
          <w:szCs w:val="28"/>
          <w:rtl w:val="true"/>
          <w:lang w:bidi="ar-SA"/>
        </w:rPr>
        <w:t>، وعليّ بن بابويه</w:t>
      </w:r>
      <w:r>
        <w:rPr>
          <w:rStyle w:val="FootnoteAnchor"/>
          <w:rtl w:val="true"/>
        </w:rPr>
        <w:footnoteReference w:id="984"/>
      </w:r>
      <w:r>
        <w:rPr>
          <w:rFonts w:ascii="Amiri" w:hAnsi="Amiri" w:eastAsia="Amiri" w:cs="Amiri"/>
          <w:color w:val="111111"/>
          <w:sz w:val="28"/>
          <w:sz w:val="28"/>
          <w:szCs w:val="28"/>
          <w:rtl w:val="true"/>
          <w:lang w:bidi="ar-SA"/>
        </w:rPr>
        <w:t>والحسن بن أبي عقيل</w:t>
      </w:r>
      <w:r>
        <w:rPr>
          <w:rStyle w:val="FootnoteAnchor"/>
          <w:rtl w:val="true"/>
        </w:rPr>
        <w:footnoteReference w:id="985"/>
      </w:r>
      <w:r>
        <w:rPr>
          <w:rFonts w:ascii="Amiri" w:hAnsi="Amiri" w:eastAsia="Amiri" w:cs="Amiri"/>
          <w:color w:val="111111"/>
          <w:sz w:val="28"/>
          <w:sz w:val="28"/>
          <w:szCs w:val="28"/>
          <w:rtl w:val="true"/>
          <w:lang w:bidi="ar-SA"/>
        </w:rPr>
        <w:t>، وأبي الصلاح التقيّ الحلبي</w:t>
      </w:r>
      <w:r>
        <w:rPr>
          <w:rStyle w:val="FootnoteAnchor"/>
          <w:rtl w:val="true"/>
        </w:rPr>
        <w:footnoteReference w:id="986"/>
      </w:r>
      <w:r>
        <w:rPr>
          <w:rFonts w:ascii="Amiri" w:hAnsi="Amiri" w:eastAsia="Amiri" w:cs="Amiri"/>
          <w:color w:val="111111"/>
          <w:sz w:val="28"/>
          <w:sz w:val="28"/>
          <w:szCs w:val="28"/>
          <w:rtl w:val="true"/>
          <w:lang w:bidi="ar-SA"/>
        </w:rPr>
        <w:t>، وغيرهم</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جميلُ بن درّاج في الصحيح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إذا خرج من منزله إلى السفرِ، فليس له أنْ يُطَّلَّقَ حتّى تمضي ثلاثةُ أَشْهُرٍ</w:t>
      </w:r>
      <w:r>
        <w:rPr>
          <w:rFonts w:eastAsia="Amiri" w:cs="Amiri" w:ascii="Amiri" w:hAnsi="Amiri"/>
          <w:color w:val="111111"/>
          <w:sz w:val="28"/>
          <w:szCs w:val="28"/>
          <w:rtl w:val="true"/>
          <w:lang w:bidi="ar-SA"/>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حجَّةُ القول الثاني، ويؤيدها أنّ زوجة الغائب باعتبار جهله بحالها في قوَّة المُستَرابة التي يجب التربُّصُ بها قبل الطلاقِ ثلاثةُ أشهرٍ، فقد اعتبر الشارعُ الثلاثة فيما يُناسبها، فليس بِمُستَبعَدٍ حينئذٍ، لا أنّه قياس؛ لأنّه منصوصٌ بنصّ صحيح مؤيَّد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إسحاق بن عمّار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الغائب إذا أرادَ أنْ يُطَلَّقَها تركها شهراً</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حجّةُ الشيخ في النهاية</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إسحاق بن عمّار،قال قلت 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الذي يطلّق كم غيبته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أشهرٍ أو ستَّةُ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دون ذلك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أشهرٍ</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الخبر مع الذي قبله حجَّةُ الصدوق</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جَمَعَ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الاستبصار بين هذه الأخبار، بالحوالة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اختلاف عادة النساء في الحَيْضِ؛ فَمَنْ عَلِمَ من حال امرأته أنّها تَحِيضُ في كلّ شَهرٍ حَيْضَةً جاز له أنْ يُطَلِّق بعد شَهرٍ، ومن يَعْلَمُ أنّها لا تَحِيضُ إِلَّا كلّ ثلاثة أشهرٍ أو خمسة لم يَجُز له أنْ يُطَلَّقَها إلا بعد مضي هذه المدة، وكأن المراعي في جواز ذلك مُضَيُّ حَيضةٍ وانتقالها إلى طُهرٍ لم يَقْرَبْها فيه بجماع؛ وذلك يختلف</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وتبعه على هذا التنزيل ابن إدريس</w:t>
      </w:r>
      <w:r>
        <w:rPr>
          <w:rStyle w:val="FootnoteAnchor"/>
          <w:rtl w:val="true"/>
        </w:rPr>
        <w:footnoteReference w:id="994"/>
      </w:r>
      <w:r>
        <w:rPr>
          <w:rFonts w:ascii="IRNazanin" w:hAnsi="IRNazanin" w:eastAsia="IRNazanin"/>
          <w:color w:val="111111"/>
          <w:sz w:val="28"/>
          <w:sz w:val="28"/>
          <w:szCs w:val="28"/>
          <w:rtl w:val="true"/>
          <w:lang w:bidi="fa-IR"/>
        </w:rPr>
        <w:t>، والمحقّق أبو القاسم</w:t>
      </w:r>
      <w:r>
        <w:rPr>
          <w:rStyle w:val="FootnoteAnchor"/>
          <w:rtl w:val="true"/>
        </w:rPr>
        <w:footnoteReference w:id="995"/>
      </w:r>
      <w:r>
        <w:rPr>
          <w:rFonts w:ascii="Amiri" w:hAnsi="Amiri" w:eastAsia="Amiri" w:cs="Amiri"/>
          <w:color w:val="111111"/>
          <w:sz w:val="28"/>
          <w:sz w:val="28"/>
          <w:szCs w:val="28"/>
          <w:rtl w:val="true"/>
          <w:lang w:bidi="ar-SA"/>
        </w:rPr>
        <w:t>، والعلّامة في غير المختلف</w:t>
      </w:r>
      <w:r>
        <w:rPr>
          <w:rStyle w:val="FootnoteAnchor"/>
          <w:rtl w:val="true"/>
        </w:rPr>
        <w:footnoteReference w:id="996"/>
      </w:r>
      <w:r>
        <w:rPr>
          <w:rFonts w:ascii="Amiri" w:hAnsi="Amiri" w:eastAsia="Amiri" w:cs="Amiri"/>
          <w:color w:val="111111"/>
          <w:sz w:val="28"/>
          <w:sz w:val="28"/>
          <w:szCs w:val="28"/>
          <w:rtl w:val="true"/>
          <w:lang w:bidi="ar-SA"/>
        </w:rPr>
        <w:t>، والشهيد</w:t>
      </w:r>
      <w:r>
        <w:rPr>
          <w:rStyle w:val="FootnoteAnchor"/>
          <w:rtl w:val="true"/>
        </w:rPr>
        <w:footnoteReference w:id="9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ولنشرع الآن في الكلام على حُجَج هذه الأقوال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القول الأوّل، فإنّ أخباره وإن كانت صحيحةً متكثّرةً، لكنَّها مطلقةٌ أو عامّةٌ، والأخبار الدالّة على التربُّص مقيَّدة بتلك المدَّةِ، فيجب حمل المُطلَق على المقيَّد، فَضَعُف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يُحْمَلُ التقييد على الاستحباب، أو على التخيير بينه وبين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عليه الحديث الأخيرُ من التخيير بين السِتَّةِ والخمسة مطلقاً، ثمّ إجازَةُ الثلاثةِ لما طلب منه التخفيف وإجازَةُ الشهر في الحديث الآخر، وإطلاق الإذن في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العمل بمضمون الكلِّ جائزاً وإن كان التربص أولى بحسب مراتبه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الدالّ على الثلاثةِ تعيَّنُ ذلك،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له أن 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المفهوم من هذا النفي نفي الجواز، فحمله على الاستحباب خلاف الظاهر، فلا يجوز المصير إليه مع إمكان الحمل على ما يوافق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وإنْ كان هو الظاهر؛ لكنَّه ينافي إطلاق التربص شهراً، فإنّه مقيَّدٌ لا مطلَق حتّى يُحمَلَ على الثلاثةِ فيعدل عن ظاهر الثلاثة جمعاً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الوجهُ حَسَنٌ لو كان الخبرُ الدالّ على الشهر في قوَّة ذلك الخبر الدالّ على الثلاثة؛ ليجمع بينهما كما فعله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الأمر ليس كذلك؛ فإنّ خبر الثلاثة من الصحيح، وخبرَ الشَهرِ ضعيف، أو من الموثَقِ، وفي جواز العمل به مع معارَضَة الصحيح بل مع عدمه نظر، بل الظاهر خلافه، فتعيَّن العمل بخبر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والخبرُ الأخير الدالُّ على التخيير بين السِتَّةِ والخمسة والتنزيل إلى الثلاثةِ يَعْضُدُ الخبر الصحيحَ الدالّ على الثلاثة ويوافقه، وإن كان الكلام فيه مع انفرادِهِ كالكلام على خبر الشهر</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تحرَّرَ من ذلك أنّ الاعتماد من هذه الأخبار على ما صح منها، وهي المُطْلَقَةُ، والمقيَّدةُ بالثلاثة، ووجوب حمل المُطْلَقِ على المُقَيَّد يُعيّنُ العمل بالثلاثةِ، كما اختاره </w:t>
      </w:r>
      <w:bookmarkStart w:id="594" w:name="pg10113_92228"/>
    </w:p>
    <w:p>
      <w:pPr>
        <w:pStyle w:val="BookText"/>
        <w:rPr/>
      </w:pPr>
      <w:bookmarkEnd w:id="594"/>
      <w:r>
        <w:rPr>
          <w:rFonts w:ascii="Amiri" w:hAnsi="Amiri" w:eastAsia="Amiri" w:cs="Amiri"/>
          <w:color w:val="111111"/>
          <w:sz w:val="28"/>
          <w:sz w:val="28"/>
          <w:szCs w:val="28"/>
          <w:rtl w:val="true"/>
          <w:lang w:bidi="ar-SA"/>
        </w:rPr>
        <w:t>العلّامة في المختلف</w:t>
      </w:r>
      <w:r>
        <w:rPr>
          <w:rStyle w:val="FootnoteAnchor"/>
          <w:rtl w:val="true"/>
        </w:rPr>
        <w:footnoteReference w:id="999"/>
      </w:r>
      <w:r>
        <w:rPr>
          <w:rFonts w:ascii="Amiri" w:hAnsi="Amiri" w:eastAsia="Amiri" w:cs="Amiri"/>
          <w:color w:val="111111"/>
          <w:sz w:val="28"/>
          <w:sz w:val="28"/>
          <w:szCs w:val="28"/>
          <w:rtl w:val="true"/>
          <w:lang w:bidi="ar-SA"/>
        </w:rPr>
        <w:t xml:space="preserve">تبعاً لابن الجُنَيْد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الدال على الشهْرِ يَتَأَيَّدُ بالأخبار المُطلقة التي لا توجب التربُّص، فإنَّ تقييدها بالشهر ينفي العمل بها مع تقيدها به فليس خبرُ الشهر منفرداً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الأخبار الصحيحةُ المُطْلَقة متروكة العمل بالظاهر لوجود المقيّد، كان المعنى المراد منها هو الحكم مع القَيْدِ؛ لَمّا كان قَيْدُ الشَّهْرِ ضعيف السند أو غَيرَ معمول عليه، كان في قوَّةِ المعدوم بالنظر إلى قَيْدِ الثلاثة الصحيح، فتعيَّن التقييد به، وقد ظهر بذلك ضعفُ القول الأوّل والثالث والرابع</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375579_1067777946"/>
      <w:bookmarkStart w:id="596" w:name="_Toc198"/>
      <w:bookmarkEnd w:id="595"/>
      <w:r>
        <w:rPr>
          <w:rtl w:val="true"/>
        </w:rPr>
        <w:t>جمع الشيخ والمتأخّرين بين الأخبار</w:t>
      </w:r>
      <w:bookmarkEnd w:id="596"/>
    </w:p>
    <w:p>
      <w:pPr>
        <w:pStyle w:val="BookText"/>
        <w:rPr/>
      </w:pPr>
      <w:r>
        <w:rPr>
          <w:rFonts w:ascii="Amiri" w:hAnsi="Amiri" w:eastAsia="Amiri" w:cs="Amiri"/>
          <w:color w:val="111111"/>
          <w:sz w:val="28"/>
          <w:sz w:val="28"/>
          <w:szCs w:val="28"/>
          <w:rtl w:val="true"/>
          <w:lang w:bidi="ar-SA"/>
        </w:rPr>
        <w:t>وأمّا جَمْعُ الشيخ والمتأخّرين بينها بالحمل على عادات النساء المختلفة،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الأخبار الصحيحة بين مطلقٍ في عدم التربص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ولاشيء من عادات النساء بمتروكِ أصلاً ورأساً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مقيَّدٍ بثلاثة أشهرٍ، وهو مخالف للغالب قديماً وحديثاً من عادات النساء؛ فإنّ وجود امرأةٍ تَحِيضُ في كلّ ثلاثة أشهُرٍ مرَّةً في غاية النُدُورِ على تقدير وقوعه، بل هو ممكنٌ غير واقع، فإطلاق الأمر به بناءً على كونه بعض العادات حمل على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فليس فى هذه الأحاديث سؤال عن واقِعَةٍ مخصوصة حتّى يتوجّه حملها على كون تلك المرأة معتادةً بتلك العِدَّةِ، وإنّما وقع السؤال في كلّ حديثٍ عن مطلق النساء على وجه القاعدة الكلّيّة؛ فحملها على العادات المختلفة بعيدٌ جدّاً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حديث الشهر، فإنّه موافق للغالب؛ لكن فيه ما قد عرفت، وهو أقرب إلى الظهورِ والصحّة بسبب موافقته للغالب، بل لو لم يَرِدْ في البابِ غَيره لم يكن مخالفاً لما يخرج من ذلك عن عادة النساء نادراً؛ فإنّ ردّ الأحكامِ إلى الأمور الغالبة موافق للحُكمِ وأمّا حديث التخيير بين الستَّةِ والخَمسة ثم إطلاق الثلاثة، فبعيد جداً عن مناسبة </w:t>
      </w:r>
    </w:p>
    <w:p>
      <w:pPr>
        <w:pStyle w:val="BookText"/>
        <w:rPr/>
      </w:pPr>
      <w:r>
        <w:rPr>
          <w:rFonts w:ascii="Amiri" w:hAnsi="Amiri" w:eastAsia="Amiri" w:cs="Amiri"/>
          <w:color w:val="111111"/>
          <w:sz w:val="28"/>
          <w:sz w:val="28"/>
          <w:szCs w:val="28"/>
          <w:rtl w:val="true"/>
          <w:lang w:bidi="ar-SA"/>
        </w:rPr>
        <w:t>العادة، من جهة الزيادة ومن جهة التخيير؛ فإنّ العادة ليس فيها 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الجميع أنّ العادة ربما كانت أقل العادة ربما كانت أقلّ من مجموع من مجموع هذه التقديرات، كما إذا خرج عنها بِقُربِ أيّام عادتها بحيث تنتقل من طهرٍ إلى آخَرَ فِي أيّام يسيرةٍ تَقْصُرُ عن أقل المُدَدِ وهو الشهر؛ فلا يكون حينئذٍ عاملاً بشيءٍ من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هذا هو الظاهر؛ فإنّ المُفارقة في الطهرِ لابدَّ أنْ تكونَ بعد مدَّةٍ قد مَضَتْ منه باعتبار وقوع الجماع في أثنائه وخروجُهُ بعد ذلك، فلا يحتاج إلى تمام الشهر بالنسبة إلى الغالب من عادات النساء؛ فالتنزيل على الاكتفاء بالانتقال من طهرٍ إلى آخَرَ يُخالف مجموع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ربما كان انتظار العادة بعد أحد المُدَدِ وقبل المدة الأُخرى كالشهر والثلاثة، فإذا توقَّفَ الأمرُ على شهرٍ ونصف لم يكن داخلاً في شيء من التقديرات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المُطلقة لمّا حملت على المُقَيَّدة لم تَقْدَحْ في اعتبار العادة؛ لأنّ المطلوب حينئذٍ هو المُقَيَّد، ثمّ المُقَيَّد يوافق بعض الفوائدِ بحسب الإمكان، ففي الحمل عليه سلامة للأخبار الصحيحة أو المشهورة عن الاطراح أصلاً ورأساً؛ ولا شك أنّ حمل الخبر على الوجه البعيد خيرٌ من اطراحِهِ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يمكن حمل الأخبار المُطلقة في الإذنِ على بعض الوجوه الممكنة، كما لو خرج إلى السفر في آخر جزء من حَيْضِها أو ما يَقْرَبُ منه؛ فإنّه حينئذٍ يجوز له طلاقها حالَ الغَيْبَة مطلقاً، وهو نوع من الحمل وإنْ بَعُدَ، بل هو أقرب من التقييدِ بثلاثة أشهرٍ وخمسةٍ وستَّةٍ؛ لأنّ ذلك مجرّد فرض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فوقوعُهُ لكلِّ فردٍ من أفرادِ المعتادة ممكن، وباقي التقييدات يمكن وقوعه في نفسه، فليس في الحمل عليه فرض محال، وهو خيرٌ من اطراح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فرض اتّفاق الانتقال من الأشهر المنصوصة، فإنّه وإن لم يكن حكمه مذكوراً بخصوصه، لكن الصبر به إلى العدد الزائد يُصححه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التقدير المختلف تنبيه على اعتبار الانتقال كيف كان، فإذا وقع ما لا يوافق المقدَّرِ يستفاد حكمه منه من باب التنبيه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المحامل البعيدة إنما ينبغي المصير إليها عند تعذُّرِ ما هو أوجه منها </w:t>
      </w:r>
      <w:bookmarkStart w:id="597" w:name="pg10113_92230"/>
    </w:p>
    <w:p>
      <w:pPr>
        <w:pStyle w:val="BookText"/>
        <w:rPr/>
      </w:pPr>
      <w:bookmarkEnd w:id="597"/>
      <w:r>
        <w:rPr>
          <w:rFonts w:ascii="Amiri" w:hAnsi="Amiri" w:eastAsia="Amiri" w:cs="Amiri"/>
          <w:color w:val="111111"/>
          <w:sz w:val="28"/>
          <w:sz w:val="28"/>
          <w:szCs w:val="28"/>
          <w:rtl w:val="true"/>
          <w:lang w:bidi="ar-SA"/>
        </w:rPr>
        <w:t>وأوفق، وهو هنا ممكن؛ فإنّا قد أسلفنا أنّ الأخبار الصحيحة من جملة تلك الأخبار هي المُطْلَقَة والمُقَيَّدة بالثلاثة، ووجوب حملِ المُطْلَقِ على المُقَيَّدِ يُصَيِّر الجميع في معنى التقييد بالثلاثة أشهرٍ، فليس هنا إلا وجه واحد وهو تقييد جواز طلاق الغائب بثلاثة أشهرٍ، وباقي الأخبار لو وافقت عوائد</w:t>
      </w:r>
      <w:r>
        <w:rPr>
          <w:rStyle w:val="FootnoteAnchor"/>
          <w:rtl w:val="true"/>
        </w:rPr>
        <w:footnoteReference w:id="1001"/>
      </w:r>
      <w:r>
        <w:rPr>
          <w:rFonts w:ascii="Amiri" w:hAnsi="Amiri" w:eastAsia="Amiri" w:cs="Amiri"/>
          <w:color w:val="111111"/>
          <w:sz w:val="28"/>
          <w:sz w:val="28"/>
          <w:szCs w:val="28"/>
          <w:rtl w:val="true"/>
          <w:lang w:bidi="ar-SA"/>
        </w:rPr>
        <w:t>مستقرّةً ومعاني واضحةً، لم يَسُغُ العمل بها وإن كانت أُصول بعض أصحابنا تقتضي العمل بها،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يَعمَلُ على شاكِلَتِه</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تَعيَّنتِ الأخبارُ للتقييد بثلاثة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وهو مع ذلك موافق لحِكمَةِ التربُّص بالمجهولة الحال وهي المسترابُه وما في حكمها كالمُرْضِعِ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العمل بها واستغنى عن المَحامِل الباردة التي تمُجُها الطباعُ في الأخبار الشريفة وبيان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لأحكام الدين وفي الحقيقة الغائب عن زوجته في طُهْرِ المُواقَعَةِ مع كونها ممكنة الحمل عادةً، تصير بجهله بحالها يُمكن عنده حملها وعدمه حَيْضها وعدمه، فهي في حكم من انقطع عنها الحَيْضُ في زمان،إمكانه، وقد احتُمِلَ كونها حاملاً أو غير حامل وحَصَلَتِ الاسترابة لها وبها؛ فإذا ورد النصّ الصحيحُ بذلك وعَمِلَ به جَماعةٌ من كبراء الأصحاب، فلا وجه للعدول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النصوص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قد عُلِمَ من القواعد الشرعيّة المستندة إلى النصوص أنَّ حكم طلاق الغائب أسهل من طلاق الحاضر وأخَفٌ، وهو يظهر من وجهين</w:t>
      </w:r>
    </w:p>
    <w:p>
      <w:pPr>
        <w:pStyle w:val="Heading4"/>
        <w:numPr>
          <w:ilvl w:val="3"/>
          <w:numId w:val="1"/>
        </w:numPr>
        <w:rPr/>
      </w:pPr>
      <w:bookmarkStart w:id="598" w:name="__RefHeading___Toc375581_1067777946"/>
      <w:bookmarkStart w:id="599" w:name="_Toc199"/>
      <w:bookmarkEnd w:id="598"/>
      <w:r>
        <w:rPr>
          <w:rtl w:val="true"/>
        </w:rPr>
        <w:t>قولان منشؤهما القواعد الشرعيّة</w:t>
      </w:r>
      <w:bookmarkEnd w:id="599"/>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الحاضر لا يسوغ له الطلاق إلا مع براءة المرأة من الحيض والنفاس قطعاً، وكون الطلاق واقعاً في طُهْرٍ لم يَقْرَبُها فيه والغائبُ يجوز طلاقه مع حَيْضِها في الجُمَلةِ، وفي طُهْرِ المواقعةِ، إمّا مع عدم التربص أو معه مع انقضاء المدَّة المعتبرة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الحاضر لا يجوز طلاقه من غير انتظار الحالة المذكورة إجماعاً </w:t>
      </w:r>
    </w:p>
    <w:p>
      <w:pPr>
        <w:pStyle w:val="BookText"/>
        <w:rPr/>
      </w:pPr>
      <w:r>
        <w:rPr>
          <w:rFonts w:ascii="Amiri" w:hAnsi="Amiri" w:eastAsia="Amiri" w:cs="Amiri"/>
          <w:color w:val="111111"/>
          <w:sz w:val="28"/>
          <w:sz w:val="28"/>
          <w:szCs w:val="28"/>
          <w:rtl w:val="true"/>
          <w:lang w:bidi="ar-SA"/>
        </w:rPr>
        <w:t>والغائب قد قيل فيه بجواز طلاقه مطلقاً من غير تربُّص</w:t>
      </w:r>
      <w:r>
        <w:rPr>
          <w:rStyle w:val="FootnoteAnchor"/>
          <w:rtl w:val="true"/>
        </w:rPr>
        <w:footnoteReference w:id="10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أُجْمِعَ فيه على وجوب التربص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وأغلطُ حكماً مِمَّن اختُلِفَ في وجوب تربصه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تبيَّنَ ذلك وكان حكم القوي أنّها إذا انتقلَتْ من طُهْرٍ إلى آخَرَ يجوز طلاقها من غير اعتبار أمرٍ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مُضيّ ثلاثة أشهرٍ أو ما هو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حكم الضعيف أولى بذلك؛ فإذا عَلِمَ الغائبُ انتقالها من طُهْرٍ إلى آخر ينبغي أن يجوز طلاقه بطريق أولى، وحينئذٍ فإنْ عَلِمَ الغائبُ انتقالها من الطُّهْرِ الذي واقعها فيه إلى آخر صح طلاقه كالحاضر، وإنْ لم يعلم وجب عليه التربص ثلاثة أشهر، عملاً بصحيح الروايات التي قد اجتمع مُطْلَقُها ومقيَّدها على ذلك، ولعلَّ هذا التفصيل أقوى الأقوال وأمتنها دليلاً، وقد تقدّم أنه اختيار فخر الدين في الشرح</w:t>
      </w:r>
      <w:r>
        <w:rPr>
          <w:rStyle w:val="FootnoteAnchor"/>
          <w:rtl w:val="true"/>
        </w:rPr>
        <w:footnoteReference w:id="1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خبر الشهر بل الأخبار المُطلقة مؤيِّدةٌ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الطلاق مع علمه بانتقالها مبني على كون الغائب أخفَّ حُكماً؛ لما ذكر، 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أغلظ حكماً على بعض الوجوه؛ فإنّه مع الجهل بانتقالها قد ورد النصّ بوجوب تربّصه ثلاثة أشهرٍ أو أزيد وهذا حكم أقوى من حكم الحاضر</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انتفاء ما يزيد على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الانتظار ثلاثةً واقع في الحاضر أيضاً كما في المسترابة المشابهة لزوجة الغائب باعتبار جهله بحالها؛ وحينئذٍ فحكم الغائب من هذا الوجه حكم الحاضر في نظيره، ويبقى مع الغائب خفة الحكم فيما أسلفناه، فكان حكمه أخَفَّ في الجملة كما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الغائبُ زوجته، فلا يخلو إمّا أنْ يكونَ طلَّقها بعد مُضيّ المدَّةِ المعتبرة في صحّة الطلاق أو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التقديرين إما أن يوافق فعله كونها جامعة للشرائط في الواقع، بأن تكون قد حاضت بعد طُهْرٍ المواقعةِ وطَهُرَت، فوقع </w:t>
      </w:r>
      <w:bookmarkStart w:id="600" w:name="pg10113_92232"/>
    </w:p>
    <w:p>
      <w:pPr>
        <w:pStyle w:val="BookText"/>
        <w:rPr/>
      </w:pPr>
      <w:bookmarkEnd w:id="600"/>
      <w:r>
        <w:rPr>
          <w:rFonts w:ascii="Amiri" w:hAnsi="Amiri" w:eastAsia="Amiri" w:cs="Amiri"/>
          <w:color w:val="111111"/>
          <w:sz w:val="28"/>
          <w:sz w:val="28"/>
          <w:szCs w:val="28"/>
          <w:rtl w:val="true"/>
          <w:lang w:bidi="ar-SA"/>
        </w:rPr>
        <w:t>الطلاق حال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يوافق بأنْ تبيَّنَ وقوعه في طُهْرِ المواقعة أو حالة الحَيْضِ، أو يستمر الاشتباه، فالصُوَرُ ثمانٍ، ثمّ على تقدير الانتظار قد يتفقُ له من يخبره بحالها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يُعتبر خبره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الحال موافقةً للشرط أو مخالفة؛ فَتَنْشَعِبُ منها صُوَرٌ أُخرُ تَتَّضح أحكامُها بمسائل</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375583_1067777946"/>
      <w:bookmarkStart w:id="602" w:name="_Toc200"/>
      <w:bookmarkEnd w:id="601"/>
      <w:r>
        <w:rPr>
          <w:rtl w:val="true"/>
        </w:rPr>
        <w:t>ثمان صور متشعبة من هذه المسألة</w:t>
      </w:r>
      <w:bookmarkEnd w:id="602"/>
    </w:p>
    <w:p>
      <w:pPr>
        <w:pStyle w:val="Heading5"/>
        <w:numPr>
          <w:ilvl w:val="4"/>
          <w:numId w:val="1"/>
        </w:numPr>
        <w:rPr/>
      </w:pPr>
      <w:bookmarkStart w:id="603" w:name="__RefHeading___Toc375585_1067777946"/>
      <w:bookmarkStart w:id="604" w:name="_Toc201"/>
      <w:bookmarkEnd w:id="603"/>
      <w:r>
        <w:rPr/>
        <w:t>1</w:t>
      </w:r>
      <w:r>
        <w:rPr>
          <w:rtl w:val="true"/>
        </w:rPr>
        <w:t xml:space="preserve"> - </w:t>
      </w:r>
      <w:r>
        <w:rPr>
          <w:rtl w:val="true"/>
        </w:rPr>
        <w:t>أن يطلقها مراعياً للمدّة المعتبرة</w:t>
      </w:r>
      <w:bookmarkEnd w:id="604"/>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يُطَلَّقَها مُراعياً للمدَّة المعتبرة، ثم تظهر الموافَقةُ بأن كانت قد انتقلَتْ من طُهْرِ المواقعةِ إلى آخر، وهنا يصحّ الطلاق إجماعاً؛ لاجتماع الشرائط المعتبرة في الصحّة ظاهراً وفي نفس الأمر</w:t>
      </w:r>
      <w:r>
        <w:rPr>
          <w:rFonts w:eastAsia="Amiri" w:cs="Amiri" w:ascii="Amiri" w:hAnsi="Amiri"/>
          <w:color w:val="111111"/>
          <w:sz w:val="28"/>
          <w:szCs w:val="28"/>
          <w:rtl w:val="true"/>
          <w:lang w:bidi="ar-SA"/>
        </w:rPr>
        <w:t>.</w:t>
      </w:r>
    </w:p>
    <w:p>
      <w:pPr>
        <w:pStyle w:val="Heading5"/>
        <w:numPr>
          <w:ilvl w:val="4"/>
          <w:numId w:val="1"/>
        </w:numPr>
        <w:rPr/>
      </w:pPr>
      <w:bookmarkStart w:id="605" w:name="__RefHeading___Toc375587_1067777946"/>
      <w:bookmarkStart w:id="606" w:name="_Toc202"/>
      <w:bookmarkEnd w:id="605"/>
      <w:r>
        <w:rPr/>
        <w:t>2</w:t>
      </w:r>
      <w:r>
        <w:rPr>
          <w:rtl w:val="true"/>
        </w:rPr>
        <w:t xml:space="preserve"> - </w:t>
      </w:r>
      <w:r>
        <w:rPr>
          <w:rtl w:val="true"/>
        </w:rPr>
        <w:t>أن يطلقها كذلك ولكن ظهر بعد ذلك كونها حائضاً</w:t>
      </w:r>
      <w:bookmarkEnd w:id="606"/>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يُطَلَّقَها كذلك، ولكن ظهر بعد ذلك كونها حائضاً حال الطلاق، وهنا أيضاً يصح الطلاق؛ لأنّ شرط الصحّة حينئذٍ للغائبِ مُراعاة المدة المعتبرة وقد حصل والحَيْضُ هنا غير مانع؛ لعدم العلم به وهو مما قد استثني من صُوَر المنعِ من طلاق الحائض في النصّ والفتاوى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أبي بصير السابقة صريحة فيه؛ فإنّه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يُطلق امرأته وهو غائبٌ فيعلم أنه يوم طلقها كانت طامِئاً،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r>
        <w:rPr>
          <w:rStyle w:val="FootnoteAnchor"/>
          <w:rtl w:val="true"/>
        </w:rPr>
        <w:footnoteReference w:id="10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هذه الرواية أنّه لم يكن عالماً بالحَيْضِ حال الطلاق، ثمّ عَلِمَ؛ لعطفه العلم على الطلاق، بالفاء المفيدة للتعقيب، وهذه الصورة ممّا لا يُعْلَم فيها خلافٌ أيضاً</w:t>
      </w:r>
      <w:r>
        <w:rPr>
          <w:rFonts w:eastAsia="Amiri" w:cs="Amiri" w:ascii="Amiri" w:hAnsi="Amiri"/>
          <w:color w:val="111111"/>
          <w:sz w:val="28"/>
          <w:szCs w:val="28"/>
          <w:rtl w:val="true"/>
          <w:lang w:bidi="ar-SA"/>
        </w:rPr>
        <w:t>.</w:t>
      </w:r>
    </w:p>
    <w:p>
      <w:pPr>
        <w:pStyle w:val="Heading5"/>
        <w:numPr>
          <w:ilvl w:val="4"/>
          <w:numId w:val="1"/>
        </w:numPr>
        <w:rPr/>
      </w:pPr>
      <w:bookmarkStart w:id="607" w:name="__RefHeading___Toc375589_1067777946"/>
      <w:bookmarkStart w:id="608" w:name="_Toc203"/>
      <w:bookmarkEnd w:id="607"/>
      <w:r>
        <w:rPr/>
        <w:t>3</w:t>
      </w:r>
      <w:r>
        <w:rPr>
          <w:rtl w:val="true"/>
        </w:rPr>
        <w:t xml:space="preserve"> - </w:t>
      </w:r>
      <w:r>
        <w:rPr>
          <w:rtl w:val="true"/>
        </w:rPr>
        <w:t>الصورة السابقة مع أنه طلّق بعد المدّة المعتبرة</w:t>
      </w:r>
      <w:bookmarkEnd w:id="608"/>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في أنّه طَلَّقَ بعد المدة المعتبرة، ولكن ظهر بعد ذلك كونها باقيةً في طُهْرِ المواقعة لم تنتقل منه إلى حَيْضِ ولا إلى طُهْرٍ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الحكم هنا كالثانية لعين ما ذكر وهو وقوعه على الوجه المعتبر شرعاً؛ ولأن الطلاق إذا حُكِمَ بصحته في حالة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 والإجماع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يحكم بصحته في حالة الطهرِ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 قد عرفته سابقاً من أن شرط الطلاق في غير الغائب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في طُهْرٍ، وكون الطهر غير طُهْرٍ المواقعة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اتفق وقوعه في حالة </w:t>
      </w:r>
    </w:p>
    <w:p>
      <w:pPr>
        <w:pStyle w:val="BookText"/>
        <w:rPr/>
      </w:pPr>
      <w:r>
        <w:rPr>
          <w:rFonts w:ascii="Amiri" w:hAnsi="Amiri" w:eastAsia="Amiri" w:cs="Amiri"/>
          <w:color w:val="111111"/>
          <w:sz w:val="28"/>
          <w:sz w:val="28"/>
          <w:szCs w:val="28"/>
          <w:rtl w:val="true"/>
          <w:lang w:bidi="ar-SA"/>
        </w:rPr>
        <w:t>الحَيْضِ تخلَّف الشرطانِ ؛ لعدم طُهْرٍ آخَرَ غيرِ طُهْرِ المواقعة وعدم الخلو مِن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اتَّفق وقوعه في حالةِ الطُّهر فالمتخلف شرط واحد، وهو كون الطهر غير طُهْرٍ المواقعةِ، فإذا كان تَخَلَّفُ الشرطين في الغائب غير مانع الشرطين في الغائب غير مانعٍ، فَتَخَلَّف أحدِهما أولى بعدم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اختارَهُ المحقّق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فوائده</w:t>
      </w:r>
      <w:r>
        <w:rPr>
          <w:rStyle w:val="FootnoteAnchor"/>
          <w:rtl w:val="true"/>
        </w:rPr>
        <w:footnoteReference w:id="1006"/>
      </w:r>
      <w:r>
        <w:rPr>
          <w:rFonts w:ascii="Amiri" w:hAnsi="Amiri" w:eastAsia="Amiri" w:cs="Amiri"/>
          <w:color w:val="111111"/>
          <w:sz w:val="28"/>
          <w:sz w:val="28"/>
          <w:szCs w:val="28"/>
          <w:rtl w:val="true"/>
          <w:lang w:bidi="ar-SA"/>
        </w:rPr>
        <w:t>هنا عدم الوقوع، مُحْتَجَّاً بانتفاء شرط الصحّة، وهو حصول استبراء الرحم خرج منه حالة الحَيْضِ للرواية،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الاحتجاج بوقوعه على الوجه المعتبر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وجود الشرط؛ وبأنّ الإذن في الطلاق استناداً إلى الظنِّ لا يقتضي الحكم بالصحّة إذا ظهر بطلانُ الظَّنِّ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استبراء الرحم للغائب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مرعاةٌ المدَّةِ المعتبرة وهو حاصلٌ، وموضعُ النصّ والفتوى وهو حالة الحَيْضِ يُنَبِّهُ عليه بأبلغ وجهٍ، وظهور بطلان الظنِّ غير مؤثِّرٍ فيما حكم بصحته ظاهراً، كما يُنَبِّه عليه ظهور الحَيْضِ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الشرط المعتبر حاصلٌ، والمانع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ظهور الخطا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متحقِّقٍ للمانعيّة، وقد تخلَّفَ فيما هو تخلَّفَ فيما هو أولى بالحكم، فليس ذلك من باب القياس الممنوع، بل غایته اشتراكهما في طريق الحكم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الحِكْمَةُ في انتظار المدَّة المقرَّرة في الجُملة إنّما هي استبراءُ الرحم من الحمل، لم يكن الحكم بالصحّة لو ظهرت طاهراً في طُهْر المواقعة أولى؛ لأنّ براءة الرحم معه غير متحقّقة، بخلاف ما لو ظهرت حائضاً؛ فإنّ الظاهر مع الحَيْضِ بَراءةُ الرحم من الحمل بِناءً على امتناع حَيْضِ الحامل أو على الغالب من عدم حَيْضِها؛ فالأولويةُ في حالةِ الظُّهْرِ،ممنوعة، بل المساواة وإنّما الأمر على العكس لكون الحَيْضِ </w:t>
      </w:r>
      <w:bookmarkStart w:id="609" w:name="pg10113_92234"/>
    </w:p>
    <w:p>
      <w:pPr>
        <w:pStyle w:val="BookText"/>
        <w:rPr/>
      </w:pPr>
      <w:bookmarkEnd w:id="609"/>
      <w:r>
        <w:rPr>
          <w:rFonts w:ascii="Amiri" w:hAnsi="Amiri" w:eastAsia="Amiri" w:cs="Amiri"/>
          <w:color w:val="111111"/>
          <w:sz w:val="28"/>
          <w:sz w:val="28"/>
          <w:szCs w:val="28"/>
          <w:rtl w:val="true"/>
          <w:lang w:bidi="ar-SA"/>
        </w:rPr>
        <w:t>موجباً للبراءة أو أقرب إليها؛ بل في الحقيقة الاعتبار الظنّي إنّما هو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الانتقال منه إلى الطُهْرِ، فإنّما يفيد استظهاراً قليلاً فيه؛ إذ لا دخل في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الاعتبار حسن، لكنَّه مبنيٌّ على وجوب اعتبار الحِكْمَةِ وهو غير لازمٍ، وإنّما دلَّتِ النصوص على اعتبار انقضاء المدَّة المعتبرة، واسْتُنْبِطَ منها الاكتفاءُ بظنّ الانتقالِ من طُهْرٍ إلى آخَرَ، كما قد عرفته، وكلاهما متحقِّقٌ هنا، والحِكْمَةُ مستنبَطَةٌ لا منصوصةٌ فلا يلزم اطّرادُها، فيرجع الأمرُ إلى ما قلناه من وجود مقتضي الصحّة وانتفاء المانع</w:t>
      </w:r>
      <w:r>
        <w:rPr>
          <w:rFonts w:eastAsia="Amiri" w:cs="Amiri" w:ascii="Amiri" w:hAnsi="Amiri"/>
          <w:color w:val="111111"/>
          <w:sz w:val="28"/>
          <w:szCs w:val="28"/>
          <w:rtl w:val="true"/>
          <w:lang w:bidi="ar-SA"/>
        </w:rPr>
        <w:t>.</w:t>
      </w:r>
    </w:p>
    <w:p>
      <w:pPr>
        <w:pStyle w:val="Heading5"/>
        <w:numPr>
          <w:ilvl w:val="4"/>
          <w:numId w:val="1"/>
        </w:numPr>
        <w:rPr/>
      </w:pPr>
      <w:bookmarkStart w:id="610" w:name="__RefHeading___Toc375591_1067777946"/>
      <w:bookmarkStart w:id="611" w:name="_Toc204"/>
      <w:bookmarkEnd w:id="610"/>
      <w:r>
        <w:rPr/>
        <w:t>4</w:t>
      </w:r>
      <w:r>
        <w:rPr>
          <w:rtl w:val="true"/>
        </w:rPr>
        <w:t xml:space="preserve"> - </w:t>
      </w:r>
      <w:r>
        <w:rPr>
          <w:rtl w:val="true"/>
        </w:rPr>
        <w:t>الصورة بحالها لكن اتّفق له مخبر بأنها حائّض</w:t>
      </w:r>
      <w:bookmarkEnd w:id="611"/>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بحالها في كون الطلاق وقع بعد المدة المعتبرة؛ لكن اتَّفَقَ له 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الاعتماد عليه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حائض بسبب تغير عادتها، فهل يقع الطلاق صحيحاً أم لا؟ وجهان أجودُهما العدم؛ لعموم الأدلّة الدالّة على المنع من طلاق الحائض، خرج منها غير المدخول بها وزوجةُ الغائب بعد التربُّص وعدم العلم بالحال حين الطلاق،فيبقى الباقي على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الصحّة إطلاق الأخبار بجواز طلاق الغائب بعد المدَّة، أو مطلقاً من غير تفصيل، فتكون مُخَصِّصَةً للمنع من طلاق الحائض كما خَصَّصَ المنع منه لو كانت حائضاً في نفس الأمر مع عدم ظهوره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ويُضَعَّفُ بأنّ كُلاً من أخبار المنع من طلاق الحائض وتسويغ طلاق الغائب على كلّ حالٍ مُطلَق، وليس تخصيص أحدهما بالآخر أولى من عكسه؛ إذ كما يُحْتَمَلُ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الدالّة على صحّة طلاق الغائب مخصِّصةٌ لأخبار المنع من طلاق الحائض كذا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أخبار المنع من طلاق الحائض خَصَّصَتْ عموم تسويغ طلاق الغائب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أخبار المنع من طلاق الحائض خُصِّصَتْ بأخبارِ تسويغ طلاق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كونها حائضاً في نفس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w:t>
      </w:r>
    </w:p>
    <w:p>
      <w:pPr>
        <w:pStyle w:val="BookText"/>
        <w:rPr/>
      </w:pPr>
      <w:r>
        <w:rPr>
          <w:rFonts w:ascii="Amiri" w:hAnsi="Amiri" w:eastAsia="Amiri" w:cs="Amiri"/>
          <w:color w:val="111111"/>
          <w:sz w:val="28"/>
          <w:sz w:val="28"/>
          <w:szCs w:val="28"/>
          <w:rtl w:val="true"/>
          <w:lang w:bidi="ar-SA"/>
        </w:rPr>
        <w:t>فيُقتَصَرُ في التخصيص على موضع 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وأخبارُ تسويغ طلاق الغائب مع الحَيْضِ، خُصِّصَتْ بأخبار المنع من طلاق الحائض على تقدير ظهور الحَيْض قبل الطلاق، وفاءً بحقّي العامَّين بحسب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بذلك ضَعْفُ ما قيل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الأخبار الدالّة على التربُّص دلّتْ على اعتبار المدَّةِ المذكورة مِن غَيرِ تقييدٍ بكونها طاهراً وقت الطلاق وعدمه، فيُقيَّدُ بذلك عمومُ الأخبار العامّة الدالّة على جواز تطليق الغائب مطلقاً، والأخبار العامّة مقيّدة لعموم الأخبار الدالّة على المنعِ من طلاق الحائض</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فإنّ الموجبَ لِبِناء الغائب على الأهِلَّةِ إنَّما هو عدم العلم بحال المرأة، وقد تُبة عليه في صحيح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امرأةً سِرّاً من أهلها، وهي في منزل أهلها وقد أراد أنْ يُطَلِّقَها وليس يَصِلُ إليها فيعلَمُ طَمْثَها إذا طَمِثَتْ ولا يَعْلَمُ طُهْرَها إذا طَهُرَتْ ؟ قال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مثل الغائب عنه أهله</w:t>
      </w:r>
      <w:r>
        <w:rPr>
          <w:rStyle w:val="FootnoteAnchor"/>
          <w:rtl w:val="true"/>
        </w:rPr>
        <w:footnoteReference w:id="1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يُطَلِّقُها بالأهلَّةِ والشهورِ</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فَنَبَّة على أنّ الغائب إنّما يُطَلِّقُ بالأهلةِ والشهور؛ لتعذُّرِ علمه بحالها؛ فلو عَلِمَ به كان حكمهُ حكم الحاضر، كما أنّ الحاضر الذي لا يَعلَم حالها في حكم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فصارت الأقسام أربعةً حاضر، ومن في حُكمِهِ؛ وغائبٌ، ومن في حكمِهِ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تبيَّنَ لك من دليل الوجهين أنّه لا فرق في المنعِ من الطلاق في هذه الصورة </w:t>
      </w:r>
      <w:bookmarkStart w:id="612" w:name="pg10113_92236"/>
    </w:p>
    <w:p>
      <w:pPr>
        <w:pStyle w:val="BookText"/>
        <w:rPr/>
      </w:pPr>
      <w:bookmarkEnd w:id="612"/>
      <w:r>
        <w:rPr>
          <w:rFonts w:ascii="Amiri" w:hAnsi="Amiri" w:eastAsia="Amiri" w:cs="Amiri"/>
          <w:color w:val="111111"/>
          <w:sz w:val="28"/>
          <w:sz w:val="28"/>
          <w:szCs w:val="28"/>
          <w:rtl w:val="true"/>
          <w:lang w:bidi="ar-SA"/>
        </w:rPr>
        <w:t>بين كون المرأة حائضاً بعد الظهر الثاني وقبله؛ لأنّ دليل المَنعِ آتٍ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فرق في احتمال الجواز بين الحَيْضِ في الحالين، لكن قد وقع الاشتباهُ في الحالة الأُولى، وهي ما لو كانت حائضاً بعد الطُهْرِ الثاني أكثر، فخصَّهُ بعضهم بالجوازِ دون الحالة الأُخرى، ولا فرق من حيث الدليل وإن كانت تلك الحالة أبلغ في الاستظهار وأبعدَ عن الاشتباه؛ فإنّ الانتقال من الطُهْرِ الذي واقعَها فيه إلى آخَرَ قد حصل، واستبراءَها بالمدَّةِ المحدودة قد وُجِدَ، فكان الجواز فيها أولى</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375593_1067777946"/>
      <w:bookmarkStart w:id="614" w:name="_Toc205"/>
      <w:bookmarkEnd w:id="613"/>
      <w:r>
        <w:rPr/>
        <w:t>5</w:t>
      </w:r>
      <w:r>
        <w:rPr>
          <w:rtl w:val="true"/>
        </w:rPr>
        <w:t xml:space="preserve"> - </w:t>
      </w:r>
      <w:r>
        <w:rPr>
          <w:rtl w:val="true"/>
        </w:rPr>
        <w:t>الصورة بحالها لكن المخبر أخبر بكونها طاهراً وقد واقعها في ذلك الطهر</w:t>
      </w:r>
      <w:bookmarkEnd w:id="614"/>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لكن المُخْبِرَ إنَّما أخبر بكونها طاهراً طُهْراً قد واقعَها فيه، بمعنى أنّه لم يتجدَّد لها بعد ذلك حَيْضٌ على خلاف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صحّة الطلاق حينئذٍ الوجهان المتقدِّمان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أخْبَرَ بكونها حائضاً بعد طُهر المواقعة بغير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لاشتراكهما معاً في العلَّةِ، وهي عدم اجتماع الشرائط المعتبرة في صحّة الطلاق في نفس الأمر، ومُضيُّ المدَّة المعتبرة طاهراً وظهور الحال بحسب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بعدم الصحّة هنا لعدم استبرائها بما يُعْلَم به كونها حاملاً أو حائلاً، بخلاف ما لو أخْبَر بكونها حائضاً؛ فإنّه يظهر بذلك كونها حائلاً غالباً، وهو ظاهرُ الحكمة فى الاستبراء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هناك الأخبارُ الدالّةُ على المنع من طلاق الحائضِ مطلقاً، المعارضةُ للأخبار المسوِّعَةِ لطلاق الغائب بعد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مفقودٌ هنا؛ لأنّ المفروض كونها طاهراً بحسب الأخبار، والمدة المعتبرة حاصلةٌ، فلا مانع من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الأخبار الدالّة على الإذن في الطلاق المقتضي للصِحَّةِ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الأخبار قد وردت بالمنع من طلاق الحائض مطلقاً؛ كذلك وردتْ بالمنعِ من طلاق من لم تنتقِلْ مِن طُهْرٍ المواقعة إلى حَيْض، ثم إلى طُهْرٍ آخَرَ بعدَهُ، كقول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لاطلاقَ إلّا على سُنَّةٍ، ولا طلاق على سُنَّةٍ إلّا على طَهُورٍ </w:t>
      </w:r>
    </w:p>
    <w:p>
      <w:pPr>
        <w:pStyle w:val="BookText"/>
        <w:rPr/>
      </w:pPr>
      <w:r>
        <w:rPr>
          <w:rFonts w:ascii="Amiri" w:hAnsi="Amiri" w:eastAsia="Amiri" w:cs="Amiri"/>
          <w:color w:val="111111"/>
          <w:sz w:val="28"/>
          <w:sz w:val="28"/>
          <w:szCs w:val="28"/>
          <w:rtl w:val="true"/>
          <w:lang w:bidi="ar-SA"/>
        </w:rPr>
        <w:t>من غَيرِ جماع، ولاطلاق على سُنَّةٍ وعلى طهرٍ من غَيرِ جماعِ إلّا ببِّينةٍ</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زرارة ومحمَّد بن مسلمٍ وبكيرٍ وفضيلٍ وغيرهم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أنّهما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 الرجلُ في دم النفاس أو طلَّقها بعدما يمسُّها فليس طلاقه إيّاها بطلاق وإن طلَّقها في استقبال عدَّتها طاهراً من غَيرِ جماعٍ ولم يُشهِد على ذلك رجلينِ عدلينِ فليس طلاقُه إيّاها بطلاق</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وغيرهما من الأحاديث الدالّة على المنع من طلاق غير المنتقلة من طُهْرِ المواقعة إلى آخر</w:t>
      </w:r>
      <w:r>
        <w:rPr>
          <w:rStyle w:val="FootnoteAnchor"/>
          <w:rtl w:val="true"/>
        </w:rPr>
        <w:footnoteReference w:id="1013"/>
      </w:r>
      <w:r>
        <w:rPr>
          <w:rFonts w:ascii="Amiri" w:hAnsi="Amiri" w:eastAsia="Amiri" w:cs="Amiri"/>
          <w:color w:val="111111"/>
          <w:sz w:val="28"/>
          <w:sz w:val="28"/>
          <w:szCs w:val="28"/>
          <w:rtl w:val="true"/>
          <w:lang w:bidi="ar-SA"/>
        </w:rPr>
        <w:t>، فيكون الكلامُ فيها كالكلام في الأخبار الدالّة على المنع من طلاق الحائض، المعارِضةِ لأخبار الإذن في طلاقِ الغائب بعد المدَّة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 الجمع بينهما واحدٌ، ويرجع البحث إلى المنعِ من صحّة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للصحَّة وجهٌ بتقريب ما تقدَّم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 هنا أيضاً بأن الصحّة ثَمَّةَ تقتضي الصحّة هنا بطريقٍ أولى؛ وذلك لأنّ الشرط في صحّةِ الطلاق كون المرأة طاهراً من الحَيْض، وكون الطُهْر ممّا لم يَقْرَبْها فيه بجماعٍ، فإذا أخْبَرَ بكونها حائضاً فقد تخلَّفَ الشرطان معاً، وهما الطُهْرُ وكونه غَير طُهْر المواقعةِ، وإذا أخْبَرَ بكونها طاهراً طُهر المواقعة فالمتخلف شرط واحد وهو كون الطُّهْر غَيرَ طُهْرٍ المواقعة، ومطلق الطهر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قيل بصحة الطلاق ثَمَّةَ كانت الصحّة هنا أولى، وهذا يأتي على توجيه الصحّة مع الحَيْض مطلقاً، سَواءٌ كان هو الحَيْض المتعقب لطُهْرِ المواقعة أم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الصحّة هناك مشروطةٌ بكونها حائضاً بعد الطُهْرِ الثاني، ينتفي الأمران معاً</w:t>
      </w:r>
      <w:r>
        <w:rPr>
          <w:rFonts w:eastAsia="Amiri" w:cs="Amiri" w:ascii="Amiri" w:hAnsi="Amiri"/>
          <w:color w:val="111111"/>
          <w:sz w:val="28"/>
          <w:szCs w:val="28"/>
          <w:rtl w:val="true"/>
          <w:lang w:bidi="ar-SA"/>
        </w:rPr>
        <w:t xml:space="preserve">. </w:t>
      </w:r>
      <w:bookmarkStart w:id="615" w:name="pg10113_92238"/>
    </w:p>
    <w:p>
      <w:pPr>
        <w:pStyle w:val="Heading5"/>
        <w:numPr>
          <w:ilvl w:val="4"/>
          <w:numId w:val="1"/>
        </w:numPr>
        <w:rPr/>
      </w:pPr>
      <w:bookmarkStart w:id="616" w:name="__RefHeading___Toc375595_1067777946"/>
      <w:bookmarkStart w:id="617" w:name="_Toc206"/>
      <w:bookmarkEnd w:id="615"/>
      <w:bookmarkEnd w:id="616"/>
      <w:r>
        <w:rPr/>
        <w:t>6</w:t>
      </w:r>
      <w:r>
        <w:rPr>
          <w:rtl w:val="true"/>
        </w:rPr>
        <w:t xml:space="preserve"> - </w:t>
      </w:r>
      <w:r>
        <w:rPr>
          <w:rtl w:val="true"/>
        </w:rPr>
        <w:t>أن يطلقها مراعياً للمدة المعتبرة</w:t>
      </w:r>
      <w:bookmarkEnd w:id="617"/>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يُطَلَّقَها مُراعياً للمدَّة المعتبرة، ويستمرَّ الاشتباه، فلا يَعْلَم كونها حين الطلاقِ كانت طاهراً طُهْر المواقعة أو غيره، أو حائضاً، وهاهنا يصحّ الطلاق قولاً واحداً؛ لوجود المقتضي للصحَّةِ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استبراؤها المدَّةَ المعتبرة مع باقي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وانتفاء المانع؛ إذ ليس ثُمَّ إلّا اشتباه الحال وهو غير صالحٍ للمانعيّة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انتقالها من طُهْرِ المواقعةِ إلى آخَرَ شرطاً في صحّة الطلاق، كان الجهل بالانتقال جهلاً بحصول الشرط المقتضي للجهل بِصحَّةِ المشروط، وإن كان ذلك إنّما يعتبر في الحاضر، فالغائبُ طلاقُه صحيحٌ وإِنِ اتَّفق في الحَيْضِ أو طُهْرِ المواقعَةِ مع العلم به وبدونه؛ لأنّ ذلك ليس شرطاً في 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في شرط طلاق الغائب إنّما هو مُضيُّ المُدَّةِ المعتبرة مع عدم العلم يكونها حائضاً حال الطلاق أو ما في حُكْمِهِ، ككونها طاهراً طُهر المواقعةِ، فمتى انْتَفَى العلم بذلك حصل الشرط، فيصحُّ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الإذن في طلاق الغائب مطلقاً، أو بعد المدة المعتبرة، غير مقيَّدةٍ بالطَّهر ولا بغَيرِهِ، والأخبار المقيَّدة بالطُّهر غير مقيَّدة بالحاضر ولا بغيره؛ فإن اعتُبِرَ في صحّة طلاق الغائب مدلول أخباره خاصَّةً، لم يكن الحَيْضُ مانعاً من الصحّة ولا طُهْرُ المواقعةِ مطلقاً؛ وإنِ اعتُبِرَ معها مدلول هذه الأخبار، لزم المنع من طلاق الغائب مع الجهل بالحال، ومع تبيُّنِ الحَيْضِ والطُهْرِ بعد الطلاقِ وإنْ جَهِلَ الحال عنده، والاتّفاق على خلافه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الجمع بين الأخبار المُطْلَقَةِ والعامّة تقتضي اعتبار جميع ما دلَّتْ عليه الأخبار المختلفة، إلّا ما أخرجهُ الإجماع، وهو الطلاق من الغائب مع اشتباه الحال دائماً، ومع ظهور الحَيْضِ وطُهْرٍ المواقعة بعد ذلك، ويبقى ما عدا المُجْمَعُ عليه على الأصل من اعتبار استجماع جميعِ ما أمكنَ جمعه من الشرائط التي من جملتها مُضيُّ المدَّة في الغائب، والسلامة ُمن الحَيْضِ وطُهْر المواقعة</w:t>
      </w:r>
      <w:r>
        <w:rPr>
          <w:rFonts w:eastAsia="Amiri" w:cs="Amiri" w:ascii="Amiri" w:hAnsi="Amiri"/>
          <w:color w:val="111111"/>
          <w:sz w:val="28"/>
          <w:szCs w:val="28"/>
          <w:rtl w:val="true"/>
          <w:lang w:bidi="ar-SA"/>
        </w:rPr>
        <w:t xml:space="preserve">. </w:t>
      </w:r>
      <w:bookmarkStart w:id="618" w:name="pg10113_92239"/>
    </w:p>
    <w:p>
      <w:pPr>
        <w:pStyle w:val="BookText"/>
        <w:rPr/>
      </w:pPr>
      <w:bookmarkEnd w:id="618"/>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يقتضي المنع من طلاقِ الغائب لوتبيَّن بعد ذلك وقوعه في طُهْرٍ المُواقعةِ؛ لأنّه لا إجماع عليه، وقد تقدّم نقل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سُلَّمَ عدم 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إطلاق الأصحاب صِحّة الطلاق مع اعتبار المدَّةِ المذكورة من غَير تقييدٍ بطُهْرِ المُواقعةِ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استناد الصحّة فيه إلى مفهوم الموافقة بالنسبة إلى صحّة طلاق مَن تبيَّنَ كونها حائضاً، المنصوص على صحتهِ المُجْمَعِ عليه بناءً على ما تقدّم من أنّ الحَيْض يوجب اختلال الشرطينِ المعتبرين في الطلاق، وطُهر الُمواقعة يوجب اختلال شرطٍ واحدٍ، فإذا صحَّ الطلاقُ مع اختلال الشرطين صحَّ مع اختلال شرطٍ واحدٍ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يتمَّ هذا الدليلُ وتبَيَّنَ عدمُ الأولوية التزمنا ببطلان الطلاق المذكور؛ اعتباراً لوجوب الجمع بين الأخبار بحسب الإمكان</w:t>
      </w:r>
      <w:r>
        <w:rPr>
          <w:rFonts w:eastAsia="Amiri" w:cs="Amiri" w:ascii="Amiri" w:hAnsi="Amiri"/>
          <w:color w:val="111111"/>
          <w:sz w:val="28"/>
          <w:szCs w:val="28"/>
          <w:rtl w:val="true"/>
          <w:lang w:bidi="ar-SA"/>
        </w:rPr>
        <w:t>.</w:t>
      </w:r>
    </w:p>
    <w:p>
      <w:pPr>
        <w:pStyle w:val="Heading5"/>
        <w:numPr>
          <w:ilvl w:val="4"/>
          <w:numId w:val="1"/>
        </w:numPr>
        <w:rPr/>
      </w:pPr>
      <w:bookmarkStart w:id="619" w:name="__RefHeading___Toc375597_1067777946"/>
      <w:bookmarkStart w:id="620" w:name="_Toc207"/>
      <w:bookmarkEnd w:id="619"/>
      <w:r>
        <w:rPr/>
        <w:t>7</w:t>
      </w:r>
      <w:r>
        <w:rPr>
          <w:rtl w:val="true"/>
        </w:rPr>
        <w:t xml:space="preserve"> - </w:t>
      </w:r>
      <w:r>
        <w:rPr>
          <w:rtl w:val="true"/>
        </w:rPr>
        <w:t>أن يطلقها قبل مضيّ المدّة المذكورة</w:t>
      </w:r>
      <w:bookmarkEnd w:id="620"/>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يُطَلِّقها قبلَ مُضيّ المدَّةِ المذكورة ولكن ظهر بعد الطلاق وقوعه في طُهْرٍ لم يَقْرَبْها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صحّة الطلاق حينئذٍ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مطابقة الشرط في نفس الأمر وظهور الحال ومن عدم اجتماع الشرائط المعتبرة في الطلاق حال إيقاعه؛ فإنّ من جملتها التربُّص به المدَّةَ المذكورة ولم تَحْصُلْ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نظائر هذه المسألة ما لو باع مال أبيه ظانّاً حياتَهُ، بل قبل العلم بموته، فتبيَّنَ موته حالة البيع وانتقال المال إلى البائع؛ فإنّ في صحّة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لموافقة كونه مالكاً حين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الملك ظاهراً – قولين</w:t>
      </w:r>
      <w:r>
        <w:rPr>
          <w:rStyle w:val="FootnoteAnchor"/>
          <w:rtl w:val="true"/>
        </w:rPr>
        <w:footnoteReference w:id="1014"/>
      </w:r>
      <w:r>
        <w:rPr>
          <w:rFonts w:ascii="Amiri" w:hAnsi="Amiri" w:eastAsia="Amiri" w:cs="Amiri"/>
          <w:color w:val="111111"/>
          <w:sz w:val="28"/>
          <w:sz w:val="28"/>
          <w:szCs w:val="28"/>
          <w:rtl w:val="true"/>
          <w:lang w:bidi="ar-SA"/>
        </w:rPr>
        <w:t>، والوجهانِ آتيان فيما لو طلَّقَ الحاضرُ قبل علمه بانتقالها من طُهْرِ المُواقعة إلى آخَرَ، ثم تبيَّنَ انتقالها قبله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الفرق بين العالم بعدم جواز الطلاق قبل الاستبراء وعدمه فيبطل مع العِلمِ ويصحُّ مع عدمه، والفرقُ أنّ العالم بعدم الصحّة لا يَقصُدُ إلى طلاق صحيح بخلاف </w:t>
      </w:r>
      <w:bookmarkStart w:id="621" w:name="pg10113_92240"/>
    </w:p>
    <w:p>
      <w:pPr>
        <w:pStyle w:val="BookText"/>
        <w:rPr/>
      </w:pPr>
      <w:bookmarkEnd w:id="621"/>
      <w:r>
        <w:rPr>
          <w:rFonts w:ascii="Amiri" w:hAnsi="Amiri" w:eastAsia="Amiri" w:cs="Amiri"/>
          <w:color w:val="111111"/>
          <w:sz w:val="28"/>
          <w:sz w:val="28"/>
          <w:szCs w:val="28"/>
          <w:rtl w:val="true"/>
          <w:lang w:bidi="ar-SA"/>
        </w:rPr>
        <w:t>الجاهل، فإذا اقترن بالقصدِ موافقةُ الشرط في نفس الأمر وقع الطلاق، وليس في الأخبار ما يدلُّ صريحاً على اعتبار العلم بالانتقال من طُهْرِ المُواقعة إلى آخر، بل على اشتراط وقوع الطلاق في غَير طُهْرِ المُواقعةِ، فالقولُ بالصحّة مع ظهور الشرط ليس ببعيد، لكن لم أقِفْ للأصحابِ في ذلك على شيءٍ بخصوصه</w:t>
      </w:r>
      <w:r>
        <w:rPr>
          <w:rFonts w:eastAsia="Amiri" w:cs="Amiri" w:ascii="Amiri" w:hAnsi="Amiri"/>
          <w:color w:val="111111"/>
          <w:sz w:val="28"/>
          <w:szCs w:val="28"/>
          <w:rtl w:val="true"/>
          <w:lang w:bidi="ar-SA"/>
        </w:rPr>
        <w:t>.</w:t>
      </w:r>
    </w:p>
    <w:p>
      <w:pPr>
        <w:pStyle w:val="Heading5"/>
        <w:numPr>
          <w:ilvl w:val="4"/>
          <w:numId w:val="1"/>
        </w:numPr>
        <w:rPr/>
      </w:pPr>
      <w:bookmarkStart w:id="622" w:name="__RefHeading___Toc375599_1067777946"/>
      <w:bookmarkStart w:id="623" w:name="_Toc208"/>
      <w:bookmarkEnd w:id="622"/>
      <w:r>
        <w:rPr/>
        <w:t>8</w:t>
      </w:r>
      <w:r>
        <w:rPr>
          <w:rtl w:val="true"/>
        </w:rPr>
        <w:t xml:space="preserve">- </w:t>
      </w:r>
      <w:r>
        <w:rPr>
          <w:rtl w:val="true"/>
        </w:rPr>
        <w:t>أن يطلق قبل الاستبراء</w:t>
      </w:r>
      <w:bookmarkEnd w:id="623"/>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يُطَلَّقَ قبل الاستبراء وتبين عدم الانتقال، أو يَستَمِرٌ الاشتباه، والحكم فيهما،واحد، وهو بطلان الطلاق عند كلّ من اعتبر المدَّة، وعلى القول بجواز طلاقه إذا غابَ على كلّ حالِ يصحّ هنا، بل يصحّ وإنْ عَلِمَ بالحَيْض؛ وهذه الفروع كلُّها غَير محرَّرة في كلام الأصحاب، فينبغي إمعان النظر فيها ومراجعة الأُصول الكلية والقواعدِ التي تُستَنبَطُ منها هذه الأحكام</w:t>
      </w:r>
      <w:r>
        <w:rPr>
          <w:rFonts w:eastAsia="Amiri" w:cs="Amiri" w:ascii="Amiri" w:hAnsi="Amiri"/>
          <w:color w:val="111111"/>
          <w:sz w:val="28"/>
          <w:szCs w:val="28"/>
          <w:rtl w:val="true"/>
          <w:lang w:bidi="ar-SA"/>
        </w:rPr>
        <w:t xml:space="preserve">. </w:t>
      </w:r>
      <w:bookmarkStart w:id="624" w:name="pg10113_92241"/>
    </w:p>
    <w:p>
      <w:pPr>
        <w:pStyle w:val="Heading4"/>
        <w:numPr>
          <w:ilvl w:val="3"/>
          <w:numId w:val="1"/>
        </w:numPr>
        <w:rPr/>
      </w:pPr>
      <w:bookmarkStart w:id="625" w:name="__RefHeading___Toc375601_1067777946"/>
      <w:bookmarkStart w:id="626" w:name="_Toc209"/>
      <w:bookmarkEnd w:id="624"/>
      <w:bookmarkEnd w:id="625"/>
      <w:r>
        <w:rPr>
          <w:rtl w:val="true"/>
        </w:rPr>
        <w:t>الصور السابقة ليست مذكورة صريحاً في كتب الأصحاب</w:t>
      </w:r>
      <w:bookmarkEnd w:id="626"/>
    </w:p>
    <w:p>
      <w:pPr>
        <w:pStyle w:val="BookText"/>
        <w:rPr/>
      </w:pPr>
      <w:r>
        <w:rPr>
          <w:rFonts w:ascii="Amiri" w:hAnsi="Amiri" w:eastAsia="Amiri" w:cs="Amiri"/>
          <w:color w:val="111111"/>
          <w:sz w:val="28"/>
          <w:sz w:val="28"/>
          <w:szCs w:val="28"/>
          <w:rtl w:val="true"/>
          <w:lang w:bidi="ar-SA"/>
        </w:rPr>
        <w:t>تكميلٌ للبحثِ في هذه المسألة</w:t>
      </w:r>
    </w:p>
    <w:p>
      <w:pPr>
        <w:pStyle w:val="BookText"/>
        <w:rPr/>
      </w:pPr>
      <w:r>
        <w:rPr>
          <w:rFonts w:ascii="Amiri" w:hAnsi="Amiri" w:eastAsia="Amiri" w:cs="Amiri"/>
          <w:color w:val="111111"/>
          <w:sz w:val="28"/>
          <w:sz w:val="28"/>
          <w:szCs w:val="28"/>
          <w:rtl w:val="true"/>
          <w:lang w:bidi="ar-SA"/>
        </w:rPr>
        <w:t>قد عرفت أنّ هذه الفروع ليست مذكورةً صريحاً في كلام الأصحاب، وقد يذكرُ بعضها في كلام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اتَّفَقَ الكلام فيه أنّ الشيخ عليّ </w:t>
      </w:r>
      <w:r>
        <w:rPr>
          <w:rStyle w:val="FootnoteAnchor"/>
          <w:rtl w:val="true"/>
        </w:rPr>
        <w:footnoteReference w:id="10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في بعض فوائده عن الإمام فخر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تجویز طلاق الغائب بعد المدَّة المعتبرة، وإنِ اتَّفق العلم بكونها حائضاً بعد الطُهْر الثاني، ورَدَّ عليه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ولننقُلْ عبارتهما في ذلك ليتحرَّر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فخر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الغائب إذا طَلَّقَ بعد الطُّهْرِ الثاني عالماً بأنَّها حائض حين الطلاقِ صحَّ 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على ذلك بأنّ فيه جمعاً بين الأخبار</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ادَّعاه غير واضحٍ، وما استدلّ به مردود؛ لأنّ الأخبار بعضها دلَّ على جواز التطليق على كلّ حالٍ، وبعضها دلَّ على اعتبار مدّة التربُّص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يظنُّ معها كونها طاهراً وقت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فيُخَصُّ العموم بأن زوجة الغائب إنّما يجوز طلاقها إذا غلب على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بمُضيِّ المدّة المذكورة كونها طاهراً؛ فكأنّه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وزوجهُ الغائب على كلّ حالٍ إذا غلب على الظنِّ كونها طاهراً طُهْراً لم يَقْرَبْها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دلالة فيها على ما يدَّعِيه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الجمعُ بين الأخبار بوجه آخر، وهو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الدالّة على التربُّصِ دلّت على اعتبار المدَّة المذكورة من غير تقييد بكونها طاهراً وقت الطلاق،وعدمه فيقيَّدُ بذلك عموم الأخبار العامّة، فيصير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الغائب على كلّ حالٍ إذا تَربَّص بها المدَّةَ التي</w:t>
      </w:r>
      <w:r>
        <w:rPr>
          <w:rStyle w:val="FootnoteAnchor"/>
          <w:rtl w:val="true"/>
        </w:rPr>
        <w:footnoteReference w:id="1017"/>
      </w:r>
      <w:r>
        <w:rPr>
          <w:rFonts w:ascii="Amiri" w:hAnsi="Amiri" w:eastAsia="Amiri" w:cs="Amiri"/>
          <w:color w:val="111111"/>
          <w:sz w:val="28"/>
          <w:sz w:val="28"/>
          <w:szCs w:val="28"/>
          <w:rtl w:val="true"/>
          <w:lang w:bidi="ar-SA"/>
        </w:rPr>
        <w:t>تنتقل معها من طهرٍ إلى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فيعمّ ذلك ما إذا عَلِمَ حَيْضَها حين الطلاق بعد الطُهرِ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هذا مردودٌ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دار الحال في التقدير في النصوص بين أمرين أو أُمورٍ، وجب تقدير ما كان ألصق بالمقام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واللائحُ أنّ اعتبار الطهارة الصَقُ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زوجةَ الغائب لمّا اعتُبِرَ فيها الاستبراءُ، وظنُّ الانتقال عن الحَيْضِ إلى الطُهْرٍ، ولم يُكتفَ بظنِّ الانتقال إلى الحَيْضِ، أفادَ ذلك أنّ أحكام زوجة الحاضر لاحِقَةٌ لها، لكن لخفاء حالها بسبب البُعْدِ اكْتُفِي عن معرفة حالها بحسب الواقع بما تفيدهُ معرفةُ 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سلَّمنا أنّ كُلّاً من التقديرين ممكنٌ، فلابدّ من مرجِّحٍ يُعيِّن التقدير الآخر الذي يبقى معه العمومُ؛ ليخصَّ به عمومات الكتاب والسنّة الدالّة على المنع من طلاق الحائض ولا ريبَ أنّه ليس هناك مرجّحٌ، ومع انتفائه فكيف يجوز الإقدام على الحكم بجواز طلاق مَنْ يُعْلَمُ كونها حائضاً مع قيام الدلائل الدالّة على المنع وانتفاء المعارِضِ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جمع بين الأخبار بالطريق الذي يدلُّ على مدَّعاهُ، لَزِمَهُ القولُ بأنّ من عَلِمَ بالحَيْضِ بعد</w:t>
      </w:r>
      <w:r>
        <w:rPr>
          <w:rStyle w:val="FootnoteAnchor"/>
          <w:rtl w:val="true"/>
        </w:rPr>
        <w:footnoteReference w:id="1018"/>
      </w:r>
      <w:r>
        <w:rPr>
          <w:rFonts w:ascii="Amiri" w:hAnsi="Amiri" w:eastAsia="Amiri" w:cs="Amiri"/>
          <w:color w:val="111111"/>
          <w:sz w:val="28"/>
          <w:sz w:val="28"/>
          <w:szCs w:val="28"/>
          <w:rtl w:val="true"/>
          <w:lang w:bidi="ar-SA"/>
        </w:rPr>
        <w:t>الطُّهْرِ الأوّل يجب القول بصحَّة 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ليتناول العموم لهذا الفردِ بزعمه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الفردُ خرج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إجماعٍ يُدَّعى، والمفيد </w:t>
      </w:r>
      <w:r>
        <w:rPr>
          <w:rStyle w:val="FootnoteAnchor"/>
          <w:rtl w:val="true"/>
        </w:rPr>
        <w:footnoteReference w:id="1019"/>
      </w:r>
      <w:bookmarkStart w:id="627" w:name="pg10113_92243"/>
    </w:p>
    <w:p>
      <w:pPr>
        <w:pStyle w:val="BookText"/>
        <w:rPr/>
      </w:pPr>
      <w:bookmarkEnd w:id="627"/>
      <w:r>
        <w:rPr>
          <w:rFonts w:ascii="Amiri" w:hAnsi="Amiri" w:eastAsia="Amiri" w:cs="Amiri"/>
          <w:color w:val="111111"/>
          <w:sz w:val="28"/>
          <w:sz w:val="28"/>
          <w:szCs w:val="28"/>
          <w:rtl w:val="true"/>
          <w:lang w:bidi="ar-SA"/>
        </w:rPr>
        <w:t>وجماعة</w:t>
      </w:r>
      <w:r>
        <w:rPr>
          <w:rStyle w:val="FootnoteAnchor"/>
          <w:rtl w:val="true"/>
        </w:rPr>
        <w:footnoteReference w:id="1020"/>
      </w:r>
      <w:r>
        <w:rPr>
          <w:rFonts w:ascii="Amiri" w:hAnsi="Amiri" w:eastAsia="Amiri" w:cs="Amiri"/>
          <w:color w:val="111111"/>
          <w:sz w:val="28"/>
          <w:sz w:val="28"/>
          <w:szCs w:val="28"/>
          <w:rtl w:val="true"/>
          <w:lang w:bidi="ar-SA"/>
        </w:rPr>
        <w:t xml:space="preserve">يُجَوِّزُونَ طلاق الغائب مطلقاً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انتهى ما يتعلَّقُ الغرضُ بنقله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375603_1067777946"/>
      <w:bookmarkStart w:id="629" w:name="_Toc210"/>
      <w:bookmarkEnd w:id="628"/>
      <w:r>
        <w:rPr>
          <w:rtl w:val="true"/>
        </w:rPr>
        <w:t>نقد نقل المحقّق الكركي عن فخر الدين</w:t>
      </w:r>
      <w:bookmarkEnd w:id="62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البحث نظر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عن العلّامة فخر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طلاق الغائب في حالة كونه عالماً بكونها حائضاً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واضحٍ؛ لأنّ عبارة فخر الدين ليست كعبارة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هي مُحْتَمِلَةٌ لكون العلم بالحَيْضِ واقعاً حال الطلاق وكونه تجدَّدَ بعد الطلاق يكون الطلاق وقع حالة الحَيْض، وهذه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حكاية القول بأنّ المدَّة المجوّزة للطلاق ما يُعْلَمُ انتقالها مِن طُهْرٍ المواقعةِ إلى آخَرَ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فهذه يصحّ طلاقها وإن كانت حائضاً حال الطلاق، وإنْ عَلِمَ بحَيْضِها حال الطلاق بعد الطهرِ الثاني</w:t>
      </w:r>
      <w:r>
        <w:rPr>
          <w:rFonts w:eastAsia="Amiri" w:cs="Amiri" w:ascii="Amiri" w:hAnsi="Amiri"/>
          <w:color w:val="111111"/>
          <w:sz w:val="28"/>
          <w:szCs w:val="28"/>
          <w:rtl w:val="true"/>
          <w:lang w:bidi="ar-SA"/>
        </w:rPr>
        <w:t>»</w:t>
      </w:r>
      <w:r>
        <w:rPr>
          <w:rStyle w:val="FootnoteAnchor"/>
          <w:rtl w:val="true"/>
        </w:rPr>
        <w:footnoteReference w:id="10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تحتملُ كونَ العلم بالحَيْضِ حاصلاً له حالة الطلاق، تحتملُ تجدُّدَه بعده، بأن يكون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 حائضاً حال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حائضٌ في نفس الأمر 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عَلِمَ بحَيْضِها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ظهر له ما كان واقعاً في نفس الأمر، ومع قيام الاحتمال لا ينسب إليه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 عبارته هذه عبارةُ الشيخ أحمد بن فهد في المهذّب، مع ترجيحٍ لجانب ما فسَّرنا به عبارةً فخر الدين؛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حكاية القول المذكور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فيصحُّ طلاقها حينئذٍ، سَواءٌ اسْتَمَرَّ طُهْرُها في نفس الأمر إلى أن يُطلِّقَها، أورأت </w:t>
      </w:r>
    </w:p>
    <w:p>
      <w:pPr>
        <w:pStyle w:val="BookText"/>
        <w:rPr/>
      </w:pPr>
      <w:r>
        <w:rPr>
          <w:rFonts w:ascii="Amiri" w:hAnsi="Amiri" w:eastAsia="Amiri" w:cs="Amiri"/>
          <w:color w:val="111111"/>
          <w:sz w:val="28"/>
          <w:sz w:val="28"/>
          <w:szCs w:val="28"/>
          <w:rtl w:val="true"/>
          <w:lang w:bidi="ar-SA"/>
        </w:rPr>
        <w:t>حَيْضاً آخَرَ بعد طُهْرٍ المواقعةِ وطَلَّقها حالةَ الحَيْضِ، أو في طُهْرٍ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طلاق هذه وإنْ عَلِمَ بحَيْضها حالة الطلاق</w:t>
      </w:r>
      <w:r>
        <w:rPr>
          <w:rStyle w:val="FootnoteAnchor"/>
          <w:rtl w:val="true"/>
        </w:rPr>
        <w:footnoteReference w:id="10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فَسَّرَ الطُهْرَ والحَيْضَ الذي وقع فيهما الطلاق بكونهما في نفس الأمر، ثمّ عقَبَهُ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عَلِمَ بحَيْضِها حالة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وإن ظهر له الحال وكونُها حائضاً حالة الطلاق مع كونه واقعاً في نفس الأمر وغير عالم به، ويُحْتَمَلُ أنْ يُريد كونه عالماً حال الطلاق بالحَيْضِ أيضاً، لكن مع قيام الاحتمال لا يصحّ جعله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ذلك إلى فخر الدين تُشعِرُ بكونه أفتى به، ووجه الإشعار نقله عنه القول بذلك، ثمّ الاستدلال عليه بأنّ فيه جمعاً بين الأخبار؛ والحال أنّه لم يذكر ذلك على وجه الفتوى، وإنّما هو بصدد تَعدادِ الأقوال في المسألة، فابتدأ أوّلاً بالقول الأوّل الذي اختاره والده في الكتابِ</w:t>
      </w:r>
      <w:r>
        <w:rPr>
          <w:rStyle w:val="FootnoteAnchor"/>
          <w:rtl w:val="true"/>
        </w:rPr>
        <w:footnoteReference w:id="1024"/>
      </w:r>
      <w:r>
        <w:rPr>
          <w:rFonts w:ascii="Amiri" w:hAnsi="Amiri" w:eastAsia="Amiri" w:cs="Amiri"/>
          <w:color w:val="111111"/>
          <w:sz w:val="28"/>
          <w:sz w:val="28"/>
          <w:szCs w:val="28"/>
          <w:rtl w:val="true"/>
          <w:lang w:bidi="ar-SA"/>
        </w:rPr>
        <w:t xml:space="preserve">، وهو كون الضابط في صحّة طلاق الغائب أنْ يُطَلّق بعد مُضيّ مدَّةٍ يَعْلَمُ انتقالها من طُهْرٍ إلى آخَرَ بحسب عادتها، ولم ينبّه على اختياره لذلك، وعقَّبه بتحرير هذا القول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بالعلم هنا الظنُّ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ثمّ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يصحّ 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واستدلَّ على هذا القول بأنّ فيه جمعاً بين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بقيَّة الأقوال وأخبار التفصيل، وهو أنّه إنْ عَلِمَ انتقالها من طُهْرِ المواقعة إلى آخر جاز طلاقه وإلّا انتظر ثلاثة أشهرٍ</w:t>
      </w:r>
      <w:r>
        <w:rPr>
          <w:rStyle w:val="FootnoteAnchor"/>
          <w:rtl w:val="true"/>
        </w:rPr>
        <w:footnoteReference w:id="10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عند حكاية القول الأوّل له اختيارٌ لمن تدبَّر</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الذي اختاره يشتمل على القول الأوّل مع زيادة شيءٍ آخَرَ، فاختياره يقتضي اختيارَ ذلك القول وبقية تفاصيله وتحريره الذي من جملتها ما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مآل القولين وإن كان إلى أمر واحدٍ إلا أن المحكى أوّلاً ليس هو مختاره، وإنّما يظهر اختيارُه لما ذكره آخراً، وليس فيه شيءٌ من ذلك، بل هو مختار الاستبصار</w:t>
      </w:r>
      <w:r>
        <w:rPr>
          <w:rStyle w:val="FootnoteAnchor"/>
          <w:rtl w:val="true"/>
        </w:rPr>
        <w:footnoteReference w:id="1026"/>
      </w:r>
      <w:r>
        <w:rPr>
          <w:rFonts w:ascii="Amiri" w:hAnsi="Amiri" w:eastAsia="Amiri" w:cs="Amiri"/>
          <w:color w:val="111111"/>
          <w:sz w:val="28"/>
          <w:sz w:val="28"/>
          <w:szCs w:val="28"/>
          <w:rtl w:val="true"/>
          <w:lang w:bidi="ar-SA"/>
        </w:rPr>
        <w:t>مع شيءٍ آخَرَ وأحدهما غير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إليه تعليل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جواز الطلاق مع العلم بالحَيْضِ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فيه جمعاً بين الأخبار غيرُ سديد؛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جمعٌ بين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تعليلٌ للقول المحكيِّ بجملته، لا لِما فَرَّعه عليه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ذلك أنّه ذكر في المسألة أقوالاً وذكر دليل كلّ قول منها عند ذكره؛ فاحتجَّ للقول بوجوب الانتظار شهراً برواية إسحاق بن عمّار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تركها شهراً</w:t>
      </w:r>
      <w:r>
        <w:rPr>
          <w:rFonts w:eastAsia="Amiri" w:cs="Amiri" w:ascii="Amiri" w:hAnsi="Amiri"/>
          <w:color w:val="111111"/>
          <w:sz w:val="28"/>
          <w:szCs w:val="28"/>
          <w:rtl w:val="true"/>
          <w:lang w:bidi="ar-SA"/>
        </w:rPr>
        <w:t>»</w:t>
      </w:r>
      <w:r>
        <w:rPr>
          <w:rStyle w:val="FootnoteAnchor"/>
          <w:rtl w:val="true"/>
        </w:rPr>
        <w:footnoteReference w:id="10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للقول بوجوب الانتظار ثلاثة أشهرٍ برواية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أنْ يُطَلَّقَ حتّى تمضي ثلاثة أشهرٍ</w:t>
      </w:r>
      <w:r>
        <w:rPr>
          <w:rFonts w:eastAsia="Amiri" w:cs="Amiri" w:ascii="Amiri" w:hAnsi="Amiri"/>
          <w:color w:val="111111"/>
          <w:sz w:val="28"/>
          <w:szCs w:val="28"/>
          <w:rtl w:val="true"/>
          <w:lang w:bidi="ar-SA"/>
        </w:rPr>
        <w:t>»</w:t>
      </w:r>
      <w:r>
        <w:rPr>
          <w:rStyle w:val="FootnoteAnchor"/>
          <w:rtl w:val="true"/>
        </w:rPr>
        <w:footnoteReference w:id="10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للقول بعدم الانتظار بالأخبار المُطْلَقة</w:t>
      </w:r>
      <w:r>
        <w:rPr>
          <w:rStyle w:val="FootnoteAnchor"/>
          <w:rtl w:val="true"/>
        </w:rPr>
        <w:footnoteReference w:id="10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لهذا القول الذي ابتدأ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الضابط انتقالها من طُهْر المواقعة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فيه جمعاً بين الأخبار بحمل الخبر الدالِّ على الانتظار شهراً على مَنْ عادَتُها أنْ تَحِيضَ في كلّ شهرٍ؛ وخبر الثلاثة على مَنْ عادتها أنْ لا تَحِيض إلّا فى كلّ ثلاثةٍ مرَّةً، وحمل عدم الانتظار على ما لو غابَ في طُهْرٍ لم يواقعها فيه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التعليلُ لهذا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أنّ فيه جمعاً بين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به كلّ مَنْ قال به، وأوّلهم الشيخ في الاستبصار والعلّامة والمحقّق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بَيَّنَّاهُ فيما سبق</w:t>
      </w:r>
      <w:r>
        <w:rPr>
          <w:rStyle w:val="FootnoteAnchor"/>
          <w:rtl w:val="true"/>
        </w:rPr>
        <w:footnoteReference w:id="10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جعله تعليلاً لجواز طلاقها مع العلم بالحَيْض فأوّلُ ما فيه أنّه غير صالحٍ للدلالة؛ لأنّ الأخبار المختلفة لا تعرُّضَ فيها للحَيْضِ ولا لعدمه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سنحرّره ومضى في تضاعيف </w:t>
      </w:r>
    </w:p>
    <w:p>
      <w:pPr>
        <w:pStyle w:val="BookText"/>
        <w:rPr/>
      </w:pPr>
      <w:r>
        <w:rPr>
          <w:rFonts w:ascii="Amiri" w:hAnsi="Amiri" w:eastAsia="Amiri" w:cs="Amiri"/>
          <w:color w:val="111111"/>
          <w:sz w:val="28"/>
          <w:sz w:val="28"/>
          <w:szCs w:val="28"/>
          <w:rtl w:val="true"/>
          <w:lang w:bidi="ar-SA"/>
        </w:rPr>
        <w:t xml:space="preserve">هذه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يبقى القول المحكيّ خالياً عن ذكر الدليل، وهو غير موافق لحكمة الشرح المذكور ولا لغيره ولا لما يذكره في باقي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أحسن في المهذّب في حكاية هذا القول بعبارة تقرُبُ مِن عبارة فخر الدين، بل هي عينها وحكمها؛ لكنَّه قدَّمَ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فيه جمعاً بين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يصحّ طلاقها، إلى آخره</w:t>
      </w:r>
      <w:r>
        <w:rPr>
          <w:rFonts w:eastAsia="Amiri" w:cs="Amiri" w:ascii="Amiri" w:hAnsi="Amiri"/>
          <w:color w:val="111111"/>
          <w:sz w:val="28"/>
          <w:szCs w:val="28"/>
          <w:rtl w:val="true"/>
          <w:lang w:bidi="ar-SA"/>
        </w:rPr>
        <w:t>»</w:t>
      </w:r>
      <w:r>
        <w:rPr>
          <w:rStyle w:val="FootnoteAnchor"/>
          <w:rtl w:val="true"/>
        </w:rPr>
        <w:footnoteReference w:id="1031"/>
      </w:r>
      <w:r>
        <w:rPr>
          <w:rFonts w:ascii="Amiri" w:hAnsi="Amiri" w:eastAsia="Amiri" w:cs="Amiri"/>
          <w:color w:val="111111"/>
          <w:sz w:val="28"/>
          <w:sz w:val="28"/>
          <w:szCs w:val="28"/>
          <w:rtl w:val="true"/>
          <w:lang w:bidi="ar-SA"/>
        </w:rPr>
        <w:t>فصار التعليل بالجمع بين الأخبار متعيّناً للقول المذكور، لا لقوله في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المرأة يصحّ طلاقها وهي حائض وإنْ عَلِمَ بِحَيْضِها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فكون ذلك تعليلاً للقول بكون حدّ الانتظار ما يُعْلَمُ به انتقالها من طُهْرٍ المواقعة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لجواز طلاقها وإن كانت حائضاً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ينبغي أن تكون فيه شُبْهَةٌ ولا يعتريه شكٌّ، وإنّما أوجب ذَهاب الوهم إلى خلافه قرب المسألة المبحوث عنها إلى التعليلِ وعدم إمعانِ النظر، وحينئذٍ فيسقط جميع ما ذكر من الإيراداتِ على الجمع بين الأخبار؛ لأنها مبنيَّةٌ على كون الدليل على جواز تطليقها مع العلمِ بكونها حائضاً أنّ فيه جمعاً بين الأخبار؛ وليس كذلك، وإنّما وجه الجواز ما أسلفناهُ نحن فيما سبق في المسألة الرابعة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 الأخبار بعضها دلَّ على جواز التطليق على كلّ حالٍ، وبعضها دلّ على اعتبار مدَّة التربُّصِ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يُظَنُّ معها كونها طاهراً وقت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فيخصّ العموم إلى آخره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مبنيٌّ على أنّ طريق الجمع بين الأخبار تنزيلُها على مراتب العاداتِ، وإرجاعُها إلى ظنّ انتقالها من طُهْر إلى آخَرَ، وقد تقدّم ما فيه؛ فإنّ الأخبار المقيَّدة إنّما تضمَّنَتْ اعتبار المدَّةِ المعيَّنة أعم من حصول الانتقال فيها وعدمه ومن ظنّ الانتقال وعدمه، ولا يضرُّ تخصيص العموم بالوجه الذي ذكره، وإنّما يصيرُ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زوجة الغائب </w:t>
      </w:r>
    </w:p>
    <w:p>
      <w:pPr>
        <w:pStyle w:val="BookText"/>
        <w:rPr/>
      </w:pPr>
      <w:r>
        <w:rPr>
          <w:rFonts w:ascii="Amiri" w:hAnsi="Amiri" w:eastAsia="Amiri" w:cs="Amiri"/>
          <w:color w:val="111111"/>
          <w:sz w:val="28"/>
          <w:sz w:val="28"/>
          <w:szCs w:val="28"/>
          <w:rtl w:val="true"/>
          <w:lang w:bidi="ar-SA"/>
        </w:rPr>
        <w:t>على كلّ حالٍ يجوز طلاقها إذا مضت عليها المدَّةُ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أعمُّ من انتقالها من طُهْرٍ إلى آخَرَ ومن كونها طاهراً أو حائضاً، وهذا هو المعنى المستفاد من الأخبار إذا جُمِعَ بين مُطلقها ومقيَّدها، وما اعتبره من معنى الجمعِ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اعتُبِرَ في زوجة الحاضر الاستبراء بمدةٍ مخصوصةٍ يَحْصُلُ بها الانتقال من الطُّهر إلى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يُكتف من الغائب بمُطْلَقِ الغَيبَةِ بل بالاستبراء مدَّةً مخصوصة أيضاً، وإنْ كانت مخالفةً لمدَّة الحاضرِ بوجهِ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من الشارع اعتبار الاستبراء على الوجه الذي اعتُبِرَ في الحاضر وزيادةً، وهي المدّة المتطاولة كثلاثة أشهر وما الحقّ بها إنْ تَبَتَ، ومن جُمْلَةِ حكم الحاضر عدم جواز طلاقه مع الحَيْضِ، فيكون الغائبُ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الغائب بالحاضر في مطلق الاستبراء حقٌّ؛ لكن اعتبار ما يُعْتَبرُ في الحاضر ممنوع، وسندُ المنع أنّ المعتبر فى الغائب إنّما هو مُضى المدة المذكورة التي اجتَمَعَتْ عليها الأخبارُ المُطْلَقةُ والمقيَّدة، وليس فيها اعتبارُ أمرٍ آخَرَ من طُهْرٍ أو غيره بخلاف الحاضر؛ فإنّ المعتبر في استبرائه انتقالُها مِن طُهْرٍ إلى آخَرَ، سَواءٌ كان بتلك المدَّةِ أو بأقلّ، فصار بين الاستبرائين عموم وخصوص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طلاق الغائب يجامع الحَيْضَ في الجملة إجماعاً بخلاف الحاضر، فلم يكن حكم استبرائهما واحداً ولا اعتبار الاستبراء في الغائب مقتضياً لاعتبار الطهرِ مِن هذه الحيثيّة، أعني ملاحظة هذه الأخبار الخاصَّةِ بالغائبِ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حكمنا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ببطلان طلاقه مع العلم بالحَيْضِ من جهةِ عموم الأخبار الدالّة على بطلان طلاق الحائض، خرج منه ما أُجْمِعَ عليه من مصادَفَةِ الحَيْضِ في الغائب فيبقى الباقي، كما أوضحناه سابقاً، فنحن توافقه فى الحكم لا في سندِ الحُكْم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الأخبارُ وإن كانت بعمومها شاملة للحائض وغيرِها، إلّا أنّه بتعارُضِ العمومين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عموم الأخبار الدالّة على المنع من طلاق الحائض، وعموم الأخبار الدالّة على جواز تطليق زوجة الغائب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التوفيقُ بين العمومين؛ لأنّ </w:t>
      </w:r>
    </w:p>
    <w:p>
      <w:pPr>
        <w:pStyle w:val="BookText"/>
        <w:rPr/>
      </w:pPr>
      <w:r>
        <w:rPr>
          <w:rFonts w:ascii="Amiri" w:hAnsi="Amiri" w:eastAsia="Amiri" w:cs="Amiri"/>
          <w:color w:val="111111"/>
          <w:sz w:val="28"/>
          <w:sz w:val="28"/>
          <w:szCs w:val="28"/>
          <w:rtl w:val="true"/>
          <w:lang w:bidi="ar-SA"/>
        </w:rPr>
        <w:t>تخصيص أحدهما بالآخَرِ خاصَّةً ترجيح من غَيرِ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الاتّفاق على تخصيص أخبار المنع من طلاقِ الحائض بأخبار الإذن في طلاق الغائب بعد المدَّةِ المعتبرة، على تقدير ظهور كونها حائضاً ب نفس الأمر حالَ الطلاق، ويبقى ما لو عَلِمَ حَيْضها داخلاً في عموم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أخبارُ المنع هنا مخصِّصَةً لأخبار الإذن في طلاق الغائب على كلّ حالٍ، ويُجْمَعُ بين العمومين بقدر الإمكان، ويُخَصَّصُ كلّ منهما ما أمْكَنَ تخصيصه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عموم الإذن في طلاق الغائبِ مع ظهور الحَيْضِ بعموم المنع من طلاق الحائض يقتضي أيضاً الترجيح من غَيرِ مُرجّح؛ إذ يمكنُ أن يقال هنا بعكس ذلك، بأنّ أخبار المنع من طلاق 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ظهور الحَيْضِ في زوجة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مخصوصةٌ بالأخبار العامّة الدالّة على جواز تطليق الغائب زوجته مع انقضاء المدَّة المشترطة على كلّ حال، فيكون طلاق الحائض على هذا الوجه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المعارضةُ في محلِّها، والعموم متحقّقٌ من الطرفين، فلا ينبغي الترجيح من غير مرجّح، إلّا أنّا يمكننا حينئذٍ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العمومينِ اقتضى اطراح الدلالتين الاستحالة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الحكم بصحة الطلاق يَحْتاجُ إلى دليل شرعي؛ لأنّه تأسيس حكم شرعي لم يكن فلابدّ له من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الصيغة حاصلة من أهلها وباقي الشرائط مجتمعةً غَيرُ كافٍ في الحُكْم بالصحّة حتّى يكون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قابلاً للوقوع، ولم يتحقّق ذلك فيبقى حكم الزوجية باقياً إلى أنْ يُعْلَمَ المُزيل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الحكمُ ببطلان الطلاقِ حكمٌ شرعيٌ، فلابدّ لمُثبته من دليل شرعي كما يحتاجُ إليه مدعي الصحّة، إذ هما متساويان في الحكم الوضعي المفتقر ثبوتُه إلى دليل</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نمنَعُ المساواة بين الصحّة والبطلان في ذلك؛ فإنّ البطلان يكفي فيه الحكم بالزوجية السابق المتَّفقِ على حصوله مع الشكٍّ في المُزيل لها، بخلاف الحكم بالصحّة؛ </w:t>
      </w:r>
    </w:p>
    <w:p>
      <w:pPr>
        <w:pStyle w:val="BookText"/>
        <w:rPr/>
      </w:pPr>
      <w:r>
        <w:rPr>
          <w:rFonts w:ascii="Amiri" w:hAnsi="Amiri" w:eastAsia="Amiri" w:cs="Amiri"/>
          <w:color w:val="111111"/>
          <w:sz w:val="28"/>
          <w:sz w:val="28"/>
          <w:szCs w:val="28"/>
          <w:rtl w:val="true"/>
          <w:lang w:bidi="ar-SA"/>
        </w:rPr>
        <w:t>فإنّه يوجب انتقال الحكم السابق وتغيُّرَه، فلابدّ له من دليل يوجبه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بذلك قوَّةُ القول بالبطلان ورجحانه ومثل هذا القَدْرِ كافٍ في إثبات الحُكْمِ الشرعي، وإن بقي في الطَّرَفِ الآخر اشتباه مرجوح؛ فإنّ زوال الحكم بالزوجية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بالكتاب والسنّة والإجماع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هذا الاحتمال غيرُ موافق للواقع، ولا إذن فيه يحصل معه الخروج عن العهدة وعدمُ التَقَولُ على اللّه بما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عن توجيه الجَمْعِ بين الأخبار بالمعنى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إذا دار الحالُ في النصوص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بين النصوص غير مفتقِرٍ إلى هذين التقديرين، فلا مزيَّةَ لأحدهما على الآخر؛ وذلك لأنّ بعضها دلَّ على الجواز مطلقاً وبعضها على الجواز بعد مدَّةٍ مخصوصة، فحملها على الجواز بعد المدَّة متعيّن؛ حملاً للمُطْلَق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وتقدير انتقالها من طُهْرٍ إلى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طهارتها من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داخل في مفهوم هذه الأخبار جملةً، فلا وجه لتقديرها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زوجة الغائب لمّا اعتُبِرَ فيها الاستبراءُ وظَنُّ الانتقال عن الحَيْضِ إلى الظُّهْرِ، ولم يُكتفَ بظَنِّ الانتقال إلى الحَيْض، أفاد ذلك أن أحكام زوجة الحاضر لاحقة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 أنّ المراد من النصوص المختلفة إرادة ما يُظَنُّ معه انتقالها من الحَيْض إلى الطُّهر، فهذا جواب جيّدٌ؛ لأنّ إلحاقها بزوجة الحاضر في ذلك يقتضي إلحاقها بها في كونها طاهراً من الحَيْضِ، مضافاً إلى الانتقال من طُهْرِ المواقعةِ إلى آخَرَ، فلابدّ من اجتماع الشرطين؛ لكن قد عرفت أن فهم ذلك ذلك من النصوص غير واضح إلّا أنّ الموجه للجمعِ قد اعترف به فيلزمه الشرط الآخَرُ؛ لاقتضاء إلحاقها بزوجة الحاضر ذلك</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المذكورة لو دلّت على الانتقال من طُهْرٍ إلى آخَرَ، لا تدلُّ إلّا على مجرّد الانتقال أعم من أن تكون طاهراً وقت الطلاق وحائضاً، فحينئذٍ تخصُّ الروايات العامّة بمقدار دلالتها لا بشيءٍ لا تدلُّ عليه، والتقييد بأمرٍ زائدٍ يحتاج إلى </w:t>
      </w:r>
    </w:p>
    <w:p>
      <w:pPr>
        <w:pStyle w:val="BookText"/>
        <w:rPr/>
      </w:pP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يندفع الوجهانِ الأولانِ من وجهي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عدم دلالة الأخبار على اعتبار الانتقال كما أفدناه مراراً، وإنّما دلّتْ على اعتبار المدَّةِ المجرّدة، وإنّما استفيد منها اعتبارُ الانتقال من مناسبة إلحاقها بزوجة الحاضرِ في اعتبار التربص؛ لكن اكتفي بالمدَّةِ لِخَفاء حالها بسبب البُعْدِ؛ حملاً لها على العادة المعروفة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التوجيه يقتضي إلحاقها بها حيث يمكن، ومن الحال الممكنة أنّه لو عَلِمَ بحَيْضِها امتنَعَ طلاقها فيه، فإلحاقها بها في مجرّد اعتبار الانتقال من الطُّهْرِ إلى آخر دون الطهارة من الحَيْضِ غير سديدٍ؛ بل اللازم من الأحاديث إمّا اعتبارُ الجميع، أو ترك الجميع والاكتفاء بالمدَّة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ويتوجّه على هذا أنّ أصل الجمع بين الأخبار بالمعنى المردود غيرُ جيّد؛ لأنّه مبني على أن الجمع يَصِيرُ إلى هذه الصورة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زوجة الغائب إذا تربَّص بها المدَّة التي تَنْتَقِلُ معها مِن طُهْرٍ إلى آخَرَ يصحّ 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غير جيد كما أوضحناه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بيَّناهُ اندفع السؤال والجوابانِ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الثالث فغيرُ لازم للقائل بالجمع المذكور أصلاً، فإنّه في جَمْعِهِ قد اعتَبَرَ انتقالها مِن طُهْرِ المواقعةِ إلى آخَرَ ولم يَعْتَبِرْ بعد ذلك كونها طاهراً أو حائضاً؛ فالتزامه القول بأن من عَلِمَ بالحَيْضِ بعدَ الطُّهْرِ الأوّل يجب الحكم بصحةِ 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لتناول العموم لهذا الفرد بزعمِهِ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الفساد؛ فإن اعتبار الانتقال من طُهْرٍ المواقعةِ إِلى طُهْرٍ آخَرَ يَخْرُجُ به ما لو كانت حائضاً بعد طُهْرٍ المواقعة؛ إذ لم يحصل الانتقال إلى الطُّهْرِ الثاني الذي جعله شرط جواز،الطلاق، فلا يَلْزَمُه هذا القولُ أصلاً وإن كان التزامه جائزاً من وجه آخر قد أشرنا إليه سابقاً، وخلاصته أنّ الذي دلَّتْ عليه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الجمع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طلاق زوجة الغائب بعد مضي المدة المذكورة في الأخبار المقيَّدة، وهو يشمُلُ ما إذا كانت طاهراً أو حائضاً في الحَيْضِ الأوّل المتعقِّبِ لطُهْرٍ المواقعة وغيره، فيكون طلاقها جائزاً على كلّ حالٍ بعد مضي </w:t>
      </w:r>
    </w:p>
    <w:p>
      <w:pPr>
        <w:pStyle w:val="BookText"/>
        <w:rPr/>
      </w:pPr>
      <w:r>
        <w:rPr>
          <w:rFonts w:ascii="Amiri" w:hAnsi="Amiri" w:eastAsia="Amiri" w:cs="Amiri"/>
          <w:color w:val="111111"/>
          <w:sz w:val="28"/>
          <w:sz w:val="28"/>
          <w:szCs w:val="28"/>
          <w:rtl w:val="true"/>
          <w:lang w:bidi="ar-SA"/>
        </w:rPr>
        <w:t>المدَّة المذكورة، وتُجْعَلُ هذه الأخبارُ مخصّصةً للأخبار العامّة الدالّة على المنع من طلاق 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له وجهٌ، وربّما قال به قائلٌ، بل هو مشهورٌ في حواشي الكُتُبِ الفقهيّة متداول بين كثيرٍ من النَقَلَةِ المقلّدة وإن كان الحقّ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التوجيه الذي حكوهُ لا يَدُلُّ عليه، وكذلك اللفظ الذي نقله فخرالدين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وكلام ابن فهد في المهذّب يمكن دلالته عليه أيضاً، فهو في الجُمْلَة وجه أو قول ليس بالبعيد وإن كان خلافه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المحقّق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ذكر ما حَكَيناه عنه من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أنّ عباراتِ الأصحاب مشعرةٌ بما ادَّعاهُ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جواز طلاق من عَلِمَ حَيْضَها بعد الطهر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فيها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العلّامة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خرج مسافراً في طُهْرٍ لم يَقْرَبْها فيه صح طلاقها وإنْ صادف الحَيْض</w:t>
      </w:r>
      <w:r>
        <w:rPr>
          <w:rStyle w:val="FootnoteAnchor"/>
          <w:rtl w:val="true"/>
        </w:rPr>
        <w:footnoteReference w:id="1033"/>
      </w:r>
      <w:r>
        <w:rPr>
          <w:rFonts w:ascii="Amiri" w:hAnsi="Amiri" w:eastAsia="Amiri" w:cs="Amiri"/>
          <w:color w:val="111111"/>
          <w:sz w:val="28"/>
          <w:sz w:val="28"/>
          <w:szCs w:val="28"/>
          <w:rtl w:val="true"/>
          <w:lang w:bidi="ar-SA"/>
        </w:rPr>
        <w:t>فإنّ المفهومَ من المصادَفَةِ عدم العلم، وقوله في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طلَّقَ غير المدخول بها أو التي غاب عنها قدراً يَعْلَمُ انتقالها من طُهْرٍ إلى آخَرَ جاز طلاقها مطلقاً وإنِ اتَّفق في الحَيْضِ</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والمفهومُ من الاتّفاق نحو المفهوم من المصادفة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انقضى مِن غَيبتِه ما يَعْلَمُ انتقالها من طُهْرٍ إلى آخَرَ ثمّ طَلَّقَ صَحَ ولو اتَّفق في الحيض</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بعدم إشعار هذه العباراتِ بما ادعاه؛ فإنّه لا يلزم من الحكم بصحة الطلاقِ على تقدير اتّفاق الحَيْضِ ومصادفتِهِ عدمُ صحَّته مع العلم به، والظاهرُ أنّهم إنّما </w:t>
      </w:r>
    </w:p>
    <w:p>
      <w:pPr>
        <w:pStyle w:val="BookText"/>
        <w:rPr/>
      </w:pPr>
      <w:r>
        <w:rPr>
          <w:rFonts w:ascii="Amiri" w:hAnsi="Amiri" w:eastAsia="Amiri" w:cs="Amiri"/>
          <w:color w:val="111111"/>
          <w:sz w:val="28"/>
          <w:sz w:val="28"/>
          <w:szCs w:val="28"/>
          <w:rtl w:val="true"/>
          <w:lang w:bidi="ar-SA"/>
        </w:rPr>
        <w:t xml:space="preserve">فرضوا المسألة في مصادَفَة الحَيْض واتّفاقه دون تيقيه؛ لما أسْلَفناه من أنّه مع تيقُّنه يصير بحكم الحاضر، كما أنّ الحاضر الذي لا يَعْلَمُ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في بيت أهلها هاجرة له، أو كونه محبوساً،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فعدم جواز طلاقِها مع العلم لا مِن هذه الحيثيات التي ذكرها، بل من جهاتٍ أُخَرَ قد أوضحناها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فتَدَبَّرُها موفّقاً إن شاء اللّه تعالى واللّه ولي التوفيق، وهو أعْلَمُ بحقائق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اقتضى الحالُ ذكره من بحث هذه المسألة، واللّه الموفّق لصوب الصواب، وإليه المرجع والمآب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مؤلّفها الفقير إلى عفو اللّه تعالى زين الدين بن علي بن أحمد، حامداً للّه تعالى مُصلّياً على رسوله وآله، مُسلّماً مستغفِراً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فرغ من تسويدها في أواخر شهر رمضان المعظم، سَنةَ إحدى وخمسين وتسعمائة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النسخة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bookmarkStart w:id="630" w:name="pg10113_92253"/>
    </w:p>
    <w:p>
      <w:pPr>
        <w:pStyle w:val="Heading2"/>
        <w:numPr>
          <w:ilvl w:val="1"/>
          <w:numId w:val="1"/>
        </w:numPr>
        <w:rPr/>
      </w:pPr>
      <w:bookmarkStart w:id="631" w:name="__RefHeading___Toc375605_1067777946"/>
      <w:bookmarkStart w:id="632" w:name="_Toc211"/>
      <w:bookmarkEnd w:id="630"/>
      <w:bookmarkEnd w:id="631"/>
      <w:r>
        <w:rPr>
          <w:rtl w:val="true"/>
        </w:rPr>
        <w:t>القسم السادس</w:t>
      </w:r>
      <w:r>
        <w:rPr>
          <w:rtl w:val="true"/>
        </w:rPr>
        <w:t xml:space="preserve">: </w:t>
      </w:r>
      <w:r>
        <w:rPr>
          <w:rtl w:val="true"/>
        </w:rPr>
        <w:t>الميراث</w:t>
      </w:r>
      <w:bookmarkEnd w:id="632"/>
    </w:p>
    <w:p>
      <w:pPr>
        <w:pStyle w:val="Heading3"/>
        <w:numPr>
          <w:ilvl w:val="2"/>
          <w:numId w:val="1"/>
        </w:numPr>
        <w:rPr/>
      </w:pPr>
      <w:bookmarkStart w:id="633" w:name="__RefHeading___Toc375607_1067777946"/>
      <w:bookmarkStart w:id="634" w:name="_Toc212"/>
      <w:bookmarkEnd w:id="633"/>
      <w:r>
        <w:rPr>
          <w:rtl w:val="true"/>
        </w:rPr>
        <w:t>إشارة</w:t>
      </w:r>
      <w:r>
        <w:rPr>
          <w:rtl w:val="true"/>
        </w:rPr>
        <w:t>:</w:t>
      </w:r>
      <w:bookmarkEnd w:id="634"/>
    </w:p>
    <w:p>
      <w:pPr>
        <w:pStyle w:val="BookText"/>
        <w:rPr/>
      </w:pPr>
      <w:r>
        <w:rPr>
          <w:rFonts w:ascii="Amiri" w:hAnsi="Amiri" w:eastAsia="Amiri" w:cs="Amiri"/>
          <w:color w:val="111111"/>
          <w:sz w:val="28"/>
          <w:sz w:val="28"/>
          <w:szCs w:val="28"/>
          <w:rtl w:val="true"/>
          <w:lang w:bidi="ar-SA"/>
        </w:rPr>
        <w:t>ويَضُمُّ رسالتين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الزوجة</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الحَبْوة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5" w:name="pg10113_92255"/>
      <w:bookmarkStart w:id="636" w:name="pg10113_92255"/>
      <w:bookmarkEnd w:id="636"/>
    </w:p>
    <w:p>
      <w:pPr>
        <w:pStyle w:val="Heading3"/>
        <w:numPr>
          <w:ilvl w:val="2"/>
          <w:numId w:val="1"/>
        </w:numPr>
        <w:rPr/>
      </w:pPr>
      <w:bookmarkStart w:id="637" w:name="pg10113_92255"/>
      <w:bookmarkStart w:id="638" w:name="__RefHeading___Toc375609_1067777946"/>
      <w:bookmarkStart w:id="639" w:name="_Toc213"/>
      <w:bookmarkEnd w:id="637"/>
      <w:bookmarkEnd w:id="638"/>
      <w:r>
        <w:rPr/>
        <w:t>22</w:t>
      </w:r>
      <w:r>
        <w:rPr>
          <w:rtl w:val="true"/>
        </w:rPr>
        <w:t xml:space="preserve">. </w:t>
      </w:r>
      <w:r>
        <w:rPr>
          <w:rtl w:val="true"/>
        </w:rPr>
        <w:t>ميراث الزوجة</w:t>
      </w:r>
      <w:bookmarkEnd w:id="639"/>
    </w:p>
    <w:p>
      <w:pPr>
        <w:pStyle w:val="Heading4"/>
        <w:numPr>
          <w:ilvl w:val="3"/>
          <w:numId w:val="1"/>
        </w:numPr>
        <w:rPr/>
      </w:pPr>
      <w:bookmarkStart w:id="640" w:name="__RefHeading___Toc375611_1067777946"/>
      <w:bookmarkStart w:id="641" w:name="_Toc214"/>
      <w:bookmarkEnd w:id="640"/>
      <w:r>
        <w:rPr>
          <w:rtl w:val="true"/>
        </w:rPr>
        <w:t>إشارة</w:t>
      </w:r>
      <w:r>
        <w:rPr>
          <w:rtl w:val="true"/>
        </w:rPr>
        <w:t>:</w:t>
      </w:r>
      <w:bookmarkEnd w:id="641"/>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عليّ الأسدي</w:t>
      </w:r>
    </w:p>
    <w:p>
      <w:pPr>
        <w:pStyle w:val="BookText"/>
        <w:rPr/>
      </w:pPr>
      <w:r>
        <w:rPr>
          <w:rFonts w:ascii="Amiri" w:hAnsi="Amiri" w:eastAsia="Amiri" w:cs="Amiri"/>
          <w:color w:val="111111"/>
          <w:sz w:val="28"/>
          <w:sz w:val="28"/>
          <w:szCs w:val="28"/>
          <w:rtl w:val="true"/>
          <w:lang w:bidi="ar-SA"/>
        </w:rPr>
        <w:t>مراجعة</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رضا المختاري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2" w:name="pg10113_92257"/>
      <w:bookmarkStart w:id="643" w:name="pg10113_92257"/>
      <w:bookmarkEnd w:id="643"/>
    </w:p>
    <w:p>
      <w:pPr>
        <w:pStyle w:val="BookText"/>
        <w:rPr/>
      </w:pPr>
      <w:bookmarkStart w:id="644" w:name="pg10113_92257"/>
      <w:bookmarkEnd w:id="644"/>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اهدِنا لِمَا اخْتُلِفَ فيه مِن الحقّ بإذنك؛ إنّك تهدي من تشاء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على نبيّك وحبيبك محمّد المصطفى، وعترته الأئمّة النجباء الهادين إلى الدين القويم، وسَلَّمْ تسليماً</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375613_1067777946"/>
      <w:bookmarkStart w:id="646" w:name="_Toc215"/>
      <w:bookmarkEnd w:id="645"/>
      <w:r>
        <w:rPr>
          <w:rtl w:val="true"/>
        </w:rPr>
        <w:t xml:space="preserve">مخالفة مذهب أهل البيت </w:t>
      </w:r>
      <w:r>
        <w:rPr>
          <w:rtl w:val="true"/>
        </w:rPr>
        <w:t>(</w:t>
      </w:r>
      <w:r>
        <w:rPr>
          <w:rtl w:val="true"/>
        </w:rPr>
        <w:t>عَلَيهِم السَّلَامُ</w:t>
      </w:r>
      <w:r>
        <w:rPr>
          <w:rtl w:val="true"/>
        </w:rPr>
        <w:t xml:space="preserve">) </w:t>
      </w:r>
      <w:r>
        <w:rPr>
          <w:rtl w:val="true"/>
        </w:rPr>
        <w:t>للجمهور في مسألتين</w:t>
      </w:r>
      <w:bookmarkEnd w:id="646"/>
    </w:p>
    <w:p>
      <w:pPr>
        <w:pStyle w:val="BookText"/>
        <w:rPr/>
      </w:pPr>
      <w:r>
        <w:rPr>
          <w:rFonts w:ascii="Amiri" w:hAnsi="Amiri" w:eastAsia="Amiri" w:cs="Amiri"/>
          <w:color w:val="111111"/>
          <w:sz w:val="28"/>
          <w:sz w:val="28"/>
          <w:szCs w:val="28"/>
          <w:rtl w:val="true"/>
          <w:lang w:bidi="ar-SA"/>
        </w:rPr>
        <w:t xml:space="preserve">اعلَمُ وفَّقَك اللّه تعالى أن الأصل في كلّ وارث أنْ يُرتَ من جميع متروكاتِ مورثِهِ المالية ما فرضه اللّه تعالى له خصوصاً أو عموماً، وقد تَخَلَّفَ ذلك عند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موضعين</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حَبْوَةُ الولد الذكر، وقد حرَّرنا البحث فيها بما فيه كفاية في موضعٍ يَخْتَصُّ به</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فإنّ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أخبار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حرمانها من شيءٍ في الجُملة، ومع ذلك فالروايات مختلفة كما سَنتلُوهُ عليك، وبسببه اختلفت أقوال الأصحاب</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وتحقيق الحال في المسألة يتوقّف على خمسة مطالب دائرة على خمس كلماتٍ مفردةٍ،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على بيان ماهية الحرمان الخاص ببيان متعلقه من أعيان التركة، وتَنْتَظِم فيه كميّته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المحرومُ مِنَ الزوجات هل هنَّ مُطْلَقُهنَّ أم زوجةٌ خاصَّةٌ ؟</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تُحْرَمُ من تلك الأعيان هل هو من العين والقيمة، أم من العين خاصَّةً، أم من كلّ واحدة منهما في عينٍ خاصةٍ ؟</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هذا الحِرمانُ على وجه مستحق لازم أو غير لازم ؟ 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حُرِمَتِ الزوجةُ من ذلك دون غيرها من الوراث؟</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تمام المطالب وتحقيق ما هو الحقّ منها نُتبِعُها إن شاء اللّه تعالى بما تقتضيه الحال من فروع المسألة ومباحثها، مُسْتَمَدِّينَ من اللّه التوفيق، فهو حَسبنا ونعم الوكيل</w:t>
      </w:r>
      <w:r>
        <w:rPr>
          <w:rFonts w:eastAsia="Amiri" w:cs="Amiri" w:ascii="Amiri" w:hAnsi="Amiri"/>
          <w:color w:val="111111"/>
          <w:sz w:val="28"/>
          <w:szCs w:val="28"/>
          <w:rtl w:val="true"/>
          <w:lang w:bidi="ar-SA"/>
        </w:rPr>
        <w:t xml:space="preserve">. </w:t>
      </w:r>
      <w:bookmarkStart w:id="647" w:name="pg10113_92259"/>
    </w:p>
    <w:p>
      <w:pPr>
        <w:pStyle w:val="Heading4"/>
        <w:numPr>
          <w:ilvl w:val="3"/>
          <w:numId w:val="1"/>
        </w:numPr>
        <w:rPr/>
      </w:pPr>
      <w:bookmarkStart w:id="648" w:name="__RefHeading___Toc375615_1067777946"/>
      <w:bookmarkStart w:id="649" w:name="_Toc216"/>
      <w:bookmarkEnd w:id="647"/>
      <w:bookmarkEnd w:id="648"/>
      <w:r>
        <w:rPr>
          <w:rtl w:val="true"/>
        </w:rPr>
        <w:t>ما تحرم منه الزوجة من أعيان التركة والأقوال في ذلك</w:t>
      </w:r>
      <w:bookmarkEnd w:id="649"/>
    </w:p>
    <w:p>
      <w:pPr>
        <w:pStyle w:val="BookText"/>
        <w:rPr/>
      </w:pPr>
      <w:r>
        <w:rPr>
          <w:rFonts w:ascii="Amiri" w:hAnsi="Amiri" w:eastAsia="Amiri" w:cs="Amiri"/>
          <w:color w:val="111111"/>
          <w:sz w:val="28"/>
          <w:sz w:val="28"/>
          <w:szCs w:val="28"/>
          <w:rtl w:val="true"/>
          <w:lang w:bidi="ar-SA"/>
        </w:rPr>
        <w:t>المطلب الأوّل في بيان ما تُحرَمُ منه الزوجة</w:t>
      </w:r>
    </w:p>
    <w:p>
      <w:pPr>
        <w:pStyle w:val="BookText"/>
        <w:rPr/>
      </w:pPr>
      <w:r>
        <w:rPr>
          <w:rFonts w:ascii="Amiri" w:hAnsi="Amiri" w:eastAsia="Amiri" w:cs="Amiri"/>
          <w:color w:val="111111"/>
          <w:sz w:val="28"/>
          <w:sz w:val="28"/>
          <w:szCs w:val="28"/>
          <w:rtl w:val="true"/>
          <w:lang w:bidi="ar-SA"/>
        </w:rPr>
        <w:t>من أعيان التّركَةِ في الجملة</w:t>
      </w:r>
    </w:p>
    <w:p>
      <w:pPr>
        <w:pStyle w:val="BookText"/>
        <w:rPr/>
      </w:pPr>
      <w:r>
        <w:rPr>
          <w:rFonts w:ascii="Amiri" w:hAnsi="Amiri" w:eastAsia="Amiri" w:cs="Amiri"/>
          <w:color w:val="111111"/>
          <w:sz w:val="28"/>
          <w:sz w:val="28"/>
          <w:szCs w:val="28"/>
          <w:rtl w:val="true"/>
          <w:lang w:bidi="ar-SA"/>
        </w:rPr>
        <w:t>وقد اختلف الأصحابُ فيه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المشهور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حرمانُها من نفس الأرضِ، سَواءٌ كانت بياضاً أم مشغولة بشجرٍ وزرعٍ وبناء وغيرها عيناً وقيمةٌ، ومن عين الأنهار وأبنيتها وأشجارها، وتُعطى قيمة ذلك، ذهب إلى ذلك جِلَّة المتأخّرين</w:t>
      </w:r>
      <w:r>
        <w:rPr>
          <w:rStyle w:val="FootnoteAnchor"/>
          <w:rtl w:val="true"/>
        </w:rPr>
        <w:footnoteReference w:id="1037"/>
      </w:r>
      <w:r>
        <w:rPr>
          <w:rFonts w:ascii="Amiri" w:hAnsi="Amiri" w:eastAsia="Amiri" w:cs="Amiri"/>
          <w:color w:val="111111"/>
          <w:sz w:val="28"/>
          <w:sz w:val="28"/>
          <w:szCs w:val="28"/>
          <w:rtl w:val="true"/>
          <w:lang w:bidi="ar-SA"/>
        </w:rPr>
        <w:t xml:space="preserve">، ومن المتقدّمين الشيخ في النهاية </w:t>
      </w:r>
      <w:r>
        <w:rPr>
          <w:rStyle w:val="FootnoteAnchor"/>
          <w:rtl w:val="true"/>
        </w:rPr>
        <w:footnoteReference w:id="1038"/>
      </w:r>
      <w:r>
        <w:rPr>
          <w:rFonts w:ascii="Amiri" w:hAnsi="Amiri" w:eastAsia="Amiri" w:cs="Amiri"/>
          <w:color w:val="111111"/>
          <w:sz w:val="28"/>
          <w:sz w:val="28"/>
          <w:szCs w:val="28"/>
          <w:rtl w:val="true"/>
          <w:lang w:bidi="ar-SA"/>
        </w:rPr>
        <w:t>وابنُ البرّاج</w:t>
      </w:r>
      <w:r>
        <w:rPr>
          <w:rStyle w:val="FootnoteAnchor"/>
          <w:rtl w:val="true"/>
        </w:rPr>
        <w:footnoteReference w:id="1039"/>
      </w:r>
      <w:r>
        <w:rPr>
          <w:rFonts w:ascii="Amiri" w:hAnsi="Amiri" w:eastAsia="Amiri" w:cs="Amiri"/>
          <w:color w:val="111111"/>
          <w:sz w:val="28"/>
          <w:sz w:val="28"/>
          <w:szCs w:val="28"/>
          <w:rtl w:val="true"/>
          <w:lang w:bidi="ar-SA"/>
        </w:rPr>
        <w:t>وأبو الصلاح التقيّ</w:t>
      </w:r>
      <w:r>
        <w:rPr>
          <w:rStyle w:val="FootnoteAnchor"/>
          <w:rtl w:val="true"/>
        </w:rPr>
        <w:footnoteReference w:id="1040"/>
      </w:r>
      <w:r>
        <w:rPr>
          <w:rFonts w:ascii="Amiri" w:hAnsi="Amiri" w:eastAsia="Amiri" w:cs="Amiri"/>
          <w:color w:val="111111"/>
          <w:sz w:val="28"/>
          <w:sz w:val="28"/>
          <w:szCs w:val="28"/>
          <w:rtl w:val="true"/>
          <w:lang w:bidi="ar-SA"/>
        </w:rPr>
        <w:t>، وابن حمزة</w:t>
      </w:r>
      <w:r>
        <w:rPr>
          <w:rStyle w:val="FootnoteAnchor"/>
          <w:rtl w:val="true"/>
        </w:rPr>
        <w:footnoteReference w:id="1041"/>
      </w:r>
      <w:r>
        <w:rPr>
          <w:rFonts w:ascii="Amiri" w:hAnsi="Amiri" w:eastAsia="Amiri" w:cs="Amiri"/>
          <w:color w:val="111111"/>
          <w:sz w:val="28"/>
          <w:sz w:val="28"/>
          <w:szCs w:val="28"/>
          <w:rtl w:val="true"/>
          <w:lang w:bidi="ar-SA"/>
        </w:rPr>
        <w:t>على ما هو المشهور عنهم، وإن كان فيه بحث يأتي إن شاء اللّه تعالى</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وثانيها حرمانها من الرباع، وهي الدورُ والمساكن دون البساتين والضياع، وتُغطى قيمة الآلات والأبنية من الدور والمساكن، وهو قول المفيد</w:t>
      </w:r>
      <w:r>
        <w:rPr>
          <w:rStyle w:val="FootnoteAnchor"/>
          <w:rtl w:val="true"/>
        </w:rPr>
        <w:footnoteReference w:id="1042"/>
      </w:r>
      <w:r>
        <w:rPr>
          <w:rFonts w:ascii="Amiri" w:hAnsi="Amiri" w:eastAsia="Amiri" w:cs="Amiri"/>
          <w:color w:val="111111"/>
          <w:sz w:val="28"/>
          <w:sz w:val="28"/>
          <w:szCs w:val="28"/>
          <w:rtl w:val="true"/>
          <w:lang w:bidi="ar-SA"/>
        </w:rPr>
        <w:t xml:space="preserve">وابن إدريس </w:t>
      </w:r>
      <w:r>
        <w:rPr>
          <w:rStyle w:val="FootnoteAnchor"/>
          <w:rtl w:val="true"/>
        </w:rPr>
        <w:footnoteReference w:id="1043"/>
      </w:r>
      <w:r>
        <w:rPr>
          <w:rFonts w:ascii="Amiri" w:hAnsi="Amiri" w:eastAsia="Amiri" w:cs="Amiri"/>
          <w:color w:val="111111"/>
          <w:sz w:val="28"/>
          <w:sz w:val="28"/>
          <w:szCs w:val="28"/>
          <w:rtl w:val="true"/>
          <w:lang w:bidi="ar-SA"/>
        </w:rPr>
        <w:t xml:space="preserve">والمحقّق </w:t>
      </w:r>
      <w:bookmarkStart w:id="650" w:name="pg10113_92260"/>
    </w:p>
    <w:p>
      <w:pPr>
        <w:pStyle w:val="BookText"/>
        <w:rPr/>
      </w:pPr>
      <w:bookmarkEnd w:id="650"/>
      <w:r>
        <w:rPr>
          <w:rFonts w:ascii="Amiri" w:hAnsi="Amiri" w:eastAsia="Amiri" w:cs="Amiri"/>
          <w:color w:val="111111"/>
          <w:sz w:val="28"/>
          <w:sz w:val="28"/>
          <w:szCs w:val="28"/>
          <w:rtl w:val="true"/>
          <w:lang w:bidi="ar-SA"/>
        </w:rPr>
        <w:t xml:space="preserve">في النافع </w:t>
      </w:r>
      <w:r>
        <w:rPr>
          <w:rStyle w:val="FootnoteAnchor"/>
          <w:rtl w:val="true"/>
        </w:rPr>
        <w:footnoteReference w:id="1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الشرائع مع الفريق الأوّل</w:t>
      </w:r>
      <w:r>
        <w:rPr>
          <w:rStyle w:val="FootnoteAnchor"/>
          <w:rtl w:val="true"/>
        </w:rPr>
        <w:footnoteReference w:id="10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وشارح النافع تلميذ المُصَنِّف</w:t>
      </w:r>
      <w:r>
        <w:rPr>
          <w:rStyle w:val="FootnoteAnchor"/>
          <w:rtl w:val="true"/>
        </w:rPr>
        <w:footnoteReference w:id="1046"/>
      </w:r>
      <w:r>
        <w:rPr>
          <w:rFonts w:ascii="Amiri" w:hAnsi="Amiri" w:eastAsia="Amiri" w:cs="Amiri"/>
          <w:color w:val="111111"/>
          <w:sz w:val="28"/>
          <w:sz w:val="28"/>
          <w:szCs w:val="28"/>
          <w:rtl w:val="true"/>
          <w:lang w:bidi="ar-SA"/>
        </w:rPr>
        <w:t>، ومال إليه العلّامة في المختلف</w:t>
      </w:r>
      <w:r>
        <w:rPr>
          <w:rStyle w:val="FootnoteAnchor"/>
          <w:rtl w:val="true"/>
        </w:rPr>
        <w:footnoteReference w:id="1047"/>
      </w:r>
      <w:r>
        <w:rPr>
          <w:rFonts w:ascii="Amiri" w:hAnsi="Amiri" w:eastAsia="Amiri" w:cs="Amiri"/>
          <w:color w:val="111111"/>
          <w:sz w:val="28"/>
          <w:sz w:val="28"/>
          <w:szCs w:val="28"/>
          <w:rtl w:val="true"/>
          <w:lang w:bidi="ar-SA"/>
        </w:rPr>
        <w:t>، وهو في غيره مع الأوّل</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حرمانها من عين الرباع خاصَّةً لا من قيمتها، وهو قول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Style w:val="FootnoteAnchor"/>
          <w:rtl w:val="true"/>
        </w:rPr>
        <w:footnoteReference w:id="1049"/>
      </w:r>
      <w:r>
        <w:rPr>
          <w:rFonts w:ascii="Amiri" w:hAnsi="Amiri" w:eastAsia="Amiri" w:cs="Amiri"/>
          <w:color w:val="111111"/>
          <w:sz w:val="28"/>
          <w:sz w:val="28"/>
          <w:szCs w:val="28"/>
          <w:rtl w:val="true"/>
          <w:lang w:bidi="ar-SA"/>
        </w:rPr>
        <w:t>، واستحسنه العلّامة في المختلف، وإن استقرّ رأيه فيه أخيراً على الأوّل</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وسيأتي إن شاء اللّه تعالى في المسألة أقوال أُخَرُ ليست مشهورةٌ</w:t>
      </w:r>
      <w:r>
        <w:rPr>
          <w:rFonts w:eastAsia="Amiri" w:cs="Amiri" w:ascii="Amiri" w:hAnsi="Amiri"/>
          <w:color w:val="111111"/>
          <w:sz w:val="28"/>
          <w:szCs w:val="28"/>
          <w:rtl w:val="true"/>
          <w:lang w:bidi="ar-SA"/>
        </w:rPr>
        <w:t>.</w:t>
      </w:r>
    </w:p>
    <w:p>
      <w:pPr>
        <w:pStyle w:val="Heading4"/>
        <w:numPr>
          <w:ilvl w:val="3"/>
          <w:numId w:val="1"/>
        </w:numPr>
        <w:rPr/>
      </w:pPr>
      <w:bookmarkStart w:id="651" w:name="__RefHeading___Toc375617_1067777946"/>
      <w:bookmarkStart w:id="652" w:name="_Toc217"/>
      <w:bookmarkEnd w:id="651"/>
      <w:r>
        <w:rPr>
          <w:rtl w:val="true"/>
        </w:rPr>
        <w:t>أدلّة المشهور وهو حرمانها من نفس الأرض</w:t>
      </w:r>
      <w:bookmarkEnd w:id="652"/>
    </w:p>
    <w:p>
      <w:pPr>
        <w:pStyle w:val="BookText"/>
        <w:rPr/>
      </w:pPr>
      <w:r>
        <w:rPr>
          <w:rFonts w:ascii="Amiri" w:hAnsi="Amiri" w:eastAsia="Amiri" w:cs="Amiri"/>
          <w:color w:val="111111"/>
          <w:sz w:val="28"/>
          <w:sz w:val="28"/>
          <w:szCs w:val="28"/>
          <w:rtl w:val="true"/>
          <w:lang w:bidi="ar-SA"/>
        </w:rPr>
        <w:t xml:space="preserve">حُجَّة المشهور حسنةُ زُرارَةً وبُكَيرٍ وفُضيلٍ وبُريد ومحمَّد بن مسلم، بعض عن الباقر وبعضٌ عن الصادق وبعضٌ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المرأة لا ترث من تركة زوجها من تُربة دارٍ أو أرضِ، إلا أنْ يُقَوَّمَ الطوبُ والخشب قِيمةً فتعطى رُبَعها أو ثُمْنَها إِنْ كَانَ من قيمة الطوب والجُذُوع والخشب</w:t>
      </w:r>
      <w:r>
        <w:rPr>
          <w:rFonts w:eastAsia="Amiri" w:cs="Amiri" w:ascii="Amiri" w:hAnsi="Amiri"/>
          <w:color w:val="111111"/>
          <w:sz w:val="28"/>
          <w:szCs w:val="28"/>
          <w:rtl w:val="true"/>
          <w:lang w:bidi="ar-SA"/>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المرأة لا ترث ممّا ترك زوجها من القُرى والدُور والسلاح والدواب شيئاً، وترث من المال والفرش والثياب ومتاع البيت ممّا تَرَك، ويُقوَّمُ النَقْصُ والأبواب والجُذُوعُ والقَصبُ فتغطى حقَّها منه</w:t>
      </w:r>
      <w:r>
        <w:rPr>
          <w:rFonts w:eastAsia="Amiri" w:cs="Amiri" w:ascii="Amiri" w:hAnsi="Amiri"/>
          <w:color w:val="111111"/>
          <w:sz w:val="28"/>
          <w:szCs w:val="28"/>
          <w:rtl w:val="true"/>
          <w:lang w:bidi="ar-SA"/>
        </w:rPr>
        <w:t xml:space="preserve">»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 xml:space="preserve">. </w:t>
      </w:r>
      <w:bookmarkStart w:id="653" w:name="pg10113_92261"/>
    </w:p>
    <w:p>
      <w:pPr>
        <w:pStyle w:val="BookText"/>
        <w:rPr/>
      </w:pPr>
      <w:bookmarkEnd w:id="653"/>
      <w:r>
        <w:rPr>
          <w:rFonts w:ascii="Amiri" w:hAnsi="Amiri" w:eastAsia="Amiri" w:cs="Amiri"/>
          <w:color w:val="111111"/>
          <w:sz w:val="28"/>
          <w:sz w:val="28"/>
          <w:szCs w:val="28"/>
          <w:rtl w:val="true"/>
          <w:lang w:bidi="ar-SA"/>
        </w:rPr>
        <w:t xml:space="preserve">وصحيحة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 لا يَرِثْنَ من الأرض ولا من العقار شيئاً</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معناها أخبار كثيرة لا تَبْلُغُها في قوَّة السند، فاقتصرنا هنا على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الاستدلال بهذه الأخبار أنّ الآية الكريمة دلّت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 الزوجة سهمها من كلّ شيءٍ</w:t>
      </w:r>
      <w:r>
        <w:rPr>
          <w:rStyle w:val="FootnoteAnchor"/>
          <w:rtl w:val="true"/>
        </w:rPr>
        <w:footnoteReference w:id="1054"/>
      </w:r>
      <w:r>
        <w:rPr>
          <w:rFonts w:ascii="Amiri" w:hAnsi="Amiri" w:eastAsia="Amiri" w:cs="Amiri"/>
          <w:color w:val="111111"/>
          <w:sz w:val="28"/>
          <w:sz w:val="28"/>
          <w:szCs w:val="28"/>
          <w:rtl w:val="true"/>
          <w:lang w:bidi="ar-SA"/>
        </w:rPr>
        <w:t xml:space="preserve">، وقد اشتركت الأخبارُ في تخصيصها بغير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فلاترتُ منها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وبغير العين من آلاتها وطوبها وأبوابها ونحوها من متعلِّقاتها الثابتة فيها</w:t>
      </w:r>
      <w:r>
        <w:rPr>
          <w:rFonts w:eastAsia="Amiri" w:cs="Amiri" w:ascii="Amiri" w:hAnsi="Amiri"/>
          <w:color w:val="111111"/>
          <w:sz w:val="28"/>
          <w:szCs w:val="28"/>
          <w:rtl w:val="true"/>
          <w:lang w:bidi="ar-SA"/>
        </w:rPr>
        <w:t>.</w:t>
      </w:r>
    </w:p>
    <w:p>
      <w:pPr>
        <w:pStyle w:val="Heading4"/>
        <w:numPr>
          <w:ilvl w:val="3"/>
          <w:numId w:val="1"/>
        </w:numPr>
        <w:rPr/>
      </w:pPr>
      <w:bookmarkStart w:id="654" w:name="__RefHeading___Toc375619_1067777946"/>
      <w:bookmarkStart w:id="655" w:name="_Toc218"/>
      <w:bookmarkEnd w:id="654"/>
      <w:r>
        <w:rPr>
          <w:rtl w:val="true"/>
        </w:rPr>
        <w:t>مناقشة هذه الأدلّة</w:t>
      </w:r>
      <w:bookmarkEnd w:id="655"/>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الأوّل ليس من الصحيح؛ لأنّ في طريقه إبراهيم بن هاشم، وهو ممدوحٌ لا ثقةٌ، فيُشكل الاحتجاج به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الصحيح تَضمَّنَ عدم إرثها من السلاح والدواب ولا تقولونَ به والثالث لا يدلّ على جميع ما ادَّعَيْتُموه في القول المشهور؛ إذ ليس فيه الإرث من القيمة في شيءٍ، والقدر الذي اتفقت عليه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عدم الإرث من الأرض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تقولون به، بل تَضُمُّونَ إليه شيئاً آخَرَ لا دليل عليه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عدم العمل بالخبر الحسن مطلقاً خصوصاً مع اشتهار مضمونه بين الأصحاب واعتضاده بغيره في الجُملة، بل قد ذهب جماعةٌ من محقّقي الأصحاب إلى أنّ الشهرة تنجبرُ الخبر الضعيف</w:t>
      </w:r>
      <w:r>
        <w:rPr>
          <w:rStyle w:val="FootnoteAnchor"/>
          <w:rtl w:val="true"/>
        </w:rPr>
        <w:footnoteReference w:id="1055"/>
      </w:r>
      <w:r>
        <w:rPr>
          <w:rFonts w:ascii="Amiri" w:hAnsi="Amiri" w:eastAsia="Amiri" w:cs="Amiri"/>
          <w:color w:val="111111"/>
          <w:sz w:val="28"/>
          <w:sz w:val="28"/>
          <w:szCs w:val="28"/>
          <w:rtl w:val="true"/>
          <w:lang w:bidi="ar-SA"/>
        </w:rPr>
        <w:t xml:space="preserve">، فكيف بما رواه هؤلاء الفضلاء الذين هم أجلّاء رُواة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وإبراهيم بن هاشم أيضاً من أجلاء أصحابنا الممدوحين، وهو أوّل من نشر حديث الكوفيين بقم</w:t>
      </w:r>
      <w:r>
        <w:rPr>
          <w:rStyle w:val="FootnoteAnchor"/>
          <w:rtl w:val="true"/>
        </w:rPr>
        <w:footnoteReference w:id="1056"/>
      </w:r>
      <w:r>
        <w:rPr>
          <w:rFonts w:ascii="Amiri" w:hAnsi="Amiri" w:eastAsia="Amiri" w:cs="Amiri"/>
          <w:color w:val="111111"/>
          <w:sz w:val="28"/>
          <w:sz w:val="28"/>
          <w:szCs w:val="28"/>
          <w:rtl w:val="true"/>
          <w:lang w:bidi="ar-SA"/>
        </w:rPr>
        <w:t xml:space="preserve">، وناهيك برواية ولده الجليل عليّ عنه اعتماداً منه عليه مع </w:t>
      </w:r>
    </w:p>
    <w:p>
      <w:pPr>
        <w:pStyle w:val="BookText"/>
        <w:rPr/>
      </w:pPr>
      <w:r>
        <w:rPr>
          <w:rFonts w:ascii="Amiri" w:hAnsi="Amiri" w:eastAsia="Amiri" w:cs="Amiri"/>
          <w:color w:val="111111"/>
          <w:sz w:val="28"/>
          <w:sz w:val="28"/>
          <w:szCs w:val="28"/>
          <w:rtl w:val="true"/>
          <w:lang w:bidi="ar-SA"/>
        </w:rPr>
        <w:t xml:space="preserve">أنّ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الإرشاد رواها في الصحيح</w:t>
      </w:r>
      <w:r>
        <w:rPr>
          <w:rStyle w:val="FootnoteAnchor"/>
          <w:rtl w:val="true"/>
        </w:rPr>
        <w:footnoteReference w:id="10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يتّفق للعلّامة في المختلف رواية مثل ذلك صحيحاً، وإن كان هنا رواه في الحسن </w:t>
      </w:r>
      <w:r>
        <w:rPr>
          <w:rStyle w:val="FootnoteAnchor"/>
          <w:rtl w:val="true"/>
        </w:rPr>
        <w:footnoteReference w:id="1058"/>
      </w:r>
      <w:r>
        <w:rPr>
          <w:rFonts w:ascii="Amiri" w:hAnsi="Amiri" w:eastAsia="Amiri" w:cs="Amiri"/>
          <w:color w:val="111111"/>
          <w:sz w:val="28"/>
          <w:sz w:val="28"/>
          <w:szCs w:val="28"/>
          <w:rtl w:val="true"/>
          <w:lang w:bidi="ar-SA"/>
        </w:rPr>
        <w:t>وهو الحقّ، وقد يتعاكسان في النقل في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فما هذا شأنُه في قوَّة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تَضمَّنَه الخبر الثاني من السلاح والدوابّ، فلا يُسقط عدم القول به الاحتجاج بالخبرِ أصلاً، بل يُرَدُّ ما ذُكِرَ من حيث إجماع الأصحاب على ترك العمل به لا من حيث إنّه مروي، ويُعْمَلُ بالباقي، ومثله كثيرٌ خصوصاً في روايات الحبوة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أجاب بعضُ الأصحاب </w:t>
      </w:r>
      <w:r>
        <w:rPr>
          <w:rStyle w:val="FootnoteAnchor"/>
          <w:rtl w:val="true"/>
        </w:rPr>
        <w:footnoteReference w:id="1059"/>
      </w:r>
      <w:r>
        <w:rPr>
          <w:rFonts w:ascii="Amiri" w:hAnsi="Amiri" w:eastAsia="Amiri" w:cs="Amiri"/>
          <w:color w:val="111111"/>
          <w:sz w:val="28"/>
          <w:sz w:val="28"/>
          <w:szCs w:val="28"/>
          <w:rtl w:val="true"/>
          <w:lang w:bidi="ar-SA"/>
        </w:rPr>
        <w:t xml:space="preserve">عنه أيضاً بحمل السلاح على ما يُحبى به الولد منه كالسيف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تَرِتُ منه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والدواب على ما أوصى به منها أو وقفه أو عَمِلَ به ما يمنع من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وإن كان خلاف الظاهر إلّا أنّ فيه جمعاً بين الأخبار وهو خير من اطراحه بلا سبب، أو نَحمِلُهُ على سلاح خاصّ ودوات خاصّة لوقوع السؤال في صورة خاصّة،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فيه للعهد لا للجنس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حَمْلُها على واقعةٍ خاصّةٍ يُسقِطُ الاستدلال بها على العموم؛ لِما تَقَرَّرَ في الأُصول من أن وقائع الحال إذا تَطَرَّقَ إليها الاحتمالُ كَساها ثوبَ الإجمال وسَقَطَ بها الاستدلال</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 كونها خاصَّةٌ نَمنعُ تَطَرُّقَ الاحتمال إليها؛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بأنّ حكم ميراث المرأة ذلك من غير أنْ يَسْتَفْصِلَ عن دارٍ خاصَّةٍ وآلاتٍ خاصّةٍ وغيرها، وإنّما خصَّصَناها في السلاح والدواب للضرورة لا من جهة السؤال والجواب، فيبقى الحكم في غيرهما على العموم؛ لأنّ ترك الاستفصال في حكاية الحال مع قيام </w:t>
      </w:r>
    </w:p>
    <w:p>
      <w:pPr>
        <w:pStyle w:val="BookText"/>
        <w:rPr/>
      </w:pPr>
      <w:r>
        <w:rPr>
          <w:rFonts w:ascii="Amiri" w:hAnsi="Amiri" w:eastAsia="Amiri" w:cs="Amiri"/>
          <w:color w:val="111111"/>
          <w:sz w:val="28"/>
          <w:sz w:val="28"/>
          <w:szCs w:val="28"/>
          <w:rtl w:val="true"/>
          <w:lang w:bidi="ar-SA"/>
        </w:rPr>
        <w:t>الاحتمال يَدُلُّ على العموم في المقال، ولا منافاة بين القاعدتين على ما حُقِّقَ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لمانع أنْ يَمْنَعَ مِن خصوص المرأة وعَهْدِيَّتها، واطراحُ حكم السلاح والدوابِّ بالإجماع لا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المذكورة وغيرها لم تتعرّض للشجر بنفي ولا إثبات فيبقى على عموم القرآن فتَرِثُ من عَينه؛ ولعدم ورود التعليل الآتي فيه، فكيف حكمتُمْ بعدم إرثها مِن عَينه؟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داخلٌ في الخبر الثالث الصحيح المتضمن عدم إرثها من العقار؛ لأنّه من جملته لغةً وعرفاً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العقارُ بالفتح الأرضُ والضياع والنخلُ</w:t>
      </w:r>
      <w:r>
        <w:rPr>
          <w:rStyle w:val="FootnoteAnchor"/>
          <w:rtl w:val="true"/>
        </w:rPr>
        <w:footnoteReference w:id="1060"/>
      </w:r>
      <w:r>
        <w:rPr>
          <w:rFonts w:ascii="Amiri" w:hAnsi="Amiri" w:eastAsia="Amiri" w:cs="Amiri"/>
          <w:color w:val="111111"/>
          <w:sz w:val="28"/>
          <w:sz w:val="28"/>
          <w:szCs w:val="28"/>
          <w:rtl w:val="true"/>
          <w:lang w:bidi="ar-SA"/>
        </w:rPr>
        <w:t>فعلى هذا يكون ذكر العقار بعد الأرض في الخبر تعميم بعد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رواية ميسرة بَياعِ الزُطِّي</w:t>
      </w:r>
      <w:r>
        <w:rPr>
          <w:rStyle w:val="FootnoteAnchor"/>
          <w:rtl w:val="true"/>
        </w:rPr>
        <w:footnoteReference w:id="1061"/>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النساء ما لهنَّ من الميراث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قِيمَةُ الطوب والبناء والخَشَب والقَصَب فأما الأرضون والعقار فلا ميراث لهنَّ فيه</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دخول النخل في ذلك، فمن أين لكم تعميم الشجر مع أنه مرجوحٌ ؟ إذ اللازم العملُ بعموم الآية وتقليلُ التخصيص ما أمكن، فيختصُّ بالنخل للحديث الصحيح، ويبقى غيره من الشجر على أصل الحكم فترِتُ منه مطلقاً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أنّ العقار متناول لجميع الأشجار من غير تخصيص بالنخل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يقال لفلانٍ عقار أي أصل مال، ومنه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باع داراً أو عقاراً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أصل مالٍ</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فلا قائل باختصاص المنع بالنخل من المسلمين فضلاً عن الأصحاب، فلا يمكن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دلَّ عليه ظاهرٌ النصّ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وإنما المعروف من أقوال الأصحاب هنا ما نقلناه، وحيث ثبت ذلك في النخل ثبت في غيره؛ لما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إنّما دلَّ على عدم الإرث من العقارِ مطلقاً، فمن أينَ خَصَّصْتُموهُ بالعين وأوجبتُم القِيمَةَ كآلات البناء، مع عدم دلالته ولا غيره على وجوب القيمة هنا، وإنما دلّتْ على قيمة آلات البناء ونحوها مما ذكر في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السؤال حقٌّ، ولو قيل بعدم إرثها من الشجر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بدلالة الخبر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مُتَجِها، إلّا أنّه لا قائل به على ما ذكروه، فكان ذلك هو المُخَصِّص للمنع من العين خاصةً لاتّفاق المسلمين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الزوجة لا تُمْنَعُ من الإرث من الشجر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القولُ بإعطائها القيمة استناداً إلى الإجماع لا إلى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الاحتجاج للقيمة بأنّ فيها تقليلاً لتخصيص الآية، فيكون أولى من تخصيصها بغير الشجرِ مطلقاً عَيناً وقيمةً، كما صنع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بالقيمة من الأرض أيضاً </w:t>
      </w:r>
      <w:r>
        <w:rPr>
          <w:rStyle w:val="FootnoteAnchor"/>
          <w:rtl w:val="true"/>
        </w:rPr>
        <w:footnoteReference w:id="1064"/>
      </w:r>
      <w:r>
        <w:rPr>
          <w:rFonts w:ascii="Amiri" w:hAnsi="Amiri" w:eastAsia="Amiri" w:cs="Amiri"/>
          <w:color w:val="111111"/>
          <w:sz w:val="28"/>
          <w:sz w:val="28"/>
          <w:szCs w:val="28"/>
          <w:rtl w:val="true"/>
          <w:lang w:bidi="ar-SA"/>
        </w:rPr>
        <w:t>، استناداً إلى ما ذكرناه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الصحيح وغيره قد دلّا على منعها من العقار مطلقاً، فلولا الإجماع لكان مدلولُ النصّ حِرمانها منه عَيناً وقيْمَةً، وكان هو المخصِّصُ للآية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يَتَعينُ تقليلُ التخصيص مع إمكانه، وهو مع دلالة النصّ على ما ذكرناه غيرُ ممكن من هذه الجهة، وإنّما وجبتِ القِيمةُ بالإجماع على عدم منعها من الأمرين معاً، وإذا كان الوجه هو </w:t>
      </w:r>
      <w:bookmarkStart w:id="656" w:name="pg10113_92265"/>
    </w:p>
    <w:p>
      <w:pPr>
        <w:pStyle w:val="BookText"/>
        <w:rPr/>
      </w:pPr>
      <w:bookmarkEnd w:id="656"/>
      <w:r>
        <w:rPr>
          <w:rFonts w:ascii="Amiri" w:hAnsi="Amiri" w:eastAsia="Amiri" w:cs="Amiri"/>
          <w:color w:val="111111"/>
          <w:sz w:val="28"/>
          <w:sz w:val="28"/>
          <w:szCs w:val="28"/>
          <w:rtl w:val="true"/>
          <w:lang w:bidi="ar-SA"/>
        </w:rPr>
        <w:t>الإجماع سَقَطَ اعتبار التخصيص وإن كان لازماً له؛ إذ مع القول بالقيمة يقلُّ التخصيص قطعاً، إلّا أنّه اتّفاقيّ لا من حيث الجمع بين الأخبار، أو بينها وبين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فقد عرفت أنّ النصوص لا تفي بحجّيّة القول المشهور، ومستنده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قبل تحقّق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القدح في حجّيّة الإجماع المذكور؛ فإنّ قولَ مَنْ خَالَفَنا لا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وأصحابُنا مختلفون في إرثها اختلافاً كثيراً مستنداً إلى ظواهر الأخبار المختلفة، فَمِنْ أينَ أثْبَتَ القائلُ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w:t>
      </w:r>
      <w:r>
        <w:rPr>
          <w:rStyle w:val="FootnoteAnchor"/>
          <w:rtl w:val="true"/>
        </w:rPr>
        <w:footnoteReference w:id="10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بلزوم قيمة الأشجار، مع عدم دلالة النصوص عليه، بل إنّما دلّتْ على عدمه كما رأيت، وفي تحقّق الإجماع في مثل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استقرار الخلاف على أُصول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ليس هذا محل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يُحْتَجَّ على قيمة الشجر بإدخالها في الجُذوع، بأن يراد بها الجُذُوعُ الثابتة، بدليل ذكر الخَشَب معها في بعض الأخبار، وذكر النقض في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أريد بالجُذوع الخَشَبُ لزم التكرار والتأكيد، والتأسيس أولى وإن كان لا يخلو من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حسنة زرارة ما يُنَبِّه على أنّ المراد بالجُذوع الخَشَبُ؛ لأنّه استثنى الخشب خاصَّةً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يُقَوَّمَ الطوبُ والخَشَبُ فَتُعطى رُبْعَها أو تُمْنَها إن كان من قيمة الطوب والجُذُوع والخشب</w:t>
      </w:r>
      <w:r>
        <w:rPr>
          <w:rFonts w:eastAsia="Amiri" w:cs="Amiri" w:ascii="Amiri" w:hAnsi="Amiri"/>
          <w:color w:val="111111"/>
          <w:sz w:val="28"/>
          <w:szCs w:val="28"/>
          <w:rtl w:val="true"/>
          <w:lang w:bidi="ar-SA"/>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فاقتصر أولاً على استثناء الخَشَب وإثبات قيمته ثمّ حَكَم بقيمة الجُذُوعِ والخَشَب، فهو تخصيص بعد التعميم</w:t>
      </w:r>
      <w:r>
        <w:rPr>
          <w:rFonts w:eastAsia="Amiri" w:cs="Amiri" w:ascii="Amiri" w:hAnsi="Amiri"/>
          <w:color w:val="111111"/>
          <w:sz w:val="28"/>
          <w:szCs w:val="28"/>
          <w:rtl w:val="true"/>
          <w:lang w:bidi="ar-SA"/>
        </w:rPr>
        <w:t>.</w:t>
      </w:r>
    </w:p>
    <w:p>
      <w:pPr>
        <w:pStyle w:val="Heading4"/>
        <w:numPr>
          <w:ilvl w:val="3"/>
          <w:numId w:val="1"/>
        </w:numPr>
        <w:rPr/>
      </w:pPr>
      <w:bookmarkStart w:id="657" w:name="__RefHeading___Toc375621_1067777946"/>
      <w:bookmarkStart w:id="658" w:name="_Toc219"/>
      <w:bookmarkEnd w:id="657"/>
      <w:r>
        <w:rPr>
          <w:rtl w:val="true"/>
        </w:rPr>
        <w:t>أدلّة القول الثاني</w:t>
      </w:r>
      <w:r>
        <w:rPr>
          <w:rtl w:val="true"/>
        </w:rPr>
        <w:t xml:space="preserve">: </w:t>
      </w:r>
      <w:r>
        <w:rPr>
          <w:rtl w:val="true"/>
        </w:rPr>
        <w:t>إرثها من كلّ شيء</w:t>
      </w:r>
      <w:bookmarkEnd w:id="658"/>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القرآن بإرثها من كلّ شيءٍ</w:t>
      </w:r>
      <w:r>
        <w:rPr>
          <w:rStyle w:val="FootnoteAnchor"/>
          <w:rtl w:val="true"/>
        </w:rPr>
        <w:footnoteReference w:id="1067"/>
      </w:r>
      <w:r>
        <w:rPr>
          <w:rFonts w:ascii="Amiri" w:hAnsi="Amiri" w:eastAsia="Amiri" w:cs="Amiri"/>
          <w:color w:val="111111"/>
          <w:sz w:val="28"/>
          <w:sz w:val="28"/>
          <w:szCs w:val="28"/>
          <w:rtl w:val="true"/>
          <w:lang w:bidi="ar-SA"/>
        </w:rPr>
        <w:t xml:space="preserve">، خرج منه ما اتفقتْ عليه الأخبار </w:t>
      </w:r>
    </w:p>
    <w:p>
      <w:pPr>
        <w:pStyle w:val="BookText"/>
        <w:rPr/>
      </w:pPr>
      <w:r>
        <w:rPr>
          <w:rFonts w:ascii="Amiri" w:hAnsi="Amiri" w:eastAsia="Amiri" w:cs="Amiri"/>
          <w:color w:val="111111"/>
          <w:sz w:val="28"/>
          <w:sz w:val="28"/>
          <w:szCs w:val="28"/>
          <w:rtl w:val="true"/>
          <w:lang w:bidi="ar-SA"/>
        </w:rPr>
        <w:t>وهو أرضُ الرباع والمساكن عيناً وقِيمةً وآلاتُها عَيناً لا قيمةٌ، فيبقى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اقتصر على استثنائها في رواية العلاء عن محمد بن مسلم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ترث المرأة الطوب، ولا تَرِثُ من الرباع شيئاً</w:t>
      </w:r>
      <w:r>
        <w:rPr>
          <w:rFonts w:eastAsia="Amiri" w:cs="Amiri" w:ascii="Amiri" w:hAnsi="Amiri"/>
          <w:color w:val="111111"/>
          <w:sz w:val="28"/>
          <w:szCs w:val="28"/>
          <w:rtl w:val="true"/>
          <w:lang w:bidi="ar-SA"/>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يزيد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النساء لا يَرِثْنَ من رباع الأرض شيئاً، ولكن لَهنَّ منها الطوب والخشب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لا يأخذون بهذا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ولينا ضربناهم بالسَوْطِ، فإنِ انْتَهَوا وإلَّا ضَرَبْناهم بالسيف</w:t>
      </w:r>
      <w:r>
        <w:rPr>
          <w:rFonts w:eastAsia="Amiri" w:cs="Amiri" w:ascii="Amiri" w:hAnsi="Amiri"/>
          <w:color w:val="111111"/>
          <w:sz w:val="28"/>
          <w:szCs w:val="28"/>
          <w:rtl w:val="true"/>
          <w:lang w:bidi="ar-SA"/>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عبد الملك بن أعين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للنساء من الدور والعقار شيءُ</w:t>
      </w:r>
      <w:r>
        <w:rPr>
          <w:rFonts w:eastAsia="Amiri" w:cs="Amiri" w:ascii="Amiri" w:hAnsi="Amiri"/>
          <w:color w:val="111111"/>
          <w:sz w:val="28"/>
          <w:szCs w:val="28"/>
          <w:rtl w:val="true"/>
          <w:lang w:bidi="ar-SA"/>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هو القدر المشترك بين الروايات أجمع مع وجوده مخصوصاً في هذه الأخبار، فيُؤْخَذُ فيما خالف الأصل بل الإجماع بالمتيقن كما تُرِكَ القول بحرمانها من السلاح والدواب في صحيحة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الأخبار لا تعرُّض لها في الزائد من الأرض بنفي ولا إثبات، فإذا دلَّتْ عليها تلك الأخبار تعيَّن القولُ بها لعدم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قد اعترفتم بعدم التزام جميع ما تَضمَّنتُه تلك الأخبارُ؛ لاشتمالها على عدم إرثها من السلاح والدوابّ؛ فاطرَختموه وأخذتم بالمتيقن والمتَّفق عليه، أو أوّلتُموه بخلاف ظاهره، فَلْيَكُنْ هنا كذلك، مع اشتراك الزائد في المعنى الذي يوجب اطّراحه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الزائد منفيٌّ بالإجماع، فاحْتَجْنا إلى ردّه أو تأويله بخلاف ما بيَّنتُمُوهُ؛ </w:t>
      </w:r>
    </w:p>
    <w:p>
      <w:pPr>
        <w:pStyle w:val="BookText"/>
        <w:rPr/>
      </w:pPr>
      <w:r>
        <w:rPr>
          <w:rFonts w:ascii="Amiri" w:hAnsi="Amiri" w:eastAsia="Amiri" w:cs="Amiri"/>
          <w:color w:val="111111"/>
          <w:sz w:val="28"/>
          <w:sz w:val="28"/>
          <w:szCs w:val="28"/>
          <w:rtl w:val="true"/>
          <w:lang w:bidi="ar-SA"/>
        </w:rPr>
        <w:t>فإنّه موضع النزاع وقد دلَّتْ عليه الأخبار الصحيحة، وغيرها من الأخبار لا يَنْفِيه صريحاً فافْتَرَقا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القدحُ في كلا الأمرين؛ فإنّ أصحاب الحديث السابقين على الشيخ ذَكَرُوا الرواية الصحيحة المشتملة على إثبات تلك الأمور، وظاهرهم العمل بها؛ فإنّهم ما كانوا يذكرونَ الفتوى خارِجةً عن الأخبار التي يروونها، خصوصاً مثل الصدوق الذي صَرّح في صدر كتابه أنْ لا يَذْكُرَ فيه إلّا ما يَعْتَمِدُ عليه ويدينُ اللّه به</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لم يدَّعِ أحد الإجماع على ذلك صريحاً وإن كانت قواعدهم تقتضي إمكان دعواه هنا من حيث الشهرة أو عدم علم المخالف، فلو ادَّعاهُ مدَّعِ لم تُسَلَّمْ دعواه، ولا يتحقّق الإجماع الذي هو حجّة بمجرّد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على هذه الطريقة قلب الدليل فَيُدَّعى أن ما عممه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الإجماع؛ إذ لا يُعْلَمُ قبل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بالتعميم فيكون القول به خلاف الإجماع؛ فإنّ المعروف قبل الشيخ إما القوْلُ بالقيمة كقول المرتضى، أو نَفي المنع أصلاً كقول ابن الجنيد</w:t>
      </w:r>
      <w:r>
        <w:rPr>
          <w:rStyle w:val="FootnoteAnchor"/>
          <w:rtl w:val="true"/>
        </w:rPr>
        <w:footnoteReference w:id="1072"/>
      </w:r>
      <w:r>
        <w:rPr>
          <w:rFonts w:ascii="Amiri" w:hAnsi="Amiri" w:eastAsia="Amiri" w:cs="Amiri"/>
          <w:color w:val="111111"/>
          <w:sz w:val="28"/>
          <w:sz w:val="28"/>
          <w:szCs w:val="28"/>
          <w:rtl w:val="true"/>
          <w:lang w:bidi="ar-SA"/>
        </w:rPr>
        <w:t>، أو القولُ بالتخصيص كقول المفيد</w:t>
      </w:r>
      <w:r>
        <w:rPr>
          <w:rStyle w:val="FootnoteAnchor"/>
          <w:rtl w:val="true"/>
        </w:rPr>
        <w:footnoteReference w:id="1073"/>
      </w:r>
      <w:r>
        <w:rPr>
          <w:rFonts w:ascii="Amiri" w:hAnsi="Amiri" w:eastAsia="Amiri" w:cs="Amiri"/>
          <w:color w:val="111111"/>
          <w:sz w:val="28"/>
          <w:sz w:val="28"/>
          <w:szCs w:val="28"/>
          <w:rtl w:val="true"/>
          <w:lang w:bidi="ar-SA"/>
        </w:rPr>
        <w:t>، ولم يُنْقَل عن أحدٍ قبل الشيخ 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يكتفون بمثل هذا في الإجماع، خصوصاً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يدَّعي الإجماع على المسألة بأقل من هذا ثم يذهب بعد ذلك إلى خلاف ما ادعى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ادعى المرتضى الإجماع على مسألة فيدعي هو الإجماع على خلافها، وهو كثير في تضاعيف الفقه</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فالإجماع من الطرفين في حيّز المنع، والأخبار مختلفة ولا وثوقُ ببعض </w:t>
      </w:r>
    </w:p>
    <w:p>
      <w:pPr>
        <w:pStyle w:val="BookText"/>
        <w:rPr/>
      </w:pPr>
      <w:r>
        <w:rPr>
          <w:rFonts w:ascii="Amiri" w:hAnsi="Amiri" w:eastAsia="Amiri" w:cs="Amiri"/>
          <w:color w:val="111111"/>
          <w:sz w:val="28"/>
          <w:sz w:val="28"/>
          <w:szCs w:val="28"/>
          <w:rtl w:val="true"/>
          <w:lang w:bidi="ar-SA"/>
        </w:rPr>
        <w:t>دون بعض، فينبغي الاقتصار على ما اتفقتْ عليه، ولما فيه من تقليل تخصيص الكتاب ومخالفة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غايه ما تلخص في تقرير هذا القول، ومع جَوْدَتِهِ يمكنُ الجواب عنه بأنّ هذه الأخبار المخصصة لما ذكروه لا تُقاوِمُ تلك الأخبار الحسنة والصحيحة، بل لا تَصلَحُ للدلالة ؛ فإنّ في طريق الخبر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خبر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وهو ضعيفٌ فاسد المذهب لا يُعتَمَدُ على حديثه</w:t>
      </w:r>
      <w:r>
        <w:rPr>
          <w:rStyle w:val="FootnoteAnchor"/>
          <w:rtl w:val="true"/>
        </w:rPr>
        <w:footnoteReference w:id="10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طريق الثاني جماعة ضُعَفاء، وناهيك بيزيد الصائغ؛ فقد 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الكذابين المشهورين جماعة، وعَدَّ منهم يزيد الصائغ </w:t>
      </w:r>
      <w:r>
        <w:rPr>
          <w:rStyle w:val="FootnoteAnchor"/>
          <w:rtl w:val="true"/>
        </w:rPr>
        <w:footnoteReference w:id="10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طريق الخبر الثالث من الضعفاء جماعة أشهرهم الحسن بن محمد سماعة</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فالعمدة في هذا الباب على تلك الأخبار المُعَمِّمة للأرض، سَواءٌ كانت في دارٍ أم قرية أم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قاعدته من عدم التعرض للقدح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بأنّ تلك الأخبار دلّت على أمر زائد على هذه فتقبل إذا لم تدلّ هذه الأخبار المُخَصِّصة على نفي ما عدا المذكور فيها، فلا منافاة بيّنها بحالٍ</w:t>
      </w:r>
      <w:r>
        <w:rPr>
          <w:rStyle w:val="FootnoteAnchor"/>
          <w:rtl w:val="true"/>
        </w:rPr>
        <w:footnoteReference w:id="10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وإن كان ما ذكرناه أحسنَ لما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الثالث فسيأتي الكلام فيه إنْ شاءَ اللّه تعالى في المطلب الثالث</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ما حَكَيْناهُ من الأقوال وجَعَلنا قول الشيخ والتقي وابن حمزة كقول </w:t>
      </w:r>
    </w:p>
    <w:p>
      <w:pPr>
        <w:pStyle w:val="BookText"/>
        <w:rPr/>
      </w:pPr>
      <w:r>
        <w:rPr>
          <w:rFonts w:ascii="Amiri" w:hAnsi="Amiri" w:eastAsia="Amiri" w:cs="Amiri"/>
          <w:color w:val="111111"/>
          <w:sz w:val="28"/>
          <w:sz w:val="28"/>
          <w:szCs w:val="28"/>
          <w:rtl w:val="true"/>
          <w:lang w:bidi="ar-SA"/>
        </w:rPr>
        <w:t xml:space="preserve">المتأخّرين، تَبِعْنا فيه المشهور بينهم من دعوى أنّها كقول المتأخّرين في استحقاقها قيمة الشجر كالأبنية والأنقاض، وإلّا فكلام الشيخ ومَنْ تَبِعه خال عن التصريح بذلك؛ فإنّه قال في النهاية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المرأة لا ترثُ في الأرضين والقُرى والرباع من الدور والمنازل، بل يُقَوَّمُ الطُوبُ والخَشبُ وغيرُ ذلك من الآلات وتُعطى حصّتَها منه، ولا تُعطى من نفس الأرضين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أصحابنا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الحُكم مخصوص بالدور والمنازل دون الأرضين والبساتين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أكثرُ في الروايات وأظهر في المذهب</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كلام تلميذه ابن البرّاج</w:t>
      </w:r>
      <w:r>
        <w:rPr>
          <w:rStyle w:val="FootnoteAnchor"/>
          <w:rtl w:val="true"/>
        </w:rPr>
        <w:footnoteReference w:id="1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الصلاح في كتابه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ترِثُ المرأة من رقاب الرباع والأرض شيئاً وتُعطى من قيمة آلاتِ الرباع من خَشَبٍ وأجر كسائر الإرث</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تكن ذات ولد منه لم يكن لها حقٌّ في الأرضين والقُرى والمنازل والدور والرباع، وروي روايات مختلفات تُخالِفُ ذلك</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عباراتُهم، وأنت خبير بأنّ هذه العبارات ليس فيها تصريح بإعطاء قيمة الشجر ولا بالمنع من الإرث منها، وإنّما دلّت على عموم عدم إرثها من الأرض سواء كانت رباعاً أم قُرى وبساتين وغيرها، وعلى أنّها تُعطى قيمة آلات البناء من الطوب والخشب والأبواب وغيرها، خصوصاً قول أبي الصلاح؛ فإنه صريحٌ في ذلك وأنّ الآلات هي آلاتِ البناء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صَرَّحَ به المتأخّرون من منعها من عين الشجر وإعطائها قيمتها كآلات البناء، إلّا أنْ يُتَكَلَّفَ لقول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وغير ذلك من </w:t>
      </w:r>
    </w:p>
    <w:p>
      <w:pPr>
        <w:pStyle w:val="BookText"/>
        <w:rPr/>
      </w:pPr>
      <w:r>
        <w:rPr>
          <w:rFonts w:ascii="Amiri" w:hAnsi="Amiri" w:eastAsia="Amiri" w:cs="Amiri"/>
          <w:color w:val="111111"/>
          <w:sz w:val="28"/>
          <w:sz w:val="28"/>
          <w:szCs w:val="28"/>
          <w:rtl w:val="true"/>
          <w:lang w:bidi="ar-SA"/>
        </w:rPr>
        <w:t>آلات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بإرادة ما يعمُّ الشجر، وفيه بُعْد شديدٌ؛ لأنّ إطلاق الآلة على الشجر غَيرُ معروف لغةً ولا عرفاً؛ وإنّما المتبادِرُ منها آلات البناء كما هو ظاهر الأخبار، وكلام أبي الصلاح صريح فيه وكلام ابن حمزة خالٍ من الأمرين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فالظاهر أن قول هؤلاء خارج عن الأقوال الثلاثة، وأنّه دالٌّ على منعها من الأرض مطلقاً ومن أعيان البناء والرباع دون قيمتها، وأنها ترثُ من أعيان الشجر، فيُخالِفُ الأوّل فى الإرث من قيمة الشجر؛ لأنّه يُوجِبُ الإرث من عينه، والثاني في المنع من أرض غير الرباع وإنْ كانتْ قُرى وبساتين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أنّ العلّامة فى المختلف بعد حكايته لهذه الأقوال الثلاثة كما حَكَيْناهُ،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نقل كلام أبي الصلاح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مساءٍ لكلام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بعد نقله لكلام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غير تغيير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يناسب قول الشيخ أيضاً</w:t>
      </w:r>
      <w:r>
        <w:rPr>
          <w:rFonts w:eastAsia="Amiri" w:cs="Amiri" w:ascii="Amiri" w:hAnsi="Amiri"/>
          <w:color w:val="111111"/>
          <w:sz w:val="28"/>
          <w:szCs w:val="28"/>
          <w:rtl w:val="true"/>
          <w:lang w:bidi="ar-SA"/>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عليك ما بين الأقوال من الفرق؛ فإنّ أبا الصلاح قد صرح بتخصيص الآلات بآلات الرباع والرباعُ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رَبع وهو الدار</w:t>
      </w:r>
      <w:r>
        <w:rPr>
          <w:rStyle w:val="FootnoteAnchor"/>
          <w:rtl w:val="true"/>
        </w:rPr>
        <w:footnoteReference w:id="1084"/>
      </w:r>
      <w:r>
        <w:rPr>
          <w:rFonts w:ascii="Amiri" w:hAnsi="Amiri" w:eastAsia="Amiri" w:cs="Amiri"/>
          <w:color w:val="111111"/>
          <w:sz w:val="28"/>
          <w:sz w:val="28"/>
          <w:szCs w:val="28"/>
          <w:rtl w:val="true"/>
          <w:lang w:bidi="ar-SA"/>
        </w:rPr>
        <w:t xml:space="preserve">، والشيخ أطلق الآلاتِ، فَإِنْ حُمِلَ كلامُ الشيخ المُطلَقُ على ما قَيَّدَهُ 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يكونا كمذهب المتأخّرين، وإن حملنا كلام الشيخ في الآلاتِ على ما يَعُمُّ الشجر على ما فيه من البُعْدِ خالف كلام أبي الصلاح وكلام ابن حمزة إنّما دلّ على المنع من الأرض مطلقاً من غَير تَعَرُّض لغيره، فلا يُناسِبُ كلامَ الشيخ ولا كلام أبي الصلاح</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فإنّ العلّامة وغيره من المتأخّرين ذكروا الآلاتِ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وأضافوا إليها ذكر الشجر، وهو صريح في أنّهم يريدون بالآلات آلات البناء دون الشجر</w:t>
      </w:r>
      <w:r>
        <w:rPr>
          <w:rStyle w:val="FootnoteAnchor"/>
          <w:rtl w:val="true"/>
        </w:rPr>
        <w:footnoteReference w:id="1085"/>
      </w:r>
      <w:r>
        <w:rPr>
          <w:rFonts w:ascii="Amiri" w:hAnsi="Amiri" w:eastAsia="Amiri" w:cs="Amiri"/>
          <w:color w:val="111111"/>
          <w:sz w:val="28"/>
          <w:sz w:val="28"/>
          <w:szCs w:val="28"/>
          <w:rtl w:val="true"/>
          <w:lang w:bidi="ar-SA"/>
        </w:rPr>
        <w:t xml:space="preserve">، نظراً إلى عدم تناولها له، فكيف يحملون كلام الجماعة في الآلات على ما </w:t>
      </w:r>
    </w:p>
    <w:p>
      <w:pPr>
        <w:pStyle w:val="BookText"/>
        <w:rPr/>
      </w:pPr>
      <w:r>
        <w:rPr>
          <w:rFonts w:ascii="Amiri" w:hAnsi="Amiri" w:eastAsia="Amiri" w:cs="Amiri"/>
          <w:color w:val="111111"/>
          <w:sz w:val="28"/>
          <w:sz w:val="28"/>
          <w:szCs w:val="28"/>
          <w:rtl w:val="true"/>
          <w:lang w:bidi="ar-SA"/>
        </w:rPr>
        <w:t>يَشْمُلُ الشجر مع عدم ظهورها فيها باعترافهم له ؟</w:t>
      </w:r>
    </w:p>
    <w:p>
      <w:pPr>
        <w:pStyle w:val="BookText"/>
        <w:rPr/>
      </w:pPr>
      <w:r>
        <w:rPr>
          <w:rFonts w:ascii="Amiri" w:hAnsi="Amiri" w:eastAsia="Amiri" w:cs="Amiri"/>
          <w:color w:val="111111"/>
          <w:sz w:val="28"/>
          <w:sz w:val="28"/>
          <w:szCs w:val="28"/>
          <w:rtl w:val="true"/>
          <w:lang w:bidi="ar-SA"/>
        </w:rPr>
        <w:t xml:space="preserve">هذا مع قطع النظر عن دلالة النصوص، ومع مراعاتها لا يُوجَدُ فيها ما يَدلّ على حُكم الآلات مطلقاً، وإنّما هو من كلام الشيخ والجماعة، فلابدّ من إثبات الدليل على حكمه، والنصوص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دَلَّتْ على إثبات قيمة الطوب والجُذُوعِ والخَشَب، فيجب حمل الآلاتِ عليها؛ لعدم الدليل على غيرها مع دخوله في عموم أدلّة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مما ذكرناه أنّ في المسألة قولاً رابعاً، وأنّ دلالة الأخبار السابقة الصحيحة وغيرها عليه أقوى من غيره حتّى الأوّل؛ لأنّها تضمَّنتِ المنعَ مِن مُطلَق الأرض، وإعطاءها القيمة من الأنقاض وآلاتِ البناء، فيبقى الباقي على حكمه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التي احتج بها المفيد على الاختصاص بالرباع لا تنافي هذا القول، كما لا تنافي القول الأوّل كما قد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أخبارُ المنع من العقار وهي وإنْ نافتْ بظاهر إطلاقها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 كون الشجر مطلقاً من جملته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المنافاة فيها ظاهراً مشتركة بينه وبين القول الأوّل من حيث اشتمل على إعطائها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والمنع من استحقاق العقار يَشمُلُها، ومع ذلك لا دليل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احْتِيجَ في القول الأوّل إلى تأويل هذه الأخبار يمكن هنا، بل هنا أسهل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 العقارُ على الأرض خاصَّةً؛ لأنّها هي أصل المال الذي أُطلِقَ عليه، وهي لا تتغير ولا تَفْسُدُ، بخلاف غيرها من الأموال حتّى الشجر؛ فإنّها فروع يُحدِثها الناسُ وتَقْبَلُ الفساد، فكانت الأرض به أولى</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تُسَلَّمَ إطلاقها على غيرها لكن نَخُصُّهُ بالنخل كما صنع في الصحاح</w:t>
      </w:r>
      <w:r>
        <w:rPr>
          <w:rStyle w:val="FootnoteAnchor"/>
          <w:rtl w:val="true"/>
        </w:rPr>
        <w:footnoteReference w:id="10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ونقول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قائل من المسلمين باختصاص الحكم بالنخل عَيناً ولا قيمةً، فسقطَ اعتبارُه، ونَجْعَلُ الحكم مختصاً بالأرض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كما أخرج أصحابُ القول الأوّل </w:t>
      </w:r>
    </w:p>
    <w:p>
      <w:pPr>
        <w:pStyle w:val="BookText"/>
        <w:rPr/>
      </w:pPr>
      <w:r>
        <w:rPr>
          <w:rFonts w:ascii="Amiri" w:hAnsi="Amiri" w:eastAsia="Amiri" w:cs="Amiri"/>
          <w:color w:val="111111"/>
          <w:sz w:val="28"/>
          <w:sz w:val="28"/>
          <w:szCs w:val="28"/>
          <w:rtl w:val="true"/>
          <w:lang w:bidi="ar-SA"/>
        </w:rPr>
        <w:t>السلاح والدواب من الخبر الصحيح، فكذا يَخْرُجُ النخلُ، وما حَمَلوه عليه يمكن الحمل عليه إن لم نُخْرِجه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نجعل العقار على إطلاقه ونجعله شاملاً لجميع الشجر، لكن هنا نَخُصُّهُ بالأرض؛ جمعاً بين الأخبار وبين عموم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نَجْعَلَهُ على إطلاقه أيضاً لكن ليس في اللفظ إشعار بشموله لجميع أفراده بناءً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تَحْتَمِلُ الجنس ونحوه ممّا لا يَقْبَلُ الشمول، فيحصل الشك في غير الأرض من أفراده، أما الأرضُ فتَدْخُلُ قطعاً بغيره من الأخبار وبالإجماع في بعض 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مثلُهُ في الأرضِ لورودها معه في بعض الأخبار بهذا اللفظ وفي غيره كذلك؛ فيحصلُ الشكُ في تناولها لجميع أفرادها، فينبغي على هذا تخصيصها بموضعِ الوفاق وهو أرضُ الرباع والمساكن، كما صنع المفيد</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الأرض جاء من وجهين لم يتحقّقا في العقار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ورودها في الخبر الأوّل الصحيح أو الحَسنِ نكرةً منفيّةً، وهو مفيد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غير أرض الرباع قد دخلت صريحاً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زُرارَةَ المشتمل على القُرى وغيره </w:t>
      </w:r>
      <w:r>
        <w:rPr>
          <w:rStyle w:val="FootnoteAnchor"/>
          <w:rtl w:val="true"/>
        </w:rPr>
        <w:footnoteReference w:id="10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تخصيصها بأرض الرباع، بخلاف العقار؛ فإنّ تخصيصه سهلٌ كما قرَّرناهُ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نجعله على إطلاقه أيضاً ولكنْ نَخُصُّهُ بالأرض لأنّها موضعُ اليقين، ونطرَحُ الباقي للشكّ فيه مع منافاته للأصل وخُلُوِّ كثير من الأخبار عنه، فلو كان مراداً لزم تأخير البيان في تلك الأخبار عن وقت الخطاب قطعاً، وعن وقت الحاجة على الظاهر</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نجعل العقار عطفاً تفسيرياً للأرض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عدم ذكره في كثيرٍ من </w:t>
      </w:r>
    </w:p>
    <w:p>
      <w:pPr>
        <w:pStyle w:val="BookText"/>
        <w:rPr/>
      </w:pPr>
      <w:r>
        <w:rPr>
          <w:rFonts w:ascii="Amiri" w:hAnsi="Amiri" w:eastAsia="Amiri" w:cs="Amiri"/>
          <w:color w:val="111111"/>
          <w:sz w:val="28"/>
          <w:sz w:val="28"/>
          <w:szCs w:val="28"/>
          <w:rtl w:val="true"/>
          <w:lang w:bidi="ar-SA"/>
        </w:rPr>
        <w:t xml:space="preserve">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حذراً من الاختلاف في كلام المعصوم خصوصاً مع اتّحاده كماهنا، وقد لَحَظَ المحقّق في النافع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ويرثُ الزوج من جميع ما تَرَكَتْهُ المرأة، وكذا المرأة عدا 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قولَ من طَرَّدَ المنع في المزارع والبساتين</w:t>
      </w:r>
      <w:r>
        <w:rPr>
          <w:rStyle w:val="FootnoteAnchor"/>
          <w:rtl w:val="true"/>
        </w:rPr>
        <w:footnoteReference w:id="1089"/>
      </w:r>
      <w:r>
        <w:rPr>
          <w:rFonts w:ascii="Amiri" w:hAnsi="Amiri" w:eastAsia="Amiri" w:cs="Amiri"/>
          <w:color w:val="111111"/>
          <w:sz w:val="28"/>
          <w:sz w:val="28"/>
          <w:szCs w:val="28"/>
          <w:rtl w:val="true"/>
          <w:lang w:bidi="ar-SA"/>
        </w:rPr>
        <w:t>، فجَعَلَ العقار عبارةً عن الرِباع والمساكن خاصةً، وهو يؤيّد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بذلك أنّ هذا القول أمتنُ الأقوال دليلاً، وأظهرها من جهة الرواية، وقد قال به أجلّة من الأصحاب </w:t>
      </w:r>
      <w:r>
        <w:rPr>
          <w:rStyle w:val="FootnoteAnchor"/>
          <w:rtl w:val="true"/>
        </w:rPr>
        <w:footnoteReference w:id="1090"/>
      </w:r>
      <w:r>
        <w:rPr>
          <w:rFonts w:ascii="Amiri" w:hAnsi="Amiri" w:eastAsia="Amiri" w:cs="Amiri"/>
          <w:color w:val="111111"/>
          <w:sz w:val="28"/>
          <w:sz w:val="28"/>
          <w:szCs w:val="28"/>
          <w:rtl w:val="true"/>
          <w:lang w:bidi="ar-SA"/>
        </w:rPr>
        <w:t>فلا أقلَّ من كونه 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قد اتَّفقَ لهم في نقل الخلاف في هذه المسألة أُمور 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نقلناه عن الشيخ من المذهب مع ما نَقَلَهُ عنه العلّامة وغيره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أبي الصلاح مساء لكلام الشيخ</w:t>
      </w:r>
      <w:r>
        <w:rPr>
          <w:rStyle w:val="FootnoteAnchor"/>
          <w:rtl w:val="true"/>
        </w:rPr>
        <w:footnoteReference w:id="10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يُخالفه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ابن حمزة مناسب لكلام الشيخ أيضاً</w:t>
      </w:r>
      <w:r>
        <w:rPr>
          <w:rStyle w:val="FootnoteAnchor"/>
          <w:rtl w:val="true"/>
        </w:rPr>
        <w:footnoteReference w:id="1092"/>
      </w:r>
      <w:r>
        <w:rPr>
          <w:rFonts w:ascii="Amiri" w:hAnsi="Amiri" w:eastAsia="Amiri" w:cs="Amiri"/>
          <w:color w:val="111111"/>
          <w:sz w:val="28"/>
          <w:sz w:val="28"/>
          <w:szCs w:val="28"/>
          <w:rtl w:val="true"/>
          <w:lang w:bidi="ar-SA"/>
        </w:rPr>
        <w:t>، مع شدَّة بُعْدِه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ولده فخر المحقّقين في الشرح فَهمَ غيرَ ما فَهمَهُ والده فنقل عن أبي الصلاح أنّه يُوافق الشيخ المفيد في مذهبه من اختصاص المنع بالرباع دون غيره من الأرض، مع أنه قد ذكر المنع من الأرض مطلقاً بعد مَنعِهِ الرِباعِ</w:t>
      </w:r>
      <w:r>
        <w:rPr>
          <w:rStyle w:val="FootnoteAnchor"/>
          <w:rtl w:val="true"/>
        </w:rPr>
        <w:footnoteReference w:id="1093"/>
      </w:r>
      <w:r>
        <w:rPr>
          <w:rFonts w:ascii="Amiri" w:hAnsi="Amiri" w:eastAsia="Amiri" w:cs="Amiri"/>
          <w:color w:val="111111"/>
          <w:sz w:val="28"/>
          <w:sz w:val="28"/>
          <w:szCs w:val="28"/>
          <w:rtl w:val="true"/>
          <w:lang w:bidi="ar-SA"/>
        </w:rPr>
        <w:t>، وهو خلاف قول المفيد</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في شرح الإرشاد جعل قول الشيخَ هو الأوّل، وجَعَلَ ظاهر قول أبي الصلاح وابن حمزةَ ذلك</w:t>
      </w:r>
      <w:r>
        <w:rPr>
          <w:rStyle w:val="FootnoteAnchor"/>
          <w:rtl w:val="true"/>
        </w:rPr>
        <w:footnoteReference w:id="10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فخالف العلّامة في المساواة </w:t>
      </w:r>
    </w:p>
    <w:p>
      <w:pPr>
        <w:pStyle w:val="BookText"/>
        <w:rPr/>
      </w:pPr>
      <w:r>
        <w:rPr>
          <w:rFonts w:ascii="Amiri" w:hAnsi="Amiri" w:eastAsia="Amiri" w:cs="Amiri"/>
          <w:color w:val="111111"/>
          <w:sz w:val="28"/>
          <w:sz w:val="28"/>
          <w:szCs w:val="28"/>
          <w:rtl w:val="true"/>
          <w:lang w:bidi="ar-SA"/>
        </w:rPr>
        <w:t>إلى جعله ظاهرهما، وقد عرفت عدم الظهور والمساواة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المقداد في التنقيح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والفتوى على قول المفيد وابن إدريس وهو المنع من رَقَبة الأرضِ وإعطاء قيمة الآلات والأشجار والغُروس</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عليك أنّ هذا قول المتأخّرين لا قول المفيد وابن إدريس؛ لتصريحهما بعدم المنع من البَساتين والمزارع مطلقاً ولا من أرض غير الرباع، وإنّما حَكَمَ بالقيمةِ في آلات الرباع خاصَّةً، وقد صارت فتواه بذلك غير معلومة لمناقضة أوّل عباراته لآخرها</w:t>
      </w:r>
      <w:r>
        <w:rPr>
          <w:rFonts w:eastAsia="Amiri" w:cs="Amiri" w:ascii="Amiri" w:hAnsi="Amiri"/>
          <w:color w:val="111111"/>
          <w:sz w:val="28"/>
          <w:szCs w:val="28"/>
          <w:rtl w:val="true"/>
          <w:lang w:bidi="ar-SA"/>
        </w:rPr>
        <w:t xml:space="preserve">. </w:t>
      </w:r>
      <w:bookmarkStart w:id="659" w:name="pg10113_92275"/>
    </w:p>
    <w:p>
      <w:pPr>
        <w:pStyle w:val="Heading4"/>
        <w:numPr>
          <w:ilvl w:val="3"/>
          <w:numId w:val="1"/>
        </w:numPr>
        <w:rPr/>
      </w:pPr>
      <w:bookmarkStart w:id="660" w:name="__RefHeading___Toc375623_1067777946"/>
      <w:bookmarkStart w:id="661" w:name="_Toc220"/>
      <w:bookmarkEnd w:id="659"/>
      <w:bookmarkEnd w:id="660"/>
      <w:r>
        <w:rPr>
          <w:rtl w:val="true"/>
        </w:rPr>
        <w:t>من هي الزوجة التي تُحرم؟</w:t>
      </w:r>
      <w:bookmarkEnd w:id="661"/>
    </w:p>
    <w:p>
      <w:pPr>
        <w:pStyle w:val="BookText"/>
        <w:rPr/>
      </w:pPr>
      <w:r>
        <w:rPr>
          <w:rFonts w:ascii="Amiri" w:hAnsi="Amiri" w:eastAsia="Amiri" w:cs="Amiri"/>
          <w:color w:val="111111"/>
          <w:sz w:val="28"/>
          <w:sz w:val="28"/>
          <w:szCs w:val="28"/>
          <w:rtl w:val="true"/>
          <w:lang w:bidi="ar-SA"/>
        </w:rPr>
        <w:t>المطلب الثاني في بيان مَنْ يُحْرَمُ الإِرث</w:t>
      </w:r>
    </w:p>
    <w:p>
      <w:pPr>
        <w:pStyle w:val="BookText"/>
        <w:rPr/>
      </w:pPr>
      <w:r>
        <w:rPr>
          <w:rFonts w:ascii="Amiri" w:hAnsi="Amiri" w:eastAsia="Amiri" w:cs="Amiri"/>
          <w:color w:val="111111"/>
          <w:sz w:val="28"/>
          <w:sz w:val="28"/>
          <w:szCs w:val="28"/>
          <w:rtl w:val="true"/>
          <w:lang w:bidi="ar-SA"/>
        </w:rPr>
        <w:t>ممّا ذُكِرَ مِن الزَوْجات</w:t>
      </w:r>
    </w:p>
    <w:p>
      <w:pPr>
        <w:pStyle w:val="BookText"/>
        <w:rPr/>
      </w:pPr>
      <w:r>
        <w:rPr>
          <w:rFonts w:ascii="Amiri" w:hAnsi="Amiri" w:eastAsia="Amiri" w:cs="Amiri"/>
          <w:color w:val="111111"/>
          <w:sz w:val="28"/>
          <w:sz w:val="28"/>
          <w:szCs w:val="28"/>
          <w:rtl w:val="true"/>
          <w:lang w:bidi="ar-SA"/>
        </w:rPr>
        <w:t>وقد اختلف الأصحابُ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المفيد</w:t>
      </w:r>
      <w:r>
        <w:rPr>
          <w:rStyle w:val="FootnoteAnchor"/>
          <w:rtl w:val="true"/>
        </w:rPr>
        <w:footnoteReference w:id="1096"/>
      </w:r>
      <w:r>
        <w:rPr>
          <w:rFonts w:ascii="IRNazanin" w:hAnsi="IRNazanin" w:eastAsia="IRNazanin"/>
          <w:color w:val="111111"/>
          <w:sz w:val="28"/>
          <w:sz w:val="28"/>
          <w:szCs w:val="28"/>
          <w:rtl w:val="true"/>
          <w:lang w:bidi="fa-IR"/>
        </w:rPr>
        <w:t>والمرتضى</w:t>
      </w:r>
      <w:r>
        <w:rPr>
          <w:rStyle w:val="FootnoteAnchor"/>
          <w:rtl w:val="true"/>
        </w:rPr>
        <w:footnoteReference w:id="1097"/>
      </w:r>
      <w:r>
        <w:rPr>
          <w:rFonts w:ascii="Amiri" w:hAnsi="Amiri" w:eastAsia="Amiri" w:cs="Amiri"/>
          <w:color w:val="111111"/>
          <w:sz w:val="28"/>
          <w:sz w:val="28"/>
          <w:szCs w:val="28"/>
          <w:rtl w:val="true"/>
          <w:lang w:bidi="ar-SA"/>
        </w:rPr>
        <w:t xml:space="preserve">والشيخ في الاستبصار </w:t>
      </w:r>
      <w:r>
        <w:rPr>
          <w:rStyle w:val="FootnoteAnchor"/>
          <w:rtl w:val="true"/>
        </w:rPr>
        <w:footnoteReference w:id="1098"/>
      </w:r>
      <w:r>
        <w:rPr>
          <w:rFonts w:ascii="IRNazanin" w:hAnsi="IRNazanin" w:eastAsia="IRNazanin"/>
          <w:color w:val="111111"/>
          <w:sz w:val="28"/>
          <w:sz w:val="28"/>
          <w:szCs w:val="28"/>
          <w:rtl w:val="true"/>
          <w:lang w:bidi="fa-IR"/>
        </w:rPr>
        <w:t>وأبو الصلاح</w:t>
      </w:r>
      <w:r>
        <w:rPr>
          <w:rStyle w:val="FootnoteAnchor"/>
          <w:rtl w:val="true"/>
        </w:rPr>
        <w:footnoteReference w:id="1099"/>
      </w:r>
      <w:r>
        <w:rPr>
          <w:rFonts w:ascii="Amiri" w:hAnsi="Amiri" w:eastAsia="Amiri" w:cs="Amiri"/>
          <w:color w:val="111111"/>
          <w:sz w:val="28"/>
          <w:sz w:val="28"/>
          <w:szCs w:val="28"/>
          <w:rtl w:val="true"/>
          <w:lang w:bidi="ar-SA"/>
        </w:rPr>
        <w:t>، وابن إدريس</w:t>
      </w:r>
      <w:r>
        <w:rPr>
          <w:rStyle w:val="FootnoteAnchor"/>
          <w:rtl w:val="true"/>
        </w:rPr>
        <w:footnoteReference w:id="1100"/>
      </w:r>
      <w:r>
        <w:rPr>
          <w:rFonts w:ascii="Amiri" w:hAnsi="Amiri" w:eastAsia="Amiri" w:cs="Amiri"/>
          <w:color w:val="111111"/>
          <w:sz w:val="28"/>
          <w:sz w:val="28"/>
          <w:szCs w:val="28"/>
          <w:rtl w:val="true"/>
          <w:lang w:bidi="ar-SA"/>
        </w:rPr>
        <w:t>، والمحقّق في النافع</w:t>
      </w:r>
      <w:r>
        <w:rPr>
          <w:rStyle w:val="FootnoteAnchor"/>
          <w:rtl w:val="true"/>
        </w:rPr>
        <w:footnoteReference w:id="1101"/>
      </w:r>
      <w:r>
        <w:rPr>
          <w:rFonts w:ascii="Amiri" w:hAnsi="Amiri" w:eastAsia="Amiri" w:cs="Amiri"/>
          <w:color w:val="111111"/>
          <w:sz w:val="28"/>
          <w:sz w:val="28"/>
          <w:szCs w:val="28"/>
          <w:rtl w:val="true"/>
          <w:lang w:bidi="ar-SA"/>
        </w:rPr>
        <w:t xml:space="preserve">وتلميذه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ادَّعى ابنُ إدريس أنه 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هذا المنع عامٌّ في كلّ زوجةٍ سَواءٌ كان لها ولد من الميّت أم لا</w:t>
      </w:r>
      <w:r>
        <w:rPr>
          <w:rStyle w:val="FootnoteAnchor"/>
          <w:rtl w:val="true"/>
        </w:rPr>
        <w:footnoteReference w:id="1102"/>
      </w:r>
      <w:r>
        <w:rPr>
          <w:rFonts w:ascii="Amiri" w:hAnsi="Amiri" w:eastAsia="Amiri" w:cs="Amiri"/>
          <w:color w:val="111111"/>
          <w:sz w:val="28"/>
          <w:sz w:val="28"/>
          <w:szCs w:val="28"/>
          <w:rtl w:val="true"/>
          <w:lang w:bidi="ar-SA"/>
        </w:rPr>
        <w:t xml:space="preserve">، والأخبار السالفة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ورد في هذا الباب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ذلك، فلا وجه لإعادتها إلّا رواية واحدةً يأتي ذكرها والعلة المنصوصةُ الموجِبةُ للحكم شاملة المزوجتين أيضاً كما سيأتي إنشاء اللّه تعالى</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الصدوق</w:t>
      </w:r>
      <w:r>
        <w:rPr>
          <w:rStyle w:val="FootnoteAnchor"/>
          <w:rtl w:val="true"/>
        </w:rPr>
        <w:footnoteReference w:id="1103"/>
      </w:r>
      <w:r>
        <w:rPr>
          <w:rFonts w:ascii="Amiri" w:hAnsi="Amiri" w:eastAsia="Amiri" w:cs="Amiri"/>
          <w:color w:val="111111"/>
          <w:sz w:val="28"/>
          <w:sz w:val="28"/>
          <w:szCs w:val="28"/>
          <w:rtl w:val="true"/>
          <w:lang w:bidi="ar-SA"/>
        </w:rPr>
        <w:t>، والشيخ في النهاية</w:t>
      </w:r>
      <w:r>
        <w:rPr>
          <w:rStyle w:val="FootnoteAnchor"/>
          <w:rtl w:val="true"/>
        </w:rPr>
        <w:footnoteReference w:id="1104"/>
      </w:r>
      <w:r>
        <w:rPr>
          <w:rFonts w:ascii="IRNazanin" w:hAnsi="IRNazanin" w:eastAsia="IRNazanin"/>
          <w:color w:val="111111"/>
          <w:sz w:val="28"/>
          <w:sz w:val="28"/>
          <w:szCs w:val="28"/>
          <w:rtl w:val="true"/>
          <w:lang w:bidi="fa-IR"/>
        </w:rPr>
        <w:t>، وابن البراج</w:t>
      </w:r>
      <w:r>
        <w:rPr>
          <w:rStyle w:val="FootnoteAnchor"/>
          <w:rtl w:val="true"/>
        </w:rPr>
        <w:footnoteReference w:id="1105"/>
      </w:r>
      <w:r>
        <w:rPr>
          <w:rFonts w:ascii="Amiri" w:hAnsi="Amiri" w:eastAsia="Amiri" w:cs="Amiri"/>
          <w:color w:val="111111"/>
          <w:sz w:val="28"/>
          <w:sz w:val="28"/>
          <w:szCs w:val="28"/>
          <w:rtl w:val="true"/>
          <w:lang w:bidi="ar-SA"/>
        </w:rPr>
        <w:t>، وابن حمزة</w:t>
      </w:r>
      <w:r>
        <w:rPr>
          <w:rStyle w:val="FootnoteAnchor"/>
          <w:rtl w:val="true"/>
        </w:rPr>
        <w:footnoteReference w:id="1106"/>
      </w:r>
      <w:r>
        <w:rPr>
          <w:rFonts w:ascii="Amiri" w:hAnsi="Amiri" w:eastAsia="Amiri" w:cs="Amiri"/>
          <w:color w:val="111111"/>
          <w:sz w:val="28"/>
          <w:sz w:val="28"/>
          <w:szCs w:val="28"/>
          <w:rtl w:val="true"/>
          <w:lang w:bidi="ar-SA"/>
        </w:rPr>
        <w:t xml:space="preserve">، والمحقّق في </w:t>
      </w:r>
    </w:p>
    <w:p>
      <w:pPr>
        <w:pStyle w:val="BookText"/>
        <w:rPr/>
      </w:pPr>
      <w:r>
        <w:rPr>
          <w:rFonts w:ascii="IRNazanin" w:hAnsi="IRNazanin" w:eastAsia="IRNazanin"/>
          <w:color w:val="111111"/>
          <w:sz w:val="28"/>
          <w:sz w:val="28"/>
          <w:szCs w:val="28"/>
          <w:rtl w:val="true"/>
          <w:lang w:bidi="fa-IR"/>
        </w:rPr>
        <w:t>الشرائع</w:t>
      </w:r>
      <w:r>
        <w:rPr>
          <w:rStyle w:val="FootnoteAnchor"/>
          <w:rtl w:val="true"/>
        </w:rPr>
        <w:footnoteReference w:id="1107"/>
      </w:r>
      <w:r>
        <w:rPr>
          <w:rFonts w:ascii="Amiri" w:hAnsi="Amiri" w:eastAsia="Amiri" w:cs="Amiri"/>
          <w:color w:val="111111"/>
          <w:sz w:val="28"/>
          <w:sz w:val="28"/>
          <w:szCs w:val="28"/>
          <w:rtl w:val="true"/>
          <w:lang w:bidi="ar-SA"/>
        </w:rPr>
        <w:t>، وابن عمه يحيى في الجامع</w:t>
      </w:r>
      <w:r>
        <w:rPr>
          <w:rStyle w:val="FootnoteAnchor"/>
          <w:rtl w:val="true"/>
        </w:rPr>
        <w:footnoteReference w:id="1108"/>
      </w:r>
      <w:r>
        <w:rPr>
          <w:rFonts w:ascii="Amiri" w:hAnsi="Amiri" w:eastAsia="Amiri" w:cs="Amiri"/>
          <w:color w:val="111111"/>
          <w:sz w:val="28"/>
          <w:sz w:val="28"/>
          <w:szCs w:val="28"/>
          <w:rtl w:val="true"/>
          <w:lang w:bidi="ar-SA"/>
        </w:rPr>
        <w:t>، والعلّامة</w:t>
      </w:r>
      <w:r>
        <w:rPr>
          <w:rStyle w:val="FootnoteAnchor"/>
          <w:rtl w:val="true"/>
        </w:rPr>
        <w:footnoteReference w:id="1109"/>
      </w:r>
      <w:r>
        <w:rPr>
          <w:rFonts w:ascii="Amiri" w:hAnsi="Amiri" w:eastAsia="Amiri" w:cs="Amiri"/>
          <w:color w:val="111111"/>
          <w:sz w:val="28"/>
          <w:sz w:val="28"/>
          <w:szCs w:val="28"/>
          <w:rtl w:val="true"/>
          <w:lang w:bidi="ar-SA"/>
        </w:rPr>
        <w:t>، والشهيد</w:t>
      </w:r>
      <w:r>
        <w:rPr>
          <w:rStyle w:val="FootnoteAnchor"/>
          <w:rtl w:val="true"/>
        </w:rPr>
        <w:footnoteReference w:id="1110"/>
      </w:r>
      <w:r>
        <w:rPr>
          <w:rFonts w:ascii="Amiri" w:hAnsi="Amiri" w:eastAsia="Amiri" w:cs="Amiri"/>
          <w:color w:val="111111"/>
          <w:sz w:val="28"/>
          <w:sz w:val="28"/>
          <w:szCs w:val="28"/>
          <w:rtl w:val="true"/>
          <w:lang w:bidi="ar-SA"/>
        </w:rPr>
        <w:t>، وباقي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مخصوص بغير ذات الولد منه </w:t>
      </w:r>
      <w:r>
        <w:rPr>
          <w:rStyle w:val="FootnoteAnchor"/>
          <w:rtl w:val="true"/>
        </w:rPr>
        <w:footnoteReference w:id="1111"/>
      </w:r>
      <w:r>
        <w:rPr>
          <w:rFonts w:ascii="Amiri" w:hAnsi="Amiri" w:eastAsia="Amiri" w:cs="Amiri"/>
          <w:color w:val="111111"/>
          <w:sz w:val="28"/>
          <w:sz w:val="28"/>
          <w:szCs w:val="28"/>
          <w:rtl w:val="true"/>
          <w:lang w:bidi="ar-SA"/>
        </w:rPr>
        <w:t>جمعاً بين ما أُطْلِقَ في تلك الأخبار وبين رواية الفضل بن عبد الملك</w:t>
      </w:r>
      <w:r>
        <w:rPr>
          <w:rStyle w:val="FootnoteAnchor"/>
          <w:rtl w:val="true"/>
        </w:rPr>
        <w:footnoteReference w:id="1112"/>
      </w:r>
      <w:r>
        <w:rPr>
          <w:rFonts w:ascii="Amiri" w:hAnsi="Amiri" w:eastAsia="Amiri" w:cs="Amiri"/>
          <w:color w:val="111111"/>
          <w:sz w:val="28"/>
          <w:sz w:val="28"/>
          <w:szCs w:val="28"/>
          <w:rtl w:val="true"/>
          <w:lang w:bidi="ar-SA"/>
        </w:rPr>
        <w:t xml:space="preserve">وابن أبي يعفور،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يَرِثُ من دار امرأته أو أرضِها من التربة شيئاً، أو يكون ذلك بمنزلة المرأة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يرثها وتَرثْهُ من كلّ شيءٍ تَرَكَ وتَرَكَتْ</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الجمع حَملُ تلك الأخبار على غير ذات الولد، وهذه على ذات الولد، لمناسبة كلّ واحدة لحكمها دون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وتؤيِّده رواية ابن أبي عُميرٍ عن ابن أُذينةَ في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لهنَّ ولدٌ أعْطِينَ من الرباع</w:t>
      </w:r>
      <w:r>
        <w:rPr>
          <w:rFonts w:eastAsia="Amiri" w:cs="Amiri" w:ascii="Amiri" w:hAnsi="Amiri"/>
          <w:color w:val="111111"/>
          <w:sz w:val="28"/>
          <w:szCs w:val="28"/>
          <w:rtl w:val="true"/>
          <w:lang w:bidi="ar-SA"/>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غايةُ ما احْتَجَّ به القائلُ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لأنّ رواية ابن أبي يعفور الدالّة على عموم الإرث ظاهرة في التقية؛ لأنّها موافقة لمذاهب جميعِ مَن خالَفَنا، وفي سؤالها ما يَدُلُّ عليه؛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يكون بمنزلة المرأة لا يرتُ من ذلك شيئاً</w:t>
      </w:r>
      <w:r>
        <w:rPr>
          <w:rFonts w:eastAsia="Amiri" w:cs="Amiri" w:ascii="Amiri" w:hAnsi="Amiri"/>
          <w:color w:val="111111"/>
          <w:sz w:val="28"/>
          <w:szCs w:val="28"/>
          <w:rtl w:val="true"/>
          <w:lang w:bidi="ar-SA"/>
        </w:rPr>
        <w:t>»</w:t>
      </w:r>
      <w:r>
        <w:rPr>
          <w:rStyle w:val="FootnoteAnchor"/>
          <w:rtl w:val="true"/>
        </w:rPr>
        <w:footnoteReference w:id="1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 السائل لا شُبهة عنده في حكم المرأة مطلقاً، وإنّما اشتبه عليه حكم الرجل، وهو يدلُّ على ظهور الحكم جداً في ذلك الوقت</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ما وَقَعَ في الروايات الكثيرة المطلقة في المرأة من غير تفصيل، ومنها </w:t>
      </w:r>
    </w:p>
    <w:p>
      <w:pPr>
        <w:pStyle w:val="BookText"/>
        <w:rPr/>
      </w:pPr>
      <w:r>
        <w:rPr>
          <w:rFonts w:ascii="Amiri" w:hAnsi="Amiri" w:eastAsia="Amiri" w:cs="Amiri"/>
          <w:color w:val="111111"/>
          <w:sz w:val="28"/>
          <w:sz w:val="28"/>
          <w:szCs w:val="28"/>
          <w:rtl w:val="true"/>
          <w:lang w:bidi="ar-SA"/>
        </w:rPr>
        <w:t xml:space="preserve">الصحيحُ والحسنُ وغيرُهما، فتخصيص هذه الرواياتِ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المرويّة في أوقاتٍ مختلفة وبروايات</w:t>
      </w:r>
      <w:r>
        <w:rPr>
          <w:rStyle w:val="FootnoteAnchor"/>
          <w:rtl w:val="true"/>
        </w:rPr>
        <w:footnoteReference w:id="1116"/>
      </w:r>
      <w:r>
        <w:rPr>
          <w:rFonts w:ascii="Amiri" w:hAnsi="Amiri" w:eastAsia="Amiri" w:cs="Amiri"/>
          <w:color w:val="111111"/>
          <w:sz w:val="28"/>
          <w:sz w:val="28"/>
          <w:szCs w:val="28"/>
          <w:rtl w:val="true"/>
          <w:lang w:bidi="ar-SA"/>
        </w:rPr>
        <w:t xml:space="preserve">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واحدةٍ حالُها على ما ترى، بعيدٌ جداً، مع أنّ في طريقها أبان وهو مشترك بين جماعة، منهم الثقة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هذا حالُهُ كيف تُخَصُّ به الأخبارُ الصحيحةُ والحسنةُ وغيرها الكثيرةُ؟ ولو عكس فخَصَّ بماعدا ما ذُكِرَ فيها 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ابنُ أُذينة فهي مقطوعةٌ؛ لأنه لم يُشيد القول إلى إمام فسقط الاحتجاجُ بها رأساً، ومع ذلك فإنّ ابن أبي عُميرٍ روى عن ابن أُذينَةَ الحُكم فى المرأة مطلقاً؛ لأنهما في طريق الرواية الأولى الحسنة عن الفضلاء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جملة الأخبار التي وردت في حرمان المرأة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رواهُ ابنُ أبي يعفور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الرواية السالفة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 الأخبار الأوّلةَ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نَحمِلهُ على التقيّة؛ لأنّ جميعَ مَنْ خالَفَنا يُخالِفُ في هذه المسألة وليس يوافقنا عليها أحدٌ من العامّة وما يجري هذا المجرى تجوز التقية فيه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لهنَّ ميراثهنَّ في كلّ شيءٍ ماعدا تُربَةَ الأرض من القرايا والأرضين والرباع والمنازلِ فَنَخُصُّ الخبرَ بالأخبار المتقدّمة –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أبو جعفر محمَّدُ بنُ علي بن الحسين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يتأوّل هذا الخبرَ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لهنَّ شيءٌ مع عدم الأولاد من هذه الأشياء المذكورة، فإذا كان هناك ولد فإنّه يَرِثُ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واعتَذَرَ عن ذلك بما رواه ابنُ أبي عُميرٍ عن ابن أُذينَةَ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النساء إذا كان لهنَّ ولدٌ أُعْطِينَ من الرباع</w:t>
      </w:r>
      <w:r>
        <w:rPr>
          <w:rFonts w:eastAsia="Amiri" w:cs="Amiri" w:ascii="Amiri" w:hAnsi="Amiri"/>
          <w:color w:val="111111"/>
          <w:sz w:val="28"/>
          <w:szCs w:val="28"/>
          <w:rtl w:val="true"/>
          <w:lang w:bidi="ar-SA"/>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انتهى كلام الشيخ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ظاهر في عدم ارتضائه للتأويل؛ لأنّه أوَّلَ الخبر السابق أولاً بوجهين، ثمّ نَقَلَ الثالث عن ابن بابويه ولو كان مرضيّاً عنده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يُنافي من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يُنافي من ثلاثة أوجه، وذكر الثالث ثمّ أسْنَدَهُ إلى ابن بابويه إن شاء،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التهذيب فإنّه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الخبرُ محمول على أنه إذا كان للمرأة ولد، فإنّها ترثُ من كلّ شيءٍ تَرَكَه الميّت عَقاراً كان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عقيبه دليلاً عليه حديث ابنِ أُذينة ولم يذكر الوجهين الآخرين</w:t>
      </w:r>
      <w:r>
        <w:rPr>
          <w:rStyle w:val="FootnoteAnchor"/>
          <w:rtl w:val="true"/>
        </w:rPr>
        <w:footnoteReference w:id="1118"/>
      </w:r>
      <w:r>
        <w:rPr>
          <w:rFonts w:ascii="Amiri" w:hAnsi="Amiri" w:eastAsia="Amiri" w:cs="Amiri"/>
          <w:color w:val="111111"/>
          <w:sz w:val="28"/>
          <w:sz w:val="28"/>
          <w:szCs w:val="28"/>
          <w:rtl w:val="true"/>
          <w:lang w:bidi="ar-SA"/>
        </w:rPr>
        <w:t>، وهو يدلُّ على أنّه موافق للصدوق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ابن إدريس فإنّه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إذا كان لها منه ولدٌ أُعْطِيَتْ سهمها من نفس جميع ذلك على قول بعض أصحابنا، وهو اختيار محمد بن علي بن الحسين بن بابويه تمسكاً منه بروايةٍ شاذَةٍ وخبر واحدٍ لا يوجب علماً ولا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القول يذهب شيخنا أبو جعفر في نهايته، إلّا أنّه رجع عنه في استبصاره، وهو الذي يقوى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اختاره في استبصاره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التخصيص يَحتاجُ إلى أدلّة قويّةٍ وأحكامٍ شرعية، والإجماع على أنها لا تَرثُ من نفس تُربة الرباع والمنازل شيئاً سواء كان لها من الزوج ولد، أو لم يكن، وهو ظاهر قول شيخنا المفيد في مقنعته والسيِّدِ المرتضى في انتصاره</w:t>
      </w:r>
      <w:r>
        <w:rPr>
          <w:rFonts w:eastAsia="Amiri" w:cs="Amiri" w:ascii="Amiri" w:hAnsi="Amiri"/>
          <w:color w:val="111111"/>
          <w:sz w:val="28"/>
          <w:szCs w:val="28"/>
          <w:rtl w:val="true"/>
          <w:lang w:bidi="ar-SA"/>
        </w:rPr>
        <w:t xml:space="preserve">. </w:t>
      </w:r>
      <w:r>
        <w:rPr>
          <w:rStyle w:val="FootnoteAnchor"/>
          <w:rtl w:val="true"/>
        </w:rPr>
        <w:footnoteReference w:id="111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القول كلّه متوجّه لا قادِحَ فيه، إلّا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عمومُ القرآن دالاً على إرث الزوجة مطلقاً من كلّ شيءٍ، وقدورد ما يُنافي إطلاق هذا المخصص من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الروايتين المذكورتين وإنْ لم يبلغ حدَّ التخصيص، إلّا أنّه يُوقِعُ الشبهة في الجُملة في إطلاق تلك الأخبار المخصّصة، فينبغي أنْ يُرجع إلى عموم الكتاب في غير محلِّ الوفاق؛ لأنّه دلالة قوية، وقد انقدَحَتِ الشُبهة في تخصيصه في محل النزاع خصوصاً مع ذَهاب جَمَاعَةٍ من أجلاء الأصحاب المتقدّمين وجُملَةِ المتأخّرين إليه، وذهاب جماعةٍ آخَرينَ إلى أن مثل هذه الأخبار وإنْ كَثرتْ لا تُخَصِّصُ القرآن، بل لا يُحْتَجُ بها؛ لرجوعها إلى خبر الواحد، فلا أقلّ من وقوعِ الشُبهة في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بأس به، وإن كان القول بالتسوية بين الزَوْجاتِ أيضاً قويّاً مَتيناً</w:t>
      </w:r>
      <w:r>
        <w:rPr>
          <w:rFonts w:eastAsia="Amiri" w:cs="Amiri" w:ascii="Amiri" w:hAnsi="Amiri"/>
          <w:color w:val="111111"/>
          <w:sz w:val="28"/>
          <w:szCs w:val="28"/>
          <w:rtl w:val="true"/>
          <w:lang w:bidi="ar-SA"/>
        </w:rPr>
        <w:t xml:space="preserve">. </w:t>
      </w:r>
      <w:bookmarkStart w:id="662" w:name="pg10113_92280"/>
    </w:p>
    <w:p>
      <w:pPr>
        <w:pStyle w:val="Heading4"/>
        <w:numPr>
          <w:ilvl w:val="3"/>
          <w:numId w:val="1"/>
        </w:numPr>
        <w:rPr/>
      </w:pPr>
      <w:bookmarkStart w:id="663" w:name="__RefHeading___Toc375625_1067777946"/>
      <w:bookmarkStart w:id="664" w:name="_Toc221"/>
      <w:bookmarkEnd w:id="662"/>
      <w:bookmarkEnd w:id="663"/>
      <w:r>
        <w:rPr>
          <w:rtl w:val="true"/>
        </w:rPr>
        <w:t>كيف تُحرم ممّا ثبت الحرمان منه؟</w:t>
      </w:r>
      <w:bookmarkEnd w:id="664"/>
    </w:p>
    <w:p>
      <w:pPr>
        <w:pStyle w:val="BookText"/>
        <w:rPr/>
      </w:pPr>
      <w:r>
        <w:rPr>
          <w:rFonts w:ascii="Amiri" w:hAnsi="Amiri" w:eastAsia="Amiri" w:cs="Amiri"/>
          <w:color w:val="111111"/>
          <w:sz w:val="28"/>
          <w:sz w:val="28"/>
          <w:szCs w:val="28"/>
          <w:rtl w:val="true"/>
          <w:lang w:bidi="ar-SA"/>
        </w:rPr>
        <w:t>المطلب الثالثُ في كيفية الحِرمانِ</w:t>
      </w:r>
    </w:p>
    <w:p>
      <w:pPr>
        <w:pStyle w:val="BookText"/>
        <w:rPr/>
      </w:pPr>
      <w:r>
        <w:rPr>
          <w:rFonts w:ascii="IRNazanin" w:hAnsi="IRNazanin" w:eastAsia="IRNazanin"/>
          <w:color w:val="111111"/>
          <w:sz w:val="28"/>
          <w:sz w:val="28"/>
          <w:szCs w:val="28"/>
          <w:rtl w:val="true"/>
          <w:lang w:bidi="fa-IR"/>
        </w:rPr>
        <w:t>ممّا ثبت الحرمان منه</w:t>
      </w:r>
    </w:p>
    <w:p>
      <w:pPr>
        <w:pStyle w:val="BookText"/>
        <w:rPr/>
      </w:pPr>
      <w:r>
        <w:rPr>
          <w:rFonts w:ascii="Amiri" w:hAnsi="Amiri" w:eastAsia="Amiri" w:cs="Amiri"/>
          <w:color w:val="111111"/>
          <w:sz w:val="28"/>
          <w:sz w:val="28"/>
          <w:szCs w:val="28"/>
          <w:rtl w:val="true"/>
          <w:lang w:bidi="ar-SA"/>
        </w:rPr>
        <w:t>قد عرفت أنّ الكلّ اتَّفقوا على أنه فى غير الأرض إنّما هو من العين خاصةً، فتعطى قيمة ما تُحْرَمُه من غَيرها مهما كان والنصوص ناطقة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على المشهور وخاصَّةً على القول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الأكثر إلى عدم استحقاقها منها شيئاً عَيناً وقيمةً، والنصوص ناطقةٌ به،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وجَعَلَ حِرمانها في أرض الرباع من العين خاصةً وأوْجَبَ لها قيمتها كما تجب قيمةُ آلاتها، وحاوَلَ في ذلك الجمع بين ما ورد في الأخبار وأفتى به الأصحاب من حرمانها منها وبين عموم الكتاب الدال على إرثها من كلّ شيءٍ، فَقَيَّدَ إطلاق الأخبار بالعين وإطلاق الآية بالقيمة؛ تقليلاً لتخصيص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عُمدة الاستدلال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واقتصاراً فيما خالفه على أقلّ ما يمكنُ، كما صَنَعَ في مسألة الحَبْوَة</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الانتصار</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انفرَدَتْ به الإماميّة أنّ الزوجة لا تَرِثُ من رباع المتوفّى شيئاً، بل تُعْطى قيمة حقِّها من البناء والآلات دون قيمة العِراص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 باقي الفقهاء في ذلك ولم يُفَرِّقوا بين الرباع وغيرها في تعلَّقِ حق الزوجات، والذي يقوى في </w:t>
      </w:r>
      <w:bookmarkStart w:id="665" w:name="pg10113_92281"/>
    </w:p>
    <w:p>
      <w:pPr>
        <w:pStyle w:val="BookText"/>
        <w:rPr/>
      </w:pPr>
      <w:bookmarkEnd w:id="665"/>
      <w:r>
        <w:rPr>
          <w:rFonts w:ascii="Amiri" w:hAnsi="Amiri" w:eastAsia="Amiri" w:cs="Amiri"/>
          <w:color w:val="111111"/>
          <w:sz w:val="28"/>
          <w:sz w:val="28"/>
          <w:szCs w:val="28"/>
          <w:rtl w:val="true"/>
          <w:lang w:bidi="ar-SA"/>
        </w:rPr>
        <w:t>نفسي أنّ هذه المسألة تَجْرِي مَجْرَى المسألة المتقدّمة في تخصيص الأكبر من الذكور بالمصحف والسيف، وأن الرباع وإن لم تُسَلَّمْ في</w:t>
      </w:r>
      <w:r>
        <w:rPr>
          <w:rStyle w:val="FootnoteAnchor"/>
          <w:rtl w:val="true"/>
        </w:rPr>
        <w:footnoteReference w:id="1121"/>
      </w:r>
      <w:r>
        <w:rPr>
          <w:rFonts w:ascii="Amiri" w:hAnsi="Amiri" w:eastAsia="Amiri" w:cs="Amiri"/>
          <w:color w:val="111111"/>
          <w:sz w:val="28"/>
          <w:sz w:val="28"/>
          <w:szCs w:val="28"/>
          <w:rtl w:val="true"/>
          <w:lang w:bidi="ar-SA"/>
        </w:rPr>
        <w:t>الزَوْجات فقيمتها محسوبةٌ لها</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أحالَ البيان هنا على ما بَيَّنَهُ هناك، وحاصله مراعاة الجمع بين ظواهر الكتاب وما أجْمَعَ عليه الأصحابُ من الحِرمان</w:t>
      </w:r>
      <w:r>
        <w:rPr>
          <w:rFonts w:eastAsia="Amiri" w:cs="Amiri" w:ascii="Amiri" w:hAnsi="Amiri"/>
          <w:color w:val="111111"/>
          <w:sz w:val="28"/>
          <w:szCs w:val="28"/>
          <w:rtl w:val="true"/>
          <w:lang w:bidi="ar-SA"/>
        </w:rPr>
        <w:t>.</w:t>
      </w:r>
    </w:p>
    <w:p>
      <w:pPr>
        <w:pStyle w:val="Heading4"/>
        <w:numPr>
          <w:ilvl w:val="3"/>
          <w:numId w:val="1"/>
        </w:numPr>
        <w:rPr/>
      </w:pPr>
      <w:bookmarkStart w:id="666" w:name="__RefHeading___Toc375627_1067777946"/>
      <w:bookmarkStart w:id="667" w:name="_Toc222"/>
      <w:bookmarkEnd w:id="666"/>
      <w:r>
        <w:rPr>
          <w:rtl w:val="true"/>
        </w:rPr>
        <w:t>قول المرتضى والردّ عليه</w:t>
      </w:r>
      <w:bookmarkEnd w:id="667"/>
    </w:p>
    <w:p>
      <w:pPr>
        <w:pStyle w:val="BookText"/>
        <w:rPr/>
      </w:pPr>
      <w:r>
        <w:rPr>
          <w:rFonts w:ascii="Amiri" w:hAnsi="Amiri" w:eastAsia="Amiri" w:cs="Amiri"/>
          <w:color w:val="111111"/>
          <w:sz w:val="28"/>
          <w:sz w:val="28"/>
          <w:szCs w:val="28"/>
          <w:rtl w:val="true"/>
          <w:lang w:bidi="ar-SA"/>
        </w:rPr>
        <w:t>قال العلّامة في المختلف وقول المرتضى حَسَنٌ لما فيه من الجمع بين عموم القرآن وخصوص الأخبار</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لأنّ الأخبار إن اعتُبِرتْ مخصصةً للقرآن فهي دالة على حرمانها من الأرض مطلقاً، وذلك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المرأة لا تَرثُ من الأرض شيئاً</w:t>
      </w:r>
      <w:r>
        <w:rPr>
          <w:rFonts w:eastAsia="Amiri" w:cs="Amiri" w:ascii="Amiri" w:hAnsi="Amiri"/>
          <w:color w:val="111111"/>
          <w:sz w:val="28"/>
          <w:szCs w:val="28"/>
          <w:rtl w:val="true"/>
          <w:lang w:bidi="ar-SA"/>
        </w:rPr>
        <w:t>»</w:t>
      </w:r>
      <w:r>
        <w:rPr>
          <w:rStyle w:val="FootnoteAnchor"/>
          <w:rtl w:val="true"/>
        </w:rPr>
        <w:footnoteReference w:id="1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تَرثُ ممَّا تَرَكَ زوجها من القُرى والدور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1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من العبارات، ولا شكّ أنّ الإرث من قيمتها شيءُ، والشيءُ قد وقع فيها نكرة منفيّةً فيُفيد شمول النفي لارثها منه بكلِّ وجه، فلو وَرِثَتْ من القيمة لما صَدَقَ عدم إرثها شيئاً منها</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المتبادر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ترثُ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ترثُ من العَينِ ولا من القيمة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القاتلُ لا يَرِثُ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 لا يَرِث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فيكون دالّاً بطريق الحقيقة على ذلك، وآيته مبادَرَةُ معناه إلى ذهن كل سامع لذلك </w:t>
      </w:r>
    </w:p>
    <w:p>
      <w:pPr>
        <w:pStyle w:val="BookText"/>
        <w:rPr/>
      </w:pPr>
      <w:r>
        <w:rPr>
          <w:rFonts w:ascii="Amiri" w:hAnsi="Amiri" w:eastAsia="Amiri" w:cs="Amiri"/>
          <w:color w:val="111111"/>
          <w:sz w:val="28"/>
          <w:sz w:val="28"/>
          <w:szCs w:val="28"/>
          <w:rtl w:val="true"/>
          <w:lang w:bidi="ar-SA"/>
        </w:rPr>
        <w:t>واستعمال الفقهاء بالخصوص لهذا اللفظ فى هذا المعنى، وإذا كان هو المخصص للآية وجب حمله على معناه الحقيقي وتخصيصه بها من العين والقيمة؛ وإلّا فلا معنى لاعتبارها مُخَصِّصةً من دونِ أَنْ يُعْمَلَ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مع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يُقَوَّمَ الطوبُ والخَشب قيمةٌ فتعطى رُبْعَها أو ثُمْنَها إِنْ كان من قيمة الطوب والجُذوع والخَشَب</w:t>
      </w:r>
      <w:r>
        <w:rPr>
          <w:rFonts w:eastAsia="Amiri" w:cs="Amiri" w:ascii="Amiri" w:hAnsi="Amiri"/>
          <w:color w:val="111111"/>
          <w:sz w:val="28"/>
          <w:szCs w:val="28"/>
          <w:rtl w:val="true"/>
          <w:lang w:bidi="ar-SA"/>
        </w:rPr>
        <w:t>»</w:t>
      </w:r>
      <w:r>
        <w:rPr>
          <w:rStyle w:val="FootnoteAnchor"/>
          <w:rtl w:val="true"/>
        </w:rPr>
        <w:footnoteReference w:id="1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ويُقَوَّمُ النَّقْضُ والأبواب والجُذوعُ والقَصَبُ فتُعطى حقَّها منه</w:t>
      </w:r>
      <w:r>
        <w:rPr>
          <w:rFonts w:eastAsia="Amiri" w:cs="Amiri" w:ascii="Amiri" w:hAnsi="Amiri"/>
          <w:color w:val="111111"/>
          <w:sz w:val="28"/>
          <w:szCs w:val="28"/>
          <w:rtl w:val="true"/>
          <w:lang w:bidi="ar-SA"/>
        </w:rPr>
        <w:t xml:space="preserve">» </w:t>
      </w:r>
      <w:r>
        <w:rPr>
          <w:rStyle w:val="FootnoteAnchor"/>
          <w:rtl w:val="true"/>
        </w:rPr>
        <w:footnoteReference w:id="1127"/>
      </w:r>
      <w:r>
        <w:rPr>
          <w:rFonts w:ascii="Amiri" w:hAnsi="Amiri" w:eastAsia="Amiri" w:cs="Amiri"/>
          <w:color w:val="111111"/>
          <w:sz w:val="28"/>
          <w:sz w:val="28"/>
          <w:szCs w:val="28"/>
          <w:rtl w:val="true"/>
          <w:lang w:bidi="ar-SA"/>
        </w:rPr>
        <w:t>الواقع تفصيلاً للحرمان يقتضي أن الحرمان من الأرض شامل للعين والقيمة، والحِرمان من الآلات المذكورة من العين دون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القواعد المشهورة أن التفصيل يقطَّعُ الاشتراك، فلو كان حرمانها في الأرض من العين لا من القيمة لزم اشتراك الجميع في ذلك، وهو خلافُ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ويُقَوَّمُ الطوبُ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وما في معناه يدلُّ على تخصيص هذه الأشياء بالتقويم دون الأرض من حيث إنهما جميعاً ذُكِرا في الحرمان، لدخول الآلات المذكورة في الرباع والدارِ ونحوهما، فلو كانت الأرض مساوية لها في التقويم لَزِمَ الإغْراءُ بالجهل حيث يَحْكُمُ بحرمانها من الجميع ثم يَحْكُمُ باستحقاقها القيمة من البعض، وهو ظاهر</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الفرق المذكور بعد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الأرضُ مشاركةً لغَيرها في التقويم لَزِمَ تأخيرُ البيان عن وقت الخطاب قطعاً وعن وقت الحاجة على الظاهر؛ لأنّ السائل والسامع يأخذ اللفظ على إطلاقه ويَحْمِلُهُ على معناه المتبادر، ويَنْقُلُهُ لغَيره ويَعْمَلُ بمقتضاه، خصوصاً مع تعدد الرواة واختلافِ بَلَدِهم وزمانهم ووقوع الموتِ في الخَلْقِ في أكثر الأوقات، وانقضاء زَمَنِ ظهور الأئمّة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يُنْقَلْ عن أحدٍ منهم بيانُ ما يُخالِفُ هذا المعنى الظاهر من حرمانها من الأرضِ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ووقوع الوقائع الكثيرة واستعمال مضمونها، وهو واضح في تأخير البيان عن وقت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المرتضى لا يعتمدُ في ذلك على الأخبار لكونها أخبار آحاد لا تُوجِبُ عنده العلم ولا العمل، وإنّما اعتماده على الجمع بين عموم الكتاب وإجماعِ الأصحاب اللذَيْنِ هما عندهُ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يَرِدُ عليه شيءٌ ممّا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الأصحاب عنده إنما وقع على حرمانها من الأرضِ عَيناً وقِيمةً، يَظْهرُ ذلك من استقراء كلامهم وفتاواهم؛ فإنّهم لا يختلفون في ذلك ولا يَنْقُلُونَ الخلاف فيه إلّا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راعى إجماعهم في التخصيص فلْيُراعِهِ كما وقع، لا في أصل الحِرمان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لا يكونَ تحقّق في زَمَنه كون الإجماع على الحرمان من العين والقيمة بل عليه في الجُملة، وإنّما تحقّق بعد زمانه كما هو الظاهر؛ فإنّ مصنفي كُتب الفتوى والمصرحين بالأحكام والتفريع كلَّهم متأخّرون عنه إلّا القليل، كالمفيد وابني بابويه وابن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الجُنَيْدِ ممَّن يُوافِقه على عدم الحِرمان من الأرض مطلقاً، بل يذهب إلى عدم الحرمان منها مطلقاً</w:t>
      </w:r>
      <w:r>
        <w:rPr>
          <w:rStyle w:val="FootnoteAnchor"/>
          <w:rtl w:val="true"/>
        </w:rPr>
        <w:footnoteReference w:id="1128"/>
      </w:r>
      <w:r>
        <w:rPr>
          <w:rFonts w:ascii="Amiri" w:hAnsi="Amiri" w:eastAsia="Amiri" w:cs="Amiri"/>
          <w:color w:val="111111"/>
          <w:sz w:val="28"/>
          <w:sz w:val="28"/>
          <w:szCs w:val="28"/>
          <w:rtl w:val="true"/>
          <w:lang w:bidi="ar-SA"/>
        </w:rPr>
        <w:t>كماسيأتي في 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وباقي من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تصريح في كلامهم بالحكم، أو بما يقتضي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يتحقّق بكلامهم الإجماع وإِنّما تَحَرَّرَ لمنْ تَأخَّرَ مِن الفقهاء فأمكنه القولُ بأنّ الإجماع لم يتحقّق إلّا على أصل الحِرمان لا على تحقّقه من العين أو منها ومن القِيمةِ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حقٌّ، ولكنّ الموجود في زمانه وما قبله الاعتماد على النصوص المذكورة أو على فتوى من عَبَّرَ بها، والجميع دال على الحِرمان من الأرض مطلقاً حسبما قررناه سابقاً، فالقولُ باحتماله الأمرين وأنّ المتيقن منه هو الحِرمان من </w:t>
      </w:r>
    </w:p>
    <w:p>
      <w:pPr>
        <w:pStyle w:val="BookText"/>
        <w:rPr/>
      </w:pPr>
      <w:r>
        <w:rPr>
          <w:rFonts w:ascii="Amiri" w:hAnsi="Amiri" w:eastAsia="Amiri" w:cs="Amiri"/>
          <w:color w:val="111111"/>
          <w:sz w:val="28"/>
          <w:sz w:val="28"/>
          <w:szCs w:val="28"/>
          <w:rtl w:val="true"/>
          <w:lang w:bidi="ar-SA"/>
        </w:rPr>
        <w:t>العين خاصَّةً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ذهب إليه في مسألة الحَبْوَة؛ فإنّ إجماعهم على ثبوتها في الأعيان المذكورة غَيرُ مُنافٍ للقول بالقيمة، كما حقّقناه في المسألة المختصّة بها</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فمراعاة دلالة هذه النصوص وفتاوى الأصحاب تقتضي حرمانها من الأرض في الجُملة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ينقدح الكلامُ على خصوص الأرض أو عمومها؛ لوقوع الخلاف فيها واختلاف ظواهر الأخبار، فيخَصَّصُ القرآن بما تُيُقنَ التخصيص به وهو أرضُ الرباع دون غيرها عَيناً وقِيمةً، فيعلّلُ التخصيص من لا يَلْتَفِتُ إلى الأخبار بموضع الإجماع، وهو الأرض الخاصَّة عَيناً وقيمة والالتفات إلى اطّراح أخبار الآحادِ وعدم تحقّق الإجماع في المسألة يوجبُ عموم إرثها من عين الجميع، وأمّا الفرق بين العين والقِيمةِ فَغَيرُ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يتحقّق الإجماع على الحِرمان في الجُملة مع مخالفة ابن الجُنَيد وحُكمِه بإرثها من جميع ما تُرِكَ كغيرها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سنُبيِّنُهُ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يُعْلَمُ انتفاء قول غيره بذلك؛ لورود رواية صحيحة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رواية عبد اللّه بن أبي يعفور</w:t>
      </w:r>
      <w:r>
        <w:rPr>
          <w:rStyle w:val="FootnoteAnchor"/>
          <w:rtl w:val="true"/>
        </w:rPr>
        <w:footnoteReference w:id="1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قد عَمِلَ بها كثيرٌ من رُواةِ الأخبار أو بعضُهم حيث أودعوها في كتبهم وما كان يُتبيَّنُ فتواهم من تلك الكتب وإنّما مُعْتَمَدُهم الأخبار</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خلافُ غير ابن الجنيد فغير متحقق، بل الظاهرُ عدمُهُ لتتبع المتقدّمين والمتأخّرين الخِلاف فى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نَقَلَ أحد منهم خلافاً لغيره فيها، ومثل هذا يكفي في ظهور عدم المخالف المجوّز لدعوى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ذلك يَسْهَلُ الخَطْبُ في مخالَفَةِ ابن الجنيد وحده، للعلم بنَسَبِهِ على قاعدة الأصحاب هذا هو الذي يقتضيه بحثُهم واصطلاحُهم في تحقيق </w:t>
      </w:r>
    </w:p>
    <w:p>
      <w:pPr>
        <w:pStyle w:val="BookText"/>
        <w:rPr/>
      </w:pPr>
      <w:r>
        <w:rPr>
          <w:rFonts w:ascii="Amiri" w:hAnsi="Amiri" w:eastAsia="Amiri" w:cs="Amiri"/>
          <w:color w:val="111111"/>
          <w:sz w:val="28"/>
          <w:sz w:val="28"/>
          <w:szCs w:val="28"/>
          <w:rtl w:val="true"/>
          <w:lang w:bidi="ar-SA"/>
        </w:rPr>
        <w:t>الإجماع، وفيه نظر ليس هذا موضع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هذه الطريقِ يُمكنُ مراعاة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وعموم القرآن</w:t>
      </w:r>
      <w:r>
        <w:rPr>
          <w:rStyle w:val="FootnoteAnchor"/>
          <w:rtl w:val="true"/>
        </w:rPr>
        <w:footnoteReference w:id="1131"/>
      </w:r>
      <w:r>
        <w:rPr>
          <w:rFonts w:ascii="Amiri" w:hAnsi="Amiri" w:eastAsia="Amiri" w:cs="Amiri"/>
          <w:color w:val="111111"/>
          <w:sz w:val="28"/>
          <w:sz w:val="28"/>
          <w:szCs w:val="28"/>
          <w:rtl w:val="true"/>
          <w:lang w:bidi="ar-SA"/>
        </w:rPr>
        <w:t>، ويَجْمُعُ بينهما بحرمانها في الجملة، على ما فيه من النظر</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يظهرُ أنّ قولَ ابن الجنيد بإرثها مطلقاً أقوى دليلاً وأوفق للقواعدِ من مذهب السيّد عندَ مُطَّرح أخبار الآحاد؛ لمنع الإجماع على الحرمان في الجُملة، فلا يُغْتَر بتخصيص القرآنِ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حينئذٍ أحد الطرفين إمّا عدم حرمانها مطلقاً، أو حرمانها من الأرضِ مطلقاً وهو الطرف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الذي يَظهرُ مِن كلام المرتضى ويَقْتَضِيه دليله أنّ حِرمانَها عندَه مِن عَين الأرض دون القيمة مخصوص بأرض الرباع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غيرها من القُرى والمَزارع فَحُكمها عنده حكم غيرها من ماله؛ فترِثُ مِن عَينه كما يقوله المفيد</w:t>
      </w:r>
      <w:r>
        <w:rPr>
          <w:rStyle w:val="FootnoteAnchor"/>
          <w:rtl w:val="true"/>
        </w:rPr>
        <w:footnoteReference w:id="1132"/>
      </w:r>
      <w:r>
        <w:rPr>
          <w:rFonts w:ascii="IRNazanin" w:hAnsi="IRNazanin" w:eastAsia="IRNazanin"/>
          <w:color w:val="111111"/>
          <w:sz w:val="28"/>
          <w:sz w:val="28"/>
          <w:szCs w:val="28"/>
          <w:rtl w:val="true"/>
          <w:lang w:bidi="fa-IR"/>
        </w:rPr>
        <w:t xml:space="preserve">ومن تبعه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 xml:space="preserve">. </w:t>
      </w:r>
      <w:bookmarkStart w:id="668" w:name="pg10113_92286"/>
    </w:p>
    <w:p>
      <w:pPr>
        <w:pStyle w:val="Heading4"/>
        <w:numPr>
          <w:ilvl w:val="3"/>
          <w:numId w:val="1"/>
        </w:numPr>
        <w:rPr/>
      </w:pPr>
      <w:bookmarkStart w:id="669" w:name="__RefHeading___Toc375629_1067777946"/>
      <w:bookmarkStart w:id="670" w:name="_Toc223"/>
      <w:bookmarkEnd w:id="668"/>
      <w:bookmarkEnd w:id="669"/>
      <w:r>
        <w:rPr>
          <w:rtl w:val="true"/>
        </w:rPr>
        <w:t>هل الحرمان مستحق عليها أم لا؟</w:t>
      </w:r>
      <w:bookmarkEnd w:id="670"/>
    </w:p>
    <w:p>
      <w:pPr>
        <w:pStyle w:val="BookText"/>
        <w:rPr/>
      </w:pPr>
      <w:r>
        <w:rPr>
          <w:rFonts w:ascii="Amiri" w:hAnsi="Amiri" w:eastAsia="Amiri" w:cs="Amiri"/>
          <w:color w:val="111111"/>
          <w:sz w:val="28"/>
          <w:sz w:val="28"/>
          <w:szCs w:val="28"/>
          <w:rtl w:val="true"/>
          <w:lang w:bidi="ar-SA"/>
        </w:rPr>
        <w:t>المطلب الرابع في أن هذا الحرمان كيف وقع</w:t>
      </w:r>
    </w:p>
    <w:p>
      <w:pPr>
        <w:pStyle w:val="BookText"/>
        <w:rPr/>
      </w:pPr>
      <w:r>
        <w:rPr>
          <w:rFonts w:ascii="Amiri" w:hAnsi="Amiri" w:eastAsia="Amiri" w:cs="Amiri"/>
          <w:color w:val="111111"/>
          <w:sz w:val="28"/>
          <w:sz w:val="28"/>
          <w:szCs w:val="28"/>
          <w:rtl w:val="true"/>
          <w:lang w:bidi="ar-SA"/>
        </w:rPr>
        <w:t>هل هو مستحق عليها أم لا ؟</w:t>
      </w:r>
    </w:p>
    <w:p>
      <w:pPr>
        <w:pStyle w:val="BookText"/>
        <w:rPr/>
      </w:pPr>
      <w:r>
        <w:rPr>
          <w:rFonts w:ascii="Amiri" w:hAnsi="Amiri" w:eastAsia="Amiri" w:cs="Amiri"/>
          <w:color w:val="111111"/>
          <w:sz w:val="28"/>
          <w:sz w:val="28"/>
          <w:szCs w:val="28"/>
          <w:rtl w:val="true"/>
          <w:lang w:bidi="ar-SA"/>
        </w:rPr>
        <w:t xml:space="preserve">والخلاف فيه ظاهراً مع ابن الجُنَيْد خاصةً لاتّفاق من 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يُوجَدُ فتواهم أو يُنقل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حرمانها في الجُملة أمر مستحقٌّ بدلالة الأخبار وفتوى الأصحاب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ابن الجنيد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في كتابه الأحمدي في الفقه المحمدي</w:t>
      </w:r>
      <w:r>
        <w:rPr>
          <w:rStyle w:val="FootnoteAnchor"/>
          <w:rtl w:val="true"/>
        </w:rPr>
        <w:footnoteReference w:id="1134"/>
      </w:r>
      <w:r>
        <w:rPr>
          <w:rFonts w:ascii="Amiri" w:hAnsi="Amiri" w:eastAsia="Amiri" w:cs="Amiri"/>
          <w:color w:val="111111"/>
          <w:sz w:val="28"/>
          <w:sz w:val="28"/>
          <w:szCs w:val="28"/>
          <w:rtl w:val="true"/>
          <w:lang w:bidi="ar-SA"/>
        </w:rPr>
        <w:t>إلى أنّها كغيرها من الوراث، لا تُحْرَمُ من شيءٍ ممّا ذُكر، وهذه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دخل الزوج أو الزوجة على الولد والأبوين، كان للزوجة الثُمنُ وللزوج الربع من جميع التركة، عقاراً وأثاثاً وصامتاً ورقيقاً وغير ذلك، وكذا إنْ كُنَّ أربعَ زَوْجَاتٍ، ولمن حَضَرَ مِن الأبوين السُدسُ، وإنْ حَضَرُوا جميعاً السدسان، وما بقي للولد</w:t>
      </w:r>
      <w:r>
        <w:rPr>
          <w:rStyle w:val="FootnoteAnchor"/>
          <w:rtl w:val="true"/>
        </w:rPr>
        <w:footnoteReference w:id="1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يُخَصِّص الولد بأنّه من الزوجة، وهو ظاهر في عموم الحكم الذي ذكرهُ للزَوْجاتِ سَواءٌ كان لهنَّ ولدٌ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فَهمَ عنه مَنْ تَأَخَّرَ عنه ونَقَلوهُ عنه قولاً، وإن كانت عبارته محتملةً لمعنى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وحجّته على ذلك عموم القرآن</w:t>
      </w:r>
      <w:r>
        <w:rPr>
          <w:rStyle w:val="FootnoteAnchor"/>
          <w:rtl w:val="true"/>
        </w:rPr>
        <w:footnoteReference w:id="1136"/>
      </w:r>
      <w:r>
        <w:rPr>
          <w:rFonts w:ascii="Amiri" w:hAnsi="Amiri" w:eastAsia="Amiri" w:cs="Amiri"/>
          <w:color w:val="111111"/>
          <w:sz w:val="28"/>
          <w:sz w:val="28"/>
          <w:szCs w:val="28"/>
          <w:rtl w:val="true"/>
          <w:lang w:bidi="ar-SA"/>
        </w:rPr>
        <w:t xml:space="preserve">، وصحيحةُ ابن أبي يعفور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وَرَدَ من الأخبار بخلاف ذلك لا يصلُحُ عنده لتخصيص القرآن، إمّا ردّاً لخبر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المعروف من مذهب قدماء علمائنا، حتّى صار منسوباً إلينا عند من خالَفَناء لشهرته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لأنّه وإنْ عُمِلَ به عند عدم المعارض لكن لا يَصلُحُ لتخصيص عموم القرآن؛ بناءً على أنّ دلالته ظنّيّة ودلالة القرآن قطعيّة فلا يعارضه، كما هو أحد أقوال 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منه في باب الحَبْوَة مثلُ ذلك، فلم يَخُصَّ بها الولد على وجه الوجوب لذلك لكنَّه حَكَمَ ثُمَّ بالاستحباب </w:t>
      </w:r>
      <w:r>
        <w:rPr>
          <w:rStyle w:val="FootnoteAnchor"/>
          <w:rtl w:val="true"/>
        </w:rPr>
        <w:footnoteReference w:id="1138"/>
      </w:r>
      <w:r>
        <w:rPr>
          <w:rFonts w:ascii="Amiri" w:hAnsi="Amiri" w:eastAsia="Amiri" w:cs="Amiri"/>
          <w:color w:val="111111"/>
          <w:sz w:val="28"/>
          <w:sz w:val="28"/>
          <w:szCs w:val="28"/>
          <w:rtl w:val="true"/>
          <w:lang w:bidi="ar-SA"/>
        </w:rPr>
        <w:t>نظراً إلى الأخبار وفتوى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ينبغي منه هنا مثله لكنَّه لم يصرّح به فلا يَرْجِعُ الخلافُ هنا إلى الاستحقاق والاستحباب، بل إلى الاستحقاق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عذرُهُ في الفرق أنّ الحكم هناك تخصيص الولد بالأمور المذكورة، فإذا لم يُمْكِنُه حَمْلُهُ على الاستحقاق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لمعارَضَة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الاستحباب، بمعنى أنه يُسْتَحَبُّ لباقي الورثة تخصيصه بها؛ لأنّ التخصيص يناسِبُ كلا الأمرين بخلاف ما هنا؛ فإنّ الأخبار اسْتَمَلَتْ على نفي إرثها من المذكور، والنفي لا يناسبه الحكم بالاستحباب فلذلك اطَّرَحَهُ، وحَمْلُ النفى على استحباب أن لا يأخُذ شيئاً مِن أعيان ما ذُكِرَ أو من قیمته خلافُ ظاهر إطلاق النفي</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الحكم مبني على قواعد قد تَقَرَّرَ هدفها في محالها، وأن العمل بالأخبار الصحيحة مُتَعيِّن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يُعْمَلْ بغيرها من الأنواع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وتصلُحُ لتخصيص الكتاب، ولا تَقْدَحُ ظنّيّة حكمها؛ لأنها ظنّيّة الطريق قطعية الدلالة، وعام القرآن ومطلقه قطعي الطريق ظنّي الدلالة؛ فتساويا في قبول التعارض وتحقيق هذا الحكم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bookmarkStart w:id="671" w:name="pg10113_92288"/>
    </w:p>
    <w:p>
      <w:pPr>
        <w:pStyle w:val="Heading4"/>
        <w:numPr>
          <w:ilvl w:val="3"/>
          <w:numId w:val="1"/>
        </w:numPr>
        <w:rPr/>
      </w:pPr>
      <w:bookmarkStart w:id="672" w:name="__RefHeading___Toc375631_1067777946"/>
      <w:bookmarkStart w:id="673" w:name="_Toc224"/>
      <w:bookmarkEnd w:id="671"/>
      <w:bookmarkEnd w:id="672"/>
      <w:r>
        <w:rPr>
          <w:rtl w:val="true"/>
        </w:rPr>
        <w:t>الحكمة من هذا الحرمان</w:t>
      </w:r>
      <w:bookmarkEnd w:id="673"/>
    </w:p>
    <w:p>
      <w:pPr>
        <w:pStyle w:val="BookText"/>
        <w:rPr/>
      </w:pPr>
      <w:r>
        <w:rPr>
          <w:rFonts w:ascii="Amiri" w:hAnsi="Amiri" w:eastAsia="Amiri" w:cs="Amiri"/>
          <w:color w:val="111111"/>
          <w:sz w:val="28"/>
          <w:sz w:val="28"/>
          <w:szCs w:val="28"/>
          <w:rtl w:val="true"/>
          <w:lang w:bidi="ar-SA"/>
        </w:rPr>
        <w:t>المطلب الخامس في بيان الحكمَةِ</w:t>
      </w:r>
    </w:p>
    <w:p>
      <w:pPr>
        <w:pStyle w:val="BookText"/>
        <w:rPr/>
      </w:pPr>
      <w:r>
        <w:rPr>
          <w:rFonts w:ascii="Amiri" w:hAnsi="Amiri" w:eastAsia="Amiri" w:cs="Amiri"/>
          <w:color w:val="111111"/>
          <w:sz w:val="28"/>
          <w:sz w:val="28"/>
          <w:szCs w:val="28"/>
          <w:rtl w:val="true"/>
          <w:lang w:bidi="ar-SA"/>
        </w:rPr>
        <w:t>في هذا الجرمان</w:t>
      </w:r>
    </w:p>
    <w:p>
      <w:pPr>
        <w:pStyle w:val="BookText"/>
        <w:rPr/>
      </w:pPr>
      <w:r>
        <w:rPr>
          <w:rFonts w:ascii="Amiri" w:hAnsi="Amiri" w:eastAsia="Amiri" w:cs="Amiri"/>
          <w:color w:val="111111"/>
          <w:sz w:val="28"/>
          <w:sz w:val="28"/>
          <w:szCs w:val="28"/>
          <w:rtl w:val="true"/>
          <w:lang w:bidi="ar-SA"/>
        </w:rPr>
        <w:t xml:space="preserve">وإبداؤها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ثبوته بالنصوص الصحيحة واتّفاق الأصحاب إِلَّا مَنْ شَذّ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لازمٍ، غَير أنّها من الحكمة الواضحة، وقد نَبَّة عليها الأصحابُ ونَطَقَتْ بها نصوصهم</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وحاصلها أنّ الزوجة من حيثُ هي زوجة لا نَسَبَ بينها وبين الورثة وإنما هي دَخيل عليهم، فربما تزوَّجَتْ بعد الميّت بغيره ممن كان يُنافِسُهُ ويَحْسُدُهُ، فَتُسْكِنُهُ في مساكنهِ وتُسَلِّطُه على عقاره، فيحصُلُ على الوَرَثَةِ بذلك غَضاضةً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فاقتضتِ الحكمة الإلهية مَنْعَها من ذلك وإعطاءها القيمة جبراً لها، والقيمةُ مُحَصَّلةٌ للعَينِ وقأئمّة مقامها، والضرر بالعدول منفي أو قليل في جَنْبِ ذلك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القولُ في اختصاص الولد الأكبر بثياب أبيه وسَيفه وخاتمه ومُصحفه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الحكم بإرثها من أعيان المنقولات من أمواله وأثائِه؛ فإنّها إذا انْتَقَلَتْ من منزله لا يُلْتَقَتُ إلى مثل ذلك ولا يُغَضُّ بسببه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هذه العلة في عدة أخبار فمنها رواية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تَرِثُ المرأة الطوبَ ولا تَرِثُ من الرباع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تَرِثُ من الفرع ولا تَرِثُ من الرباع شيئاً؟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لها منهم نَسَبٌ تَرِثُ به وإنما هي دخيل عليهم، فتَرثُ من الفرع، ولا تَرِثُ من الأصل ولا يَدْخل عليهم داخل بسببها</w:t>
      </w:r>
      <w:r>
        <w:rPr>
          <w:rFonts w:eastAsia="Amiri" w:cs="Amiri" w:ascii="Amiri" w:hAnsi="Amiri"/>
          <w:color w:val="111111"/>
          <w:sz w:val="28"/>
          <w:szCs w:val="28"/>
          <w:rtl w:val="true"/>
          <w:lang w:bidi="ar-SA"/>
        </w:rPr>
        <w:t>»</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حمّاد عثمان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 للمرأة قيمةُ الخشب والطوب لئلا تزوّج فتدخل عليهم من يفسد مواريثهم</w:t>
      </w:r>
      <w:r>
        <w:rPr>
          <w:rFonts w:eastAsia="Amiri" w:cs="Amiri" w:ascii="Amiri" w:hAnsi="Amiri"/>
          <w:color w:val="111111"/>
          <w:sz w:val="28"/>
          <w:szCs w:val="28"/>
          <w:rtl w:val="true"/>
          <w:lang w:bidi="ar-SA"/>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ميسرة بيّاع الزُطّي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النساء ما لهنَّ من الميراث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لهنَّ قيمة الطوب والبناء والخَشَبِ والقَصَبِ، فأمّا الأرضُ والعقارُ فلا مِيراثَ لهنَّ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قلت فالثياب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الثياب 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قلت كيف صار ذا ولهذه الثُمْن والربع مسمَّى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المرأة ليس لها نَسَبٌ تَرِثُ به وإنّما هي دخيل عليهم، وإنما صار هذا كذا لئلا تَتَزوَّجَ المرأة فيجيءَ زوجها أو ولدها من قومٍ آخرين فيُزاحِمَ قوماً في عقارهم</w:t>
      </w:r>
      <w:r>
        <w:rPr>
          <w:rFonts w:eastAsia="Amiri" w:cs="Amiri" w:ascii="Amiri" w:hAnsi="Amiri"/>
          <w:color w:val="111111"/>
          <w:sz w:val="28"/>
          <w:szCs w:val="28"/>
          <w:rtl w:val="true"/>
          <w:lang w:bidi="ar-SA"/>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كتبه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بن سنان فيما كتب من جواب مسائله علَّه المرأةِ أنّها لا تَرِثُ مِن العقار شيئاً إلّا قيمة الطوب والنَقْضِ؛ لأنّ العقار لا يمكن تغييره وقَلْبُه، والمرأة قديجوز أنْ يَنْقطعَ ما بينها وبينه من العصمة ويجوز تغييرها وتبديلها، وليس الولد والوالد كذلك؛ لأنه لا يُمكنُ التفصي منها </w:t>
      </w:r>
      <w:r>
        <w:rPr>
          <w:rStyle w:val="FootnoteAnchor"/>
          <w:rtl w:val="true"/>
        </w:rPr>
        <w:footnoteReference w:id="1142"/>
      </w:r>
      <w:r>
        <w:rPr>
          <w:rFonts w:ascii="Amiri" w:hAnsi="Amiri" w:eastAsia="Amiri" w:cs="Amiri"/>
          <w:color w:val="111111"/>
          <w:sz w:val="28"/>
          <w:sz w:val="28"/>
          <w:szCs w:val="28"/>
          <w:rtl w:val="true"/>
          <w:lang w:bidi="ar-SA"/>
        </w:rPr>
        <w:t>، والمرأة يُمْكِنُ الاستبدال بها، فما يجوز أَنْ يَجيءَ ويَذْهَبَ كان ميراثه فيما يجوز تغييره وتبديله إذ أشبهها، وكان الثابت المقيم على حاله كمن كان مثله في الثباتِ والقيام</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هذه الأخبار قد دلّتْ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الفرق بين ذاتِ الولد من الزوجات وغيرها؛ لقيام العلّة فيها، وعلى أنّ المدفوع إنّما هو قيمة </w:t>
      </w:r>
      <w:bookmarkStart w:id="674" w:name="pg10113_92290"/>
    </w:p>
    <w:p>
      <w:pPr>
        <w:pStyle w:val="BookText"/>
        <w:rPr/>
      </w:pPr>
      <w:bookmarkEnd w:id="674"/>
      <w:r>
        <w:rPr>
          <w:rFonts w:ascii="Amiri" w:hAnsi="Amiri" w:eastAsia="Amiri" w:cs="Amiri"/>
          <w:color w:val="111111"/>
          <w:sz w:val="28"/>
          <w:sz w:val="28"/>
          <w:szCs w:val="28"/>
          <w:rtl w:val="true"/>
          <w:lang w:bidi="ar-SA"/>
        </w:rPr>
        <w:t xml:space="preserve">الطوبِ والخَشَبِ وآلاتِ البناء ولا تَعرُّضَ لها للشجر بوجه وإنْ كان قد يظهرُ من كلام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جوابه مساواته للأرض من حيث إنه مما لا يَتَبَدَّلُ غالباً إلّا بعد أوقات متطاولة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أيضاً على الإرث مِن عَينه كما قد دَلَّتْ عليه الأخبارُ السابقة، ونصر في ذلك القول الغريب</w:t>
      </w:r>
      <w:r>
        <w:rPr>
          <w:rStyle w:val="FootnoteAnchor"/>
          <w:rtl w:val="true"/>
        </w:rPr>
        <w:footnoteReference w:id="1144"/>
      </w:r>
      <w:r>
        <w:rPr>
          <w:rFonts w:ascii="Amiri" w:hAnsi="Amiri" w:eastAsia="Amiri" w:cs="Amiri"/>
          <w:color w:val="111111"/>
          <w:sz w:val="28"/>
          <w:sz w:val="28"/>
          <w:szCs w:val="28"/>
          <w:rtl w:val="true"/>
          <w:lang w:bidi="ar-SA"/>
        </w:rPr>
        <w:t xml:space="preserve">فإنّ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طال مَكْثُه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 للتبدل والزوال وقابل للقطع والإزالة في كلّ وقت، فكان كالزوجة التي تَقْبَلُ التبدل والإزالة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أقِيمت ولم تزل فلابدّ من تبدلها على تطاول الأزمان واللّه أعلم بحقائق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اقتضاه الحال من الكلام على هذه المطالب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ولنتمم الكلام في المسألة بمباحث</w:t>
      </w:r>
      <w:r>
        <w:rPr>
          <w:rFonts w:eastAsia="Amiri" w:cs="Amiri" w:ascii="Amiri" w:hAnsi="Amiri"/>
          <w:color w:val="111111"/>
          <w:sz w:val="28"/>
          <w:szCs w:val="28"/>
          <w:rtl w:val="true"/>
          <w:lang w:bidi="ar-SA"/>
        </w:rPr>
        <w:t>:</w:t>
      </w:r>
    </w:p>
    <w:p>
      <w:pPr>
        <w:pStyle w:val="Heading4"/>
        <w:numPr>
          <w:ilvl w:val="3"/>
          <w:numId w:val="1"/>
        </w:numPr>
        <w:rPr/>
      </w:pPr>
      <w:bookmarkStart w:id="675" w:name="__RefHeading___Toc375633_1067777946"/>
      <w:bookmarkStart w:id="676" w:name="_Toc225"/>
      <w:bookmarkEnd w:id="675"/>
      <w:r>
        <w:rPr>
          <w:rtl w:val="true"/>
        </w:rPr>
        <w:t>التركة بالنسبة إلى ارث الزوجة منها وعدمه ثلاثة أقسام</w:t>
      </w:r>
      <w:bookmarkEnd w:id="676"/>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ما تَرَكهُ الميّت بالنسبة إلى إرث الزوجة منه وعدمه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ما لا تَرثُ منه عَيناً ولا قيمةً وهو الأرض، إما مطلقاً أو أرضُ الدور والمساكن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ما تَرِثُ مِن قِيمته ولا تَرِثُ مِن عَينه، وهو ما عدا الأرض من أجزاء البناء من الحَجَر والخشب واللبِنِ والأبواب والأوتاد والرفوف والسلالم المُثبَتَةِ وغيرها؛ لمساواتها لها في المعنى، وفي إلحاق الشجر بهذه الآلاتِ أو بالقسم الثالث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ما تَرِثُ مِن عَينه فهو ما عدا ذلك من أمواله من حيوان وأثاث وزرع ورقيق وصامت وغيرها، ولا فرق في الزرع بين ما يذهب لسَنَتِهِ كأكثر أنواعه وبينَ ما يَبقى أكثرَ من سَنَةٍ كبعض أنواع القطن والذُرّة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الشجر بين ما يبقى على ساقه وما يُقْطَعُ كالمَوْز، ولو كان الزرعُ بَدْراً غير ظاهر فأولى بالدخول</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غَرس الشجر قبلَ،نباته، فالظاهر أنه بحكمه؛ لمساواته له في المعنى الموجب للتقويم، مع احتمال العدم إلى أنْ يُطلق عليه اسم الشجر ؛ وقوفاً فيما خالف الأصل على موضع اليقين</w:t>
      </w:r>
      <w:r>
        <w:rPr>
          <w:rFonts w:eastAsia="Amiri" w:cs="Amiri" w:ascii="Amiri" w:hAnsi="Amiri"/>
          <w:color w:val="111111"/>
          <w:sz w:val="28"/>
          <w:szCs w:val="28"/>
          <w:rtl w:val="true"/>
          <w:lang w:bidi="ar-SA"/>
        </w:rPr>
        <w:t xml:space="preserve">. </w:t>
      </w:r>
      <w:bookmarkStart w:id="677" w:name="pg10113_92291"/>
    </w:p>
    <w:p>
      <w:pPr>
        <w:pStyle w:val="BookText"/>
        <w:rPr/>
      </w:pPr>
      <w:bookmarkEnd w:id="677"/>
      <w:r>
        <w:rPr>
          <w:rFonts w:ascii="Amiri" w:hAnsi="Amiri" w:eastAsia="Amiri" w:cs="Amiri"/>
          <w:color w:val="111111"/>
          <w:sz w:val="28"/>
          <w:sz w:val="28"/>
          <w:szCs w:val="28"/>
          <w:rtl w:val="true"/>
          <w:lang w:bidi="ar-SA"/>
        </w:rPr>
        <w:t>أمّا الثمرةُ فتَرِثُ من عَينها وإنْ لم تَبْلُغ أوان قطعِها؛ لأنها صارت مُنْفَصِلةً عن الشجر حكماً وفي حكم المنقول، ومن ثُمَّ لم تَدْخُلْ في بيعه عند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الشجرُ في داخل الدار فله حكم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اعْتَبَرنا فيه القِيمةَ قُوَّمَ مع آلاتها كما ذُكر، وإنْ وَرَّثناها مِن عَينه شاركت الوارث فيه وإن اسْتَحَقَّتْ قِيمة آلاتِ الدار؛ لأنه لا يُعدُّ منها ولا من أجزائها وإن اتَّصَلَ بها، ومن ثَمَّ لم يَدْخُلْ في إطلاقِ بَيعها</w:t>
      </w:r>
      <w:r>
        <w:rPr>
          <w:rFonts w:eastAsia="Amiri" w:cs="Amiri" w:ascii="Amiri" w:hAnsi="Amiri"/>
          <w:color w:val="111111"/>
          <w:sz w:val="28"/>
          <w:szCs w:val="28"/>
          <w:rtl w:val="true"/>
          <w:lang w:bidi="ar-SA"/>
        </w:rPr>
        <w:t>.</w:t>
      </w:r>
    </w:p>
    <w:p>
      <w:pPr>
        <w:pStyle w:val="Heading4"/>
        <w:numPr>
          <w:ilvl w:val="3"/>
          <w:numId w:val="1"/>
        </w:numPr>
        <w:rPr/>
      </w:pPr>
      <w:bookmarkStart w:id="678" w:name="__RefHeading___Toc375635_1067777946"/>
      <w:bookmarkStart w:id="679" w:name="_Toc226"/>
      <w:bookmarkEnd w:id="678"/>
      <w:r>
        <w:rPr>
          <w:rtl w:val="true"/>
        </w:rPr>
        <w:t>لا فرق في المساكن بين ماكان يسكنه الميّت بنفسه وغيره</w:t>
      </w:r>
      <w:bookmarkEnd w:id="679"/>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المساكن بين ما كان يَسْكُنُهُ الميّت بنفسه ويَسْكُنُه غيرُه ولو بالأجرة، بل كلّ ما يُطلَقُ عليه اسم الدار وإن كان مهجوراً؛ عملاً بإطلاق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يَلْحَقُ ما أعَدَّهُ مِن البناء للحيوان كالبقر والغنم والنحل وغيرها، وما أعَدَّه الموضع الغَلّة وعلفِ الحيوان، ولعَصْرِ الزَّيْتِ والعِنَبِ والشِيْرَج، والحمام والرحا ونحوها ؟ نظر من عدم إطلاق اسم الرباع عليها؛ ومن شمول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تُعطى قيمة الطوب والخشب والأبواب والجُذوع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كله، وأمّا دخول أرضها في أقسام الأرض فواضح بل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إلحاق الجميع بالدور المسكونة؛ لما ذكرناه، وإن كان التعليل السابق لا يتناوله؛ عملاً بعموم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ويقوى الإشكال على مذهب المفيد حيث خصها بالرباع</w:t>
      </w:r>
      <w:r>
        <w:rPr>
          <w:rStyle w:val="FootnoteAnchor"/>
          <w:rtl w:val="true"/>
        </w:rPr>
        <w:footnoteReference w:id="1145"/>
      </w:r>
      <w:r>
        <w:rPr>
          <w:rFonts w:ascii="Amiri" w:hAnsi="Amiri" w:eastAsia="Amiri" w:cs="Amiri"/>
          <w:color w:val="111111"/>
          <w:sz w:val="28"/>
          <w:sz w:val="28"/>
          <w:szCs w:val="28"/>
          <w:rtl w:val="true"/>
          <w:lang w:bidi="ar-SA"/>
        </w:rPr>
        <w:t>، وهي لا تتناول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في هذه المواضع من الآلات المنقولة فإنّها ترثُ من عَينه؛ لعدم دخوله فيما ذُكِرَ وإِنْ دَخَلَ في عبارات الأصحاب المعبرين بالآلات؛ لأن الظاهر أنّهم يُريدون بها آلاتِ البناء، كما هو الموجود في النصوص التي هي المستند</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نفسُ حِجارة الرحا ففي دخولها في أجزاء البناء وآلاته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نَباتِها غالباً فكانت كغيرها من الأحجار والأخشاب، بل أولى من بعضها كالأبواب ومن عدم تناول ما اسْتُثني له فيبقى داخلاً في عموم آية الإرث</w:t>
      </w:r>
      <w:r>
        <w:rPr>
          <w:rStyle w:val="FootnoteAnchor"/>
          <w:rtl w:val="true"/>
        </w:rPr>
        <w:footnoteReference w:id="1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الأجودُ</w:t>
      </w:r>
      <w:r>
        <w:rPr>
          <w:rFonts w:eastAsia="IRNazanin" w:cs="IRNazanin"/>
          <w:color w:val="111111"/>
          <w:sz w:val="28"/>
          <w:szCs w:val="28"/>
          <w:rtl w:val="true"/>
          <w:lang w:bidi="fa-IR"/>
        </w:rPr>
        <w:t xml:space="preserve">. </w:t>
      </w:r>
      <w:bookmarkStart w:id="680" w:name="pg10113_92292"/>
    </w:p>
    <w:p>
      <w:pPr>
        <w:pStyle w:val="Heading4"/>
        <w:numPr>
          <w:ilvl w:val="3"/>
          <w:numId w:val="1"/>
        </w:numPr>
        <w:rPr/>
      </w:pPr>
      <w:bookmarkStart w:id="681" w:name="__RefHeading___Toc375637_1067777946"/>
      <w:bookmarkStart w:id="682" w:name="_Toc227"/>
      <w:bookmarkEnd w:id="680"/>
      <w:bookmarkEnd w:id="681"/>
      <w:r>
        <w:rPr>
          <w:rtl w:val="true"/>
        </w:rPr>
        <w:t>آلات البناء ترث منها قبل تمام البناء</w:t>
      </w:r>
      <w:bookmarkEnd w:id="682"/>
    </w:p>
    <w:p>
      <w:pPr>
        <w:pStyle w:val="BookText"/>
        <w:rPr/>
      </w:pPr>
      <w:r>
        <w:rPr>
          <w:rFonts w:ascii="Amiri" w:hAnsi="Amiri" w:eastAsia="Amiri" w:cs="Amiri"/>
          <w:color w:val="111111"/>
          <w:sz w:val="28"/>
          <w:sz w:val="28"/>
          <w:szCs w:val="28"/>
          <w:rtl w:val="true"/>
          <w:lang w:bidi="ar-SA"/>
        </w:rPr>
        <w:t>وأولى منه إرثها من عين الجارُوش الصغير</w:t>
      </w:r>
      <w:r>
        <w:rPr>
          <w:rStyle w:val="FootnoteAnchor"/>
          <w:rtl w:val="true"/>
        </w:rPr>
        <w:footnoteReference w:id="1147"/>
      </w:r>
      <w:r>
        <w:rPr>
          <w:rFonts w:ascii="Amiri" w:hAnsi="Amiri" w:eastAsia="Amiri" w:cs="Amiri"/>
          <w:color w:val="111111"/>
          <w:sz w:val="28"/>
          <w:sz w:val="28"/>
          <w:szCs w:val="28"/>
          <w:rtl w:val="true"/>
          <w:lang w:bidi="ar-SA"/>
        </w:rPr>
        <w:t>وإن كان حَجَرُه الأسفلُ مُثبتاً؛ لأنّ تثبيته لسهولة الارتفاق به لئلا يتحرَّكَ لا للدوام، ومِن ثُمَّ لم يَدْخُلْ فِي بَيع الدار ولَحِقَ بالأمتعة المنقولة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قُدورُ الحمّام والمصابن</w:t>
      </w:r>
      <w:r>
        <w:rPr>
          <w:rStyle w:val="FootnoteAnchor"/>
          <w:rtl w:val="true"/>
        </w:rPr>
        <w:footnoteReference w:id="1148"/>
      </w:r>
      <w:r>
        <w:rPr>
          <w:rFonts w:ascii="Amiri" w:hAnsi="Amiri" w:eastAsia="Amiri" w:cs="Amiri"/>
          <w:color w:val="111111"/>
          <w:sz w:val="28"/>
          <w:sz w:val="28"/>
          <w:szCs w:val="28"/>
          <w:rtl w:val="true"/>
          <w:lang w:bidi="ar-SA"/>
        </w:rPr>
        <w:t>، فالظاهر أنّها كالجزء منها؛ لثباتها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غير مثبَتَةٍ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يُعْتادُ نقلُها حيثُ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وَرِثَتْ مِن عَينها كغيرها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خَلَّفَ آلاتِ البناء من الخشب والأحجار وغيرها قبل أنْ يَضَعها في البناء وَرِثَت من عينها؛ لأنّها من جملة أمواله المنقولة ولو كان قد شرَعَ في البناء ولم يُكَمِّله فما وَضَعه منها فيه فبحُكمِهِ، وما لم يَدْخُلْ فيه فبحكم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قد وضع الخَشَبَ على الجدار ولم يُكَمِّل السقف، فإن كان قد ثَبَتَ في البناء بحيث صار كالجزء منه عرفاً فلها القيمة، وإنْ لم يَحْصُل فيه إلّا مجرّد الوضع ففي دخوله نظر من عموم إطلاق إرثها من قيمة الخَشَب ومِن ظهور أنّ المراد به الخَشَبُ المتصل بالبناء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والأجودُ اتِّباعُ العرف في صيرورته جزءاً أو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الشك يتناوله عموم آية الإرث</w:t>
      </w:r>
      <w:r>
        <w:rPr>
          <w:rStyle w:val="FootnoteAnchor"/>
          <w:rtl w:val="true"/>
        </w:rPr>
        <w:footnoteReference w:id="1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غَيره من الأجزاء والآلات المعمولة لأجله مع وضعها في محالها قبل إحكامها</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الشجرُ موضوعاً على خَشَبٍ كعرشِ العِنَبِ، ففي إلحاقه به أو بغيره من الأموال الداخلة في عموم الإرث نظرٌ من ثباته غالباً وكونه كالجزء، ومِنْ خروجه عن اسم الشجر والشكِّ في دخوله في معناهُ فَيُرْجَعُ فيه إلى الأصل وهذا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بعدم الدخول لو كان يُوضَعُ له في بعض الأوقات كزَمَن الثمرة وما قارَبَه، ثمّ يُنْقَلُ عنه إلى محلِّ آخَرَ، كما يتَّفِقُ في بعض البلاد</w:t>
      </w:r>
      <w:r>
        <w:rPr>
          <w:rFonts w:eastAsia="Amiri" w:cs="Amiri" w:ascii="Amiri" w:hAnsi="Amiri"/>
          <w:color w:val="111111"/>
          <w:sz w:val="28"/>
          <w:szCs w:val="28"/>
          <w:rtl w:val="true"/>
          <w:lang w:bidi="ar-SA"/>
        </w:rPr>
        <w:t xml:space="preserve">. </w:t>
      </w:r>
      <w:bookmarkStart w:id="683" w:name="pg10113_92293"/>
    </w:p>
    <w:p>
      <w:pPr>
        <w:pStyle w:val="BookText"/>
        <w:rPr/>
      </w:pPr>
      <w:bookmarkEnd w:id="683"/>
      <w:r>
        <w:rPr>
          <w:rFonts w:ascii="Amiri" w:hAnsi="Amiri" w:eastAsia="Amiri" w:cs="Amiri"/>
          <w:color w:val="111111"/>
          <w:sz w:val="28"/>
          <w:sz w:val="28"/>
          <w:szCs w:val="28"/>
          <w:rtl w:val="true"/>
          <w:lang w:bidi="ar-SA"/>
        </w:rPr>
        <w:t>وأمّا حِيطَانُ البساتين وغيرها من الأملاك فبحكم البناء إن لم نقل باختصاصه بالرباع، ولو قلنا بإرثها من عين الأشجار تبعه البناء</w:t>
      </w:r>
      <w:r>
        <w:rPr>
          <w:rFonts w:eastAsia="Amiri" w:cs="Amiri" w:ascii="Amiri" w:hAnsi="Amiri"/>
          <w:color w:val="111111"/>
          <w:sz w:val="28"/>
          <w:szCs w:val="28"/>
          <w:rtl w:val="true"/>
          <w:lang w:bidi="ar-SA"/>
        </w:rPr>
        <w:t>.</w:t>
      </w:r>
    </w:p>
    <w:p>
      <w:pPr>
        <w:pStyle w:val="Heading4"/>
        <w:numPr>
          <w:ilvl w:val="3"/>
          <w:numId w:val="1"/>
        </w:numPr>
        <w:rPr/>
      </w:pPr>
      <w:bookmarkStart w:id="684" w:name="__RefHeading___Toc375639_1067777946"/>
      <w:bookmarkStart w:id="685" w:name="_Toc228"/>
      <w:bookmarkEnd w:id="684"/>
      <w:r>
        <w:rPr>
          <w:rtl w:val="true"/>
        </w:rPr>
        <w:t>كيفيّة تقويم حقها من البناء والشجر</w:t>
      </w:r>
      <w:bookmarkEnd w:id="685"/>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التقويم لِما تُسْتَحَقُ فيه القيمة من البناء والشجر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مستحِقُ البقاء في الأرض مجاناً إلى أن يفنى، ثمّ تُغطى من قيمته الرُبعَ أو الثُمْنَ، هذا هو الظاهر الموافق للأُصول؛ لأنّ الأصل إرثُها من عين كلّ شيءٍ، فإذا عُدِلَ عنه إلى القيمة في بعض الموارد وجب الاقتصارُ فيما خالَفَ الأصل على ما به يتحقّق المعنى المخصص، وهو هنا كذلك، ولأنّ البناء والشجر موضوع بحقٍ في مِلكِ مالكه فلا وجهَ لتقويمه مُسْتَحَقَّاً بأُجرةٍ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تقويمه كذلك بأجرةٍ؛ التفاتاً إلى أنّ الأرضَ لا تَسْتَحِقُ فيها شيئاً، والبِناءُ والشجر الذي تَسْتَحِقُ قِيمَتَهُ موضوع في تلك الأرض التي ليست لها ومُشغل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فيُجْمَعُ بين حقها وحقِّ الوَرَثة في الإرث بتقويمها مستحقة البقاء بأُجرة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 النصوص مُطلَقةٌ باستحقاقها قيمة ذلك، والأصل فيه كونه على هيئته التي هو عليها وقت التقويم؛ ولأنّ ذلك تخصيص لعموم القرآن</w:t>
      </w:r>
      <w:r>
        <w:rPr>
          <w:rStyle w:val="FootnoteAnchor"/>
          <w:rtl w:val="true"/>
        </w:rPr>
        <w:footnoteReference w:id="1150"/>
      </w:r>
      <w:r>
        <w:rPr>
          <w:rFonts w:ascii="Amiri" w:hAnsi="Amiri" w:eastAsia="Amiri" w:cs="Amiri"/>
          <w:color w:val="111111"/>
          <w:sz w:val="28"/>
          <w:sz w:val="28"/>
          <w:szCs w:val="28"/>
          <w:rtl w:val="true"/>
          <w:lang w:bidi="ar-SA"/>
        </w:rPr>
        <w:t>، فيُقْتَصَرُ فيه على موضع اليقين تقليلاً للتخصيص بقدر الإمكان، فتجب زيادة القيمة ما أمكن لكونه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التقديرين لا يُفْتَقَرُ إلى تقويمه مع الأرض، ثمَّ تقويم الأرض منفردة مشغولةً بذلك مجاناً أو بأجرة، ثمّ إسقاطِ ما يَخُصُّها منفردةً من الجملة، لعدم الفائدة في ذلك، بل يكفي تقويمُ ما تُعْتَبَرُ قِيمته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وصفناه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وإعطاؤها قيمته؛ لأنّ ذلك هو الغرضُ ومدلولُ النصوص</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التقويم على ذلك الوجه يُؤدّي هذا المعنى أيضاً، فَيَتَخَيَّرُ في الوجهين إنْ </w:t>
      </w:r>
      <w:bookmarkStart w:id="686" w:name="pg10113_92294"/>
    </w:p>
    <w:p>
      <w:pPr>
        <w:pStyle w:val="BookText"/>
        <w:rPr/>
      </w:pPr>
      <w:bookmarkEnd w:id="686"/>
      <w:r>
        <w:rPr>
          <w:rFonts w:ascii="Amiri" w:hAnsi="Amiri" w:eastAsia="Amiri" w:cs="Amiri"/>
          <w:color w:val="111111"/>
          <w:sz w:val="28"/>
          <w:sz w:val="28"/>
          <w:szCs w:val="28"/>
          <w:rtl w:val="true"/>
          <w:lang w:bidi="ar-SA"/>
        </w:rPr>
        <w:t>لم يظهر بينهما،اختلاف وإلا فالمعتَبَرُ تقويم ما تُراد قيمتُهُ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البناء في أرضِ غَيره أو على حائط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تقويمُه على الحالة التي يَسْتَحِقُها على ذلك الملك بأجرةٍ أو غيرها، ومُسْتَحِقاً للقلع أو غَير مُسْتَحِقّ؛ لأنّ ذلك هو المال الذي تركه بصفته</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375641_1067777946"/>
      <w:bookmarkStart w:id="688" w:name="_Toc229"/>
      <w:bookmarkEnd w:id="687"/>
      <w:r>
        <w:rPr>
          <w:rtl w:val="true"/>
        </w:rPr>
        <w:t>هل دفع الوارث القيمة قهري أم اختياري؟</w:t>
      </w:r>
      <w:bookmarkEnd w:id="688"/>
    </w:p>
    <w:p>
      <w:pPr>
        <w:pStyle w:val="BookText"/>
        <w:rPr/>
      </w:pPr>
      <w:r>
        <w:rPr>
          <w:rFonts w:ascii="Amiri" w:hAnsi="Amiri" w:eastAsia="Amiri" w:cs="Amiri"/>
          <w:color w:val="111111"/>
          <w:sz w:val="28"/>
          <w:sz w:val="28"/>
          <w:szCs w:val="28"/>
          <w:rtl w:val="true"/>
          <w:lang w:bidi="ar-SA"/>
        </w:rPr>
        <w:t xml:space="preserve">وأمّا التقويم على مذهب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لأنه يُقَوِّمُ الدار بأسرها قائمّة بأرضها ويُعْطِيها حصَّتها من القِيمة</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دفعُ الوارث القيمة على وجه قهريٌ بالنسبة إليه أم اختياري ؟ ظاهر النصوص والفتاوى الأوّلُ؛ لأنّه من توابع الإرث ولوازمه وهو قهريٌ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معاوضةٌ وهى ليست لازمةً لباذلِ القِيمة وإنْ لَزِمَت الزوجة نظراً إلى النصّ؛ ولأنّ العلّة الموجبة للقيمة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دفع الضرر عن الوارث، فإذا أقدم على الضرر ورَضِيَ بدفع العين إليها، لم يُجْبَرُ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لو امتَنَعَ أَجْبَرَه الحاكم على دفعها، فإنْ تَعَذَّرَ كان بمنزلة امتناع المديونِ من وفاء الدّينِ فيبيعُ عليه شيئاً 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ويَدفَعُ القِيمة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تعذَّرَ الحاكمُ احْتُمِلَ تسلُّطُ الزوجة على الحصة؛ دفعاً للضرر المنفيّ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أنّها كغيرها من الديون التي يَمتَنعُ المديون من وفائها، فتأخذُ الزوجةُ ما قَدَرَتْ عليه ماله مُقاصّةً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والحِصّةُ كغيرها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ماطَلَ بالقيمة ولم يَتَّفِق لها أخذُ شيءٍ لم تَسْتَحِقَّ في النماء ولا في الأجرة شيئاً، بل هي كسائر الديون؛ إذ لاحقّ لها في العين</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تَعَدَدَّتِ الزَوْجاتُ واتَّفَقْنَ فى الحكم فواضح، وإنِ اخْتَلَفْنَ كذات ولد وغيرها على القول بالفرق اسْتَحقَّتْ ذاتُ الولد كمال الثمن من رقبة الأرض على الأقوى؛ لأنّه </w:t>
      </w:r>
    </w:p>
    <w:p>
      <w:pPr>
        <w:pStyle w:val="BookText"/>
        <w:rPr/>
      </w:pPr>
      <w:r>
        <w:rPr>
          <w:rFonts w:ascii="Amiri" w:hAnsi="Amiri" w:eastAsia="Amiri" w:cs="Amiri"/>
          <w:color w:val="111111"/>
          <w:sz w:val="28"/>
          <w:sz w:val="28"/>
          <w:szCs w:val="28"/>
          <w:rtl w:val="true"/>
          <w:lang w:bidi="ar-SA"/>
        </w:rPr>
        <w:t>حقُّ الزوجيّة ولم يُوجَد فيه مُسْتَحِقُ غَيرُها، كما لو لم يَكُنْ غيرُها ويُحْتَمَلُ كونه لجميع الورثة ولغيرها من الوُرّاث، وكذا لها نصف الثمن من الباقي عَيناً وقِيمةً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لا ولد لها فتأخُذُ نصفَ الثُمْنِ ممّا تَرِثُ من عَينه، ونصف قيمة ما تَرِثُ مِنْ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تَخْتَصُّ ذاتُ الولد بعين ما حُرِمَتْ منه الأخرى وتَدْفَعُ قيمته كما اسْتَحَقَّتِ الأرض، أم هو لغيرها من الوراث، أم للجميع ؟ احتمالات، كلّ منها لا يخلو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الولد لو انْفَرَدَتْ لحازت جميعَ الثمْنِ مِن التَرِكَةِ؛ لأنّ ذلك نصيبها بنص القرآن</w:t>
      </w:r>
      <w:r>
        <w:rPr>
          <w:rStyle w:val="FootnoteAnchor"/>
          <w:rtl w:val="true"/>
        </w:rPr>
        <w:footnoteReference w:id="1152"/>
      </w:r>
      <w:r>
        <w:rPr>
          <w:rFonts w:ascii="Amiri" w:hAnsi="Amiri" w:eastAsia="Amiri" w:cs="Amiri"/>
          <w:color w:val="111111"/>
          <w:sz w:val="28"/>
          <w:sz w:val="28"/>
          <w:szCs w:val="28"/>
          <w:rtl w:val="true"/>
          <w:lang w:bidi="ar-SA"/>
        </w:rPr>
        <w:t>، ورجوعها إلى نصفه إنما كان لمكان الزوجة الأخرى، وهي إنّما تَسْتَحِق فيما ذكر من القيمة، فيبقى استحقاق العين لأُمّ الولد عملاً بعموم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منعَ غير ذاتِ الولد من العَينِ إنما كان لمصلحة الوارث كما اسْتُفيد من العلّة المنصوصة، فيكون استحقاق تلك الأعيان لهم مراعاة للعلّة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الولد مع وجود الأخرى إنَّما تَرِثُ نصفَ الثُمْنِ ولا حقّ لها فيما سواه، وغير ذات الولد لا تستحقّ في عين تلك الأشياء خارجا عن حقّ أُمّ الولد، فيكون ذلك لجميع الوَرَثَة من أعيان التركة، فيُقسم على الجميع بنسبة استحقاقهم</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والأقرب الأوّل؛ لأنّ هذا حقٌّ للزوجية وهي موجودة، فلا حق لغيرها من الوُرّاث فيه؛ ولأنّ عدم استحقاق الزوجة ذلك مخالف للأصل وعموم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فيُقْتَصرُ في مخالفته على محلّ الحاجة، وهي منتفية مع وجود أُم الولد؛ لتنزيلها منزلة غيرها من الوُرّاث، ولأنّ الخروج عن الأصل للحاجة، وهي المحافظة على مصلحة الوارث المعلَّلة بها، وهي مندَفِعةٌ بصرف ذلك إلى أُمّ الولد، فتؤخَذُ منها القِيمةُ وتَسْتَحِقُّ </w:t>
      </w:r>
    </w:p>
    <w:p>
      <w:pPr>
        <w:pStyle w:val="BookText"/>
        <w:rPr/>
      </w:pPr>
      <w:r>
        <w:rPr>
          <w:rFonts w:ascii="Amiri" w:hAnsi="Amiri" w:eastAsia="Amiri" w:cs="Amiri"/>
          <w:color w:val="111111"/>
          <w:sz w:val="28"/>
          <w:sz w:val="28"/>
          <w:szCs w:val="28"/>
          <w:rtl w:val="true"/>
          <w:lang w:bidi="ar-SA"/>
        </w:rPr>
        <w:t>العين، فإنِ امْتَنَعتْ فكامتناع الوارث ويُحْتَمَلُ هنا مع امتناعها استحقاق غيرها من الوُرّاث ذلك؛ دفعاً للضرر بتسلُّط غير ذاتِ الولد على 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لهم على وجه اللزوم أو الجواز 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بعدم اللزوم هنا والأقوى اختصاص الحكم بمَنْ حُكِم له به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المفصّلونَ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 الولد وغيرها، وكذلك الرواية التي هي مستند التفصيل</w:t>
      </w:r>
      <w:r>
        <w:rPr>
          <w:rStyle w:val="FootnoteAnchor"/>
          <w:rtl w:val="true"/>
        </w:rPr>
        <w:footnoteReference w:id="1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يَخْتَصُّ الحُكم بولد الصُّلْب بحيث يكون من الميّت، أم يَشْمُلُ ما صدَقَ عليه اسم الولد لها حتّى لو كان ولد ولد ؟</w:t>
      </w:r>
    </w:p>
    <w:p>
      <w:pPr>
        <w:pStyle w:val="BookText"/>
        <w:rPr/>
      </w:pPr>
      <w:r>
        <w:rPr>
          <w:rFonts w:ascii="Amiri" w:hAnsi="Amiri" w:eastAsia="Amiri" w:cs="Amiri"/>
          <w:color w:val="111111"/>
          <w:sz w:val="28"/>
          <w:sz w:val="28"/>
          <w:szCs w:val="28"/>
          <w:rtl w:val="true"/>
          <w:lang w:bidi="ar-SA"/>
        </w:rPr>
        <w:t>يُحْتَمَلُ الأوّلُ؛ لأنّه المتبادِرُ من مفهوم الولد واقتصاراً في مخالفة إطلاق تلك النصوص الكثيرة على موضع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لصدق كونها ذاتَ ولدٍ لغةً وشرعاً، وهو مَناطُ الاستحقاق، ولأنّ حِرمان الزوجة عمّا عَيَّنَ لها اللّه تعالى من السهم على خلاف الأصل، فيُقتَصَرُ فيما خالَفَهُ على موضع اليقين، وهو الزوجة التي لا ولد لها مطلقاً، وهذا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وموضع الاحتمالين ما لو كان ولد الولد وارثاً من الميّت، أما لو لم يكن وارثاً بأن كان هناك ولدٌ للصلب فلا حُكم له؛ لأنّ إلحاقها بباقي الورّاث دون غيرها من الزوجات إنّما هو لمكان ولدها الوارث، لأنها صارت ذاتَ نَسَبٍ بين الورثة مع احتمال عموم الحكم لصدق كونها ذات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 ذلك لوتمَّ لَزِمَ مثله فيما لو كان لها ولد من غيره، وهو باطلٌ إجماعاً</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الفرع ذكره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الدروس واسْتَقْرَبَ حكم ما لو كان الولد وارثاً كما ذكرناه، وتوقَّفَ فيما لو لم يكن وارثاً من حيث إطلاق اسم الولد، ومن بقاء علَّة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عدم إرثه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إدخالها عليهم مَنْ يَكْرَهونه</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 xml:space="preserve">. </w:t>
      </w:r>
      <w:bookmarkStart w:id="689" w:name="pg10113_92297"/>
    </w:p>
    <w:p>
      <w:pPr>
        <w:pStyle w:val="Heading4"/>
        <w:numPr>
          <w:ilvl w:val="3"/>
          <w:numId w:val="1"/>
        </w:numPr>
        <w:rPr/>
      </w:pPr>
      <w:bookmarkStart w:id="690" w:name="__RefHeading___Toc375643_1067777946"/>
      <w:bookmarkStart w:id="691" w:name="_Toc230"/>
      <w:bookmarkEnd w:id="689"/>
      <w:bookmarkEnd w:id="690"/>
      <w:r>
        <w:rPr>
          <w:rtl w:val="true"/>
        </w:rPr>
        <w:t>لو خلّف زرعاً أو ماء، فما ذا تستحق؟</w:t>
      </w:r>
      <w:bookmarkEnd w:id="691"/>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خَلَّفَ زَرعاً في أرض من جُملة التركة ولم يُحكم لها بالإرث منها، فهل تَسْتَحِقُ إبقاء الزرع في الأرض إلى أوانِ بلوغه بغير أجرة أم بالأجرة ؟ الوجهان السابقان في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بعدم الأُجرة هنا لِقِصَر مدَّة الزرع وانتهاء أمَدِهِ مع اشتراكهما في وضعهما بحق، وتقليلاً لتخصيص عموم آية الإرث</w:t>
      </w:r>
      <w:r>
        <w:rPr>
          <w:rStyle w:val="FootnoteAnchor"/>
          <w:rtl w:val="true"/>
        </w:rPr>
        <w:footnoteReference w:id="1155"/>
      </w:r>
      <w:r>
        <w:rPr>
          <w:rFonts w:ascii="Amiri" w:hAnsi="Amiri" w:eastAsia="Amiri" w:cs="Amiri"/>
          <w:color w:val="111111"/>
          <w:sz w:val="28"/>
          <w:sz w:val="28"/>
          <w:szCs w:val="28"/>
          <w:rtl w:val="true"/>
          <w:lang w:bidi="ar-SA"/>
        </w:rPr>
        <w:t>، واقتصاراً فيما خالف الأصل على موضع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هنا إنّما تستحقُ إبقاءه بحسب عادته بخلاف الشجر؛ فإِنه يَستَحِقُّ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العادة قطعه قصيلاً</w:t>
      </w:r>
      <w:r>
        <w:rPr>
          <w:rStyle w:val="FootnoteAnchor"/>
          <w:rtl w:val="true"/>
        </w:rPr>
        <w:footnoteReference w:id="1156"/>
      </w:r>
      <w:r>
        <w:rPr>
          <w:rFonts w:ascii="Amiri" w:hAnsi="Amiri" w:eastAsia="Amiri" w:cs="Amiri"/>
          <w:color w:val="111111"/>
          <w:sz w:val="28"/>
          <w:sz w:val="28"/>
          <w:szCs w:val="28"/>
          <w:rtl w:val="true"/>
          <w:lang w:bidi="ar-SA"/>
        </w:rPr>
        <w:t>، فأرادت إبقاءه إلى أوانِ حصاده، ففي إجابتها مجّاناً أو بالأجرة أو جَوازِ قطعِهِ مطلقاً بعد أوانٍ فَضلِهِ احتمالات أجودُها الأخيرُ؛ حملاً بحقِّه على ما يَعتادُهُ، كما حُمِلَ الشجرُ على ذلك؛ ولأصالة المنع من التسلّط على أرضِ الغَير بغير إذنه في غير موضع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خلَّف ماءً مملوكاً كالبئر والقناة ففي استحقاقها من عينها أو من قيمتها وجهان من الشك في كونها من العقار الذي لا تَسْتَحِقُّ من عينه، أو كونها من توابع الأرض كالآلات والشجر، والالتفات إلى عموم آية الإرث إلّا ما أخرجه الدليلُ وليس بمعلوم هنا والتعليلُ بإدخال مَنْ يَكْرَه الوارث </w:t>
      </w:r>
      <w:r>
        <w:rPr>
          <w:rStyle w:val="FootnoteAnchor"/>
          <w:rtl w:val="true"/>
        </w:rPr>
        <w:footnoteReference w:id="1157"/>
      </w:r>
      <w:r>
        <w:rPr>
          <w:rFonts w:ascii="Amiri" w:hAnsi="Amiri" w:eastAsia="Amiri" w:cs="Amiri"/>
          <w:color w:val="111111"/>
          <w:sz w:val="28"/>
          <w:sz w:val="28"/>
          <w:szCs w:val="28"/>
          <w:rtl w:val="true"/>
          <w:lang w:bidi="ar-SA"/>
        </w:rPr>
        <w:t>عليهم مختصٌّ بماورد المنع من الإرث من عينه لا مطلقاً، والحكم هنا في موضع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ذلك يقتضي ثبوت إرثها من عينه؛ عملاً بالأصل حيث شُكٍّ في المُخَصِّص</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ويقوى الإشكالُ لو كان الماء في أرض مملوكة له؛ لكونه حينئذٍ من جُملة توابعها كآلات البناء والشجر فيها، الذي حُكم بقيمته وأولى به هنا؛ لاحتمال الماء من الدوام ما لا يَحْتَمِلُه البناء والشجرُ، فهو أولى بكونه من العقارات وأُصول الأموال، ومن </w:t>
      </w:r>
    </w:p>
    <w:p>
      <w:pPr>
        <w:pStyle w:val="BookText"/>
        <w:rPr/>
      </w:pPr>
      <w:r>
        <w:rPr>
          <w:rFonts w:ascii="Amiri" w:hAnsi="Amiri" w:eastAsia="Amiri" w:cs="Amiri"/>
          <w:color w:val="111111"/>
          <w:sz w:val="28"/>
          <w:sz w:val="28"/>
          <w:szCs w:val="28"/>
          <w:rtl w:val="true"/>
          <w:lang w:bidi="ar-SA"/>
        </w:rPr>
        <w:t>خروجه عن المُسْتَثنيات المحكوم بثبوت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واقفاً متناهياً كالماء الموضوع في الحِياض ونحوها وَرِثَتْ مِن عَينه؛ لأنّه بحكم المنقول، وللعموم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الإشكال في إرثها من الآلات الثابتة لإخراج الماء كالدولاب والدالية المُثبتة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الإرثَ مِن عَينه هنا أقوى؛ لأنّه ليس بثابت ثبوت البناء والشجر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دخوله فيما تُعتَبَرُ قيمته زيادةً عمّا ذُكر ؛ لكونه من جملة الآلاتِ التي عَبَّر كثير بثبوت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اقتضاه الحال الحاضر من بحث هذه المسألة، ونسأل من اللّه</w:t>
      </w:r>
      <w:r>
        <w:rPr>
          <w:rStyle w:val="FootnoteAnchor"/>
          <w:rtl w:val="true"/>
        </w:rPr>
        <w:footnoteReference w:id="1158"/>
      </w:r>
      <w:r>
        <w:rPr>
          <w:rFonts w:ascii="Amiri" w:hAnsi="Amiri" w:eastAsia="Amiri" w:cs="Amiri"/>
          <w:color w:val="111111"/>
          <w:sz w:val="28"/>
          <w:sz w:val="28"/>
          <w:szCs w:val="28"/>
          <w:rtl w:val="true"/>
          <w:lang w:bidi="ar-SA"/>
        </w:rPr>
        <w:t>سبحانه أن لا يؤاخِذْنا بما وَقَعَ فيها من تقصير أو خطا؛ فإنّ ذلك منتهى الوُسْع وقَدْرُ الطاقة، والخطأ والسهو لازمانِ للإنسان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11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غفور رحيم</w:t>
      </w:r>
      <w:r>
        <w:rPr>
          <w:rFonts w:eastAsia="Amiri" w:cs="Amiri" w:ascii="Amiri" w:hAnsi="Amiri"/>
          <w:color w:val="111111"/>
          <w:sz w:val="28"/>
          <w:szCs w:val="28"/>
          <w:rtl w:val="true"/>
          <w:lang w:bidi="ar-SA"/>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وفرغ من تسويدها مؤلّفها الفقير إلى اللّه تعالى زين الدين بن علي بن أحمد الشامي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عامَلَهُ اللّه تعالى بلُطفِهِ، وعَفا عن سيّئاتِهِ التي من جملتها أفعاله هذه، بمنّه وكَرَمه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ضُحى يوم الخميس السابع والعشرين من ذي الحِجَّةِ الحرام حَجَّةَ سَةٍ وخمسين وتسعمائة، حامداً مُصَلِّياً مُسلّماً مُستغفِراً</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 وَالَّذِينَ هُم مُّحْسِنُونَ</w:t>
      </w:r>
      <w:r>
        <w:rPr>
          <w:rFonts w:eastAsia="Amiri" w:cs="Amiri" w:ascii="Amiri" w:hAnsi="Amiri"/>
          <w:color w:val="111111"/>
          <w:sz w:val="28"/>
          <w:szCs w:val="28"/>
          <w:rtl w:val="true"/>
          <w:lang w:bidi="ar-SA"/>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 xml:space="preserve">. </w:t>
      </w:r>
      <w:bookmarkStart w:id="692" w:name="pg10113_92299"/>
    </w:p>
    <w:p>
      <w:pPr>
        <w:pStyle w:val="Heading4"/>
        <w:numPr>
          <w:ilvl w:val="3"/>
          <w:numId w:val="1"/>
        </w:numPr>
        <w:rPr/>
      </w:pPr>
      <w:bookmarkStart w:id="693" w:name="__RefHeading___Toc375645_1067777946"/>
      <w:bookmarkStart w:id="694" w:name="_Toc231"/>
      <w:bookmarkEnd w:id="692"/>
      <w:bookmarkEnd w:id="693"/>
      <w:r>
        <w:rPr>
          <w:rtl w:val="true"/>
        </w:rPr>
        <w:t>تلخيص أقوال هذه المسألة</w:t>
      </w:r>
      <w:bookmarkEnd w:id="6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فائدة في تلخيص أقوال المسألة كتبها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قد تَلَخَّص فى هذه المسألة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المتأخّرين، وهو حرمانها من الأرض مطلقاً عَيناً وقِيمةً ومن عين الأبنية والشجر، وتُغطى قيمتها واختصاص الحكم بغير ذات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المفيد</w:t>
      </w:r>
      <w:r>
        <w:rPr>
          <w:rStyle w:val="FootnoteAnchor"/>
          <w:rtl w:val="true"/>
        </w:rPr>
        <w:footnoteReference w:id="1162"/>
      </w:r>
      <w:r>
        <w:rPr>
          <w:rFonts w:ascii="Amiri" w:hAnsi="Amiri" w:eastAsia="Amiri" w:cs="Amiri"/>
          <w:color w:val="111111"/>
          <w:sz w:val="28"/>
          <w:sz w:val="28"/>
          <w:szCs w:val="28"/>
          <w:rtl w:val="true"/>
          <w:lang w:bidi="ar-SA"/>
        </w:rPr>
        <w:t>وابن إدريس</w:t>
      </w:r>
      <w:r>
        <w:rPr>
          <w:rStyle w:val="FootnoteAnchor"/>
          <w:rtl w:val="true"/>
        </w:rPr>
        <w:footnoteReference w:id="1163"/>
      </w:r>
      <w:r>
        <w:rPr>
          <w:rFonts w:ascii="Amiri" w:hAnsi="Amiri" w:eastAsia="Amiri" w:cs="Amiri"/>
          <w:color w:val="111111"/>
          <w:sz w:val="28"/>
          <w:sz w:val="28"/>
          <w:szCs w:val="28"/>
          <w:rtl w:val="true"/>
          <w:lang w:bidi="ar-SA"/>
        </w:rPr>
        <w:t>حرمانها مطلقاً من عين الرباع خاصةً دونَ البساتين والضياع، وتُعطى قيمة الآلات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حرمانها مطلقاً من عين الرباع لا من قيمته، وهو قول المرتضى</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حرمانها من الأرض مطلقاً ومن عين الأبنية والآلات وتُعطى قيمتها، ولا تُمنَعُ من الشجر مطلقاً، وهو قول الشيخ في النهاية</w:t>
      </w:r>
      <w:r>
        <w:rPr>
          <w:rStyle w:val="FootnoteAnchor"/>
          <w:rtl w:val="true"/>
        </w:rPr>
        <w:footnoteReference w:id="1165"/>
      </w:r>
      <w:r>
        <w:rPr>
          <w:rFonts w:ascii="IRNazanin" w:hAnsi="IRNazanin" w:eastAsia="IRNazanin"/>
          <w:color w:val="111111"/>
          <w:sz w:val="28"/>
          <w:sz w:val="28"/>
          <w:szCs w:val="28"/>
          <w:rtl w:val="true"/>
          <w:lang w:bidi="fa-IR"/>
        </w:rPr>
        <w:t>، والاستبصار</w:t>
      </w:r>
      <w:r>
        <w:rPr>
          <w:rStyle w:val="FootnoteAnchor"/>
          <w:rtl w:val="true"/>
        </w:rPr>
        <w:footnoteReference w:id="1166"/>
      </w:r>
      <w:r>
        <w:rPr>
          <w:rFonts w:ascii="Amiri" w:hAnsi="Amiri" w:eastAsia="Amiri" w:cs="Amiri"/>
          <w:color w:val="111111"/>
          <w:sz w:val="28"/>
          <w:sz w:val="28"/>
          <w:szCs w:val="28"/>
          <w:rtl w:val="true"/>
          <w:lang w:bidi="ar-SA"/>
        </w:rPr>
        <w:t>، والتقيّ</w:t>
      </w:r>
      <w:r>
        <w:rPr>
          <w:rStyle w:val="FootnoteAnchor"/>
          <w:rtl w:val="true"/>
        </w:rPr>
        <w:footnoteReference w:id="1167"/>
      </w:r>
      <w:r>
        <w:rPr>
          <w:rFonts w:ascii="IRNazanin" w:hAnsi="IRNazanin" w:eastAsia="IRNazanin"/>
          <w:color w:val="111111"/>
          <w:sz w:val="28"/>
          <w:sz w:val="28"/>
          <w:szCs w:val="28"/>
          <w:rtl w:val="true"/>
          <w:lang w:bidi="fa-IR"/>
        </w:rPr>
        <w:t>وابن البرّاج</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الخامس حرمان ذات الولد من مطلق الأرض ومن عين الأبنية، ولكن تُعطى قيمة الآلات كالسابق، وهو قول الشيخ في التهذيب</w:t>
      </w:r>
      <w:r>
        <w:rPr>
          <w:rStyle w:val="FootnoteAnchor"/>
          <w:rtl w:val="true"/>
        </w:rPr>
        <w:footnoteReference w:id="1169"/>
      </w:r>
      <w:r>
        <w:rPr>
          <w:rFonts w:ascii="Amiri" w:hAnsi="Amiri" w:eastAsia="Amiri" w:cs="Amiri"/>
          <w:color w:val="111111"/>
          <w:sz w:val="28"/>
          <w:sz w:val="28"/>
          <w:szCs w:val="28"/>
          <w:rtl w:val="true"/>
          <w:lang w:bidi="ar-SA"/>
        </w:rPr>
        <w:t>، ومن تَبِعَه</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حرمانها مطلقاً، وهو قول ابن الجُنَيْد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والحمد للّه وحده</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 xml:space="preserve">) </w:t>
      </w:r>
      <w:bookmarkStart w:id="695" w:name="pg10113_92301"/>
    </w:p>
    <w:p>
      <w:pPr>
        <w:pStyle w:val="Heading3"/>
        <w:numPr>
          <w:ilvl w:val="2"/>
          <w:numId w:val="1"/>
        </w:numPr>
        <w:rPr/>
      </w:pPr>
      <w:bookmarkStart w:id="696" w:name="__RefHeading___Toc375647_1067777946"/>
      <w:bookmarkStart w:id="697" w:name="_Toc232"/>
      <w:bookmarkEnd w:id="695"/>
      <w:bookmarkEnd w:id="696"/>
      <w:r>
        <w:rPr/>
        <w:t>23</w:t>
      </w:r>
      <w:r>
        <w:rPr>
          <w:rtl w:val="true"/>
        </w:rPr>
        <w:t xml:space="preserve">. </w:t>
      </w:r>
      <w:r>
        <w:rPr>
          <w:rtl w:val="true"/>
        </w:rPr>
        <w:t>الحَبْوَة</w:t>
      </w:r>
      <w:bookmarkEnd w:id="697"/>
    </w:p>
    <w:p>
      <w:pPr>
        <w:pStyle w:val="Heading4"/>
        <w:numPr>
          <w:ilvl w:val="3"/>
          <w:numId w:val="1"/>
        </w:numPr>
        <w:rPr/>
      </w:pPr>
      <w:bookmarkStart w:id="698" w:name="__RefHeading___Toc375649_1067777946"/>
      <w:bookmarkStart w:id="699" w:name="_Toc233"/>
      <w:bookmarkEnd w:id="698"/>
      <w:r>
        <w:rPr>
          <w:rtl w:val="true"/>
        </w:rPr>
        <w:t>إشارة</w:t>
      </w:r>
      <w:r>
        <w:rPr>
          <w:rtl w:val="true"/>
        </w:rPr>
        <w:t>:</w:t>
      </w:r>
      <w:bookmarkEnd w:id="699"/>
    </w:p>
    <w:p>
      <w:pPr>
        <w:pStyle w:val="BookText"/>
        <w:rPr/>
      </w:pPr>
      <w:r>
        <w:rPr>
          <w:rFonts w:ascii="Amiri" w:hAnsi="Amiri" w:eastAsia="Amiri" w:cs="Amiri"/>
          <w:color w:val="111111"/>
          <w:sz w:val="28"/>
          <w:sz w:val="28"/>
          <w:szCs w:val="28"/>
          <w:rtl w:val="true"/>
          <w:lang w:bidi="ar-SA"/>
        </w:rPr>
        <w:t>تحقيق</w:t>
      </w:r>
    </w:p>
    <w:p>
      <w:pPr>
        <w:pStyle w:val="BookText"/>
        <w:rPr/>
      </w:pPr>
      <w:r>
        <w:rPr>
          <w:rFonts w:ascii="IRNazanin" w:hAnsi="IRNazanin" w:eastAsia="IRNazanin"/>
          <w:color w:val="111111"/>
          <w:sz w:val="28"/>
          <w:sz w:val="28"/>
          <w:szCs w:val="28"/>
          <w:rtl w:val="true"/>
          <w:lang w:bidi="fa-IR"/>
        </w:rPr>
        <w:t xml:space="preserve">غلام حسین قیصریه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 النقيّ</w:t>
      </w:r>
    </w:p>
    <w:p>
      <w:pPr>
        <w:pStyle w:val="BookText"/>
        <w:rPr/>
      </w:pPr>
      <w:r>
        <w:rPr>
          <w:rFonts w:ascii="Amiri" w:hAnsi="Amiri" w:eastAsia="Amiri" w:cs="Amiri"/>
          <w:color w:val="111111"/>
          <w:sz w:val="28"/>
          <w:sz w:val="28"/>
          <w:szCs w:val="28"/>
          <w:rtl w:val="true"/>
          <w:lang w:bidi="ar-SA"/>
        </w:rPr>
        <w:t>مراجعة</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المختاري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0" w:name="pg10113_92303"/>
      <w:bookmarkStart w:id="701" w:name="pg10113_92303"/>
      <w:bookmarkEnd w:id="701"/>
    </w:p>
    <w:p>
      <w:pPr>
        <w:pStyle w:val="BookText"/>
        <w:rPr/>
      </w:pPr>
      <w:bookmarkStart w:id="702" w:name="pg10113_92303"/>
      <w:bookmarkEnd w:id="702"/>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حبانا بدينه القويم وهدانا إلى الصراط المستقيم،</w:t>
      </w:r>
    </w:p>
    <w:p>
      <w:pPr>
        <w:pStyle w:val="BookText"/>
        <w:rPr/>
      </w:pPr>
      <w:r>
        <w:rPr>
          <w:rFonts w:ascii="Amiri" w:hAnsi="Amiri" w:eastAsia="Amiri" w:cs="Amiri"/>
          <w:color w:val="111111"/>
          <w:sz w:val="28"/>
          <w:sz w:val="28"/>
          <w:szCs w:val="28"/>
          <w:rtl w:val="true"/>
          <w:lang w:bidi="ar-SA"/>
        </w:rPr>
        <w:t>والصلاة على نبيه محمّدٍ الذي هو بالمؤمنين رحيم</w:t>
      </w:r>
    </w:p>
    <w:p>
      <w:pPr>
        <w:pStyle w:val="BookText"/>
        <w:rPr/>
      </w:pPr>
      <w:r>
        <w:rPr>
          <w:rFonts w:ascii="Amiri" w:hAnsi="Amiri" w:eastAsia="Amiri" w:cs="Amiri"/>
          <w:color w:val="111111"/>
          <w:sz w:val="28"/>
          <w:sz w:val="28"/>
          <w:szCs w:val="28"/>
          <w:rtl w:val="true"/>
          <w:lang w:bidi="ar-SA"/>
        </w:rPr>
        <w:t>وعلى آله وأصحابه الغُرِّ اللّهاميمِ</w:t>
      </w:r>
      <w:r>
        <w:rPr>
          <w:rFonts w:eastAsia="Amiri" w:cs="Amiri" w:ascii="Amiri" w:hAnsi="Amiri"/>
          <w:color w:val="111111"/>
          <w:sz w:val="28"/>
          <w:szCs w:val="28"/>
          <w:rtl w:val="true"/>
          <w:lang w:bidi="ar-SA"/>
        </w:rPr>
        <w:t>.</w:t>
      </w:r>
    </w:p>
    <w:p>
      <w:pPr>
        <w:pStyle w:val="Heading4"/>
        <w:numPr>
          <w:ilvl w:val="3"/>
          <w:numId w:val="1"/>
        </w:numPr>
        <w:rPr/>
      </w:pPr>
      <w:bookmarkStart w:id="703" w:name="__RefHeading___Toc375651_1067777946"/>
      <w:bookmarkStart w:id="704" w:name="_Toc234"/>
      <w:bookmarkEnd w:id="703"/>
      <w:r>
        <w:rPr>
          <w:rtl w:val="true"/>
        </w:rPr>
        <w:t>تعريف الحبوة</w:t>
      </w:r>
      <w:bookmarkEnd w:id="704"/>
    </w:p>
    <w:p>
      <w:pPr>
        <w:pStyle w:val="BookText"/>
        <w:rPr/>
      </w:pPr>
      <w:r>
        <w:rPr>
          <w:rFonts w:ascii="Amiri" w:hAnsi="Amiri" w:eastAsia="Amiri" w:cs="Amiri"/>
          <w:color w:val="111111"/>
          <w:sz w:val="28"/>
          <w:sz w:val="28"/>
          <w:szCs w:val="28"/>
          <w:rtl w:val="true"/>
          <w:lang w:bidi="ar-SA"/>
        </w:rPr>
        <w:t>وبعدُ، فهذا تحقيق لمسألةٍ مهمَّةٍ تَعمُّ بها البلوى للمكلّفين، وليس في تحرير مباحثها مَظِنَّةٌ يَرْجِعُ إليها مَنْ يحتاجها من المضطرّين، وذلك لانفراد الأصحاب بحكمها دون غيرهم من المسلمين، فلم يُنْعِم</w:t>
      </w:r>
      <w:r>
        <w:rPr>
          <w:rStyle w:val="FootnoteAnchor"/>
          <w:rtl w:val="true"/>
        </w:rPr>
        <w:footnoteReference w:id="1172"/>
      </w:r>
      <w:r>
        <w:rPr>
          <w:rFonts w:ascii="Amiri" w:hAnsi="Amiri" w:eastAsia="Amiri" w:cs="Amiri"/>
          <w:color w:val="111111"/>
          <w:sz w:val="28"/>
          <w:sz w:val="28"/>
          <w:szCs w:val="28"/>
          <w:rtl w:val="true"/>
          <w:lang w:bidi="ar-SA"/>
        </w:rPr>
        <w:t>الفكر فيها سائر العلماء الباحثين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مرتّبةٌ على ستَّةِ مطالب دائرة على ستّ كلمات مفردة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فيه عن مفهوم الحبوة لغةً وشرعاً، وهي موضوع بحث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يُحبى مَن يُحْبى من التَرِكَةِ بِعين من أعيانها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الحَبْوَة واجبة شرعاً أم مستحبّة ؟ </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المَحْبُو من الورثة ؟ وينتظم فيه ذكر شرائطه، ومَن الذي تثبتُ في تَرِكته الحبوة من الأموات ؟ الحَبْوَةُ</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يَخْتَصُّ بها على القولين مجّاناً أم بالقيمة ؟</w:t>
      </w:r>
    </w:p>
    <w:p>
      <w:pPr>
        <w:pStyle w:val="BookText"/>
        <w:rPr/>
      </w:pP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يُحْبى مَن يُحْبى دون غيره من الورّاث؟</w:t>
      </w:r>
    </w:p>
    <w:p>
      <w:pPr>
        <w:pStyle w:val="BookText"/>
        <w:rPr/>
      </w:pPr>
      <w:r>
        <w:rPr>
          <w:rFonts w:ascii="Amiri" w:hAnsi="Amiri" w:eastAsia="Amiri" w:cs="Amiri"/>
          <w:color w:val="111111"/>
          <w:sz w:val="28"/>
          <w:sz w:val="28"/>
          <w:szCs w:val="28"/>
          <w:rtl w:val="true"/>
          <w:lang w:bidi="ar-SA"/>
        </w:rPr>
        <w:t>ونتبع ذلك بذكر باقى الأحكام وما تقتضيه الحالُ من الفروع</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ولنشرع الآن في المطالب معتصمين باللّه تعالى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المطلب الأوّل</w:t>
      </w:r>
    </w:p>
    <w:p>
      <w:pPr>
        <w:pStyle w:val="BookText"/>
        <w:rPr/>
      </w:pPr>
      <w:r>
        <w:rPr>
          <w:rFonts w:ascii="Amiri" w:hAnsi="Amiri" w:eastAsia="Amiri" w:cs="Amiri"/>
          <w:color w:val="111111"/>
          <w:sz w:val="28"/>
          <w:sz w:val="28"/>
          <w:szCs w:val="28"/>
          <w:rtl w:val="true"/>
          <w:lang w:bidi="ar-SA"/>
        </w:rPr>
        <w:t>الحبوة بفتح الحاء مصدر حَباهُ إذا أعطاه، والحِباء بالكسر العطاء</w:t>
      </w:r>
      <w:r>
        <w:rPr>
          <w:rStyle w:val="FootnoteAnchor"/>
          <w:rtl w:val="true"/>
        </w:rPr>
        <w:footnoteReference w:id="1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وشرعاً مال مخصوصٌ من مال المورث الذكرِ يُخَصُّ به الذكر من ولده الذي لا يكون له ذَكَرٌ حيٌّ أكبر منه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المتبادِرُ من معناها شرعاً، حيث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الحَبوة كذا، ويستحقّها الولد الخاصّ، إلى غير ذلك من الأحكام حيث تذكر، وهو آية الحقيقة وإن استلزم النقل عن معناها اللغويّ، بناءً على ثبوت الحقيقة الشرعيّة وعدم اشتراط المناسبة بين المعنى المنقول منه وإليه، وإن كانت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فيكون أهل الشرع قد استعملوا العطية في المُعطى وهو مجاز 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لوحظ معناها لغةً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عطية الولد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يكون ذكرٌ أكبر منه للمورث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أُموراً مخصوصةٌ من تَرِكَتِهِ زيادةً على غيره من الورثة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واحْتَرَزْنا 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لو أوصى له بها مع نفوذ الوصيّة؛ فإنه حينئذٍ يَختصّ بها، وهي عطية لكن بواسطة الوصيّة لا ابتداءً، وستأتي في تضاعيف المسألة فائدة باقي القيود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الحَبوة في الجملة متَّفَقٌ عليها بين أصحابنا، وأخبارهم بها متظافرة، وسنتلو بعضها عليك</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وخَالَفَهُم في ذلك سائر الفقهاء؛ وإنّما اختلف أصحابنا في وجوبها واستحبابها، وفي </w:t>
      </w:r>
    </w:p>
    <w:p>
      <w:pPr>
        <w:pStyle w:val="BookText"/>
        <w:rPr/>
      </w:pPr>
      <w:r>
        <w:rPr>
          <w:rFonts w:ascii="Amiri" w:hAnsi="Amiri" w:eastAsia="Amiri" w:cs="Amiri"/>
          <w:color w:val="111111"/>
          <w:sz w:val="28"/>
          <w:sz w:val="28"/>
          <w:szCs w:val="28"/>
          <w:rtl w:val="true"/>
          <w:lang w:bidi="ar-SA"/>
        </w:rPr>
        <w:t>احتسابها على المحبو بالقيمة أو استحقاقه لها مجاناً، وفي كميتها وشرائطها، وغير ذلك من المواضع التي يأتي الخلافُ فيها في تضاعيف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ثبوتها في الجملة فلا خلاف فيه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الانتصار</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انفردت الإماميّة به أنّ للولد الذكر الأكبر للصلب دون سائر الورثة سيف أبيه وخاتمه،ومصحفه، إلى آخر ما ذكر</w:t>
      </w:r>
      <w:r>
        <w:rPr>
          <w:rStyle w:val="FootnoteAnchor"/>
          <w:rtl w:val="true"/>
        </w:rPr>
        <w:footnoteReference w:id="1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ابن إدريس صرّح بالإجماع عليها في كتابه بل على وجوبها </w:t>
      </w:r>
      <w:r>
        <w:rPr>
          <w:rStyle w:val="FootnoteAnchor"/>
          <w:rtl w:val="true"/>
        </w:rPr>
        <w:footnoteReference w:id="1175"/>
      </w:r>
      <w:r>
        <w:rPr>
          <w:rFonts w:ascii="Amiri" w:hAnsi="Amiri" w:eastAsia="Amiri" w:cs="Amiri"/>
          <w:color w:val="111111"/>
          <w:sz w:val="28"/>
          <w:sz w:val="28"/>
          <w:szCs w:val="28"/>
          <w:rtl w:val="true"/>
          <w:lang w:bidi="ar-SA"/>
        </w:rPr>
        <w:t>، كما سنذكره في بابه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ادّعى جماعةٌ الإجماع عليها في الجملة</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 xml:space="preserve">. </w:t>
      </w:r>
      <w:bookmarkStart w:id="705" w:name="pg10113_92307"/>
    </w:p>
    <w:p>
      <w:pPr>
        <w:pStyle w:val="Heading4"/>
        <w:numPr>
          <w:ilvl w:val="3"/>
          <w:numId w:val="1"/>
        </w:numPr>
        <w:rPr/>
      </w:pPr>
      <w:bookmarkStart w:id="706" w:name="__RefHeading___Toc375653_1067777946"/>
      <w:bookmarkStart w:id="707" w:name="_Toc235"/>
      <w:bookmarkEnd w:id="705"/>
      <w:bookmarkEnd w:id="706"/>
      <w:r>
        <w:rPr>
          <w:rtl w:val="true"/>
        </w:rPr>
        <w:t>كمّيّة ما يُحبّى</w:t>
      </w:r>
      <w:bookmarkEnd w:id="707"/>
    </w:p>
    <w:p>
      <w:pPr>
        <w:pStyle w:val="BookText"/>
        <w:rPr/>
      </w:pPr>
      <w:r>
        <w:rPr>
          <w:rFonts w:ascii="Amiri" w:hAnsi="Amiri" w:eastAsia="Amiri" w:cs="Amiri"/>
          <w:color w:val="111111"/>
          <w:sz w:val="28"/>
          <w:sz w:val="28"/>
          <w:szCs w:val="28"/>
          <w:rtl w:val="true"/>
          <w:lang w:bidi="ar-SA"/>
        </w:rPr>
        <w:t>المطلب الثاني في بيان كَميّة ما يُخبى</w:t>
      </w:r>
    </w:p>
    <w:p>
      <w:pPr>
        <w:pStyle w:val="BookText"/>
        <w:rPr/>
      </w:pPr>
      <w:r>
        <w:rPr>
          <w:rFonts w:ascii="Amiri" w:hAnsi="Amiri" w:eastAsia="Amiri" w:cs="Amiri"/>
          <w:color w:val="111111"/>
          <w:sz w:val="28"/>
          <w:sz w:val="28"/>
          <w:szCs w:val="28"/>
          <w:rtl w:val="true"/>
          <w:lang w:bidi="ar-SA"/>
        </w:rPr>
        <w:t>وقد اختلف الأصحاب فيه بسبب اختلاف الروايات فالمشهور اختصاصها بأربعة أشياء ثياب البدن والخاتم والسيف، والمصحف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المفيد في كتاب الإعلام ثياب البدن بل اقتصر على الثلاثة الباقية</w:t>
      </w:r>
      <w:r>
        <w:rPr>
          <w:rStyle w:val="FootnoteAnchor"/>
          <w:rtl w:val="true"/>
        </w:rPr>
        <w:footnoteReference w:id="1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 أبو الصلاح الثياب بثياب الصلاة</w:t>
      </w:r>
      <w:r>
        <w:rPr>
          <w:rStyle w:val="FootnoteAnchor"/>
          <w:rtl w:val="true"/>
        </w:rPr>
        <w:footnoteReference w:id="1178"/>
      </w:r>
      <w:r>
        <w:rPr>
          <w:rFonts w:ascii="Amiri" w:hAnsi="Amiri" w:eastAsia="Amiri" w:cs="Amiri"/>
          <w:color w:val="111111"/>
          <w:sz w:val="28"/>
          <w:sz w:val="28"/>
          <w:szCs w:val="28"/>
          <w:rtl w:val="true"/>
          <w:lang w:bidi="ar-SA"/>
        </w:rPr>
        <w:t>، وزاد ابن الجنيد على المشهور السلاح</w:t>
      </w:r>
      <w:r>
        <w:rPr>
          <w:rStyle w:val="FootnoteAnchor"/>
          <w:rtl w:val="true"/>
        </w:rPr>
        <w:footnoteReference w:id="1179"/>
      </w:r>
      <w:r>
        <w:rPr>
          <w:rFonts w:ascii="Amiri" w:hAnsi="Amiri" w:eastAsia="Amiri" w:cs="Amiri"/>
          <w:color w:val="111111"/>
          <w:sz w:val="28"/>
          <w:sz w:val="28"/>
          <w:szCs w:val="28"/>
          <w:rtl w:val="true"/>
          <w:lang w:bidi="ar-SA"/>
        </w:rPr>
        <w:t>، وظاهر الصدوق إضافة الكتب والرحل والراحلة؛ لأنّه ذكر في كتاب من لا يحضره الفقيه رواية ربعي بن عبد اللّه المشتملة على ذلك</w:t>
      </w:r>
      <w:r>
        <w:rPr>
          <w:rStyle w:val="FootnoteAnchor"/>
          <w:rtl w:val="true"/>
        </w:rPr>
        <w:footnoteReference w:id="1180"/>
      </w:r>
      <w:r>
        <w:rPr>
          <w:rFonts w:ascii="Amiri" w:hAnsi="Amiri" w:eastAsia="Amiri" w:cs="Amiri"/>
          <w:color w:val="111111"/>
          <w:sz w:val="28"/>
          <w:sz w:val="28"/>
          <w:szCs w:val="28"/>
          <w:rtl w:val="true"/>
          <w:lang w:bidi="ar-SA"/>
        </w:rPr>
        <w:t>، مع اعتياده على أن لا يذكر في الكتاب إلّا ما يعمل به ويدين اللّه تعالى بصحّته</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8" w:name="__RefHeading___Toc375655_1067777946"/>
      <w:bookmarkStart w:id="709" w:name="_Toc236"/>
      <w:bookmarkEnd w:id="708"/>
      <w:r>
        <w:rPr>
          <w:rtl w:val="true"/>
        </w:rPr>
        <w:t>الأخبار في الحبوة</w:t>
      </w:r>
      <w:bookmarkEnd w:id="709"/>
    </w:p>
    <w:p>
      <w:pPr>
        <w:pStyle w:val="BookText"/>
        <w:rPr/>
      </w:pPr>
      <w:r>
        <w:rPr>
          <w:rFonts w:ascii="Amiri" w:hAnsi="Amiri" w:eastAsia="Amiri" w:cs="Amiri"/>
          <w:color w:val="111111"/>
          <w:sz w:val="28"/>
          <w:sz w:val="28"/>
          <w:szCs w:val="28"/>
          <w:rtl w:val="true"/>
          <w:lang w:bidi="ar-SA"/>
        </w:rPr>
        <w:t>ولنذكر الأخبار الواردة في الباب لنُرتّب عليها ما ينبغي إثباته أو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فروى الشيخُ في الصحيح عن ربعي بن عبد اللّه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الرجلُ فلأكبر ولده سيفه ومصحفه وخاتمه ودرعه</w:t>
      </w:r>
      <w:r>
        <w:rPr>
          <w:rFonts w:eastAsia="Amiri" w:cs="Amiri" w:ascii="Amiri" w:hAnsi="Amiri"/>
          <w:color w:val="111111"/>
          <w:sz w:val="28"/>
          <w:szCs w:val="28"/>
          <w:rtl w:val="true"/>
          <w:lang w:bidi="ar-SA"/>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بسند صحيح إلى حمّادٍ عن ربعي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مات الرجلُ فسيفه </w:t>
      </w:r>
    </w:p>
    <w:p>
      <w:pPr>
        <w:pStyle w:val="BookText"/>
        <w:rPr/>
      </w:pPr>
      <w:r>
        <w:rPr>
          <w:rFonts w:ascii="Amiri" w:hAnsi="Amiri" w:eastAsia="Amiri" w:cs="Amiri"/>
          <w:color w:val="111111"/>
          <w:sz w:val="28"/>
          <w:sz w:val="28"/>
          <w:szCs w:val="28"/>
          <w:rtl w:val="true"/>
          <w:lang w:bidi="ar-SA"/>
        </w:rPr>
        <w:t>وخاتمه ومصحفه وكتبه ورحله وراحلته وكسوته لأكبر ولده؛ فإنْ كان الأكبر أُنثى فللأكبر من الذكور</w:t>
      </w:r>
      <w:r>
        <w:rPr>
          <w:rFonts w:eastAsia="Amiri" w:cs="Amiri" w:ascii="Amiri" w:hAnsi="Amiri"/>
          <w:color w:val="111111"/>
          <w:sz w:val="28"/>
          <w:szCs w:val="28"/>
          <w:rtl w:val="true"/>
          <w:lang w:bidi="ar-SA"/>
        </w:rPr>
        <w:t>»</w:t>
      </w:r>
      <w:r>
        <w:rPr>
          <w:rStyle w:val="FootnoteAnchor"/>
          <w:rtl w:val="true"/>
        </w:rPr>
        <w:footnoteReference w:id="1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بحمّاد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عيسى كما صرّح به محمّد بن يعقوب الكليني، فيكون الطريق صحيحاً أيضاً، وإن كان الشيخ أطلقه بحيث يَحْتَمِلُ الثقة وغيره لاشتراكه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الحسن عن حريز،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هلك الرجلُ وترك بنين فللأكبر السيفُ والدرع والخاتم والمصحف فإنْ حَدَتَ به حدثٌ فللأكبر منهم</w:t>
      </w:r>
      <w:r>
        <w:rPr>
          <w:rFonts w:eastAsia="Amiri" w:cs="Amiri" w:ascii="Amiri" w:hAnsi="Amiri"/>
          <w:color w:val="111111"/>
          <w:sz w:val="28"/>
          <w:szCs w:val="28"/>
          <w:rtl w:val="true"/>
          <w:lang w:bidi="ar-SA"/>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مرسلة ابن أذينة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إذا ترك سيفاً وسلاحاً فهو لابنه فإن كان له بنون فلأكبرهم</w:t>
      </w:r>
      <w:r>
        <w:rPr>
          <w:rFonts w:eastAsia="Amiri" w:cs="Amiri" w:ascii="Amiri" w:hAnsi="Amiri"/>
          <w:color w:val="111111"/>
          <w:sz w:val="28"/>
          <w:szCs w:val="28"/>
          <w:rtl w:val="true"/>
          <w:lang w:bidi="ar-SA"/>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عن زرارَةَ ومحمّد بن مُسلمٍ وبُكَيرٍ وفُضيل بن يسار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إذا تَرَكَ سيفاً أو سلاحاً فهو لابنه؛ فإن كانوا ابنين فلأكبرهما</w:t>
      </w:r>
      <w:r>
        <w:rPr>
          <w:rFonts w:eastAsia="Amiri" w:cs="Amiri" w:ascii="Amiri" w:hAnsi="Amiri"/>
          <w:color w:val="111111"/>
          <w:sz w:val="28"/>
          <w:szCs w:val="28"/>
          <w:rtl w:val="true"/>
          <w:lang w:bidi="ar-SA"/>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عن شعيب العقرقوفي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يموت مالَهُ من متاع بيته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 إذا مات كان لابنه السيف والرحل وثياب جلده</w:t>
      </w:r>
      <w:r>
        <w:rPr>
          <w:rFonts w:eastAsia="Amiri" w:cs="Amiri" w:ascii="Amiri" w:hAnsi="Amiri"/>
          <w:color w:val="111111"/>
          <w:sz w:val="28"/>
          <w:szCs w:val="28"/>
          <w:rtl w:val="true"/>
          <w:lang w:bidi="ar-SA"/>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جملةُ ما يُعتبرُ في الباب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الأربعة المشهورة بأنّها الحبوة خاصة لم يحصل اتّفاق الأخبار عليها، وإنما اجتمعت في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اشتمل </w:t>
      </w:r>
    </w:p>
    <w:p>
      <w:pPr>
        <w:pStyle w:val="BookText"/>
        <w:rPr/>
      </w:pPr>
      <w:r>
        <w:rPr>
          <w:rFonts w:ascii="Amiri" w:hAnsi="Amiri" w:eastAsia="Amiri" w:cs="Amiri"/>
          <w:color w:val="111111"/>
          <w:sz w:val="28"/>
          <w:sz w:val="28"/>
          <w:szCs w:val="28"/>
          <w:rtl w:val="true"/>
          <w:lang w:bidi="ar-SA"/>
        </w:rPr>
        <w:t>عليها صحيح رِبْعي الثاني، إلّا أنّ الأصحاب أعرضوا عن إثبات جملة ما فيه، فإثبات حكمها منه دون ما صاحبها مشكل ولا يقال غيرها خرج بالإجماع فيبقى الباقي لمنعه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سنده وخصوصاً الدرع والسلاح، فقد ذُكر الأوّل في الصحيح، والثاني في الحسنِ معتَضَداً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فإثبات الأربعةِ خاصةً من الأخبار عسر؛ فإنّ العمل ببعض الخبر دون بعض ترجيح من غير مرجّح، خصوصاً إذا كان صحيحاً وحَمْلَ ما زادَ في الخبر الصحيح على الاستحباب وما وافق غيره على الوجوب، موجب للإجمال وتأخير البيان عن وقتِ الخطاب بل وقت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وتخصيصه بأخبار تَقْصُرُ عنه سنداً غيرُ مناسب أيضاً، والتعليل بأنّ الحبوة على خلاف الأصل وعمومِ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منه ما اتفق عليه فيبقى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عن النصّ جملةً واعتماد على الإجماع، ويبقى النصّ موجباً للاستئناس خاصّةً، ولعلّه أولى فى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الشهرة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بن حنظلة في حديث المختلفين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ما كان في روايتهما المجتمع عليه أصحابُكَ فيؤخذ به، ويُتْرَكُ الشاذ الذي ليس بمشهور عند أصحابك</w:t>
      </w:r>
      <w:r>
        <w:rPr>
          <w:rFonts w:eastAsia="Amiri" w:cs="Amiri" w:ascii="Amiri" w:hAnsi="Amiri"/>
          <w:color w:val="111111"/>
          <w:sz w:val="28"/>
          <w:szCs w:val="28"/>
          <w:rtl w:val="true"/>
          <w:lang w:bidi="ar-SA"/>
        </w:rPr>
        <w:t>»</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إضافةُ السلاح مع ترك باقي المذكورات في الصحيح فليس بجيّدٍ وإن تكرّر ذكره في الحديثين، وكذا تخصيص أبي الصلاح الثياب بثياب الصلاة</w:t>
      </w:r>
      <w:r>
        <w:rPr>
          <w:rStyle w:val="FootnoteAnchor"/>
          <w:rtl w:val="true"/>
        </w:rPr>
        <w:footnoteReference w:id="1189"/>
      </w:r>
      <w:r>
        <w:rPr>
          <w:rFonts w:ascii="Amiri" w:hAnsi="Amiri" w:eastAsia="Amiri" w:cs="Amiri"/>
          <w:color w:val="111111"/>
          <w:sz w:val="28"/>
          <w:sz w:val="28"/>
          <w:szCs w:val="28"/>
          <w:rtl w:val="true"/>
          <w:lang w:bidi="ar-SA"/>
        </w:rPr>
        <w:t xml:space="preserve">، فإنّ الكِسْوَة المذكورة في الصحيح أعمُّ منها، وكذا ثياب الجلد المذكورة أخيراً، والظاهر أنّ المراد بثياب الجلد ثياب البدن مطلقاً سواء لاصقتِ الجِلدَ كالقميص أم لا، بقرينة الكِسْوَةِ واقتضاء العرف ذلك، واحترز بها عن نحو الفرش والدِثارِ والوَسائدِ؛ فإنّه لا يُطلَقُ عليها ثياب الجلد بوجةٍ، ويمكن أن تدخل في الكِسْوَة؛ فإنّها قد تستعمل عرفاً فيما يشمُلُ </w:t>
      </w:r>
      <w:bookmarkStart w:id="710" w:name="pg10113_92310"/>
    </w:p>
    <w:p>
      <w:pPr>
        <w:pStyle w:val="BookText"/>
        <w:rPr/>
      </w:pPr>
      <w:bookmarkEnd w:id="710"/>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كسوةُ الكعبة وكسوة البيت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مطلق الاستعمال أعم من الحقيقة ومع ذلك يحصل الشكّ في مثل العِمامة والرداء؛ فإنّهما لا يُسَمَّيانِ ثوبَ جلدٍ لغةٌ ولا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فالاعتماد على ما دلّ عليه الخبر الصحيح من الكسوة المنسوبة إلى الميّت، وهي شاملةٌ لهما، وينبغي إدخال الدرع إما فيها؛ لأنه كسوة أو ثوب من حديدٍ يُلْبَس ويُكتسى في بعض الأحيان كثوب التجمل، أو لدخوله في الخبر الصحيح 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اللَبْدُ الذي يُلْبَس لدفع المَطَرِ ونحوه، وفي دخولهما في ثيابِ البدنِ الذي عبّر به الأصحابُ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البَيْضَةُ وبقيّةُ كِسْوَةِ الحرب ففي إلحاقها بالدرع إشكال، من إمكان شمول اسم الكِسْوَةِ لها، وخروجها عن ثياب البدن والجلد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عدم دخولها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القَلَنْسُوة وما في معناها، والمِنْطَقَة ونحوها مما يُشَدُّ به الوسط، والخُفٌ وما في معناه ممّا يُتَّخَذُ للرجلين واليدين ولو في بعض الأحيان بأنواعه، فلا يدخل فيها؛ للأصل وخروجه من الثياب والكِسْوَةِ، وقد نصَّ الأصحاب في باب الكفارات على عدم إجزائها كِسْوَةً حيث تجب الكِسْوَةَ</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1" w:name="__RefHeading___Toc375657_1067777946"/>
      <w:bookmarkStart w:id="712" w:name="_Toc237"/>
      <w:bookmarkEnd w:id="711"/>
      <w:r>
        <w:rPr>
          <w:rtl w:val="true"/>
        </w:rPr>
        <w:t>نحو عشرين مبحثاً في الحبوة</w:t>
      </w:r>
      <w:bookmarkEnd w:id="712"/>
    </w:p>
    <w:p>
      <w:pPr>
        <w:pStyle w:val="BookText"/>
        <w:rPr/>
      </w:pPr>
      <w:r>
        <w:rPr>
          <w:rFonts w:ascii="Amiri" w:hAnsi="Amiri" w:eastAsia="Amiri" w:cs="Amiri"/>
          <w:color w:val="111111"/>
          <w:sz w:val="28"/>
          <w:sz w:val="28"/>
          <w:szCs w:val="28"/>
          <w:rtl w:val="true"/>
          <w:lang w:bidi="ar-SA"/>
        </w:rPr>
        <w:t>يقي هنا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الثياب وما الحقّ بها بين المتّحد منها والمتعدّد وإن كثُرت مع اشتراكها في الوصف بكونها ثياب بدنه وما في معناها؛ لأنها وقعت في النصوص جمعاً مضافاً فيفيد العموم، ومنها العِمامة المتعدّدة</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ورد بلفظ الوحدة كالسيف والمُصحفِ فإن وجد متحداً انصرف الحكم إليه، وإِنْ تَعَدَّدَ ففي دخول الجميع أو واحدٍ منها أو ما كان يغلب استعماله أو انتسابه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أوْجُهُ؛ مأخذها كونه مفرداً محلّى باللام في بعض الأخبار، وهو مفيدٌ للعموم عند بعض </w:t>
      </w:r>
    </w:p>
    <w:p>
      <w:pPr>
        <w:pStyle w:val="BookText"/>
        <w:rPr/>
      </w:pPr>
      <w:r>
        <w:rPr>
          <w:rFonts w:ascii="Amiri" w:hAnsi="Amiri" w:eastAsia="Amiri" w:cs="Amiri"/>
          <w:color w:val="111111"/>
          <w:sz w:val="28"/>
          <w:sz w:val="28"/>
          <w:szCs w:val="28"/>
          <w:rtl w:val="true"/>
          <w:lang w:bidi="ar-SA"/>
        </w:rPr>
        <w:t>الأُصوليّين</w:t>
      </w:r>
      <w:r>
        <w:rPr>
          <w:rStyle w:val="FootnoteAnchor"/>
          <w:rtl w:val="true"/>
        </w:rPr>
        <w:footnoteReference w:id="1191"/>
      </w:r>
      <w:r>
        <w:rPr>
          <w:rFonts w:ascii="Amiri" w:hAnsi="Amiri" w:eastAsia="Amiri" w:cs="Amiri"/>
          <w:color w:val="111111"/>
          <w:sz w:val="28"/>
          <w:sz w:val="28"/>
          <w:szCs w:val="28"/>
          <w:rtl w:val="true"/>
          <w:lang w:bidi="ar-SA"/>
        </w:rPr>
        <w:t>، وهو 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 إلى ضعف القول بعمومه والمتيقَّن منه واحد، وهو وجه الثاني والالتفاتُ إلى أنّ ما تغلب نسبته إليه تتبادر إرادته عند الإطلاق، وهو وجه الثالث الأقوى إن اتّفق، ومع التساوي يختص بواحدٍ، وهل يَتَخَيَّرُ الوارث أو يُخرجُ بالقرعة ؟ وجهان؛ أجودهما الأول؛ لصدق الاسم على ما يُعيّنه الوارث من المحبو، وأصالة البراءة من وجوب غيره، مع كون الحكم على خلاف الأصل وعدم صلاحية القرعة هنا إذ لا تعيّن في نفس الأمر حتّى يخرج بها، وإنما للمحبو واحدٌ من متعدّدٍ فيتخير المالك في تعيينه كما لو أوصى ببعض ما هو متعدّد، أو باع المالك قفيزاً من صُبرة تزيد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القرعة أنّ الحقّ واحد من المتعدّد غير معيّن وهي موضوعة لإخراج المبهم كذلك وليست منحصرة في المعيّن عند اللّه تعالى؛ لِوُرودها في إخراج ثلث العبيد الذين أوصى بعتقهم ولا مال للموصي سواهم، فإنّ المُعْتَق يُستخرج بها مع أنه غير معين عند اللّه تعالى في شيءٍ قبلها، وهذا مُتجه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أنّه مع تعدّد هذه الأجناس يَخْتَصُّ بما كان يعتاد لُبْسَه ويُدِيمُه دون ما سواه </w:t>
      </w:r>
      <w:r>
        <w:rPr>
          <w:rStyle w:val="FootnoteAnchor"/>
          <w:rtl w:val="true"/>
        </w:rPr>
        <w:footnoteReference w:id="1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من التفصيل أجود؛ وكلامه مع ذلك لا يأتي على جميعها لِتَخلَّفه في نحو المُصحف</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يُنزَّل حقّ المَحْبُوِّ قبل تعيينه من المتعدّدِ على الإشاعة أو على التعيين ؟ سَواءٌ قلنا بتخير الوارث أم بالقرعة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منشؤهما أنّ حقه واحدٌ منها غير معيّن ظاهراً ولا في نفس الأمر، وهو معنى الإشاعة، وأن حقه منحصر في واحدٍ، غايته أنه مبهم بسبب وجود المتعدّد ولا حَقَّ له في الزائد؛ ومِن ثَمَّ لم يُعتبر في استخراجه القيمة، والإشاعة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المستحق واحداً من المتعدّد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تتحقّق في متساوي الأجزاء </w:t>
      </w:r>
    </w:p>
    <w:p>
      <w:pPr>
        <w:pStyle w:val="BookText"/>
        <w:rPr/>
      </w:pPr>
      <w:r>
        <w:rPr>
          <w:rFonts w:ascii="Amiri" w:hAnsi="Amiri" w:eastAsia="Amiri" w:cs="Amiri"/>
          <w:color w:val="111111"/>
          <w:sz w:val="28"/>
          <w:sz w:val="28"/>
          <w:szCs w:val="28"/>
          <w:rtl w:val="true"/>
          <w:lang w:bidi="ar-SA"/>
        </w:rPr>
        <w:t>كالصُّبرة لا في القيميّ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فيما لو تَلِفَ بعضها قبل دفعه إليه، فينحصر حقّه في الباقي ولا يسقط منه شيءٌ على الأوّل؛ لوُجود ما عَيَّن له الشارع من مال مورثه وأصالة بقاء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يسقط منه بنسبة قيمة التالف إلى المجموع والأوّل أقوى خصوصاً على القول بتخير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للوارثِ التصرّفُ في بعضها قبل تَعيُّنِ حقِّ المَحْبُوّ ؟ أما على القرعة فلا شبهة في المنع؛ لإمكان ظهور المتصرف فيه بها له، فحقُّه مُتعلّقٌ به في الجملة، وأمّا على القول بتخير الوارث فيُحْتَملُ كونه كذلك خُصوصاً مع تنزيل حقّه على الإشاعة لتعلّق حقه بها في الجملة أيضاً، فلا يصحّ التصرف فيها بدون إذنه، والأقوى عليه الجواز؛ لأنّ تصرّفه دليل على اختياره اختصاصه به فإنّه لا فرق في الرجوع إليه بين اختياره إعطاء المحبوّ بعضاً معيناً واختياره اختصاصه ببعض كذلك، فينحصر حقّ المحبوّ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تعدّدَ تَوقَّفَ على اختيار آخر وإلا انحصر حقه فيه، نعم لوصرح بكون تصرّفه لا بِنيَّةِ الاختصاص اتَّجه حينئذٍ المنع منه وعدم انحصار حقّ المحبوّ في غيره لوخالف وإن أثم</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 الباقي من الأفراد غير ما اختار الوارث اختصاصه به قبل قبض المَحْبُوِّ له ففي بطلان اختياره احتمالان منشؤهما سَبقُ،استحقاقه، فيُسْتَصحَبُ، وسبق تعلّق حقّ المحبوّ بواحدٍ منها فيكون اختيار باقي الوارث لبعضها مراعي بوصول حق المحبو إليه، وإلّا بطل التخيير، وتبعه التصرّفُ لو كان فَعَلَى الثاني لو كان التصرف ناقلاً عن الملك لازماً كالبيع تَسلَّط المحبو على فسخه، ويمكن رجوعه إلى القيمة كما لو فسخ ذو الخيار بعد التصرّف على بعض الوجوه، وعلى تقدير جواز الفسخ والرجوع بالعين ففي كونه من أصله أو من حينه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 النماء المتخلّل، وفي الاحتمال الأخير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ويقوى الإشكال لو كان تصرّف الوارث بالوقف لبنائه على اللزوم الدائم </w:t>
      </w:r>
    </w:p>
    <w:p>
      <w:pPr>
        <w:pStyle w:val="BookText"/>
        <w:rPr/>
      </w:pPr>
      <w:r>
        <w:rPr>
          <w:rFonts w:ascii="Amiri" w:hAnsi="Amiri" w:eastAsia="Amiri" w:cs="Amiri"/>
          <w:color w:val="111111"/>
          <w:sz w:val="28"/>
          <w:sz w:val="28"/>
          <w:szCs w:val="28"/>
          <w:rtl w:val="true"/>
          <w:lang w:bidi="ar-SA"/>
        </w:rPr>
        <w:t>بخلاف البيع؛ لقبوله التزلزل ولو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ينحصر التعين في اللفظ، بل يحصل به وبالفعل، فالأوّل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اختَرتُ هذا للمحبوِّ، 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يبيع بعضها أو يهبه مع الإقباض وبدونه، أو يرهنه ونحو ذلك من العقود اللازمة، وفي الاكتفاء بالجائزة ونحوها من التصرّف الذي لا ينقل عن الملك ويمكن أن يدلّ على الاختيار ظاهراً وجهان؛ أجودهما ذلك لأنّ الشارع لم يعيّن لذلك شيئاً مخصوصاً فيرجع فيه إلى ما دلّ عليه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يُشترط استعمال الميّت لهذه الأشياء قبل موته؛ للعموم، بل يكفي إعداد الثوب للَّبْس بحيث يُنْسَبُ إليه ويتميّز عمّا يملكه من جنسه لغير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المُصحَفُ والسيفُ والخاتم ففي اشتراط إعداده لها لنفسه أم يكفي مطلق الملك،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شهادة ظاهر اللفظ بأنّ المراد بذلك ما كان يختص به وعموم اللفظ الشامل لما يملكه مطلقاً، ولعلّه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الثوب ممّا يَفْتَقِرُ إلى الخياطة أو القَطْعِ فأعدَّهُ لذلك ولم يفعل به أحدهما أو كليهما ففي دخوله نظر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إطلاق اسم الثياب والكسوة عليه، والأقوى الدخول؛ لصدقه لغةً ويمكن ذلك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فعل أحدهما أو بعضه فأولى بالدخول والانتساب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غَيرُ الثياب فلابدّ من صدق اسمه فلو كان قد وضع الورق عند الكاتب، والفضة عند الصائغ، والحديد عند الحدّادِ لأجلها لم يملكها المحبة وإن شرع فيها ما لم يصدق اسمها عليه؛ للأصل، ولو صدق اسمها دخلت وإن توقفت بعده على فعل آخر؛ وحينئذٍ فلا يلزم الورثة بذل متمّماته من التّركَةِ وهو واضح</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لوخَلُقَتِ الثيابُ حتّى خرجت عن اسم ثيابه وكسوته خرجت عن الحكم؛ لانتفاء الاسم، كما لو أحدَثَ فيها تغييراً أخرجها عنه وإن بقيت أعيانها وصلحت ثياباً لغيره؛ وكذا لو كُسِرَ السيف والخاتَمُ أو تغيّرا على وجه أوجب خروجهما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تغيّرها لأجل إصلاحها فاتَّفق موته قبل الإصلاح احتُمِلَ دُخولها؛ استصحاباً لما </w:t>
      </w:r>
    </w:p>
    <w:p>
      <w:pPr>
        <w:pStyle w:val="BookText"/>
        <w:rPr/>
      </w:pPr>
      <w:r>
        <w:rPr>
          <w:rFonts w:ascii="Amiri" w:hAnsi="Amiri" w:eastAsia="Amiri" w:cs="Amiri"/>
          <w:color w:val="111111"/>
          <w:sz w:val="28"/>
          <w:sz w:val="28"/>
          <w:szCs w:val="28"/>
          <w:rtl w:val="true"/>
          <w:lang w:bidi="ar-SA"/>
        </w:rPr>
        <w:t>سبق، مضافاً إلى نيّة إبقائها؛ وعدمه لزوال الاسم حالة الحكم بالاستحقاق فانقطع الاستصحاب، وبقاءُ النيّة بمجرّده غير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حصل التغير في بعضها دون بعض اختصّ بالحكم، وكذا لو تحقّق في جزءٍ واحدٍ، كما لو قُطِعَ من الثوب قطعة، وإن بقيت متميّزةً لا يصدق عليها الاسم، أو كُسِرَ من السيف شيء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المنفصل جزءاً لا يتوقّف ردّه إليه على تغيير كثير كفص الخاتم، وجلد المُصحف مع صدق اسمهما على الباقي بدون،الجزئين، ففي استحقاق المحبة للجزئين نظر؛ من خروجهما عن الاسم، وتحقّقه في الباقي، ومن تنزيلهما منزلة المتصل، ولعلّ هذا 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في الثياب التي اتخذها للبس بين ما يليقُ منها بحاله عادةً، وغيره، ولا بین المتّخذة من الجِلدِ والفَرْوِ</w:t>
      </w:r>
      <w:r>
        <w:rPr>
          <w:rStyle w:val="FootnoteAnchor"/>
          <w:rtl w:val="true"/>
        </w:rPr>
        <w:footnoteReference w:id="1193"/>
      </w:r>
      <w:r>
        <w:rPr>
          <w:rFonts w:ascii="Amiri" w:hAnsi="Amiri" w:eastAsia="Amiri" w:cs="Amiri"/>
          <w:color w:val="111111"/>
          <w:sz w:val="28"/>
          <w:sz w:val="28"/>
          <w:szCs w:val="28"/>
          <w:rtl w:val="true"/>
          <w:lang w:bidi="ar-SA"/>
        </w:rPr>
        <w:t>وغيرها؛ للعموم، وكذا المُصحف والخاتم والسيف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الحُكم فيما لا يَليقُ به عادةً لو كان له غيره وقد حصله ليتَّخذُه لنفسه ولم يستعمله بالفعل؛ من تحقّق القصد، والشك في انتساب ذلك إليه لعدم كونه من أهله، وإنْ قلنا بدخول ما أعدَّهُ لذلك ممّا يليقُ به والأقوى اتباع العُرف في انتسابه إليه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دخولِ عِمْدِ السَيف وبَيتِ المُصحف وحمائلهما وحُليتِهما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إطلاقه على الجميع عرفاً، وانتفائها عنه حقيقةً، ويحتمل دخول العمد والحمائل دون الحُلْيَة وبيت المُصحف وتوابعه؛ للانفكاك والشكّ الموجب للانتفاء، وفي دخول الجميع قوَّةٌ، كما يدخل في الوصيّة؛ لدلالة العرف</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خاتم لا يلبسه بل يختم به مثلاً، ففي دخوله حيث لا يكون غيره نظرٌ، من صدق اسم خاتمه عليه فيدخل في إطلاقه وكون المتبادر منه الخاتم الملبوس </w:t>
      </w:r>
    </w:p>
    <w:p>
      <w:pPr>
        <w:pStyle w:val="BookText"/>
        <w:rPr/>
      </w:pPr>
      <w:r>
        <w:rPr>
          <w:rFonts w:ascii="Amiri" w:hAnsi="Amiri" w:eastAsia="Amiri" w:cs="Amiri"/>
          <w:color w:val="111111"/>
          <w:sz w:val="28"/>
          <w:sz w:val="28"/>
          <w:szCs w:val="28"/>
          <w:rtl w:val="true"/>
          <w:lang w:bidi="ar-SA"/>
        </w:rPr>
        <w:t>وفي عبارة ابن حمزة تصريح باشتراط لبسه له</w:t>
      </w:r>
      <w:r>
        <w:rPr>
          <w:rStyle w:val="FootnoteAnchor"/>
          <w:rtl w:val="true"/>
        </w:rPr>
        <w:footnoteReference w:id="1194"/>
      </w:r>
      <w:r>
        <w:rPr>
          <w:rFonts w:ascii="Amiri" w:hAnsi="Amiri" w:eastAsia="Amiri" w:cs="Amiri"/>
          <w:color w:val="111111"/>
          <w:sz w:val="28"/>
          <w:sz w:val="28"/>
          <w:szCs w:val="28"/>
          <w:rtl w:val="true"/>
          <w:lang w:bidi="ar-SA"/>
        </w:rPr>
        <w:t>، والأقوى عدم اشتراطه والوجهان آتيان فيما لو كان له غيره واختار الوارث إعطاءه للمحبوّ، فعلى الأوّل يصحّ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فيه على التقديرين بين خاتم الفضة والحديد والنحاس وغيرها، وحيث نقولُ بتخيير الوارث فله اختيار أقلها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الثوبُ والخاتم مما يَحرُم على مخلّفه لبسه كالحرير والذهب ولكن كان يلبسه ويعصي اللّه به أو اتَّخَذه لنفسه ولم يلبسه بناءً على عدم اعتباره فالظاهرُ دخوله؛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حَرُمَ لُبسه على المحبة كما لو كان مكلّفاً؛ إذ لا مُنافاة بين اختصاصه به وعدم انتفاعه بالفعل، كما لو كان غير قارئ بالنسبة إلى المُصحف، أو غير منتفع بالسيف لِزَمانَةٍ وغيرها وإن كان المانع مختلفاً في الشرعيّة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من جنس ما لا تَصحُ الصلاة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كجِلدِ غَير المأكول ووَبَرِهِ وعَظْمِهِ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فأولى بعدم المنع مع دخوله في العُموم ويجيء على تخصيص الثياب بثياب الصلاة كقول أبي الصلاح </w:t>
      </w:r>
      <w:r>
        <w:rPr>
          <w:rStyle w:val="FootnoteAnchor"/>
          <w:rtl w:val="true"/>
        </w:rPr>
        <w:footnoteReference w:id="1195"/>
      </w:r>
      <w:r>
        <w:rPr>
          <w:rFonts w:ascii="Amiri" w:hAnsi="Amiri" w:eastAsia="Amiri" w:cs="Amiri"/>
          <w:color w:val="111111"/>
          <w:sz w:val="28"/>
          <w:sz w:val="28"/>
          <w:szCs w:val="28"/>
          <w:rtl w:val="true"/>
          <w:lang w:bidi="ar-SA"/>
        </w:rPr>
        <w:t xml:space="preserve">عدم دخول الثياب المتَّخذة ممّا لا تصح فيه وإن جاز لبسها، فغيرها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يصحّ لبسه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بعدم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الخاتم بين ما يُلبَسُ منه في الخِنْصِرِ</w:t>
      </w:r>
      <w:r>
        <w:rPr>
          <w:rStyle w:val="FootnoteAnchor"/>
          <w:rtl w:val="true"/>
        </w:rPr>
        <w:footnoteReference w:id="1196"/>
      </w:r>
      <w:r>
        <w:rPr>
          <w:rFonts w:ascii="Amiri" w:hAnsi="Amiri" w:eastAsia="Amiri" w:cs="Amiri"/>
          <w:color w:val="111111"/>
          <w:sz w:val="28"/>
          <w:sz w:val="28"/>
          <w:szCs w:val="28"/>
          <w:rtl w:val="true"/>
          <w:lang w:bidi="ar-SA"/>
        </w:rPr>
        <w:t>وغيرها من الأصابع مع صدق اسمه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دخول ما يُلْبَسُ في الإيهام منه لأجل الزي أو للزينة نظر، من الشكّ في تناول اسم الخاتم له والظاهر إطلاقه عليه لغةً وانتفاؤهُ عُرفاً، وهو أولى بالمراعاة، مضافاً إلى أصالة البراءة</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مما يُلْبَسُ منه في الإصبع الواحدة اثنان أعتُبِرَ في دخولهما إطلاق اسمه؛ فإن صدق على كلّ منهما كانا كالمتعدّد، وإن صدق على أحدهما خاصةً وكان </w:t>
      </w:r>
    </w:p>
    <w:p>
      <w:pPr>
        <w:pStyle w:val="BookText"/>
        <w:rPr/>
      </w:pPr>
      <w:r>
        <w:rPr>
          <w:rFonts w:ascii="Amiri" w:hAnsi="Amiri" w:eastAsia="Amiri" w:cs="Amiri"/>
          <w:color w:val="111111"/>
          <w:sz w:val="28"/>
          <w:sz w:val="28"/>
          <w:szCs w:val="28"/>
          <w:rtl w:val="true"/>
          <w:lang w:bidi="ar-SA"/>
        </w:rPr>
        <w:t>أحدهما تابعاً له كالمِحْبَس اختص الحكم بالأوّل ولَحِقَ المنتفي بباقي التَرِكَةِ، وإنْ تعذَّرَ لُبس الخاتم بدونه؛ لانتفاء الاسم عنه، وعدم اشتراط في دخول الخاتم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الأبُ لا يُحْسِنُ القراءة وله مُصحفٌ، ففي استحقاق الولد مَصحفَه 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اسم المُصحف المنسوب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وانتفاء الغاية التي يظهرُ من النصّ اعتبارها والأقوى الأوّل للعموم؛ وأولى بالدخول لو كان حافظاً يستغني عنه لذلك أو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كان له سيفٌ وهو مُقْعَد أو مقطوع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يملك الميّت فرداً كاملاً بل بعضه كنصف سَيف ومُصحَفٍ ففي دخوله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انتفاء اسم المصحف والسيف وشبههما عن الشقِّ؛ وكون استحقاق الجميع قد يستلزم استحقاق البعض؛ ولأنّه لا يسقط الميسورُ بالمعسور،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أمرتكم بأمرٍ فأتوا منه ما استطعتم</w:t>
      </w:r>
      <w:r>
        <w:rPr>
          <w:rFonts w:eastAsia="Amiri" w:cs="Amiri" w:ascii="Amiri" w:hAnsi="Amiri"/>
          <w:color w:val="111111"/>
          <w:sz w:val="28"/>
          <w:szCs w:val="28"/>
          <w:rtl w:val="true"/>
          <w:lang w:bidi="ar-SA"/>
        </w:rPr>
        <w:t>»</w:t>
      </w:r>
      <w:r>
        <w:rPr>
          <w:rStyle w:val="FootnoteAnchor"/>
          <w:rtl w:val="true"/>
        </w:rPr>
        <w:footnoteReference w:id="1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ويقوى الإشكال لوترك نصفي سيفين أو مصحفين أو خاتمين؛ من أنّهما بمنزلة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انتفاء الاسم عنهما، ويُحتَمَلُ استحقاقه نصفاً واحداً من المتعدّد خاصَّةً؛ لئلا يلزم التعدّد، وأصالة عدم استحقاق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المتروك بعض مُصحف منفرد اتجه دخوله؛ لإطلاقه عليه بوجه بخلاف الحصّة من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له سيفٌ متخذ للقُنية أو مُصحَفٌ أو خاتم، لكن عنده شيءٌ منها بنية التجارة ومات وهو في ملكه، ففي دخوله في الحَبْوَة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من صدق اسمه ونسبته إليه بالملك، فيدخل في العموم، ولما تقدّم من عدم اشتراط انتفاعه به فضلاً عن اعتبار القُنْية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كون المتبادر ما أُضيف إليه بالقُنْية عرفاً</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الثياب المتّخذة للتجارة فلا تدخل قطعاً؛ لأنّها لا تُعَدُّ ثياب بدنه ولا كسوته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الإشكال لو كان عنده شيء للقنية وشيء للتجارة بالنسبة إلى صدق التعدد وعدمه، ويقوى هنا ترجيح ذي القُنْية لغلبة نسبته إليه وهو مرجّح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بدخول الكتب كان القول فيها كالثياب لورودها بصيغة الجمع، ويتناول ما أعدَّهُ منها للقُنْية من سائر كتب العلم وإن لم يكن عالماً بما اشتملت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هنا لو كان أُمِّياً لا ينتفع بها، أو كان يتخذها للتجارة؛ من العموم وكونه خلاف المتبادر من كتبه، أما لو كان أعمى ابتداءً أو بعد الانتفاع بها ويمكنه الانتفاع بها ولو بواسطة فلا إشكال في دخولها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السلاح، فإنّه اسم جنس يصدق على الواحد والمتعدد فيمكن أن يُلْحَقَ بما ورد واحداً ومجموعاً لو قيل به ولعلّ الثاني أوجه والمراد به ما يُتَّخَذُ من الحديد آلةً للحرب ليُقاتل به كالسيف والرمح والسهم ويتبعه ما يتوقّف عليه من غيره كخشب الرُّمْح والسهم والقوس على الظاهر؛ لدلالة العرف عليه، مع احتماله اختصاصه بما تضمّنه تعريفه لتصريح أهل اللغة به فيقتصر فيما خالف الأصل على موضع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بدخول الرّحْلِ توقف الأمر على تحقيقه، وهو يُطْلَقُ لغةً بالاشتراك اللفظي على المَسْكَنِ، وعلى ما يستصحبه الإنسان من الأثاث، وعلى رَحْلِ البعير وهو أصغرُ من القَتَب قاله الجوهري</w:t>
      </w:r>
      <w:r>
        <w:rPr>
          <w:rStyle w:val="FootnoteAnchor"/>
          <w:rtl w:val="true"/>
        </w:rPr>
        <w:footnoteReference w:id="1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حينئذٍ أنْ يدخل الجميع بناءً على إفادة مثل هذه الصيغة العموم وقد تقدّم، وواحد منها خاصةً لأصالة البراءة من غيره، ومنع إفادته الجمع، فيتخير الوارث أو يُقْرَع بينها تنزيلاً له منزلة المتعدّد، ويجيء في المتعدّد من أحدِ الثلاثة ما تقدّم فيما جاء بلفظ الوحدة أو الجمع، ويُحتمل قوياً حمله على المعنى الأخير؛ لأنّه المتبادِر منه حيث يقترن بالراحلة</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بدخول الراحلة فالمراد بها المركب من الإبل ذكراً كان أم أنثى، قاله </w:t>
      </w:r>
    </w:p>
    <w:p>
      <w:pPr>
        <w:pStyle w:val="BookText"/>
        <w:rPr/>
      </w:pPr>
      <w:r>
        <w:rPr>
          <w:rFonts w:ascii="Amiri" w:hAnsi="Amiri" w:eastAsia="Amiri" w:cs="Amiri"/>
          <w:color w:val="111111"/>
          <w:sz w:val="28"/>
          <w:sz w:val="28"/>
          <w:szCs w:val="28"/>
          <w:rtl w:val="true"/>
          <w:lang w:bidi="ar-SA"/>
        </w:rPr>
        <w:t>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وتُطْلَقُ الراحلة على الناقة التي تصلح لأنْ تُرْحَلَ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نهاية ابن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الراحلة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 القويُّ على الأسفار والأحمال، والذكر والأنثى فيه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للمبالغة</w:t>
      </w:r>
      <w:r>
        <w:rPr>
          <w:rFonts w:eastAsia="Amiri" w:cs="Amiri" w:ascii="Amiri" w:hAnsi="Amiri"/>
          <w:color w:val="111111"/>
          <w:sz w:val="28"/>
          <w:szCs w:val="28"/>
          <w:rtl w:val="true"/>
          <w:lang w:bidi="ar-SA"/>
        </w:rPr>
        <w:t>»</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والمغايرةُ متحقّقة بين التعريفات ظاهراً، إذ لم يشترط الجوهري في تعريفه العامّ قوّته على السفرِ والحمل، بل اقتصر على كونه مركباً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مغايرتهما لتخصيصه بالأنثى، فيمكن حينئذٍ أنْ يختصَّ الحكم بالناقةِ؛ للشك في تناولها لغيرها فيرجع إلى أصالة البراءة خصوصاً فيما خالف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تناولها للذكر والأنثى؛ للنقل المذكور ومساعدة العُرف وجاز كون إطلاقها على الخاص؛ لكونه بعض أفراد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يجيء في المتعدّد منها ما تقدّم فيما جاء مفرداً معرفاً، ولو قلنا بعدم حمل الرحل على ما يختص بالراحلة ففي دخوله فيها احتمال لدخُول عند السيف وبيت المُصحف والأقوى عدم الدخول للأصل، وتحقّقها بدونه</w:t>
      </w:r>
      <w:r>
        <w:rPr>
          <w:rFonts w:eastAsia="Amiri" w:cs="Amiri" w:ascii="Amiri" w:hAnsi="Amiri"/>
          <w:color w:val="111111"/>
          <w:sz w:val="28"/>
          <w:szCs w:val="28"/>
          <w:rtl w:val="true"/>
          <w:lang w:bidi="ar-SA"/>
        </w:rPr>
        <w:t xml:space="preserve">. </w:t>
      </w:r>
      <w:bookmarkStart w:id="713" w:name="pg10113_92319"/>
    </w:p>
    <w:p>
      <w:pPr>
        <w:pStyle w:val="Heading4"/>
        <w:numPr>
          <w:ilvl w:val="3"/>
          <w:numId w:val="1"/>
        </w:numPr>
        <w:rPr/>
      </w:pPr>
      <w:bookmarkStart w:id="714" w:name="__RefHeading___Toc375659_1067777946"/>
      <w:bookmarkStart w:id="715" w:name="_Toc238"/>
      <w:bookmarkEnd w:id="713"/>
      <w:bookmarkEnd w:id="714"/>
      <w:r>
        <w:rPr>
          <w:rtl w:val="true"/>
        </w:rPr>
        <w:t>المطلب الثالث</w:t>
      </w:r>
      <w:r>
        <w:rPr>
          <w:rtl w:val="true"/>
        </w:rPr>
        <w:t xml:space="preserve">: </w:t>
      </w:r>
      <w:r>
        <w:rPr>
          <w:rtl w:val="true"/>
        </w:rPr>
        <w:t>هل هذا الاختصاص على سبيل الوجوب أو الاستحباب ؟</w:t>
      </w:r>
      <w:bookmarkEnd w:id="715"/>
    </w:p>
    <w:p>
      <w:pPr>
        <w:pStyle w:val="BookText"/>
        <w:rPr/>
      </w:pPr>
      <w:r>
        <w:rPr>
          <w:rFonts w:ascii="Amiri" w:hAnsi="Amiri" w:eastAsia="Amiri" w:cs="Amiri"/>
          <w:color w:val="111111"/>
          <w:sz w:val="28"/>
          <w:sz w:val="28"/>
          <w:szCs w:val="28"/>
          <w:rtl w:val="true"/>
          <w:lang w:bidi="ar-SA"/>
        </w:rPr>
        <w:t>المشهورُ خصوصاً بين المتأخّرين الأوّل، بمعنى أنه يختص بإرث هذه الأشياء كما يختص بإرث سهمه الذي عينه اللّه تعالى له، فلا يسقط حقّه منه بالإعراض، ولا يتوقّف على دفع باقي الورثة له ولا على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ظاهرُ الأحاديث، فإنّه خصّه فيها بالمذكورات 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المفيدة للملك أو الاستحقاق أو الاختصاص؛ إذ لا يصلح غير هذه الثلاثة هنالها، أو للقدر المشترك بينها وهو الاختصاص كما حقّقه بعض أهل العربيّة تقليلاً للاشتراك</w:t>
      </w:r>
      <w:r>
        <w:rPr>
          <w:rStyle w:val="FootnoteAnchor"/>
          <w:rtl w:val="true"/>
        </w:rPr>
        <w:footnoteReference w:id="1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تقدير يفيد المطلوب، أما على الأوّلين فظاهر، وأمّا على الأخيرين فلأنّ الأصل في الاختصاص أن لا يشارك المختص غيره في المختص به وإن تخلّف في بعض الموارد لعارض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الثوب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الجُلُّ للفرس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من حيث الاختصاص، بل من عدم قبول المختص للاختصاص المطلق المفيد للملك فيحمل عليه حسب ما يمكن</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هذا المعنى أشار ابن هشام في المغني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تقسيمه إلى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يستغني بذكرِ الاختصاص عن المعنيين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ويرجحه أن فيه تقليلاً للاشتراك، وأنه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المالُ لزيدٍ والمسجد، لزمَ القولُ بأنّها للاختصاص مع كون زيد قابلاً للملك لئلا يلزم استعمال المشترك في معنييه دفعةً، وأكثرهم يمنعه</w:t>
      </w:r>
      <w:r>
        <w:rPr>
          <w:rStyle w:val="FootnoteAnchor"/>
          <w:rtl w:val="true"/>
        </w:rPr>
        <w:footnoteReference w:id="1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والتحقيق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الموارد ونظائرها ظاهرة في الملك وهو قرينة تخصيص بعض أفراد المشترك على بعض، ويظهر لك ذلك من إجماع العلماء كافةً على أنّ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لفلانٍ عندي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ملكه لذلك ملكاً تامّاً لا إفادة الاختصاص الأعم منه بحيث يحتمل غير الملك مع أنّ الاحتمال فيه قائم؛ لجواز أنْ يكون المُقَرُّ به مختصاً بالمُقَرّر له على وجه من الوجوه التي لا تُفيد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على خلافه وعدم الالتفات إلى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وادّعى ابنُ إدريس الإجماع على الوجوب؛ لأنه بعد أن نقل القول بالاستحباب عن بعض الأصحاب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وعنى به وجوب الحَبوة وعدم احتسابها بالقيمة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الظاهر المُجْمَعُ عليه عند أصحابنا المعمول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وفتاواهم في عصرنا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سنة ثمان وثمانين وخمسمائة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بغير خلاف بينهم</w:t>
      </w:r>
      <w:r>
        <w:rPr>
          <w:rFonts w:eastAsia="Amiri" w:cs="Amiri" w:ascii="Amiri" w:hAnsi="Amiri"/>
          <w:color w:val="111111"/>
          <w:sz w:val="28"/>
          <w:szCs w:val="28"/>
          <w:rtl w:val="true"/>
          <w:lang w:bidi="ar-SA"/>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صرّح به السيّد المرتضى </w:t>
      </w:r>
      <w:r>
        <w:rPr>
          <w:rStyle w:val="FootnoteAnchor"/>
          <w:rtl w:val="true"/>
        </w:rPr>
        <w:footnoteReference w:id="1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الجنيد</w:t>
      </w:r>
      <w:r>
        <w:rPr>
          <w:rStyle w:val="FootnoteAnchor"/>
          <w:rtl w:val="true"/>
        </w:rPr>
        <w:footnoteReference w:id="1204"/>
      </w:r>
      <w:r>
        <w:rPr>
          <w:rFonts w:ascii="IRNazanin" w:hAnsi="IRNazanin" w:eastAsia="IRNazanin"/>
          <w:color w:val="111111"/>
          <w:sz w:val="28"/>
          <w:sz w:val="28"/>
          <w:szCs w:val="28"/>
          <w:rtl w:val="true"/>
          <w:lang w:bidi="fa-IR"/>
        </w:rPr>
        <w:t>وأبو الصلاح</w:t>
      </w:r>
      <w:r>
        <w:rPr>
          <w:rStyle w:val="FootnoteAnchor"/>
          <w:rtl w:val="true"/>
        </w:rPr>
        <w:footnoteReference w:id="1205"/>
      </w:r>
      <w:r>
        <w:rPr>
          <w:rFonts w:ascii="Amiri" w:hAnsi="Amiri" w:eastAsia="Amiri" w:cs="Amiri"/>
          <w:color w:val="111111"/>
          <w:sz w:val="28"/>
          <w:sz w:val="28"/>
          <w:szCs w:val="28"/>
          <w:rtl w:val="true"/>
          <w:lang w:bidi="ar-SA"/>
        </w:rPr>
        <w:t>، وقوّاهُ العلّامة في المختلف الاستحباب</w:t>
      </w:r>
      <w:r>
        <w:rPr>
          <w:rStyle w:val="FootnoteAnchor"/>
          <w:rtl w:val="true"/>
        </w:rPr>
        <w:footnoteReference w:id="1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الجنيد في كتابه الأحمدي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يُسْتَحَبُّ أنْ يُوْثَرَ الولدُ الأكبر إذا كان ذكراً بالسيف وآلة السلاح والمصحف والخاتم وثيابِ الأب التي كانت لجسده بقيمته، وليس ذلك عندي بواجب إذا تشاجروا عليه</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الصلاح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السنّة أنْ يُحْبى الأكبر من وُلد الموروث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 xml:space="preserve">. </w:t>
      </w:r>
      <w:bookmarkStart w:id="716" w:name="pg10113_92321"/>
    </w:p>
    <w:p>
      <w:pPr>
        <w:pStyle w:val="BookText"/>
        <w:rPr/>
      </w:pPr>
      <w:bookmarkEnd w:id="716"/>
      <w:r>
        <w:rPr>
          <w:rFonts w:ascii="Amiri" w:hAnsi="Amiri" w:eastAsia="Amiri" w:cs="Amiri"/>
          <w:color w:val="111111"/>
          <w:sz w:val="28"/>
          <w:sz w:val="28"/>
          <w:szCs w:val="28"/>
          <w:rtl w:val="true"/>
          <w:lang w:bidi="ar-SA"/>
        </w:rPr>
        <w:t>وأمّا كلامُ الشيخين</w:t>
      </w:r>
      <w:r>
        <w:rPr>
          <w:rStyle w:val="FootnoteAnchor"/>
          <w:rtl w:val="true"/>
        </w:rPr>
        <w:footnoteReference w:id="1209"/>
      </w:r>
      <w:r>
        <w:rPr>
          <w:rFonts w:ascii="Amiri" w:hAnsi="Amiri" w:eastAsia="Amiri" w:cs="Amiri"/>
          <w:color w:val="111111"/>
          <w:sz w:val="28"/>
          <w:sz w:val="28"/>
          <w:szCs w:val="28"/>
          <w:rtl w:val="true"/>
          <w:lang w:bidi="ar-SA"/>
        </w:rPr>
        <w:t>وجماعةٍ ممَّن تَبِعَهما كابن البراج</w:t>
      </w:r>
      <w:r>
        <w:rPr>
          <w:rStyle w:val="FootnoteAnchor"/>
          <w:rtl w:val="true"/>
        </w:rPr>
        <w:footnoteReference w:id="1210"/>
      </w:r>
      <w:r>
        <w:rPr>
          <w:rFonts w:ascii="Amiri" w:hAnsi="Amiri" w:eastAsia="Amiri" w:cs="Amiri"/>
          <w:color w:val="111111"/>
          <w:sz w:val="28"/>
          <w:sz w:val="28"/>
          <w:szCs w:val="28"/>
          <w:rtl w:val="true"/>
          <w:lang w:bidi="ar-SA"/>
        </w:rPr>
        <w:t xml:space="preserve">وابن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فمحتمل للقولين إلّا أنّه ظاهر في الوجوب</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7" w:name="__RefHeading___Toc375661_1067777946"/>
      <w:bookmarkStart w:id="718" w:name="_Toc239"/>
      <w:bookmarkEnd w:id="717"/>
      <w:r>
        <w:rPr>
          <w:rtl w:val="true"/>
        </w:rPr>
        <w:t>حجّة القائل بالاستحباب</w:t>
      </w:r>
      <w:bookmarkEnd w:id="718"/>
    </w:p>
    <w:p>
      <w:pPr>
        <w:pStyle w:val="BookText"/>
        <w:rPr/>
      </w:pPr>
      <w:r>
        <w:rPr>
          <w:rFonts w:ascii="Amiri" w:hAnsi="Amiri" w:eastAsia="Amiri" w:cs="Amiri"/>
          <w:color w:val="111111"/>
          <w:sz w:val="28"/>
          <w:sz w:val="28"/>
          <w:szCs w:val="28"/>
          <w:rtl w:val="true"/>
          <w:lang w:bidi="ar-SA"/>
        </w:rPr>
        <w:t>حجة القائل بالاستحباب عموم الكتاب والسنّة باختصاص الورثة مطلقاً بالتركةِ أو بعين سهامهم،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121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وتخصيصها بمثل الأخبار غير جائز إما للمنع من العمل بخبر الواحد مطلقاً، كما هو قاعدة المرتضى</w:t>
      </w:r>
      <w:r>
        <w:rPr>
          <w:rStyle w:val="FootnoteAnchor"/>
          <w:rtl w:val="true"/>
        </w:rPr>
        <w:footnoteReference w:id="1213"/>
      </w:r>
      <w:r>
        <w:rPr>
          <w:rFonts w:ascii="Amiri" w:hAnsi="Amiri" w:eastAsia="Amiri" w:cs="Amiri"/>
          <w:color w:val="111111"/>
          <w:sz w:val="28"/>
          <w:sz w:val="28"/>
          <w:szCs w:val="28"/>
          <w:rtl w:val="true"/>
          <w:lang w:bidi="ar-SA"/>
        </w:rPr>
        <w:t>وأكثر المتقدّمين من أصحابنا</w:t>
      </w:r>
      <w:r>
        <w:rPr>
          <w:rStyle w:val="FootnoteAnchor"/>
          <w:rtl w:val="true"/>
        </w:rPr>
        <w:footnoteReference w:id="1214"/>
      </w:r>
      <w:r>
        <w:rPr>
          <w:rFonts w:ascii="Amiri" w:hAnsi="Amiri" w:eastAsia="Amiri" w:cs="Amiri"/>
          <w:color w:val="111111"/>
          <w:sz w:val="28"/>
          <w:sz w:val="28"/>
          <w:szCs w:val="28"/>
          <w:rtl w:val="true"/>
          <w:lang w:bidi="ar-SA"/>
        </w:rPr>
        <w:t>، أو لأنه لا يُخصص الكتاب وإن جاز العمل به مع عدم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من اطراح خبر الواحد عدم إثبات الحَبْوَة مطلقاً، فكيف يحكم المرتضى باستحبابها على قاعدته ؟ خصوصاً مع معارضة عموم الكتاب العزيز لها، والاستحباب حكم شرعي كالوجوب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استدلال المرتضى أنّه إنّما استند في إثباتها في الجملة إلى إجماع الإماميّة لا إلى الأخبار كما حكيناه عنه سابقاً وستجيء له عبارة أُخرى تدلّ عليه، وحينئذٍ فلا يضره منعه من العمل بالأخبار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ثبوتها ينافي الاستحباب؛ لأنّه يؤدّي إلى انتفائها عند التشاح فيلزمه على ذلك القول بالوجوب؛ ولأنّ الخلاف قبله في الوجوب غير متحقق، واستناد السابقين إلى الأخبار يؤذن بالوجوب</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أنّ الإجماع على ثبوتها في الجُملة ينافي الاستحباب، فإنّه إثباتُ </w:t>
      </w:r>
    </w:p>
    <w:p>
      <w:pPr>
        <w:pStyle w:val="BookText"/>
        <w:rPr/>
      </w:pPr>
      <w:r>
        <w:rPr>
          <w:rFonts w:ascii="Amiri" w:hAnsi="Amiri" w:eastAsia="Amiri" w:cs="Amiri"/>
          <w:color w:val="111111"/>
          <w:sz w:val="28"/>
          <w:sz w:val="28"/>
          <w:szCs w:val="28"/>
          <w:rtl w:val="true"/>
          <w:lang w:bidi="ar-SA"/>
        </w:rPr>
        <w:t>حكم في الجملة، والإجماع الواقع بين الأصحاب عليها إلى الآن إنما هو في ثبوتها الأعم من كونه على وجه الوجوب والاستحباب بل من الأخذ مجاناً وبالقيمة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ثبت بالإجماع القدر المشترك بين الوجوب والاستحباب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رُجحان اختصاصه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على طريقة المرتضى الأخذُ بأقل ما قيل منهما جمعاً بين الإجماع وعموم الكتاب، وذلك هو الاستحباب، مع أنّ الخلاف قبل المرتضى متحقق؛ لأنّ ابن الجُنَيْد سابق عليه بيسير وقد صرّح بالاستحباب وغيره من السابقين لا صراحة في لفظه بالوجوب خصوصاً مصنفي كتب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جلّة السابقين على 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يقتصرون من الفتوى على إيراد لفظ الخبر، وهو محتمل للأمرين كما ادعاه العلّامة في المختلف</w:t>
      </w:r>
      <w:r>
        <w:rPr>
          <w:rStyle w:val="FootnoteAnchor"/>
          <w:rtl w:val="true"/>
        </w:rPr>
        <w:footnoteReference w:id="1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أثبتنا ظهور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يتحقّق الإجماع على الوجوب الذي ادّعاه ابن إدريس بعد تصريح الجماعة بالاستحباب، واحتمال عبارة غيرهم، واحتمال الأخبار خصوصاً على قاعدته أيضاً من اطراح خبر الواحد كالمرتضى، بدعواه الإجماع على خلاف قاعدته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إجماع أهل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الوجوب، ورأى السابقين الذين تحتمل عبارتهم غير الوجوب مستندين إلى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الشيخين يجيزون خبر الواحد خصوصاً الشيخ رحمه اللّه والأخبار التي هي مستندهم ظاهرة في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كلامهم عليه أيضاً اعتماداً على دلالة المستند كما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يقدح في الإجماع الذي ادّعاه مخالفة من صرّح بالاستحباب، إما لأنهم معروفو النسب، أو لانعقاده بعد موتهم على خلاف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نقله إجماع أهل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كافٍ في دعوى الإجماع؛ بل اتفق للشيخ والمرتضى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دعواه ما هو أعظم من ذلك كما لا يخفى على مَنِ اطَّلع على كتبهم</w:t>
      </w:r>
      <w:r>
        <w:rPr>
          <w:rStyle w:val="FootnoteAnchor"/>
          <w:rtl w:val="true"/>
        </w:rPr>
        <w:footnoteReference w:id="1216"/>
      </w:r>
      <w:r>
        <w:rPr>
          <w:rFonts w:ascii="Amiri" w:hAnsi="Amiri" w:eastAsia="Amiri" w:cs="Amiri"/>
          <w:color w:val="111111"/>
          <w:sz w:val="28"/>
          <w:sz w:val="28"/>
          <w:szCs w:val="28"/>
          <w:rtl w:val="true"/>
          <w:lang w:bidi="ar-SA"/>
        </w:rPr>
        <w:t>فدعوى ابن إدريس الإجماع</w:t>
      </w:r>
      <w:r>
        <w:rPr>
          <w:rStyle w:val="FootnoteAnchor"/>
          <w:rtl w:val="true"/>
        </w:rPr>
        <w:footnoteReference w:id="1217"/>
      </w:r>
      <w:r>
        <w:rPr>
          <w:rFonts w:ascii="Amiri" w:hAnsi="Amiri" w:eastAsia="Amiri" w:cs="Amiri"/>
          <w:color w:val="111111"/>
          <w:sz w:val="28"/>
          <w:sz w:val="28"/>
          <w:szCs w:val="28"/>
          <w:rtl w:val="true"/>
          <w:lang w:bidi="ar-SA"/>
        </w:rPr>
        <w:t>ممكنة وإن كان الحقّ خلافها</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العلّامة في المختلف</w:t>
      </w:r>
      <w:r>
        <w:rPr>
          <w:rStyle w:val="FootnoteAnchor"/>
          <w:rtl w:val="true"/>
        </w:rPr>
        <w:footnoteReference w:id="1218"/>
      </w:r>
      <w:r>
        <w:rPr>
          <w:rFonts w:ascii="Amiri" w:hAnsi="Amiri" w:eastAsia="Amiri" w:cs="Amiri"/>
          <w:color w:val="111111"/>
          <w:sz w:val="28"/>
          <w:sz w:val="28"/>
          <w:szCs w:val="28"/>
          <w:rtl w:val="true"/>
          <w:lang w:bidi="ar-SA"/>
        </w:rPr>
        <w:t>، فجعل مستند الاستحباب احتمال الأخبار للأمرين مع أصالة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ما في احتمالها لهما وأنّ الوجوب منها أظهر، وينقطع الأصل الذي رتَّبَ عليه الحكم؛ لأنه لا ينفع مع ورود الحكم بخلافه، فكان القول بالوجوب أظهر</w:t>
      </w:r>
      <w:r>
        <w:rPr>
          <w:rFonts w:eastAsia="Amiri" w:cs="Amiri" w:ascii="Amiri" w:hAnsi="Amiri"/>
          <w:color w:val="111111"/>
          <w:sz w:val="28"/>
          <w:szCs w:val="28"/>
          <w:rtl w:val="true"/>
          <w:lang w:bidi="ar-SA"/>
        </w:rPr>
        <w:t xml:space="preserve">. </w:t>
      </w:r>
      <w:bookmarkStart w:id="719" w:name="pg10113_92324"/>
    </w:p>
    <w:p>
      <w:pPr>
        <w:pStyle w:val="Heading4"/>
        <w:numPr>
          <w:ilvl w:val="3"/>
          <w:numId w:val="1"/>
        </w:numPr>
        <w:rPr/>
      </w:pPr>
      <w:bookmarkStart w:id="720" w:name="__RefHeading___Toc375663_1067777946"/>
      <w:bookmarkStart w:id="721" w:name="_Toc240"/>
      <w:bookmarkEnd w:id="719"/>
      <w:bookmarkEnd w:id="720"/>
      <w:r>
        <w:rPr>
          <w:rtl w:val="true"/>
        </w:rPr>
        <w:t>في بيان مستحق الحبوة والمستحق عليه</w:t>
      </w:r>
      <w:bookmarkEnd w:id="721"/>
    </w:p>
    <w:p>
      <w:pPr>
        <w:pStyle w:val="BookText"/>
        <w:rPr/>
      </w:pPr>
      <w:r>
        <w:rPr>
          <w:rFonts w:ascii="Amiri" w:hAnsi="Amiri" w:eastAsia="Amiri" w:cs="Amiri"/>
          <w:color w:val="111111"/>
          <w:sz w:val="28"/>
          <w:sz w:val="28"/>
          <w:szCs w:val="28"/>
          <w:rtl w:val="true"/>
          <w:lang w:bidi="ar-SA"/>
        </w:rPr>
        <w:t>أمّا الأوّل فقد عرفت من الأخبار أنّه الولد الذكر الأكبر من الذكور مع تعدّدهم، ومع الاتّحاد فالموجودُ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من ليس هناك ذكرٌ أكبر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الحَبْوة للولد وهو موضعُ وفاق والنصوص دالّة عليه والأصل يقتضي نفيها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الذكر، والأخبار المتقدّم بعضها مصرّح به وهو الأكثر، وفي صحيحة ربعي الأُولى أنّها لأكبر ولده</w:t>
      </w:r>
      <w:r>
        <w:rPr>
          <w:rStyle w:val="FootnoteAnchor"/>
          <w:rtl w:val="true"/>
        </w:rPr>
        <w:footnoteReference w:id="1219"/>
      </w:r>
      <w:r>
        <w:rPr>
          <w:rFonts w:ascii="Amiri" w:hAnsi="Amiri" w:eastAsia="Amiri" w:cs="Amiri"/>
          <w:color w:val="111111"/>
          <w:sz w:val="28"/>
          <w:sz w:val="28"/>
          <w:szCs w:val="28"/>
          <w:rtl w:val="true"/>
          <w:lang w:bidi="ar-SA"/>
        </w:rPr>
        <w:t>، وكذلك صَدْرُ الثانية</w:t>
      </w:r>
      <w:r>
        <w:rPr>
          <w:rStyle w:val="FootnoteAnchor"/>
          <w:rtl w:val="true"/>
        </w:rPr>
        <w:footnoteReference w:id="1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والولد يشمل الذكر والأنثى إلّا أنّه محمولٌ على الذكر؛ جمعاً؛ ولأنه مطلق والباقي مقيّد فيجب حمل المطلق عليه؛ وللإجماع أيضاً</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الأكبر مع التعدّد، وهو مع الإجماع مصرّح في أكثر الأخبار، بل ما عدا رواية شعيب</w:t>
      </w:r>
      <w:r>
        <w:rPr>
          <w:rStyle w:val="FootnoteAnchor"/>
          <w:rtl w:val="true"/>
        </w:rPr>
        <w:footnoteReference w:id="1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النصوص والفتاوى أنّ المراد به الأكبرُ سِنّاً، فلو كان الأكبرُ منه بالغاً بالإنبات أو الاحتلام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 الأسنّ هنا وإن وجب القضاء على البالغ مع احتمال ترجيح البالغ مطلقاً وتساويهما فيها؛ لاشتمال كلّ منهما على مرجّح فى الكبر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أكبر الذكور وإن كان هناك أنثى أكبر منه، وهو مُصرَّح به في صحيحة ربعي الثانية، والظاهرُ من غيرها، ويَظهرُ من عبارة ابن الجُنَيْد عدم الحبوة هنا؛ لتخصيصه الحكم بالولد الأكبر إذا كان ذكراً، وقد تقدَّم</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اتحاد الذكر تكون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مُصرَّح به في الأخبار الثلاثة الأخيرة، لكنّ الصحيحان والحسن خالية عنه، وكذا فتاوى أكثر الفقهاء؛ فإنّهم يُعبّرون باستحقاق الأكبر وهو يقتضى مُفضَّلاً عليه، إلّا أنّ المراد ما ذكرناه من أنه من ليس هناك ذكرٌ أكبر منه وإن كانت عبارتهم محتملة لغيره، واعتبار وجود المُفضَّل عليه في أفعل التفضيل أكثري لا 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الشروط الخمسة لا خلاف فيها ظاهراً إلا في الرابع على ظاهر عبارة ابن الجُنَيْد، لكن لم ينقل أحدٌ عنه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شروطٌ أُخر فى المحبو مُختلفٌ أو مشكوكٌ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للصُلْب، وفي اعتباره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قطع العلّامة في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 </w:t>
      </w:r>
      <w:r>
        <w:rPr>
          <w:rStyle w:val="FootnoteAnchor"/>
          <w:rtl w:val="true"/>
        </w:rPr>
        <w:footnoteReference w:id="1223"/>
      </w:r>
      <w:r>
        <w:rPr>
          <w:rFonts w:ascii="Amiri" w:hAnsi="Amiri" w:eastAsia="Amiri" w:cs="Amiri"/>
          <w:color w:val="111111"/>
          <w:sz w:val="28"/>
          <w:sz w:val="28"/>
          <w:szCs w:val="28"/>
          <w:rtl w:val="true"/>
          <w:lang w:bidi="ar-SA"/>
        </w:rPr>
        <w:t>إمّا لأنّه المُتبادر من لفظ الولد الأكبر في النصّ والفتوى، أو لأنّ الحبوة في مقابلة قضاء ما فاته من صلاة وصيام، سواءٌ جعلناه شرطاً فيها أم جعلناه حكمةً إثباتها، ولا قضاء على ولد الولد فلا حَبوةً له، أو للاقتصار بما خالف الأصل على موضع اليقين و محل الوفاق وهو ولد الصلب</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التعدّي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يصدق عليه شرعاً أو لغةً أنه أكبر الولد الذكور وإن كان ولدَ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 في عموم اللفظ أو إطلاقه، إذ لا شُبهة في أنّ ولد الولد الذكر يُطلق عليه أنه ولد، وإنّما الشبهة في ولد الأنثى، ولدخوله في مثل 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يُوصِيكُمُ اللّه فِي أَوْلَادِكُمْ </w:t>
      </w:r>
      <w:r>
        <w:rPr>
          <w:rStyle w:val="FootnoteAnchor"/>
          <w:rtl w:val="true"/>
        </w:rPr>
        <w:footnoteReference w:id="1224"/>
      </w:r>
      <w:r>
        <w:rPr>
          <w:rFonts w:ascii="Amiri" w:hAnsi="Amiri" w:eastAsia="Amiri" w:cs="Amiri"/>
          <w:color w:val="111111"/>
          <w:sz w:val="28"/>
          <w:sz w:val="28"/>
          <w:szCs w:val="28"/>
          <w:rtl w:val="true"/>
          <w:lang w:bidi="ar-SA"/>
        </w:rPr>
        <w:t>وَحَلَبِلُ أَبْنَابِكُمْ</w:t>
      </w:r>
      <w:r>
        <w:rPr>
          <w:rFonts w:eastAsia="Amiri" w:cs="Amiri" w:ascii="Amiri" w:hAnsi="Amiri"/>
          <w:color w:val="111111"/>
          <w:sz w:val="28"/>
          <w:szCs w:val="28"/>
          <w:rtl w:val="true"/>
          <w:lang w:bidi="ar-SA"/>
        </w:rPr>
        <w:t>»</w:t>
      </w:r>
      <w:r>
        <w:rPr>
          <w:rStyle w:val="FootnoteAnchor"/>
          <w:rtl w:val="true"/>
        </w:rPr>
        <w:footnoteReference w:id="1225"/>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لم أقف على قول صريح فيه وإن كانت العبارات المطلقة في الولد محتملة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فالاعتماد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عند وفاة أبيه منفصلاً، فلو كان حملاً ففي استحقاقه للحبوة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الاستحقاق لصدق كونه ولداً في نفس الأمر وإنْ لم يتحقّق ظاهراً، ومن ثُمَّ أجمع على استحقاقه الإرث بحسب ما يتّفق من ذكوريته وأنوثيّته، وما ذاك إلّا لدخوله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فِى أَوْلَادِكُمْ</w:t>
      </w:r>
      <w:r>
        <w:rPr>
          <w:rFonts w:eastAsia="Amiri" w:cs="Amiri" w:ascii="Amiri" w:hAnsi="Amiri"/>
          <w:color w:val="111111"/>
          <w:sz w:val="28"/>
          <w:szCs w:val="28"/>
          <w:rtl w:val="true"/>
          <w:lang w:bidi="ar-SA"/>
        </w:rPr>
        <w:t xml:space="preserve">» </w:t>
      </w:r>
      <w:r>
        <w:rPr>
          <w:rStyle w:val="FootnoteAnchor"/>
          <w:rtl w:val="true"/>
        </w:rPr>
        <w:footnoteReference w:id="1226"/>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لعدم الحكم حال الاحتياج إليه وهو موت المورث بكونه ذَكراً، والأحكام الشرعيّة مبنيّة على الظاهر، خصوصاً إذا كان عند الموت غير متحقّق بالخلقة الذكريّة بأن كان عَلَقَةً أو مُضْغَةً أو غيرهما؛ فإنّه لا يصدق حينئذٍ أنّ للميّت ذكراً، ولأنّ إفراد الحبوة ذلك الوقت إنْ حُكم بها له كان حكماً غير مطابق للواقع؛ لأنه ليس بذكرٍ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حُكم بها للورثة استُصحِبَ الحُكم وعُمِلَ بأصالة عدم المزيل إلى أن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انتفى الأمران لزم بقاء المال بغير مالك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بعينه وارد في سهم الحمل قبل انفصاله مع الإجماع على إيقافه له واستحقاقه نصيب الذكر وإن كان علقةً أو ما دونها، فهلا كان هذا كذلك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الفرق بثبوت هذا بالإجماع أولاً بخلاف موضع النزاع، مضافاً إلى أصالة عدم الاستحقاق وبأن الحمل يرتُ من حيث كونه ولداً أعم من كونه ذكراً أو أُنثى أو خنثى، وهو متحقق في جميع الأحوال، ومن ثُمَّ حُكِمَ على الأمةِ بكونها أُمَّ ولدٍ بوضع </w:t>
      </w:r>
    </w:p>
    <w:p>
      <w:pPr>
        <w:pStyle w:val="BookText"/>
        <w:rPr/>
      </w:pPr>
      <w:r>
        <w:rPr>
          <w:rFonts w:ascii="Amiri" w:hAnsi="Amiri" w:eastAsia="Amiri" w:cs="Amiri"/>
          <w:color w:val="111111"/>
          <w:sz w:val="28"/>
          <w:sz w:val="28"/>
          <w:szCs w:val="28"/>
          <w:rtl w:val="true"/>
          <w:lang w:bidi="ar-SA"/>
        </w:rPr>
        <w:t xml:space="preserve">العَلَقَةِ وما يكون مبدأ نشوء آدمي، وأُدخلت في عموم النهي عن بيع أُمّ الولد، بخلاف صورة النزاع؛ فإنّ الحُكْمَ مُعلَّق على الولد الذكر، وهو غير مُتحقِّق قبل تخلقه ذكراً وانْ سلّم استحقاقه بعد ذلك إذا تحقّق في نفس الأمر، وكيف كان فالشك في الحُكْمِ المخالفِ للأُصول يوجب اطراحه وإن كان الحكم باستحقاقه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عند الموت مُتخلّقاً بالذكوريّة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أوجة، وإنّما يقوى الإشكال قبل تلك الحالة، ولم أقف فى هذا الشرط على شيءٍ يُعتَدُّ و يُعتَدُّ به للأصحاب وإن كان الأجودُ عموم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متحقق الذكورية، فلو كان محتملاً لها وللأنوثية كالخُنثى المشكل، ففي استحقاقه الحبوة في الجملة أو عدمه وجهان</w:t>
      </w:r>
    </w:p>
    <w:p>
      <w:pPr>
        <w:pStyle w:val="BookText"/>
        <w:rPr/>
      </w:pPr>
      <w:r>
        <w:rPr>
          <w:rFonts w:ascii="Amiri" w:hAnsi="Amiri" w:eastAsia="Amiri" w:cs="Amiri"/>
          <w:color w:val="111111"/>
          <w:sz w:val="28"/>
          <w:sz w:val="28"/>
          <w:szCs w:val="28"/>
          <w:rtl w:val="true"/>
          <w:lang w:bidi="ar-SA"/>
        </w:rPr>
        <w:t>أحدهما العدم لتعليق الحُكم في النصوص والفتاوى على الولد الذكر وهذا ليس بذكرٍ، أو ليس متحقّقاً بالذكوريّة فلا يستحق أو لا يتحقّق استحقاقه فيرجع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يستحق نصف الحبوة بناءً على انحصاره في الذكوريّة والأنوثيّة؛ لبطلان الحكم بالطبيعة الثالثة كما نُبِّه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يَهَبُ لِمَن يَشَاءُ إِنَنا وَيَهَبُ لِمَن يَشَاءُ الذُّكُورَ</w:t>
      </w:r>
      <w:r>
        <w:rPr>
          <w:rFonts w:eastAsia="Amiri" w:cs="Amiri" w:ascii="Amiri" w:hAnsi="Amiri"/>
          <w:color w:val="111111"/>
          <w:sz w:val="28"/>
          <w:szCs w:val="28"/>
          <w:rtl w:val="true"/>
          <w:lang w:bidi="ar-SA"/>
        </w:rPr>
        <w:t>»</w:t>
      </w:r>
      <w:r>
        <w:rPr>
          <w:rStyle w:val="FootnoteAnchor"/>
          <w:rtl w:val="true"/>
        </w:rPr>
        <w:footnoteReference w:id="1227"/>
      </w:r>
      <w:r>
        <w:rPr>
          <w:rFonts w:ascii="Amiri" w:hAnsi="Amiri" w:eastAsia="Amiri" w:cs="Amiri"/>
          <w:color w:val="111111"/>
          <w:sz w:val="28"/>
          <w:sz w:val="28"/>
          <w:szCs w:val="28"/>
          <w:rtl w:val="true"/>
          <w:lang w:bidi="ar-SA"/>
        </w:rPr>
        <w:t xml:space="preserve">الآية وغيرها </w:t>
      </w:r>
      <w:r>
        <w:rPr>
          <w:rStyle w:val="FootnoteAnchor"/>
          <w:rtl w:val="true"/>
        </w:rPr>
        <w:footnoteReference w:id="1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والخُنثى كما يحتمل الأنوثيّة يحتمل الذكورية، ومن ثمَّ استحقّ نِصف النصيبين بالنصّ</w:t>
      </w:r>
      <w:r>
        <w:rPr>
          <w:rStyle w:val="FootnoteAnchor"/>
          <w:rtl w:val="true"/>
        </w:rPr>
        <w:footnoteReference w:id="1229"/>
      </w:r>
      <w:r>
        <w:rPr>
          <w:rFonts w:ascii="Amiri" w:hAnsi="Amiri" w:eastAsia="Amiri" w:cs="Amiri"/>
          <w:color w:val="111111"/>
          <w:sz w:val="28"/>
          <w:sz w:val="28"/>
          <w:szCs w:val="28"/>
          <w:rtl w:val="true"/>
          <w:lang w:bidi="ar-SA"/>
        </w:rPr>
        <w:t>، فيستحقّ نصف الحبوة؛ لأنه نصف النصيب على تقدير الذكوريّة والأنوثيّة</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ويُضعف بأنّ استحقاقه كذلك في السهم إنما جاء من قِبَلِ النصّ</w:t>
      </w:r>
      <w:r>
        <w:rPr>
          <w:rStyle w:val="FootnoteAnchor"/>
          <w:rtl w:val="true"/>
        </w:rPr>
        <w:footnoteReference w:id="1230"/>
      </w:r>
      <w:r>
        <w:rPr>
          <w:rFonts w:ascii="Amiri" w:hAnsi="Amiri" w:eastAsia="Amiri" w:cs="Amiri"/>
          <w:color w:val="111111"/>
          <w:sz w:val="28"/>
          <w:sz w:val="28"/>
          <w:szCs w:val="28"/>
          <w:rtl w:val="true"/>
          <w:lang w:bidi="ar-SA"/>
        </w:rPr>
        <w:t>، ومن ثَمَّ ردّهُ جماعةٌ</w:t>
      </w:r>
      <w:r>
        <w:rPr>
          <w:rStyle w:val="FootnoteAnchor"/>
          <w:rtl w:val="true"/>
        </w:rPr>
        <w:footnoteReference w:id="1231"/>
      </w:r>
      <w:r>
        <w:rPr>
          <w:rFonts w:ascii="Amiri" w:hAnsi="Amiri" w:eastAsia="Amiri" w:cs="Amiri"/>
          <w:color w:val="111111"/>
          <w:sz w:val="28"/>
          <w:sz w:val="28"/>
          <w:szCs w:val="28"/>
          <w:rtl w:val="true"/>
          <w:lang w:bidi="ar-SA"/>
        </w:rPr>
        <w:t xml:space="preserve">، ولولاء لكان القول بتوريثه بالقرعة أوجه وهو مفقودٌ هنا، بل ظاهرٌ في خلافه </w:t>
      </w:r>
    </w:p>
    <w:p>
      <w:pPr>
        <w:pStyle w:val="BookText"/>
        <w:rPr/>
      </w:pPr>
      <w:r>
        <w:rPr>
          <w:rFonts w:ascii="Amiri" w:hAnsi="Amiri" w:eastAsia="Amiri" w:cs="Amiri"/>
          <w:color w:val="111111"/>
          <w:sz w:val="28"/>
          <w:sz w:val="28"/>
          <w:szCs w:val="28"/>
          <w:rtl w:val="true"/>
          <w:lang w:bidi="ar-SA"/>
        </w:rPr>
        <w:t>فكان الرجوع إلى القرعة متوجّهاً إن لم يكن عدم الاستحقاق أوجه لأنها لكل أمرٍ مُشكل، وعلى تقدير انحصاره في الطبيعتين فهو في نفس الأمر إحداهما فيُستخرج بالقرعة، وفي الانحصار نظرُ وفي الحكم إشكالٌ، وعدم الاستحقاق مطلقاً 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هنا أيضاً على شيءٍ مُعتَدٍ به للأصحاب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 كونه بالغاً، وفي اعتباره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صرّح به ابن حمزة</w:t>
      </w:r>
      <w:r>
        <w:rPr>
          <w:rStyle w:val="FootnoteAnchor"/>
          <w:rtl w:val="true"/>
        </w:rPr>
        <w:footnoteReference w:id="1232"/>
      </w:r>
      <w:r>
        <w:rPr>
          <w:rFonts w:ascii="Amiri" w:hAnsi="Amiri" w:eastAsia="Amiri" w:cs="Amiri"/>
          <w:color w:val="111111"/>
          <w:sz w:val="28"/>
          <w:sz w:val="28"/>
          <w:szCs w:val="28"/>
          <w:rtl w:val="true"/>
          <w:lang w:bidi="ar-SA"/>
        </w:rPr>
        <w:t>وهو ظاهر ابن إدريس</w:t>
      </w:r>
      <w:r>
        <w:rPr>
          <w:rStyle w:val="FootnoteAnchor"/>
          <w:rtl w:val="true"/>
        </w:rPr>
        <w:footnoteReference w:id="1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وبناؤه على أنّها في مقابلة القضاء وهو منتفٍ عن الصبيّ فينتفي ما قابله من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ما يدلُّ على ضعف الملازمة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الأظهر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اعتباره فَيُخبى الصغير مطلقاً، لعموم النصّ وعدم التلازم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خامسها كونه عاقلاً، وفي اعتباره القولان وعدمه أظهر؛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وسادسها كونه سَديدَ الرأي، بأن يكون معتقداً للحقِّ مؤمناً بالمعنى الخاصِّ، وفي اعتباره قولان</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المشهور بين المتأخّرين وممن صرّح به من المتقدّمين ابن حمزة</w:t>
      </w:r>
      <w:r>
        <w:rPr>
          <w:rStyle w:val="FootnoteAnchor"/>
          <w:rtl w:val="true"/>
        </w:rPr>
        <w:footnoteReference w:id="1234"/>
      </w:r>
      <w:r>
        <w:rPr>
          <w:rFonts w:ascii="Amiri" w:hAnsi="Amiri" w:eastAsia="Amiri" w:cs="Amiri"/>
          <w:color w:val="111111"/>
          <w:sz w:val="28"/>
          <w:sz w:val="28"/>
          <w:szCs w:val="28"/>
          <w:rtl w:val="true"/>
          <w:lang w:bidi="ar-SA"/>
        </w:rPr>
        <w:t>وابنُ إدريس</w:t>
      </w:r>
      <w:r>
        <w:rPr>
          <w:rStyle w:val="FootnoteAnchor"/>
          <w:rtl w:val="true"/>
        </w:rPr>
        <w:footnoteReference w:id="1235"/>
      </w:r>
      <w:r>
        <w:rPr>
          <w:rFonts w:ascii="Amiri" w:hAnsi="Amiri" w:eastAsia="Amiri" w:cs="Amiri"/>
          <w:color w:val="111111"/>
          <w:sz w:val="28"/>
          <w:sz w:val="28"/>
          <w:szCs w:val="28"/>
          <w:rtl w:val="true"/>
          <w:lang w:bidi="ar-SA"/>
        </w:rPr>
        <w:t>، ومن تأخَّر عنه</w:t>
      </w:r>
      <w:r>
        <w:rPr>
          <w:rStyle w:val="FootnoteAnchor"/>
          <w:rtl w:val="true"/>
        </w:rPr>
        <w:footnoteReference w:id="1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 ولم يذكروا له حجّةٌ مُقنِعَةً؛ لكنّه يناسب أصل ابن حمزة في القضاء، فإنّ المخالف لا يرى وجوبه فلا يُخبى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الاحتجاج للآخرين بأنّ المخالف أيضاً لا يعتقد استحقاق الحبوة بل يعتقد أنها كسائر التركة بين الورّاث فيُمنَع منها إلزاماً له بمُعتقده، كما يُلزم بغيره من الأحكام الشرعيّة الموافقة له، </w:t>
      </w:r>
    </w:p>
    <w:p>
      <w:pPr>
        <w:pStyle w:val="BookText"/>
        <w:rPr/>
      </w:pPr>
      <w:r>
        <w:rPr>
          <w:rFonts w:ascii="Amiri" w:hAnsi="Amiri" w:eastAsia="Amiri" w:cs="Amiri"/>
          <w:color w:val="111111"/>
          <w:sz w:val="28"/>
          <w:sz w:val="28"/>
          <w:szCs w:val="28"/>
          <w:rtl w:val="true"/>
          <w:lang w:bidi="ar-SA"/>
        </w:rPr>
        <w:t xml:space="preserve">ومن ثُمَّ يُعْسَّلُ ويُصَلِّى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بمعتقده، وتُباحُ مطلَّقته ثلاثاً ولاءً وبغير شهودٍ، ويُشارك في سهم العصبة، وغير ذلك، فيكون هنا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حسن وإن كان عموم النصّ يدفعه؛ فإنّه مخصوص بما ورد أيضاً من إلزامهم بما ألزموا به أنفسهم</w:t>
      </w:r>
      <w:r>
        <w:rPr>
          <w:rStyle w:val="FootnoteAnchor"/>
          <w:rtl w:val="true"/>
        </w:rPr>
        <w:footnoteReference w:id="1237"/>
      </w:r>
      <w:r>
        <w:rPr>
          <w:rFonts w:ascii="Amiri" w:hAnsi="Amiri" w:eastAsia="Amiri" w:cs="Amiri"/>
          <w:color w:val="111111"/>
          <w:sz w:val="28"/>
          <w:sz w:val="28"/>
          <w:szCs w:val="28"/>
          <w:rtl w:val="true"/>
          <w:lang w:bidi="ar-SA"/>
        </w:rPr>
        <w:t>، والمضيّ معهم في أحكامهم</w:t>
      </w:r>
      <w:r>
        <w:rPr>
          <w:rStyle w:val="FootnoteAnchor"/>
          <w:rtl w:val="true"/>
        </w:rPr>
        <w:footnoteReference w:id="1238"/>
      </w:r>
      <w:r>
        <w:rPr>
          <w:rFonts w:ascii="Amiri" w:hAnsi="Amiri" w:eastAsia="Amiri" w:cs="Amiri"/>
          <w:color w:val="111111"/>
          <w:sz w:val="28"/>
          <w:sz w:val="28"/>
          <w:szCs w:val="28"/>
          <w:rtl w:val="true"/>
          <w:lang w:bidi="ar-SA"/>
        </w:rPr>
        <w:t>، والنصوص به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غير سفيهٍ، وهذا الشرطُ ذكره ابن إدريس</w:t>
      </w:r>
      <w:r>
        <w:rPr>
          <w:rStyle w:val="FootnoteAnchor"/>
          <w:rtl w:val="true"/>
        </w:rPr>
        <w:footnoteReference w:id="1239"/>
      </w:r>
      <w:r>
        <w:rPr>
          <w:rFonts w:ascii="Amiri" w:hAnsi="Amiri" w:eastAsia="Amiri" w:cs="Amiri"/>
          <w:color w:val="111111"/>
          <w:sz w:val="28"/>
          <w:sz w:val="28"/>
          <w:szCs w:val="28"/>
          <w:rtl w:val="true"/>
          <w:lang w:bidi="ar-SA"/>
        </w:rPr>
        <w:t>وتبعه عليه المتأخّرون</w:t>
      </w:r>
      <w:r>
        <w:rPr>
          <w:rStyle w:val="FootnoteAnchor"/>
          <w:rtl w:val="true"/>
        </w:rPr>
        <w:footnoteReference w:id="1240"/>
      </w:r>
      <w:r>
        <w:rPr>
          <w:rFonts w:ascii="Amiri" w:hAnsi="Amiri" w:eastAsia="Amiri" w:cs="Amiri"/>
          <w:color w:val="111111"/>
          <w:sz w:val="28"/>
          <w:sz w:val="28"/>
          <w:szCs w:val="28"/>
          <w:rtl w:val="true"/>
          <w:lang w:bidi="ar-SA"/>
        </w:rPr>
        <w:t>ولم نقف على مأخذه، وعموم النصّ يدفعه، والأقوى عدم اعتباره، وهو اختيار المحقّق الشيخ علي صريحاً</w:t>
      </w:r>
      <w:r>
        <w:rPr>
          <w:rStyle w:val="FootnoteAnchor"/>
          <w:rtl w:val="true"/>
        </w:rPr>
        <w:footnoteReference w:id="1241"/>
      </w:r>
      <w:r>
        <w:rPr>
          <w:rFonts w:ascii="Amiri" w:hAnsi="Amiri" w:eastAsia="Amiri" w:cs="Amiri"/>
          <w:color w:val="111111"/>
          <w:sz w:val="28"/>
          <w:sz w:val="28"/>
          <w:szCs w:val="28"/>
          <w:rtl w:val="true"/>
          <w:lang w:bidi="ar-SA"/>
        </w:rPr>
        <w:t>، ومال إليه الشهيد في الدروس</w:t>
      </w:r>
      <w:r>
        <w:rPr>
          <w:rStyle w:val="FootnoteAnchor"/>
          <w:rtl w:val="true"/>
        </w:rPr>
        <w:footnoteReference w:id="1242"/>
      </w:r>
      <w:r>
        <w:rPr>
          <w:rFonts w:ascii="Amiri" w:hAnsi="Amiri" w:eastAsia="Amiri" w:cs="Amiri"/>
          <w:color w:val="111111"/>
          <w:sz w:val="28"/>
          <w:sz w:val="28"/>
          <w:szCs w:val="28"/>
          <w:rtl w:val="true"/>
          <w:lang w:bidi="ar-SA"/>
        </w:rPr>
        <w:t>لأنه نقل الشرط عن ابن إدريس مقتصراً على النقل، وهو يُشعرُ بتمريضه كما هي عادته؛ لكنّه في اللمعة قطع،باشتراطه</w:t>
      </w:r>
      <w:r>
        <w:rPr>
          <w:rStyle w:val="FootnoteAnchor"/>
          <w:rtl w:val="true"/>
        </w:rPr>
        <w:footnoteReference w:id="1243"/>
      </w:r>
      <w:r>
        <w:rPr>
          <w:rFonts w:ascii="Amiri" w:hAnsi="Amiri" w:eastAsia="Amiri" w:cs="Amiri"/>
          <w:color w:val="111111"/>
          <w:sz w:val="28"/>
          <w:sz w:val="28"/>
          <w:szCs w:val="28"/>
          <w:rtl w:val="true"/>
          <w:lang w:bidi="ar-SA"/>
        </w:rPr>
        <w:t>، وكلام الأولين خال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متحداً، فلو كان الأكبر متعدّداً ففي اشتراكهم في الحَبْوَة أو عدم استحقاقهم أصلاً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اشتراطه صرّح به ابن حمزة</w:t>
      </w:r>
      <w:r>
        <w:rPr>
          <w:rStyle w:val="FootnoteAnchor"/>
          <w:rtl w:val="true"/>
        </w:rPr>
        <w:footnoteReference w:id="1244"/>
      </w:r>
      <w:r>
        <w:rPr>
          <w:rFonts w:ascii="Amiri" w:hAnsi="Amiri" w:eastAsia="Amiri" w:cs="Amiri"/>
          <w:color w:val="111111"/>
          <w:sz w:val="28"/>
          <w:sz w:val="28"/>
          <w:szCs w:val="28"/>
          <w:rtl w:val="true"/>
          <w:lang w:bidi="ar-SA"/>
        </w:rPr>
        <w:t>نظراً إلى ظاهر النصوص؛ فإنّها تضمّنت الولد الذكر وهو متّحد، ولأنّه مع التعدّد لا يصدق استحقاق كلّ واحدٍ ما حكم باستحقاق واحدٍ منه كالسيف والمُصحَفِ؛ لأنّ بعض الواحد منهما ليس هو، فلا يدخل في ظواهر النصوص ؛ وقوفاً فيما خالف الأصل على موضع اليقين</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عدم اشتراطه لصدق اسم الولد الأكبر على كلّ من المتعدّد؛ </w:t>
      </w:r>
    </w:p>
    <w:p>
      <w:pPr>
        <w:pStyle w:val="BookText"/>
        <w:rPr/>
      </w:pPr>
      <w:r>
        <w:rPr>
          <w:rFonts w:ascii="Amiri" w:hAnsi="Amiri" w:eastAsia="Amiri" w:cs="Amiri"/>
          <w:color w:val="111111"/>
          <w:sz w:val="28"/>
          <w:sz w:val="28"/>
          <w:szCs w:val="28"/>
          <w:rtl w:val="true"/>
          <w:lang w:bidi="ar-SA"/>
        </w:rPr>
        <w:t xml:space="preserve">ولأنّه اسم جنس لا ينافي التعدّد، والاشتراك في السيفِ الواحد والمُصحف غير مانع، كما لو لم يكن للميّت سوى السيف على أحد الوجهين السابقين؛ ولعموم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أمرتكم بأمرٍ فأتوا منه ما استطعتم</w:t>
      </w:r>
      <w:r>
        <w:rPr>
          <w:rFonts w:eastAsia="Amiri" w:cs="Amiri" w:ascii="Amiri" w:hAnsi="Amiri"/>
          <w:color w:val="111111"/>
          <w:sz w:val="28"/>
          <w:szCs w:val="28"/>
          <w:rtl w:val="true"/>
          <w:lang w:bidi="ar-SA"/>
        </w:rPr>
        <w:t>»</w:t>
      </w:r>
      <w:r>
        <w:rPr>
          <w:rStyle w:val="FootnoteAnchor"/>
          <w:rtl w:val="true"/>
        </w:rPr>
        <w:footnoteReference w:id="1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 الميسور بالمعسور</w:t>
      </w:r>
      <w:r>
        <w:rPr>
          <w:rFonts w:eastAsia="Amiri" w:cs="Amiri" w:ascii="Amiri" w:hAnsi="Amiri"/>
          <w:color w:val="111111"/>
          <w:sz w:val="28"/>
          <w:szCs w:val="28"/>
          <w:rtl w:val="true"/>
          <w:lang w:bidi="ar-SA"/>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فيتحقَّق التساوي في الوصف بأن تولدا من امرأتين في وقت واحدٍ، وكذا لو وُلِدا من امرأةٍ دفعةً وإن كان الفرضُ بعيداً، ولو ولد التوأمان على التعاقب ففي اشتراكهما فى الأكبريّة نظر من زيادة سنّ السابق على المسبوق ولو بيسير فيصدُقُ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عدم الاعتداد بمثل ذلك عرفاً، وهذا هو الأقوى بشاهد العرف على أنّ مثل هذا التفاوت لا يؤثر في 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وُلدا من امرأتين في وقتين متقاربين، إلّا أنّ العرف قد يأبى هذا القسم في بعض الموارد وإنْ قَبله فى التوأمين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فالمرجِعُ في ذلك إلى العرفِ فَمَن عدّهما متساويين في السن تشاركا فيها وإلّا فلا، وإن حصل الشكُ اسْتَحَقَّ السابق؛ لأنّه المتيقن، وكذا لو زاد عن اثنين</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يقضي ما فات أباه من صلاة وصيام، وفي اعتباره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الشرط صرَّح ابن حمزة جاعلاً الحبوة عوضاً عن القضاء</w:t>
      </w:r>
      <w:r>
        <w:rPr>
          <w:rStyle w:val="FootnoteAnchor"/>
          <w:rtl w:val="true"/>
        </w:rPr>
        <w:footnoteReference w:id="1247"/>
      </w:r>
      <w:r>
        <w:rPr>
          <w:rFonts w:ascii="Amiri" w:hAnsi="Amiri" w:eastAsia="Amiri" w:cs="Amiri"/>
          <w:color w:val="111111"/>
          <w:sz w:val="28"/>
          <w:sz w:val="28"/>
          <w:szCs w:val="28"/>
          <w:rtl w:val="true"/>
          <w:lang w:bidi="ar-SA"/>
        </w:rPr>
        <w:t>، فإذا لم يفعل المعوض لا يستحق العوض والأظهرُ عدم الاشتراط والتلازم غير ظاهر، وإنّما دلّت النصوص على استحقاقه لها وعلى وجوب القضاء، فإذا لم يفعل عصى ولم يبطل الاستحقاق وعليه يتفرّع استحقاق الطفل والمجنون لها وإن لم يقضيا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قول ابن حمزة هل تُشتَرطُ المبادرة إلى القضاء أو يكفي العزم عليه ؟ الظاهر الثاني، لكن يكون استحقاقه لها حينئذٍ مراعيَّ بالقضاء، فلو أخلّ به كان ضامناً لها لفقد المعوّض، ويُحتمل على مذهبه وجوب تقديم القضاء على الاستحقاق؛ ليتحقّق </w:t>
      </w:r>
    </w:p>
    <w:p>
      <w:pPr>
        <w:pStyle w:val="BookText"/>
        <w:rPr/>
      </w:pPr>
      <w:r>
        <w:rPr>
          <w:rFonts w:ascii="Amiri" w:hAnsi="Amiri" w:eastAsia="Amiri" w:cs="Amiri"/>
          <w:color w:val="111111"/>
          <w:sz w:val="28"/>
          <w:sz w:val="28"/>
          <w:szCs w:val="28"/>
          <w:rtl w:val="true"/>
          <w:lang w:bidi="ar-SA"/>
        </w:rPr>
        <w:t>استحقاقه للعوض، إذ ليس هناك عقد لازم أوجب ملكه لها فلابدّ من سببٍ يوجبه وهو القضاء، ولأنّ العزم لو كان كافياً لاستحقها الطفل إذا عزم على القضاء بعد البلوغ إلّا أن تعتبر صلاحيّته للقضاء بالفعل، وظاهر عبارته أنه لا يستحقها إلّا مع القضاء بالفعل؛ لأنّه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يأخذ الابن الأكبر ثياب بدن الوالد وخاتمه الذي يلبسه وسيفه ومُصحفه بخمسة 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ثبات العقل، وسداد الرأي، وفقد آخر في سنه، وحصول تَرِكَةٍ سوى ما ذكرناهُ، وقيامه بقضاء ما فاته من صلاةٍ وصيامٍ</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القيام بالقضاء شرطاً للأخذ يقتضي تقدّمه على المشروط؛ لأنّه قضيّة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جملة الشروط المعتبرة في المحبو ولو على قول أو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لا فرق في الولد الجامع للشرائط بين كونه متولّداً عن عقد صحيح وملك ووطء شبهةٍ، وضابطه لحوقه بالأب شرعاً؛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لثاني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تُسْتَحَقُ الحَبُوةُ في تَرِكَتِه ؟ فقد ظهر من تضاعيف مَنْ يَسْتَحقَّها، فهو أبو الولد الذكر الأكبر بالشرائط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اشتراط إسلامه وإيمانه نظر من عموم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والنظر إلى اعتقاده عدم الاستحقاق، وكونها في مقابلة القضاء ولا قضاء عن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المُخالِف 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بأنّ اعتقاده لا يؤثِّر في استحقاق غيره مؤاخذته، وإنّما يؤاخذ به المُعتقد وهو لا يتوجّه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ارتباطها بالقضاء فقد ظهر عدمه، فاتّجه القول بعدم اشتراطهما فيستحق عليه مطلقاً</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الميّت خُنثى وقد اتَّفَقَ تولّد الولد منه إمّا لشبهة أو بناءً على جواز تزويجه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فرضه الشيخ</w:t>
      </w:r>
      <w:r>
        <w:rPr>
          <w:rStyle w:val="FootnoteAnchor"/>
          <w:rtl w:val="true"/>
        </w:rPr>
        <w:footnoteReference w:id="1249"/>
      </w:r>
      <w:r>
        <w:rPr>
          <w:rFonts w:ascii="Amiri" w:hAnsi="Amiri" w:eastAsia="Amiri" w:cs="Amiri"/>
          <w:color w:val="111111"/>
          <w:sz w:val="28"/>
          <w:sz w:val="28"/>
          <w:szCs w:val="28"/>
          <w:rtl w:val="true"/>
          <w:lang w:bidi="ar-SA"/>
        </w:rPr>
        <w:t xml:space="preserve">وجماعة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الميراث، وحكموا بأنّه لو كان زوجاً أو زوجةً فله نصف النصيبين </w:t>
      </w:r>
      <w:r>
        <w:rPr>
          <w:rStyle w:val="FootnoteAnchor"/>
          <w:rtl w:val="true"/>
        </w:rPr>
        <w:footnoteReference w:id="1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استحقاق ولده الحبوة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ظهور الأبوّة وعموم النصوص</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الشك في إطلاق الأبوة هنا للشك في الذكورية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عدم الاستحقاق للشكّ، فيرجع إلى الأصل</w:t>
      </w:r>
      <w:r>
        <w:rPr>
          <w:rFonts w:eastAsia="Amiri" w:cs="Amiri" w:ascii="Amiri" w:hAnsi="Amiri"/>
          <w:color w:val="111111"/>
          <w:sz w:val="28"/>
          <w:szCs w:val="28"/>
          <w:rtl w:val="true"/>
          <w:lang w:bidi="ar-SA"/>
        </w:rPr>
        <w:t xml:space="preserve">. </w:t>
      </w:r>
      <w:bookmarkStart w:id="722" w:name="pg10113_92333"/>
    </w:p>
    <w:p>
      <w:pPr>
        <w:pStyle w:val="Heading4"/>
        <w:numPr>
          <w:ilvl w:val="3"/>
          <w:numId w:val="1"/>
        </w:numPr>
        <w:rPr/>
      </w:pPr>
      <w:bookmarkStart w:id="723" w:name="__RefHeading___Toc375665_1067777946"/>
      <w:bookmarkStart w:id="724" w:name="_Toc241"/>
      <w:bookmarkEnd w:id="722"/>
      <w:bookmarkEnd w:id="723"/>
      <w:r>
        <w:rPr>
          <w:rtl w:val="true"/>
        </w:rPr>
        <w:t>كيف تستحق الحبوة</w:t>
      </w:r>
      <w:r>
        <w:rPr>
          <w:rtl w:val="true"/>
        </w:rPr>
        <w:t xml:space="preserve">: </w:t>
      </w:r>
      <w:r>
        <w:rPr>
          <w:rtl w:val="true"/>
        </w:rPr>
        <w:t>مجاناً، أم بالقيمة السوقيّة؟</w:t>
      </w:r>
      <w:bookmarkEnd w:id="724"/>
    </w:p>
    <w:p>
      <w:pPr>
        <w:pStyle w:val="BookText"/>
        <w:rPr/>
      </w:pPr>
      <w:r>
        <w:rPr>
          <w:rFonts w:ascii="Amiri" w:hAnsi="Amiri" w:eastAsia="Amiri" w:cs="Amiri"/>
          <w:color w:val="111111"/>
          <w:sz w:val="28"/>
          <w:sz w:val="28"/>
          <w:szCs w:val="28"/>
          <w:rtl w:val="true"/>
          <w:lang w:bidi="ar-SA"/>
        </w:rPr>
        <w:t>هل هو مجاناً أم بالقيمة السوقية ؟</w:t>
      </w:r>
    </w:p>
    <w:p>
      <w:pPr>
        <w:pStyle w:val="BookText"/>
        <w:rPr/>
      </w:pPr>
      <w:r>
        <w:rPr>
          <w:rFonts w:ascii="Amiri" w:hAnsi="Amiri" w:eastAsia="Amiri" w:cs="Amiri"/>
          <w:color w:val="111111"/>
          <w:sz w:val="28"/>
          <w:sz w:val="28"/>
          <w:szCs w:val="28"/>
          <w:rtl w:val="true"/>
          <w:lang w:bidi="ar-SA"/>
        </w:rPr>
        <w:t xml:space="preserve">وقد اختلف الأصحاب في ذلك، فذهب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عامة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الأوّل</w:t>
      </w:r>
      <w:r>
        <w:rPr>
          <w:rStyle w:val="FootnoteAnchor"/>
          <w:rtl w:val="true"/>
        </w:rPr>
        <w:footnoteReference w:id="1251"/>
      </w:r>
      <w:r>
        <w:rPr>
          <w:rFonts w:ascii="Amiri" w:hAnsi="Amiri" w:eastAsia="Amiri" w:cs="Amiri"/>
          <w:color w:val="111111"/>
          <w:sz w:val="28"/>
          <w:sz w:val="28"/>
          <w:szCs w:val="28"/>
          <w:rtl w:val="true"/>
          <w:lang w:bidi="ar-SA"/>
        </w:rPr>
        <w:t>، بل ادعى عليه ابن إدريس الإجماع</w:t>
      </w:r>
      <w:r>
        <w:rPr>
          <w:rStyle w:val="FootnoteAnchor"/>
          <w:rtl w:val="true"/>
        </w:rPr>
        <w:footnoteReference w:id="1252"/>
      </w:r>
      <w:r>
        <w:rPr>
          <w:rFonts w:ascii="Amiri" w:hAnsi="Amiri" w:eastAsia="Amiri" w:cs="Amiri"/>
          <w:color w:val="111111"/>
          <w:sz w:val="28"/>
          <w:sz w:val="28"/>
          <w:szCs w:val="28"/>
          <w:rtl w:val="true"/>
          <w:lang w:bidi="ar-SA"/>
        </w:rPr>
        <w:t xml:space="preserve">لإطلاق النصوص باستحقاقها من غير شرط، فلو كان استحقاقها مشروطاً بدفع القيمة لزم تأخير البيان عن وقت الخطاب أو الحاجة؛ ولأنّ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أفادت ملكه لها على 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براءةُ الذمّة من أمر آخر، ولأنه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سيفي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أفاد ملكه له بغير عوض، فكذا هنا لاتّحاد مدلول الصيغة بحسب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Style w:val="FootnoteAnchor"/>
          <w:rtl w:val="true"/>
        </w:rPr>
        <w:footnoteReference w:id="1253"/>
      </w:r>
      <w:r>
        <w:rPr>
          <w:rFonts w:ascii="Amiri" w:hAnsi="Amiri" w:eastAsia="Amiri" w:cs="Amiri"/>
          <w:color w:val="111111"/>
          <w:sz w:val="28"/>
          <w:sz w:val="28"/>
          <w:szCs w:val="28"/>
          <w:rtl w:val="true"/>
          <w:lang w:bidi="ar-SA"/>
        </w:rPr>
        <w:t xml:space="preserve">وابن الجُنَيْد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 إليه العلّامة في المختلف المختلف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يستحقها بالقيمة</w:t>
      </w:r>
      <w:r>
        <w:rPr>
          <w:rStyle w:val="FootnoteAnchor"/>
          <w:rtl w:val="true"/>
        </w:rPr>
        <w:footnoteReference w:id="1255"/>
      </w:r>
      <w:r>
        <w:rPr>
          <w:rFonts w:ascii="IRNazanin" w:hAnsi="IRNazanin" w:eastAsia="IRNazanin"/>
          <w:color w:val="111111"/>
          <w:sz w:val="28"/>
          <w:sz w:val="28"/>
          <w:szCs w:val="28"/>
          <w:rtl w:val="true"/>
          <w:lang w:bidi="fa-IR"/>
        </w:rPr>
        <w:t>، قال المرتضى</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قوَّينا ما بيناه وإنْ لم يصرح به أصحابنا؛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1256"/>
      </w:r>
      <w:r>
        <w:rPr>
          <w:rFonts w:ascii="Amiri" w:hAnsi="Amiri" w:eastAsia="Amiri" w:cs="Amiri"/>
          <w:color w:val="111111"/>
          <w:sz w:val="28"/>
          <w:sz w:val="28"/>
          <w:szCs w:val="28"/>
          <w:rtl w:val="true"/>
          <w:lang w:bidi="ar-SA"/>
        </w:rPr>
        <w:t xml:space="preserve">، وهذا الظاهر يقتضي مشاركة الأُنثى للذكر </w:t>
      </w:r>
    </w:p>
    <w:p>
      <w:pPr>
        <w:pStyle w:val="BookText"/>
        <w:rPr/>
      </w:pPr>
      <w:r>
        <w:rPr>
          <w:rFonts w:ascii="Amiri" w:hAnsi="Amiri" w:eastAsia="Amiri" w:cs="Amiri"/>
          <w:color w:val="111111"/>
          <w:sz w:val="28"/>
          <w:sz w:val="28"/>
          <w:szCs w:val="28"/>
          <w:rtl w:val="true"/>
          <w:lang w:bidi="ar-SA"/>
        </w:rPr>
        <w:t>في جميع ما يخلّفه الميّت من سيف ومصحف وغيرهما، وكذلك ظاهر آيات ميراث الأبوين</w:t>
      </w:r>
      <w:r>
        <w:rPr>
          <w:rStyle w:val="FootnoteAnchor"/>
          <w:rtl w:val="true"/>
        </w:rPr>
        <w:footnoteReference w:id="1257"/>
      </w:r>
      <w:r>
        <w:rPr>
          <w:rFonts w:ascii="Amiri" w:hAnsi="Amiri" w:eastAsia="Amiri" w:cs="Amiri"/>
          <w:color w:val="111111"/>
          <w:sz w:val="28"/>
          <w:sz w:val="28"/>
          <w:szCs w:val="28"/>
          <w:rtl w:val="true"/>
          <w:lang w:bidi="ar-SA"/>
        </w:rPr>
        <w:t xml:space="preserve">والزوجين </w:t>
      </w:r>
      <w:r>
        <w:rPr>
          <w:rStyle w:val="FootnoteAnchor"/>
          <w:rtl w:val="true"/>
        </w:rPr>
        <w:footnoteReference w:id="1258"/>
      </w:r>
      <w:r>
        <w:rPr>
          <w:rFonts w:ascii="Amiri" w:hAnsi="Amiri" w:eastAsia="Amiri" w:cs="Amiri"/>
          <w:color w:val="111111"/>
          <w:sz w:val="28"/>
          <w:sz w:val="28"/>
          <w:szCs w:val="28"/>
          <w:rtl w:val="true"/>
          <w:lang w:bidi="ar-SA"/>
        </w:rPr>
        <w:t xml:space="preserve">يقتضي أنّ لهم السهام المذكورة من جميع تَرِكَةِ الميّت، فإذا خصصنا الذكر الأكبر بشيءٍ من ذلك من غير احتساب بقيمته عليه تركنا هذه الظواهر، وأصحابنا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يُجمعوا على أنّ الذكر الأكبر مُفضَّل بهذه الأشياء من غير احتساب بالقيمة، وإنّما عَوَّلوا على أخبارٍ روؤها تتضمن تخصيص الأكبر بما ذكرناه من غير تصريح باحتساب عليه بقيمته، وإذا خَصَّصناه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اتباعاً لهذه الأخبار واحتسبنا بالقيمة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سَلمَتْ ظواهر الكتاب مع العمل بما أجمعت عليه الطائفة من التخصيص بهذه الأشياء، فذلك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تخصيصه بذلك مع الاحتساب بقيمته عليه أنّه القائم مقام أبيه والسادّ مسدّه، فهو أحقّ بهذه الأمور من النسوان والأصاغر للمرتبة والجاه</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كلام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ومرجع بنائه في الاستدلال إلى مراعاة الجمع بین ما يمكن الاستدلال به من الآيات والإجماع مع اطّراح خبر الواحد، فالآيات اقتضت عدم الحبوة، والإجماع اقتضاها في الجملة من غير تخصيص بكونه مجّاناً، وأخبار الآحاد وإن اقتضت بإطلاقها كونه مجّاناً إلا أنّها عنده لا تصلح للحجة، فَجَمع بين الإجماع والقرآن بأخذها بالقيمة</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الطريقة لا تتمشى على قواعدِ مَنْ عَمِلَ بخبر الواحد؛ لأنّ الأخبار مخصّصة لعموم الآيات من غير اعتبار القيمة كما بيّناه، ومن ثَمَّ خالفه الشيخ</w:t>
      </w:r>
      <w:r>
        <w:rPr>
          <w:rStyle w:val="FootnoteAnchor"/>
          <w:rtl w:val="true"/>
        </w:rPr>
        <w:footnoteReference w:id="1260"/>
      </w:r>
      <w:r>
        <w:rPr>
          <w:rFonts w:ascii="Amiri" w:hAnsi="Amiri" w:eastAsia="Amiri" w:cs="Amiri"/>
          <w:color w:val="111111"/>
          <w:sz w:val="28"/>
          <w:sz w:val="28"/>
          <w:szCs w:val="28"/>
          <w:rtl w:val="true"/>
          <w:lang w:bidi="ar-SA"/>
        </w:rPr>
        <w:t>والجماعة في كونها بغير قيمة</w:t>
      </w:r>
      <w:r>
        <w:rPr>
          <w:rStyle w:val="FootnoteAnchor"/>
          <w:rtl w:val="true"/>
        </w:rPr>
        <w:footnoteReference w:id="1261"/>
      </w:r>
      <w:r>
        <w:rPr>
          <w:rFonts w:ascii="Amiri" w:hAnsi="Amiri" w:eastAsia="Amiri" w:cs="Amiri"/>
          <w:color w:val="111111"/>
          <w:sz w:val="28"/>
          <w:sz w:val="28"/>
          <w:szCs w:val="28"/>
          <w:rtl w:val="true"/>
          <w:lang w:bidi="ar-SA"/>
        </w:rPr>
        <w:t xml:space="preserve">، عملاً بظواهر الأخبار، إلّا أنّه يبقى عليهم ما أشرنا إليه سابقاً من أنّهم </w:t>
      </w:r>
    </w:p>
    <w:p>
      <w:pPr>
        <w:pStyle w:val="BookText"/>
        <w:rPr/>
      </w:pPr>
      <w:r>
        <w:rPr>
          <w:rFonts w:ascii="Amiri" w:hAnsi="Amiri" w:eastAsia="Amiri" w:cs="Amiri"/>
          <w:color w:val="111111"/>
          <w:sz w:val="28"/>
          <w:sz w:val="28"/>
          <w:szCs w:val="28"/>
          <w:rtl w:val="true"/>
          <w:lang w:bidi="ar-SA"/>
        </w:rPr>
        <w:t>لم يعملوا بجميع ما تضمنته خصوصاً الصحيح منها، بل خَصُّوه بالأربعة، فإن اعتمدوا على الأخبار فهي تدلّ على الزائد كما رأيت، وإن اعتمدوا على الإجماع مراعاةً لجانب الآيات القرآنية والأُصول الشرعيّة لزمهم اعتبارها بالقيمة؛ لأنّ الإجماع لم يتحقَّق على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الإجماع لم يتحقّق على أخذها مجاناً كذلك لم يتحقّق على أخذها بالقيمةِ، فيكون القول بأخذها بالقيمة مخالفاً لعموم الآيات وإطلاق الروايات وفتوى أكثر الأصحاب، وهو أقوى شُبهةً من أخذها مجاناً، فإنّه سالم من مخالفة الأخبار والأصحاب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حقٌّ، ولكن مأخذ القائل ليس هو الأخذ بالمُجمع عليه حتّى يرد ما ذُكِرَ، بل مراعاة الجمع بين عموم الكتاب وعدم مخالفة إجماع الأصحاب على ثبوت الحبوة في الجُملة، فإنّ القول بأخذها بالقيمة لا يخرج عن إجماعهم على ثبوتها كذلك، وفيه تقليل لتخصيص عموم الكتاب مع موافقة فتوى الأصحاب بإثباتها في الجملة بخلاف القول بأخذها مجاناً، فإنّه يبعد عن موافقة الكتاب ولا يوقع في إجماع الأصحاب بل يبقى الخلاف بحاله وإن وافقه الأكثر فكان الجمع بين موافقتهم في أصل الفتوى بثبوتها مع الأخذ بعموم الكتاب وتقليل تخصيصه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 هذه الأشياء بالقيمة، ولم تفت إلّا العين وخصوصيّتها قليلة بالإضافة إلى القيمة، ولم يوجب البعد عن عموم آيات القرآن، فَلِمَ نقتصر على الأربعة من دون أن نعمل بجميع ما ذُكر في الأخبار الصحاح مع أنّها مشتركةٌ في الجبر بالقيمة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يرد على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لا يُراعي جانب خبر الواحد، وإنما راعى ما هو عنده حجَّةٌ من الإجماع ودليل القرآن وبهما تحصل الموافقة على ذلك الوجه بالاقتصار على ما أفتى به الأصحاب، بل على أقله لحصول الغرض وهو عدم </w:t>
      </w:r>
      <w:bookmarkStart w:id="725" w:name="pg10113_92336"/>
    </w:p>
    <w:p>
      <w:pPr>
        <w:pStyle w:val="BookText"/>
        <w:rPr/>
      </w:pPr>
      <w:bookmarkEnd w:id="725"/>
      <w:r>
        <w:rPr>
          <w:rFonts w:ascii="Amiri" w:hAnsi="Amiri" w:eastAsia="Amiri" w:cs="Amiri"/>
          <w:color w:val="111111"/>
          <w:sz w:val="28"/>
          <w:sz w:val="28"/>
          <w:szCs w:val="28"/>
          <w:rtl w:val="true"/>
          <w:lang w:bidi="ar-SA"/>
        </w:rPr>
        <w:t xml:space="preserve">مخالفة الإجماع، ولا ضرورة إلى القول بباقي ما دلّ عليه الخبر؛ لأنّه ليس حجّة عنده، وإنّما يرد هذا على غيره من الأصحاب الذينَ يَرَوْنَ العمل بخبر الواحد كالعلّامة، وقد 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حكايته كلام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وتؤيّده الروايات المتضمّنة لتخصيصه بسلاحه ورحله وراحلته، ولولا الاحتساب بالقيمة لزم الإجحاف على الورثة</w:t>
      </w:r>
      <w:r>
        <w:rPr>
          <w:rStyle w:val="FootnoteAnchor"/>
          <w:rtl w:val="true"/>
        </w:rPr>
        <w:footnoteReference w:id="126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الذي ادّعاه إنما يؤيّد كلام السيّد لو كان قائلاً به ليلزم عنده الإجحاف، إذ قال به السيّد أو الجماعة، وقد عرفت أنّ القائل به قليل أو معدوم، والإجحافُ بالأربعة غيرُ مُتحقِّق مطلقاً؛ بل على بعض الوجوه، وهو غير كافٍ؛ لأنّ أخذ جميع ما ذُكِرَ في الرواية غير مُحِحِفٍ على كثيرٍ من الورثة إذا كان المتروك كثيراً، وبالجملة فهذه أمورٌ غير منضبطة حتّى يتحقّق الإجحاف بإثباتها ونفيها على تقدير القول بثبوتها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بناءً على حجّيّة خبر الواحد القول بأخذها بالقيمة أصلاً</w:t>
      </w:r>
      <w:r>
        <w:rPr>
          <w:rFonts w:eastAsia="Amiri" w:cs="Amiri" w:ascii="Amiri" w:hAnsi="Amiri"/>
          <w:color w:val="111111"/>
          <w:sz w:val="28"/>
          <w:szCs w:val="28"/>
          <w:rtl w:val="true"/>
          <w:lang w:bidi="ar-SA"/>
        </w:rPr>
        <w:t>.</w:t>
      </w:r>
    </w:p>
    <w:p>
      <w:pPr>
        <w:pStyle w:val="Heading4"/>
        <w:numPr>
          <w:ilvl w:val="3"/>
          <w:numId w:val="1"/>
        </w:numPr>
        <w:rPr/>
      </w:pPr>
      <w:bookmarkStart w:id="726" w:name="__RefHeading___Toc375667_1067777946"/>
      <w:bookmarkStart w:id="727" w:name="_Toc242"/>
      <w:bookmarkEnd w:id="726"/>
      <w:r>
        <w:rPr>
          <w:rtl w:val="true"/>
        </w:rPr>
        <w:t>مباحث في كيفيّة استحقاق الحبوة</w:t>
      </w:r>
      <w:bookmarkEnd w:id="727"/>
    </w:p>
    <w:p>
      <w:pPr>
        <w:pStyle w:val="BookText"/>
        <w:rPr/>
      </w:pPr>
      <w:r>
        <w:rPr>
          <w:rFonts w:ascii="Amiri" w:hAnsi="Amiri" w:eastAsia="Amiri" w:cs="Amiri"/>
          <w:color w:val="111111"/>
          <w:sz w:val="28"/>
          <w:sz w:val="28"/>
          <w:szCs w:val="28"/>
          <w:rtl w:val="true"/>
          <w:lang w:bidi="ar-SA"/>
        </w:rPr>
        <w:t>إذا تقرر ذلك فهنا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بأخذها بالقيمة، هل المعتبر قيمتها عند الوفاة أو عند دفع القيمة ؟ ليس في كلام القائل بها تصريحٌ ولا تلويحٌ بأحد الأمرين وكلاهما محتملٌ</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فلانه وقت انتقال التَرِكَة إلى الوارث، والمَحْبُو أحدُ الورّاتِ حتّى بالحَبْوَة، فإنّها نوعٌ من الإرث زائد على غيره كزيادة نصيب بعض الورّاث على بعض، فتعتبر القيمة وقت الانتقال؛ لأنه وقت الحيلولة بين باقي الوراث وبينها؛ ولأن القيمة لو اعتُبرت بعد ذلك لكانت هذه الأشياء، إمّا ملكاً للورثة فيلزم عدم اختصاص المحبوّ بها، بل لا يجوز أخذها منهم بغير رضاهم أو ملكاً للمحبو فلا تلزمه القيمة الزائدة على ما </w:t>
      </w:r>
    </w:p>
    <w:p>
      <w:pPr>
        <w:pStyle w:val="BookText"/>
        <w:rPr/>
      </w:pPr>
      <w:r>
        <w:rPr>
          <w:rFonts w:ascii="Amiri" w:hAnsi="Amiri" w:eastAsia="Amiri" w:cs="Amiri"/>
          <w:color w:val="111111"/>
          <w:sz w:val="28"/>
          <w:sz w:val="28"/>
          <w:szCs w:val="28"/>
          <w:rtl w:val="true"/>
          <w:lang w:bidi="ar-SA"/>
        </w:rPr>
        <w:t>هي عند الموت، أو غير ملك لأحدهما فيلزم اعتبار رضى المالك أو خلوّ المال 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أن يكون موت الأب جزء السبب لملك المحبة وإنّما يتمّ بدفعه القيمة فجاز اعتبار وقت القيمة، وإن قلنا يتقدّم ملك المحبة أو نقول إنه يملكها ملكاً متزلزلاً يستقر بدفع القيمة فجاز اعتبار وقتها كذلك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الأمرين لا يصحّ معه اعتبار وقت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 الاعتبار إنما هو بوقت ملك المحبوّ لها، إذ لا وجه لاعتبار القيمة قبل الحكم بملكه، والملك لا يحصل إلّا بتمام سببه، فإذا اعتبرت تماميّته بدفع القيمة لم يصحّ الحكم بملكه لها قبله ويعود المحذور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فظاهر؛ لأنّ الملك المُتزلزل مِلكُ في الجُملة فتُعتبر القيمة عند حصوله، وهو بالموت لا بدفع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اعتبارها وقت دفعها؛ فلأنّ ذلك بمنزلة المعاوضة عليها وإن كانت قهرية، وقيمة العوض إنّما تُعتبرُ عند دفع عوضه كبيع العبد المسلم على الكافِرِ والوارث ليُعتق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البحث في قيمة الشجر والبناء لغير ذات الولد، وعلى هذا فيلزم كونها قبل دفع القيمة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متزلزلاً وبدفع القيمة تنتقل إلى ملك المحبو، أو يكون الدفع كاشفاً عن سبقِ مِلكه من حين الوفاة وإن كانت ظاهراً قبله ملكاً لجميع الورثة، ولأن ملك المحبو مشروط بدفع القيمة، فقبل حصول الشرط لا يتحقّق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الأول؛ للنصوص السابقة الدالّة على ملك المحبة لتلك الأشياء معلّقاً على موت أبيه من من غير شرطٍ، وذلك يقتضي تحقّق المِلكِ من حين الموت قضيّةً للتعليق، وإنّما أعتبرت القيمة جمعاً بين الحقين، ويكفي في مراعاة هذا الجمع كونه يملكها بعوضٍ حين الموت</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يملكها على التقديرين ملكاً قهريّاً يثبت في ذمته أم يتوقّف تملكه لها على دفع القيمة ؟ َكلُّ محتمل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فلظاهر النصوص الدالّة على مِلكه لها بالموت كما قدمناه،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الرجل فسَيفه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1263"/>
      </w:r>
      <w:r>
        <w:rPr>
          <w:rFonts w:ascii="Amiri" w:hAnsi="Amiri" w:eastAsia="Amiri" w:cs="Amiri"/>
          <w:color w:val="111111"/>
          <w:sz w:val="28"/>
          <w:sz w:val="28"/>
          <w:szCs w:val="28"/>
          <w:rtl w:val="true"/>
          <w:lang w:bidi="ar-SA"/>
        </w:rPr>
        <w:t>فإنّ ذلك يقتضي تحقّق الملك بالموت وإنْ لم يدفع القيمة، وحينئذٍ فتبقى القيمة في ذمّته بمنزلة الدين الذي يتركه الميّت على غيره من الوراث، فيملكه الورثة كذلك سواء أمكن تحصيله منه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القيمة إنما اعتبرت مراعاة لحق الورثة وعملاً بعموم الآيات، وذلك لا ينتظم مطلقاً بجعل القيمة في ذمته، لجواز امتناعه ومَطْلِهِ وهَرَبِهِ على وجه يوجب الإضرار بالورثة، فرعاية الجمع بين الحقين توقُّف تملّكه لها على دفع القيمة، ويَقْوى هذا القول بمراعاة القيمة عند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الثاني مطلقاً؛ لأصالة البراءة من عوض يثبت في ذمّته بغير اختياره، ولأنّه قد يؤدي إلى الإضرار به، مع أنّ ثبوتها مبني على ترجيحه وغِبطَتِه، ومن ثُمَّ أُطلق عليها اسم الحبوة، وتظهرُ الفائدة في جواز تصرفه فيها قبل دفع القيمة وفيما لو تلفتْ أو بعضها قبل دفع القيمة بغير تفريط، وفي جواز امتناعه من أخذها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غَيرُهُ من الورثة فلا يجوز له التصرف فيها مطلقاً؛ لأنّها إمّا مملوكة للمحبو أو موقوفة على أمرٍ إلى أنْ ينكشف الحال فلو باع بعض الورثة نصيبه منها قبل الانكشاف بطل البيع على الأوّل قطعاً، ويحتمل على الثاني البطلان والمراعاة</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يدفع القيمة هل يبطل حقّه منها بمجرّده أم يتوقّف على أمرٍ آخر كإسقاط حقّه أو تصريحه بعدم الدفع مطلقاً؟ كلّ محتمل، والأقوى أن الحاكم يُلزمه بأحد الأمرين على التخيير، إمّا الدفع أو إسقاط حقه، ومع تعذّر الحاكم وامتناعه من الاختيار فالأقوى جواز تسلّط الورثة عليها حذراً من الإضرار، وحينئذٍ فيسقط حقّه منها وإنْ بذل القيمة بعد ذلك، نعم لو اعتذر بغيبة العوض ونحوه اجل مقدار ما يزولُ معه عذره </w:t>
      </w:r>
    </w:p>
    <w:p>
      <w:pPr>
        <w:pStyle w:val="BookText"/>
        <w:rPr/>
      </w:pPr>
      <w:r>
        <w:rPr>
          <w:rFonts w:ascii="Amiri" w:hAnsi="Amiri" w:eastAsia="Amiri" w:cs="Amiri"/>
          <w:color w:val="111111"/>
          <w:sz w:val="28"/>
          <w:sz w:val="28"/>
          <w:szCs w:val="28"/>
          <w:rtl w:val="true"/>
          <w:lang w:bidi="ar-SA"/>
        </w:rPr>
        <w:t>إذا لم يؤدّ إلى التطويل المُفرِط المؤدّي إلى الضرر 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أخذه لها بالقيمة فوري كأخذ السُّفَعة، ويُعذَر هنا فيما يُعذَرُ هناك من وجوه التأخير أمكن لاشتراكهما في الموجب للفوريّة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المحبة غير مكلّف، فإن قلنا بالملك القهري دَفَعَ إليه وليّه القيمة من ماله وأخذها، وإنْ أوقفناه على دفعها ففي تعيّن ذلك عليه أو يلزمه مراعاة الأغبط للمَحبُو وجهان أجودهما الثاني؛ لأنها حينئذٍ معاوضة فيُراعى فيها الغبطة له</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الولد غائباً، فإن كان عودة قريباً بحيث لا يؤدّي إلى الإضرار بالورثة وجب انتظاره ليترتّب عليه أحد الأمرين، وإن طالت غيبته رفع الورثة أمرهم إلى الحاكم فيحكم عليه بما هو الأغبط له، فإن كان الأغبط دفع القيمة ولم يكن له مال حاضر غيرها سلّطهم عليها أو باعها أو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الفضل، بأن زادت قيمتها ذلك الوقت إن اعتبرنا القيمة عند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وأبقى له الباقي أو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تعذّر الحاكم وجعلنا ملكه قهريّاً أخذوها مقاصةً، وإلّا فالأقوى جواز تسلّطهم عليها حذراً من الإضرار</w:t>
      </w:r>
      <w:r>
        <w:rPr>
          <w:rFonts w:eastAsia="Amiri" w:cs="Amiri" w:ascii="Amiri" w:hAnsi="Amiri"/>
          <w:color w:val="111111"/>
          <w:sz w:val="28"/>
          <w:szCs w:val="28"/>
          <w:rtl w:val="true"/>
          <w:lang w:bidi="ar-SA"/>
        </w:rPr>
        <w:t xml:space="preserve">. </w:t>
      </w:r>
      <w:bookmarkStart w:id="728" w:name="pg10113_92340"/>
    </w:p>
    <w:p>
      <w:pPr>
        <w:pStyle w:val="Heading4"/>
        <w:numPr>
          <w:ilvl w:val="3"/>
          <w:numId w:val="1"/>
        </w:numPr>
        <w:rPr/>
      </w:pPr>
      <w:bookmarkStart w:id="729" w:name="__RefHeading___Toc375669_1067777946"/>
      <w:bookmarkStart w:id="730" w:name="_Toc243"/>
      <w:bookmarkEnd w:id="728"/>
      <w:bookmarkEnd w:id="729"/>
      <w:r>
        <w:rPr>
          <w:rtl w:val="true"/>
        </w:rPr>
        <w:t>لم يحبى الولد الأكبر دون غيره من الورثة؟</w:t>
      </w:r>
      <w:bookmarkEnd w:id="730"/>
    </w:p>
    <w:p>
      <w:pPr>
        <w:pStyle w:val="BookText"/>
        <w:rPr/>
      </w:pPr>
      <w:r>
        <w:rPr>
          <w:rFonts w:ascii="Amiri" w:hAnsi="Amiri" w:eastAsia="Amiri" w:cs="Amiri"/>
          <w:color w:val="111111"/>
          <w:sz w:val="28"/>
          <w:sz w:val="28"/>
          <w:szCs w:val="28"/>
          <w:rtl w:val="true"/>
          <w:lang w:bidi="ar-SA"/>
        </w:rPr>
        <w:t>والسؤال فيه عن حكمة الحكم وهو غير لازم؛ لأنّ أكثر الأحكام غير مُعلَّلة بعلَّةٍ معقولة؛ ولأنه لو علل كلّ شيءٍ لزم التسلسل، وما هذا التخصيص إلّا كالحكم بالفروض المعيّنة في كتاب اللّه تعالى لأربابها زيادةً ونقصاناً، كجعل نصيب الذكر مثل حظّ الأُنثيين، ولو أردنا إبداء الحكمة هنا ربما كانت أسهل من كثيرٍ من تلك الفروض؛ فإنّ الولد الأكبر قائم مقام أبيه، وربما كان واقفاً في منصبه ومنزلته، فكان أولى بما كان يختص به من ثيابه وسيفه وخاتمه ومُصحفه وغيرها لتتحقق النيابة وتتم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ظهر بهذا خيرٌ كثيرٌ للورثة وانتظام أمرهم وظاهر أنّه أولى من اقتسام جميع الورثة لذلك وأخذ المرأة منه حصةً وإلباسه لزوجها الأجنبي من الميّت، وكذلك غيرها من الورثة</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شَرَطَ في استحقاقها قضاء ما على الميّت، فالحكمة فيه واضحةً، فإنّها حينئذٍ معاوضة محضة، بل أجرةً عمل ربما كانت أجرته أضعاف هذه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يصلح ذلك علّةً وإن لم نجعله شرطاً فيها، فإنّ الولد الأكبر لما كان في كثيرٍ من الأوقات مكلّفاً أو آئلاً إلى التكليف حيث نوجب عليه القضاء بعد التكليف، وكان الأغلب في المكلّفين عدم السلامة من فوات صلاةٍ أو صوم بحيث يستجمع جميع ما يعتبر فيها من الشرائط والأركان، وكانت الحَبوة بإزاء ما فرضه اللّه تعالى على هذا </w:t>
      </w:r>
    </w:p>
    <w:p>
      <w:pPr>
        <w:pStyle w:val="BookText"/>
        <w:rPr/>
      </w:pPr>
      <w:r>
        <w:rPr>
          <w:rFonts w:ascii="Amiri" w:hAnsi="Amiri" w:eastAsia="Amiri" w:cs="Amiri"/>
          <w:color w:val="111111"/>
          <w:sz w:val="28"/>
          <w:sz w:val="28"/>
          <w:szCs w:val="28"/>
          <w:rtl w:val="true"/>
          <w:lang w:bidi="ar-SA"/>
        </w:rPr>
        <w:t>الولد من القضاء غالباً، وتخلّف الحكمة عن الحكم في بعض الموارد لا يقدح في الحكميَّةِ، لأنّا قد علمنا من حكمة الشارع أنه إذا أراد أنْ يُنيطُ حُكماً بحِكمَةٍ، يجعل له ضابطاً يُرجَعُ إليه تسهيلاً على المكلّفين وتحقيقاً للحكم، وإنْ تخلَّفتِ الحِكمة في بعض أفراد ذلك الضابط كما ناط القصر بالسفر إلى المسافة لما كانت مظنة المشقة غالباً، وهي الحكمة في الحكم مع تخلّفها عنه وجوداً وعدماً في كثير من الموارد، فَقَد تحصل المشقَّةُ في سفر نصف المسافة وأقل لبعض المكلّفين على بعض الوجوه، وقد لا تحصل المشقَّة فى السفر إلى أضعاف كثيرةٍ مضاعفةً لتلك المسافة المضبوطة شرعاً لبعض المكلّفين على بعض الوجوه، إلّا أنّ الغالب لَمّا كان حصول المشقة فيها نيط الحكم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العيب المجوّز لردّ الحيوان المبيع وفسخ البيع لمّا كان مرجعه إلى نقصان قيمة المبيع بسببه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غالباً يتحقّق بزيادة في الخِلقَة الأصلية أو نقصانٍ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ذلك ضابطاً له وحُكمَ بجواز الفسخ بمجرّده مع تخلّف الوصف في كثير، بل مع زيادة القيمة به كخصاء العبد، مراعاةً لضبط الأحكام وإنْ تخلَّفتِ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الأمر أن الأحكام الشرعيّة إذا نبطت بأمورٍ حكميَّة لا تخرج عن قواعدها الكلّيّة بتخلَّفُ الحُكْم في بعض موضوعاتها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الحَبْوة قدِ انفكّت عن القضاء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يفوت الميّت شيءٌ من الصلاة والصيام، وتركَ حَبْوةً فيُحبى ولده ولا يقضي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عكسه بأن يموت وعليه صلاة وصيام ولا يخلّف حَبوةً أصلاً إما لاستغراق دَيْنه كما سيأتي</w:t>
      </w:r>
      <w:r>
        <w:rPr>
          <w:rStyle w:val="FootnoteAnchor"/>
          <w:rtl w:val="true"/>
        </w:rPr>
        <w:footnoteReference w:id="1264"/>
      </w:r>
      <w:r>
        <w:rPr>
          <w:rFonts w:ascii="Amiri" w:hAnsi="Amiri" w:eastAsia="Amiri" w:cs="Amiri"/>
          <w:color w:val="111111"/>
          <w:sz w:val="28"/>
          <w:sz w:val="28"/>
          <w:szCs w:val="28"/>
          <w:rtl w:val="true"/>
          <w:lang w:bidi="ar-SA"/>
        </w:rPr>
        <w:t>، أو بأنْ لا يترك إلّا ثياب بدنه ويحتاجُ إليها أجمع في كفنه ومؤنةِ تجهيزه أو غير ذلك، فيجب على الولد القضاء ولا يُحبى</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طفلاً فإنّه يُحبى على ما تقدّم ولا يجب عليه القضاء حينئذٍ، ثمّ إن </w:t>
      </w:r>
    </w:p>
    <w:p>
      <w:pPr>
        <w:pStyle w:val="BookText"/>
        <w:rPr/>
      </w:pPr>
      <w:r>
        <w:rPr>
          <w:rFonts w:ascii="Amiri" w:hAnsi="Amiri" w:eastAsia="Amiri" w:cs="Amiri"/>
          <w:color w:val="111111"/>
          <w:sz w:val="28"/>
          <w:sz w:val="28"/>
          <w:szCs w:val="28"/>
          <w:rtl w:val="true"/>
          <w:lang w:bidi="ar-SA"/>
        </w:rPr>
        <w:t>مات قبل التكليف اختصَّ بالحَبوة بغير قضاء، وإن بلغ قبل أن يقضي ما فات أباه ففي وجوب القضاء عليه حينئذٍ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 الحكم بالبراءة فيُستصحب، ولأن موت أبيه إذا لم يترتب عليه وجوب القضاء فمجرّد البلوغ لم يثبت من الشارع جعله سبباً في وجوبه، وإنما المستفاد من النصوص الوجوب بالموتِ وهو منفي هنا لانتفاء الخطاب عن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إطلاق النصّ بأنّ على الولد قضاءُ ما فات أباه من ذلك المتناول لموضع النزاع، وخرج منه الصبيّ لعدم التكليف فيجب عليه حيث يُكلّف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مجنوناً، والكلام فيه كالصغير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بالغاً عاقلاً لكنَّه سفية فيجب عليه القضاء، وفي حبوته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مخالفاً إن قلنا إنّه لا يُحبى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متعدّداً في سنٍ واحد إن قلنا بعدم الحَبوةِ حينئذٍ؛ فإنّ هذا غير مانع من القضاء، بل يجب عليهم موزّعاً بالنسبة وما يبقى منه لا يقبل الانقسام يصير على المتعدد، كفرض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 فات الأب من الصلاة والصيام وقع عمداً، فإنّ الولد يُحبى مع جمعه للشرائط ولا يقضي على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يتبرع بالقضاء مُتبرّع قبل فعل الولي، فإنّه يُحبى ويسقط عنه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الولدُ خُنثى إذا قلنا إنّه يُحبى بنصف الحَبوة، فإنّه لا قضاء عليه لاختصاصه بالذكر، ويُحتمل قويّاً أنْ يقال بوجوب نصف القضاء عليه أيضاً؛ لأنّ ذلك لازم فرضه ذكراً كما لزمه نصف الحَبْوَة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لا يُحبى فلا قضاء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عكس الأوّل وهو وجوب القضاء عليه دون الحبوة، لو قلنا بوجوب القضاء على غير الذكَرِ لو 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فالضابط ثبوت القضاء مع تخلّف الحَبوة لفقد شرط من الشروط أو بالعكس</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ما اقتضاه الحال من الكلام على هذه المطالب الستّة</w:t>
      </w:r>
      <w:r>
        <w:rPr>
          <w:rFonts w:eastAsia="Amiri" w:cs="Amiri" w:ascii="Amiri" w:hAnsi="Amiri"/>
          <w:color w:val="111111"/>
          <w:sz w:val="28"/>
          <w:szCs w:val="28"/>
          <w:rtl w:val="true"/>
          <w:lang w:bidi="ar-SA"/>
        </w:rPr>
        <w:t xml:space="preserve">. </w:t>
      </w:r>
      <w:bookmarkStart w:id="731" w:name="pg10113_92343"/>
    </w:p>
    <w:p>
      <w:pPr>
        <w:pStyle w:val="Heading4"/>
        <w:numPr>
          <w:ilvl w:val="3"/>
          <w:numId w:val="1"/>
        </w:numPr>
        <w:rPr/>
      </w:pPr>
      <w:bookmarkStart w:id="732" w:name="__RefHeading___Toc375671_1067777946"/>
      <w:bookmarkStart w:id="733" w:name="_Toc244"/>
      <w:bookmarkEnd w:id="731"/>
      <w:bookmarkEnd w:id="732"/>
      <w:r>
        <w:rPr>
          <w:rtl w:val="true"/>
        </w:rPr>
        <w:t>عشر مسائل فيما تتعلق بالحبوة واستحقاقها</w:t>
      </w:r>
      <w:bookmarkEnd w:id="733"/>
    </w:p>
    <w:p>
      <w:pPr>
        <w:pStyle w:val="BookText"/>
        <w:rPr/>
      </w:pPr>
      <w:r>
        <w:rPr>
          <w:rFonts w:ascii="Amiri" w:hAnsi="Amiri" w:eastAsia="Amiri" w:cs="Amiri"/>
          <w:color w:val="111111"/>
          <w:sz w:val="28"/>
          <w:sz w:val="28"/>
          <w:szCs w:val="28"/>
          <w:rtl w:val="true"/>
          <w:lang w:bidi="ar-SA"/>
        </w:rPr>
        <w:t>وبقي في المسألةِ أُمور</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شَرطَ ابن حمزة في استحقاق الحبوة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يُخَلَّفَ الميّت تَرِكةً غيرَها</w:t>
      </w:r>
      <w:r>
        <w:rPr>
          <w:rStyle w:val="FootnoteAnchor"/>
          <w:rtl w:val="true"/>
        </w:rPr>
        <w:footnoteReference w:id="1265"/>
      </w:r>
      <w:r>
        <w:rPr>
          <w:rFonts w:ascii="Amiri" w:hAnsi="Amiri" w:eastAsia="Amiri" w:cs="Amiri"/>
          <w:color w:val="111111"/>
          <w:sz w:val="28"/>
          <w:sz w:val="28"/>
          <w:szCs w:val="28"/>
          <w:rtl w:val="true"/>
          <w:lang w:bidi="ar-SA"/>
        </w:rPr>
        <w:t>، وتَبِعَهُ على هذا الشرط ابن إدريس</w:t>
      </w:r>
      <w:r>
        <w:rPr>
          <w:rStyle w:val="FootnoteAnchor"/>
          <w:rtl w:val="true"/>
        </w:rPr>
        <w:footnoteReference w:id="1266"/>
      </w:r>
      <w:r>
        <w:rPr>
          <w:rFonts w:ascii="Amiri" w:hAnsi="Amiri" w:eastAsia="Amiri" w:cs="Amiri"/>
          <w:color w:val="111111"/>
          <w:sz w:val="28"/>
          <w:sz w:val="28"/>
          <w:szCs w:val="28"/>
          <w:rtl w:val="true"/>
          <w:lang w:bidi="ar-SA"/>
        </w:rPr>
        <w:t>، وأكثر المتأخّرين</w:t>
      </w:r>
      <w:r>
        <w:rPr>
          <w:rStyle w:val="FootnoteAnchor"/>
          <w:rtl w:val="true"/>
        </w:rPr>
        <w:footnoteReference w:id="1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الشيخين وجماعة خال عنه، وكذلك النصوص على ما رأيت وربما عُلِّلَ الاشتراط باستلزامه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أن لا يُخَلَّفَ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الإجحاف بالورثة، والإضرار بهم، وبأنّ الحبوة تُؤذِنُ بإبقاء شيءٍ آخَرَ، وفي رواية شعيب ما يؤذن به؛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يموت ما لَه مِنْ متاع بيته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1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تؤذن بأنّ الحَبْوَة بعضُ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لمنع الإضرار بذلك مطلقاً وعلى تقديره فقد يثبت حيث يُخَلِّفُ غيرها أيضاً، ولأنّ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بالنصّ أو الإجماع أو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يقدَحُ فيه الإضرار والإجحاف بغير المستحق، كما إذا أجْحَفَ سهم الذكر بالأُنثى لِضَعْفها وحاجتها، وكذا غيره من سهام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والحبوة العطية للمحبوّ أعمّ من مصاحبتها لشيءٍ آخَرَ والعبرة في الرواية بالجواب وهو لا يدلّ على اعتبار شيء آخَرَ، والسؤال ليس صريحاً فيه، مع قصور الرواية عن إثبات مثل هذا الحكم وتقييد الصحيح والحسن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الدروس نسب اشتراطه إلى ابن إدريس </w:t>
      </w:r>
    </w:p>
    <w:p>
      <w:pPr>
        <w:pStyle w:val="BookText"/>
        <w:rPr/>
      </w:pPr>
      <w:r>
        <w:rPr>
          <w:rFonts w:ascii="Amiri" w:hAnsi="Amiri" w:eastAsia="Amiri" w:cs="Amiri"/>
          <w:color w:val="111111"/>
          <w:sz w:val="28"/>
          <w:sz w:val="28"/>
          <w:szCs w:val="28"/>
          <w:rtl w:val="true"/>
          <w:lang w:bidi="ar-SA"/>
        </w:rPr>
        <w:t>و ابن حمزة ساكتاً عليه مؤذناً بتمريضه</w:t>
      </w:r>
      <w:r>
        <w:rPr>
          <w:rStyle w:val="FootnoteAnchor"/>
          <w:rtl w:val="true"/>
        </w:rPr>
        <w:footnoteReference w:id="1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وحاله ما قد رأيت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تقدیر اشتراطه هل يكفي بقاء شيء متموّل من التركة أم لا بدّ من كونه كثيراً بحيث يحصل به الغرض من دفع الإضرار وزوال الإجحاف ؟ الذي يقتضيه أصل الاشتراط هو الأوّل، لتحقق الشرط وهو أن يترك شيئاً غيرها والأصل عدم اشتراط شيء آخر والتعليل يدلّ على الثاني، إلّا أنّ اعتباره مطلقاً مشكل؛ لأنّ أعيان الحبوة قد تكون نفيسةً غالية الثمن جداً فلابدّ من اعتبار شيءٍ كثيرٍ في مقابلتها للورثة ليزول الإجحاف، وأين هذا من إطلاقهم اشتراط أنْ يُخَلَّفَ الميّت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كان اللازم للمُشترط أن لا يَجْعل الشرط تخليفه غيرها، بل تخليفه شيئاً كثيراً يُحَصِّلُ الغرض، وهو أمرٌ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على تقدير اعتبار ذلك كلّه لو تعدّد الورثة بحيث كان أصل التركة المنقسمة عليهم كثيراً يدفع الإضرار ويزيل الإجحاف بهم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يصيب كلّ واحدٍ منهم من الحصة لا يقاوم الحَبْوَة على وجه يندفع الإجحاف بذلك السهم، ففي اعتبار الجملة أو الأفراد نظر؛ من تحقّق الشرط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وفقده كذلك بالنسبة إلى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ويقوى الإشكال لو كان نصيب بعضهم يُحَصِّلُ الغرض دون نصيب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فكلام المُشتَرِط غير مُنقَّح وبينه وبين تعليله تدافع في موارد، ولا دليل له من جهة النصّ ليرجع إليه عند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اعتبار ذلك كلّه لا يُشترط كون نصيب كلّ وارث بقدر الحبوة؛ للعموم، وتحقق الوصف المذكور بدونه</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واحتمل في الدروس اشتراطه؛ نظراً إلى الإجحاف لولاه</w:t>
      </w:r>
      <w:r>
        <w:rPr>
          <w:rStyle w:val="FootnoteAnchor"/>
          <w:rtl w:val="true"/>
        </w:rPr>
        <w:footnoteReference w:id="1270"/>
      </w:r>
      <w:r>
        <w:rPr>
          <w:rFonts w:ascii="IRNazanin" w:hAnsi="IRNazanin" w:eastAsia="IRNazanin"/>
          <w:color w:val="111111"/>
          <w:sz w:val="28"/>
          <w:sz w:val="28"/>
          <w:szCs w:val="28"/>
          <w:rtl w:val="true"/>
          <w:lang w:bidi="fa-IR"/>
        </w:rPr>
        <w:t>، وضعفه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w:t>
      </w:r>
    </w:p>
    <w:p>
      <w:pPr>
        <w:pStyle w:val="BookText"/>
        <w:rPr/>
      </w:pPr>
      <w:r>
        <w:rPr>
          <w:rFonts w:ascii="Amiri" w:hAnsi="Amiri" w:eastAsia="Amiri" w:cs="Amiri"/>
          <w:color w:val="111111"/>
          <w:sz w:val="28"/>
          <w:sz w:val="28"/>
          <w:szCs w:val="28"/>
          <w:rtl w:val="true"/>
          <w:lang w:bidi="ar-SA"/>
        </w:rPr>
        <w:t xml:space="preserve">تقديره فينبغي مراعاة نصيب من ساوَى المحبوّ في الخصوصية كالولد الذكر لا مطلق الوارث كالأم والبنت؛ إذ لا وجه لاشتراط مساواتهما للابن شرعاً وعقلاً، والالتفات إلى كونه يشاركهما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بسهمه في باقي التَرِكَةِ فيُجْحَفُ بهما من جهة هذه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الحكم بكون نصيبهما من التركة بمقدار الحَبْوَة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على الميّت دينٌ مُستغرق للتَرِكَةِ أجمعَ حتّى الحَبْوَة فالأجودُ أنّه مانع منها؛ لأنّ الحَبْوَة اختصاص في الإرث لاحقُّ متعلّق بهذه الأعيان برأسه، والدينُ مُقدَّم على الإرث بالنصّ والإجماع وهي من جملته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يُبنى على انتقال التركة إلى الوارث على تقدير الدين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بعدم انتقالها إليه فالحَبْوَة وغيرها من أعيان التركة سَواءٌ في صرفها في الدَينِ وعدم خصوصيّة المحبو، وإن قلنا بالانتقال انتقلت إلى المَحْبُوِّ ومُنِعَ من التصرف فيها كما يُمنَعُ من التصرّف في سهمه من غيرها إلى أنْ يُوفي ما يَخُصُّها مِن الدّينِ فيَخْتَصُّ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يَفُكَّها الولدُ فبَذَلَ باقي الورثة الدين، ففي كونه كبذلهم له بالنسبة إلى سهمه فلا يستحقه حينئذٍ، أو يُفرّق بينهما فيستحِقُ الحَبْوةَ خاصَّةً،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عدم الحكم بثبوتها ابتداءً مطلقاً وبشرط عدم فكه وهما حاصلان، وما بذله الورثة من الدين بمنزلة أخذ الديّانِ لها؛ لأنّ تلك معاوضة جديدة على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زوال المانع حينئذٍ؛ لتحقّق التركة وصدق كون المورث قد ترك الأعيان المذكورة مع عدم مانع من الاختصاص</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واستقرب ب في الدروس اختصاصه بها على تقدير افتكاكه لها وقضاء الورثة الدّينَ من عين التركة</w:t>
      </w:r>
      <w:r>
        <w:rPr>
          <w:rStyle w:val="FootnoteAnchor"/>
          <w:rtl w:val="true"/>
        </w:rPr>
        <w:footnoteReference w:id="1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إشكال؛ لِما بيّناهُ من أنّها إرث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وأداء بعض الورثة الدين لا يوجِبُ الاشتراك في التَرِكَة إلّا أنْ يُوفَي بغير إذنهم مع عدم امتناعهم من وفاء ما يُصِيبُهم منه، فيتجه حينئذٍ ذلك؛ لأنّ دافع الدين حينئذٍ كالمتبرع على الورثة بقضائه </w:t>
      </w:r>
    </w:p>
    <w:p>
      <w:pPr>
        <w:pStyle w:val="BookText"/>
        <w:rPr/>
      </w:pPr>
      <w:r>
        <w:rPr>
          <w:rFonts w:ascii="Amiri" w:hAnsi="Amiri" w:eastAsia="Amiri" w:cs="Amiri"/>
          <w:color w:val="111111"/>
          <w:sz w:val="28"/>
          <w:sz w:val="28"/>
          <w:szCs w:val="28"/>
          <w:rtl w:val="true"/>
          <w:lang w:bidi="ar-SA"/>
        </w:rPr>
        <w:t>فيزول المانع من الإرث فالتفصيلُ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الدينُ مُستغرقاً لِما عَدا الحَبْوة من التركة خاصةً احتُمِلَ استحقاق الولد لها، بناءً على عدم اشتراط أن يخلف غيرها، تنزيلاً لما عداها منزلة المعدوم بسبب تعلّق الدين، فتكون الحبوة للولد كما لو لم يكن غيرها من غير دين بل هنا أولى، إذ لا نفع للوارث أصلاً على تقدير العدم بخلافه هنا لانّتفاعه بعين التركة إن شاء مع دفعه القيمة، وقد يتّفق لخصوصيات الأعيان نفعٌ في الجملة فيكون أولى من العدم الذي هو غير مانع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لأنّ الدين يتعلّق بعد الموت بالتركة على سبيل الشياع من غير خصوصيّة والحَبْوَة من جملته، فلابدّ أنْ يخصها من الدين شيء قضيّةً للتعلّق الشائع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يُفرَّقُ بينه وبين ما لو لم يكن هناك دين ولا تَرِكَة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يستحقّها أجمعَ إلَّا إذا بَذَلَ ما يَخُصُّها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والوجهانِ آتيان فيما لو استغْرَقَ التَرِكَةَ وبعض الحبوة بالنسبة إلى ما يبقى منها؛ لانتفاء المانع منه على ذلك التقدير، إذ لا يُشترط في استحقاقها وجود جميع أعيانها، بل يستحقُ الموجودَ منها وإنْ لم يكنْ ثُمَّ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فرض وتعلّق ببعضها لم يَقْصُرْ ذلك البعضُ عن المعدوم كما تقدّم، فيدخل في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أتى الوجهان فيما لو قَصُرَ الدينُ عنها أجمعَ بحيث تبقى بعده بقيّة من التركة على تقدير اشتراط أنْ يُخَلَّفَ شيئاً آخَرَ غيرَها، ويعتبر في الباقي غيرها ما تقدّم</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عليه دَين غير مُستغرق لها ولا لما عداها بل ترك ديناً في الجُملة وإنْ قلَّ، ففي منعه منها بحساب ما يَخُصُّها منه أو ثبوتها مطلقاً وجهان من عموم الأدلّة الدالّة على اختصاصه بهذه الأشياء، من غير تقييد، فتشمل المتنازع؛ ولعدم تحقّق الإضرار بالورثة على تقدير أن تبقى لهم بقيّة كثيرة بعد الدِّينِ فلا مانع من استحقاقها حينئذٍ، ومن تعلق الدين بالتركة أجمع من غير 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جملتها فيسقط منها بالنسبة إن لم يؤدّ الولد ما قابله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 الحبوة إرت خاص فيشارك </w:t>
      </w:r>
    </w:p>
    <w:p>
      <w:pPr>
        <w:pStyle w:val="BookText"/>
        <w:rPr/>
      </w:pPr>
      <w:r>
        <w:rPr>
          <w:rFonts w:ascii="Amiri" w:hAnsi="Amiri" w:eastAsia="Amiri" w:cs="Amiri"/>
          <w:color w:val="111111"/>
          <w:sz w:val="28"/>
          <w:sz w:val="28"/>
          <w:szCs w:val="28"/>
          <w:rtl w:val="true"/>
          <w:lang w:bidi="ar-SA"/>
        </w:rPr>
        <w:t>غيره من السهام في ذلك كما يختص بسهمين مع الأُنثى في أصل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فمجرّد الزيادة عن غيره لا يقتضي خصوصيّةً زائدة في الأحكام؛ ولعموم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 يُوصِى بِهَا أَوْ دَيْنٍ</w:t>
      </w:r>
      <w:r>
        <w:rPr>
          <w:rFonts w:eastAsia="Amiri" w:cs="Amiri" w:ascii="Amiri" w:hAnsi="Amiri"/>
          <w:color w:val="111111"/>
          <w:sz w:val="28"/>
          <w:szCs w:val="28"/>
          <w:rtl w:val="true"/>
          <w:lang w:bidi="ar-SA"/>
        </w:rPr>
        <w:t>»</w:t>
      </w:r>
      <w:r>
        <w:rPr>
          <w:rStyle w:val="FootnoteAnchor"/>
          <w:rtl w:val="true"/>
        </w:rPr>
        <w:footnoteReference w:id="1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متَّجِة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ظاهر الأصحاب عدم مانعيّته أصلاً؛ لأن كثيراً منهم ذَكَرَ مانعيَّة الدَينِ المُستَغرق ولم يتعرضوا لغيره، بل يظهر من بعضهم عدم مانعيّة غیره؛ عملاً بعموم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هذا الوجه إطلاق النصوص الكثيرة والفتوى باستحقاق الولد جميعَ الحَبْوَة بشرطها مع أنّ الميّت لا يكادُ يَنْفَكُّ عن دَينِ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نادراً جداً، فلو أثر مُطلق الدّينِ لَنَبَّهوا على اعتباره في النصوص والفتاوى لعموم البلوى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الكفن الواجب ومؤونة التجهيز كالدين، بل أقوى منه وهي مقدّمة على غيرها من الإرث والدين والوصايا وغيرها ومتعلّقة بالتركة أيضاً على الشياع من غير ترجيح لعَينٍ على أُخرى، والحَبْوَةُ 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أثر مُطلَقُ الدين في الحَبْوة لأثر الكفن الواجب ونحوه فيها فيلزم أنْ لا تسلّم لأحدٍ،البتّة، وهو منافٍ لحكمة الشارع من إطلاق إثباتها في النصوص الكثيرة من غير تقييد بذلك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في الحقيقة أمورٌ واضحةً لكنّها ترجع إلى مجرّد الاستبعاد، ففي معارضتها لما سبق نظر</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الميّت بوصايا، فإن كانت بعينٍ من أعيان التَرِكَة غيرِ الحَبوة لم تمنع منها من حيث الوصيّة؛ لبقائها سالمةً عن المعارِض وإنْ مُنعت من جهةٍ أخرى، كما لو استغرقت غيرها إذا قلنا باشتراط بقاء شيءٍ آخر من التَرِكَة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الوصيّة بمالٍ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أعطوه مائة درهم من مالي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نفذ من الوصيّة بمنزلة الدّينِ في تأثيره في الحَبْوَة وعدمه، فإن استغرقَتِ التَرِكَةَ مع إجازة الوارث صارت كالدِّينِ المُستَغرِق، وإنْ لم تستوعب فالوجهان الآتيان في الدين لشيوعها في جميع </w:t>
      </w:r>
    </w:p>
    <w:p>
      <w:pPr>
        <w:pStyle w:val="BookText"/>
        <w:rPr/>
      </w:pPr>
      <w:r>
        <w:rPr>
          <w:rFonts w:ascii="Amiri" w:hAnsi="Amiri" w:eastAsia="Amiri" w:cs="Amiri"/>
          <w:color w:val="111111"/>
          <w:sz w:val="28"/>
          <w:sz w:val="28"/>
          <w:szCs w:val="28"/>
          <w:rtl w:val="true"/>
          <w:lang w:bidi="ar-SA"/>
        </w:rPr>
        <w:t>التركة على السواء، ومن هنا يقعُ الاستبعاد أيضاً في تشطير</w:t>
      </w:r>
      <w:r>
        <w:rPr>
          <w:rStyle w:val="FootnoteAnchor"/>
          <w:rtl w:val="true"/>
        </w:rPr>
        <w:footnoteReference w:id="1273"/>
      </w:r>
      <w:r>
        <w:rPr>
          <w:rFonts w:ascii="Amiri" w:hAnsi="Amiri" w:eastAsia="Amiri" w:cs="Amiri"/>
          <w:color w:val="111111"/>
          <w:sz w:val="28"/>
          <w:sz w:val="28"/>
          <w:szCs w:val="28"/>
          <w:rtl w:val="true"/>
          <w:lang w:bidi="ar-SA"/>
        </w:rPr>
        <w:t>الحبوة؛ لعدم انفكاك الناس غالباً من الوصايا في الجملة مع إطلاق النصوص والفتاوى بثبوتها من غير تفصيل، وهذا لم يُنَبِّه عليه الأصحاب ككثير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الأب بصرف الحَبْوَة أجمع في جهةٍ مُباحَةٍ فالأقوى،الصحّة، كما لو أوصى بغيرها من أمواله؛ لعموم الأدلّة مع أنّها من جملة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واختصاص المحبو بها بعد الموت على وجه الإرث الخاص كما سلف، فلا يمنعُ من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فتُعتَبَر من الثلث كغيرها لكن هنا مع زيادتها على الثلث فالأقوى اعتبار إجازة الابن خاصَّةً لاختصاصه بها كما لو كان الإرث منحصراً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اعتبار إجازة الجميع لإطلاق النصوص والفتاوى بأنّ ما زاد من الوصيّة عن الثلث يُعتبر في إجازة جميع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أنّ هذا الإطلاق مقيّد بالمستحق كما لا أثر لإجازة غير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لباقي الورثة فيها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لم يكن غيرها، أو ما لا يكفي في نفوذها أجمع على ما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شُبهة في اعتبار إجازة الجميع</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لوكانت الوصيّة بصرفها أو بعضها في واجب مقدَّم على 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أوصى بتكفينه في قميصه أو إدراجه في عمامته في موضع الإزار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تكن هناك تَرِكَةٌ غيرُها ولم نجعله مانعاً، أو كان ما يُعتبر في نفوذها، صحت الوصيّة وقدمت على الحَبْوَة إِنْ لم تزد قيمة الموصى به عمّا يجب صرفه في الكفن الواجب كميةً وكيفيّةً، وإلا اعتُبِر الزائد من الثلث وإن كان هناك تَرِكَةٌ غيرُها ففي نفوذ الوصيّة وتقديمها من الأصل أو اعتبارها من الثلث وجهان من أنّ الصرف في واجب يخرج من الأصل والحَبْوَةُ من جملة التركة، فتقدّم من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أوصى بعين غيرها تخرج في وجهِ تَنْفُذُ من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تحقّق الفرق بين الحبوة وغيرها من أعيان </w:t>
      </w:r>
    </w:p>
    <w:p>
      <w:pPr>
        <w:pStyle w:val="BookText"/>
        <w:rPr/>
      </w:pPr>
      <w:r>
        <w:rPr>
          <w:rFonts w:ascii="Amiri" w:hAnsi="Amiri" w:eastAsia="Amiri" w:cs="Amiri"/>
          <w:color w:val="111111"/>
          <w:sz w:val="28"/>
          <w:sz w:val="28"/>
          <w:szCs w:val="28"/>
          <w:rtl w:val="true"/>
          <w:lang w:bidi="ar-SA"/>
        </w:rPr>
        <w:t>التَرِكَةِ؛ فإنّ ما يَنْفُذُ من الأصل من أعيانها يفوت على جميع الورثة على السواء كما أنّه لو لم يُوصِ بها أُخرِجَ ذلك الوجه من أصل التركةِ على السواء، كذلك، بخلاف الحَبْوَة فإنّها مختصةً بأحد الوراث، فإذا قدمت الوصيّة فيها فاتت عليه خاصَّةً وإِلَّا أُخْرِجَتْ من جميع التَرِكَةِ وفاتت على الجميع، وهذا هو الأجود فتُعتَبَرُ الوصيّة من الثلث مطلقاً ويتوقّف الزائد على إجازة المحبو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لوكانت هذه الأعيانُ أو بعضُها مرهونةٌ على دين على الأب، قُدِّمَ حقٌّ المرتهن على الولدِ ورُوعي في استحقاقه افتكاكها من الرهن ولا يجب على الوارث فكها؛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فللولد أن يَفُكّها من ماله ليختصّ بها، ولا يرجع بما غرم على التركة لتبرُّعه بالأداء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افْتَكَّها الوارث ففي استحقاق الولد لها حينئذٍ ما تقدّم فيما لو قضى الدين المانع منها، وأولى بالاستحقاق هنا إذا لم يكن الدينُ مُستغرقاً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ما اقتضاه الحال الحاضر من بحث هذه المسألة على ضيق المجال واشتغال البال، ونسأل من الجواد الكريم المسامحة عند الهفوة، والعفو عن الزلّة، فيما طَغَى فيه القلم، أو زَلَّ فيه الفكر؛ إنّه 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الأولى عندي لمستحِقِّ الحَبوة أن لا يأخذ منها شيئاً؛ لكثرة ما يرد عليها من الشُبهات بحيث لا يكادُ يَسْلَمُ منها فرد من أفرادها كما قد عرفت</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تعالى حقَّ حمده، وصلاته على خير خلقه محمدٍ وآله وصحبه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وفَرغ منها مؤلّفها الفقير إلى عفو اللّه تعالى وجُودِه وكَرمه زين الدين بن علي بن أحمد الشامي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عامَلَهُ اللّه تعالى برحمته، وتجاوز عن سيّئاته بمغفرته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الثلاثاء الخامس والعشرين من شهر ذي الحِجَّة الحرامِ عامَ ست وخمسين وتسعمائة حامداً للّه تعالى مصلياً على رسوله وآله، مُسلّماً مُستغفِراً</w:t>
      </w:r>
      <w:r>
        <w:rPr>
          <w:rFonts w:eastAsia="Amiri" w:cs="Amiri" w:ascii="Amiri" w:hAnsi="Amiri"/>
          <w:color w:val="111111"/>
          <w:sz w:val="28"/>
          <w:szCs w:val="28"/>
          <w:rtl w:val="true"/>
          <w:lang w:bidi="ar-SA"/>
        </w:rPr>
        <w:t xml:space="preserve">.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4" w:name="pg10113_92351"/>
      <w:bookmarkStart w:id="735" w:name="pg10113_92351"/>
      <w:bookmarkEnd w:id="735"/>
    </w:p>
    <w:p>
      <w:pPr>
        <w:pStyle w:val="Heading2"/>
        <w:numPr>
          <w:ilvl w:val="1"/>
          <w:numId w:val="1"/>
        </w:numPr>
        <w:rPr/>
      </w:pPr>
      <w:bookmarkStart w:id="736" w:name="pg10113_92351"/>
      <w:bookmarkStart w:id="737" w:name="__RefHeading___Toc375673_1067777946"/>
      <w:bookmarkStart w:id="738" w:name="_Toc245"/>
      <w:bookmarkEnd w:id="736"/>
      <w:bookmarkEnd w:id="737"/>
      <w:r>
        <w:rPr>
          <w:rtl w:val="true"/>
        </w:rPr>
        <w:t>القسم السابع</w:t>
      </w:r>
      <w:r>
        <w:rPr>
          <w:rtl w:val="true"/>
        </w:rPr>
        <w:t xml:space="preserve">: </w:t>
      </w:r>
      <w:r>
        <w:rPr>
          <w:rtl w:val="true"/>
        </w:rPr>
        <w:t>أجوبة المسائلِ</w:t>
      </w:r>
      <w:bookmarkEnd w:id="738"/>
    </w:p>
    <w:p>
      <w:pPr>
        <w:pStyle w:val="Heading3"/>
        <w:numPr>
          <w:ilvl w:val="2"/>
          <w:numId w:val="1"/>
        </w:numPr>
        <w:rPr/>
      </w:pPr>
      <w:bookmarkStart w:id="739" w:name="__RefHeading___Toc375675_1067777946"/>
      <w:bookmarkStart w:id="740" w:name="_Toc246"/>
      <w:bookmarkEnd w:id="739"/>
      <w:r>
        <w:rPr>
          <w:rtl w:val="true"/>
        </w:rPr>
        <w:t>إشارة</w:t>
      </w:r>
      <w:r>
        <w:rPr>
          <w:rtl w:val="true"/>
        </w:rPr>
        <w:t>:</w:t>
      </w:r>
      <w:bookmarkEnd w:id="740"/>
    </w:p>
    <w:p>
      <w:pPr>
        <w:pStyle w:val="BookText"/>
        <w:rPr/>
      </w:pPr>
      <w:r>
        <w:rPr>
          <w:rFonts w:ascii="Amiri" w:hAnsi="Amiri" w:eastAsia="Amiri" w:cs="Amiri"/>
          <w:color w:val="111111"/>
          <w:sz w:val="28"/>
          <w:sz w:val="28"/>
          <w:szCs w:val="28"/>
          <w:rtl w:val="true"/>
          <w:lang w:bidi="ar-SA"/>
        </w:rPr>
        <w:t>ويَضُمُّ سبعَ رسائل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مسائل شكر بن حمدان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مسائل السيّد ابن طرّاد الحسيني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مسائل الشيخ زين الدين بن إدريس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مسائل الشيخ حسين بن زَمْعة المدني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مسائل الشيخ أحمد المازحي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مسائل السيّد شرف الدين السماكي</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المسائل النجفيّة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1" w:name="pg10113_92353"/>
      <w:bookmarkStart w:id="742" w:name="pg10113_92353"/>
      <w:bookmarkEnd w:id="742"/>
    </w:p>
    <w:p>
      <w:pPr>
        <w:pStyle w:val="Heading3"/>
        <w:numPr>
          <w:ilvl w:val="2"/>
          <w:numId w:val="1"/>
        </w:numPr>
        <w:rPr/>
      </w:pPr>
      <w:bookmarkStart w:id="743" w:name="pg10113_92353"/>
      <w:bookmarkStart w:id="744" w:name="__RefHeading___Toc375677_1067777946"/>
      <w:bookmarkStart w:id="745" w:name="_Toc247"/>
      <w:bookmarkEnd w:id="743"/>
      <w:bookmarkEnd w:id="744"/>
      <w:r>
        <w:rPr/>
        <w:t>24</w:t>
      </w:r>
      <w:r>
        <w:rPr>
          <w:rtl w:val="true"/>
        </w:rPr>
        <w:t xml:space="preserve">. </w:t>
      </w:r>
      <w:r>
        <w:rPr>
          <w:rtl w:val="true"/>
        </w:rPr>
        <w:t>أجوبة مسائل شكر بن حمدان</w:t>
      </w:r>
      <w:bookmarkEnd w:id="745"/>
    </w:p>
    <w:p>
      <w:pPr>
        <w:pStyle w:val="Heading4"/>
        <w:numPr>
          <w:ilvl w:val="3"/>
          <w:numId w:val="1"/>
        </w:numPr>
        <w:rPr/>
      </w:pPr>
      <w:bookmarkStart w:id="746" w:name="__RefHeading___Toc375679_1067777946"/>
      <w:bookmarkStart w:id="747" w:name="_Toc248"/>
      <w:bookmarkEnd w:id="746"/>
      <w:r>
        <w:rPr>
          <w:rtl w:val="true"/>
        </w:rPr>
        <w:t>إشارة</w:t>
      </w:r>
      <w:r>
        <w:rPr>
          <w:rtl w:val="true"/>
        </w:rPr>
        <w:t>:</w:t>
      </w:r>
      <w:bookmarkEnd w:id="747"/>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عليّ أوسط الناطقي</w:t>
      </w:r>
    </w:p>
    <w:p>
      <w:pPr>
        <w:pStyle w:val="BookText"/>
        <w:rPr/>
      </w:pPr>
      <w:r>
        <w:rPr>
          <w:rFonts w:ascii="Amiri" w:hAnsi="Amiri" w:eastAsia="Amiri" w:cs="Amiri"/>
          <w:color w:val="111111"/>
          <w:sz w:val="28"/>
          <w:sz w:val="28"/>
          <w:szCs w:val="28"/>
          <w:rtl w:val="true"/>
          <w:lang w:bidi="ar-SA"/>
        </w:rPr>
        <w:t>مراجعة</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أسعد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المختاري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8" w:name="pg10113_92355"/>
      <w:bookmarkStart w:id="749" w:name="pg10113_92355"/>
      <w:bookmarkEnd w:id="749"/>
    </w:p>
    <w:p>
      <w:pPr>
        <w:pStyle w:val="BookText"/>
        <w:rPr/>
      </w:pPr>
      <w:bookmarkStart w:id="750" w:name="pg10113_92355"/>
      <w:bookmarkEnd w:id="750"/>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هذه مسائلُ من الحقير الفقير المملوك شُكرِ بن حمدان إلى سيّدنا الإمامِ العلّامة، قُدْوَةِ العلماء المحقّقين، ورئيس الفضلاء المدققين، وحيد دهره وفريد عصره، زين الملّة والحقيقة والشريعة والدنيا والدين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متَّعنا اللّه بطول بقائه، ووفقه اللّه تعالى لما يُحِبّهُ وَيَرضاه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سيدنا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 بآية رحمة أو آيةٍ نِقْمَةٍ أو ذكر نبيّ، هل يجوز له أن يقطَعَ القِراءةَ وَيَدْعُو بما يطابق معنى الآية من سؤال رحمة والاستعاذة من نِقْمَةٍ، والصلاة على النبي، ثم يعود إلى القراءة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كلّه ما لا يَخْرُج به عن كونه مصلِّياً أو قارئاً</w:t>
      </w:r>
      <w:r>
        <w:rPr>
          <w:rFonts w:eastAsia="Amiri" w:cs="Amiri" w:ascii="Amiri" w:hAnsi="Amiri"/>
          <w:color w:val="111111"/>
          <w:sz w:val="28"/>
          <w:szCs w:val="28"/>
          <w:rtl w:val="true"/>
          <w:lang w:bidi="ar-SA"/>
        </w:rPr>
        <w:t>.</w:t>
      </w:r>
    </w:p>
    <w:p>
      <w:pPr>
        <w:pStyle w:val="Heading4"/>
        <w:numPr>
          <w:ilvl w:val="3"/>
          <w:numId w:val="1"/>
        </w:numPr>
        <w:rPr/>
      </w:pPr>
      <w:bookmarkStart w:id="751" w:name="__RefHeading___Toc375681_1067777946"/>
      <w:bookmarkStart w:id="752" w:name="_Toc249"/>
      <w:bookmarkEnd w:id="751"/>
      <w:r>
        <w:rPr>
          <w:rtl w:val="true"/>
        </w:rPr>
        <w:t>التوبة الصادقة ثم الوقوع في المعصية</w:t>
      </w:r>
      <w:bookmarkEnd w:id="752"/>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سيدنا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العبد إذا تاب تَوْبَةٌ مستكملة لشرائط التوبةِ ثمّ ابتُلي بعد ذلك فوقع في المعصية ومات على غير 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يُؤاخَذُ بالذنوب التي كانت قبل التوبة وبعدها، أم لا يُؤاخَذُ إلا بالذي أحدثه بعد التَوْبَةِ، وَذُنُوبُه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سلفت</w:t>
      </w:r>
      <w:r>
        <w:rPr>
          <w:rFonts w:eastAsia="Amiri" w:cs="Amiri" w:ascii="Amiri" w:hAnsi="Amiri"/>
          <w:color w:val="111111"/>
          <w:sz w:val="28"/>
          <w:szCs w:val="28"/>
          <w:rtl w:val="true"/>
          <w:lang w:bidi="ar-SA"/>
        </w:rPr>
        <w:t>]</w:t>
      </w:r>
      <w:r>
        <w:rPr>
          <w:rStyle w:val="FootnoteAnchor"/>
          <w:rtl w:val="true"/>
        </w:rPr>
        <w:footnoteReference w:id="1274"/>
      </w:r>
      <w:r>
        <w:rPr>
          <w:rFonts w:ascii="Amiri" w:hAnsi="Amiri" w:eastAsia="Amiri" w:cs="Amiri"/>
          <w:color w:val="111111"/>
          <w:sz w:val="28"/>
          <w:sz w:val="28"/>
          <w:szCs w:val="28"/>
          <w:rtl w:val="true"/>
          <w:lang w:bidi="ar-SA"/>
        </w:rPr>
        <w:t>سقطت بتَوْبَتِه ؟ أوضح لنا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يكون كذلك إذا تاب ثمّ نَقَضَ كلّ ما تاب مُحِيَ عنه السالف ولا يعود إليه أم لا ؟ بَيِّن لنا ذلك، تاب اللّه عليك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بشرطها تُسقِط الذنوب الماضية، وإنّما يَستَحِقُّ عقوبةَ ما تَجدَّد خاصةً، سواءٌ تَكَرَّر منه التوبة والذنبُ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العائد في الذنب بنقض التوبة كالمستهزئ بربّه</w:t>
      </w:r>
      <w:r>
        <w:rPr>
          <w:rFonts w:eastAsia="Amiri" w:cs="Amiri" w:ascii="Amiri" w:hAnsi="Amiri"/>
          <w:color w:val="111111"/>
          <w:sz w:val="28"/>
          <w:szCs w:val="28"/>
          <w:rtl w:val="true"/>
          <w:lang w:bidi="ar-SA"/>
        </w:rPr>
        <w:t>»</w:t>
      </w:r>
      <w:r>
        <w:rPr>
          <w:rStyle w:val="FootnoteAnchor"/>
          <w:rtl w:val="true"/>
        </w:rPr>
        <w:footnoteReference w:id="1275"/>
      </w:r>
      <w:r>
        <w:rPr>
          <w:rFonts w:ascii="Amiri" w:hAnsi="Amiri" w:eastAsia="Amiri" w:cs="Amiri"/>
          <w:color w:val="111111"/>
          <w:sz w:val="28"/>
          <w:sz w:val="28"/>
          <w:szCs w:val="28"/>
          <w:rtl w:val="true"/>
          <w:lang w:bidi="ar-SA"/>
        </w:rPr>
        <w:t xml:space="preserve">، وهو مُشعِرٌ بقوّة الذنب المتأخّر وَزيادة عقابِه، ولا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إبطال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مولانا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غَسَل وَجْهَهُ بيديه جميعاً في حال الوضوء هل فيه كراهيةٌ أم لا ؟ أفتنا مأجوراً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يُكْرَه لغير 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سيدنا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يعتقد ربّاً، ويوجب له صفات الكمال ويُنَزِّهُه عن صفاتِ النقصان على الإجمال والتقليد، وَيَعْتَقِد نبوّة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وإمامة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وَيَعْتَقِد جميع ما يجب اعتقادُه من البعث والجنة والنار، وكلُّ ذلك يَعْتَقِد تقليداً أو تسليماً من غير نظرٍ لا مجملاً ولا مفصّلاً، هل يكون بهذا القدر مؤمناً ناجياً في آخرته، مقبول العبادات، مستحقاً للثواب عليها، أم لا يكون كذلك ؟ وما القدر الذي لا بدّ من معرفته في هذا الباب ؟ أفتنا مأجوراً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التقليد الصرفُ في هذه المعارف غير كافٍ في استحقاق الثوابِ والخَلاصِ من العقاب، بل لابد من استناد المعرفة إلى دليل وإن قل، ولا يُشترط كونه بشرائط الحد والبرهان على الوجه الذي ذكره العلماء؛ فإنّ ذلك من فروض الكفايات لا الأعيان، والأغلب فى عامة الناس أن معارفهم مستندةٌ إلى دليل لكن لا يُمكنهم التعبير والعبارةُ غيرُ شرطٍ</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سيدنا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الذي ينتهي حاله من الخوف إلى التسبيح بدلاً من الصلاة، هل يحتاج إلى تكبيرة الإحرام عند نيّة ذلك، وإلى السلام عند الفراغ منه، أم </w:t>
      </w:r>
      <w:bookmarkStart w:id="753" w:name="pg10113_92357"/>
    </w:p>
    <w:p>
      <w:pPr>
        <w:pStyle w:val="BookText"/>
        <w:rPr/>
      </w:pPr>
      <w:bookmarkEnd w:id="753"/>
      <w:r>
        <w:rPr>
          <w:rFonts w:ascii="Amiri" w:hAnsi="Amiri" w:eastAsia="Amiri" w:cs="Amiri"/>
          <w:color w:val="111111"/>
          <w:sz w:val="28"/>
          <w:sz w:val="28"/>
          <w:szCs w:val="28"/>
          <w:rtl w:val="true"/>
          <w:lang w:bidi="ar-SA"/>
        </w:rPr>
        <w:t>لا يحتاج إلى ذلك ؟ أفتنا مأجوراً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النيّة والتكبير أوّلاً والتشهّد أخيراً، ويُجْزِئُ التسبيح عن ما عدا ذلك من الأفعال والكيفيّات؛ ولو قلنا بوجوب التسليم فلابدّ منه أيضاً</w:t>
      </w:r>
      <w:r>
        <w:rPr>
          <w:rFonts w:eastAsia="Amiri" w:cs="Amiri" w:ascii="Amiri" w:hAnsi="Amiri"/>
          <w:color w:val="111111"/>
          <w:sz w:val="28"/>
          <w:szCs w:val="28"/>
          <w:rtl w:val="true"/>
          <w:lang w:bidi="ar-SA"/>
        </w:rPr>
        <w:t>.</w:t>
      </w:r>
    </w:p>
    <w:p>
      <w:pPr>
        <w:pStyle w:val="Heading4"/>
        <w:numPr>
          <w:ilvl w:val="3"/>
          <w:numId w:val="1"/>
        </w:numPr>
        <w:rPr/>
      </w:pPr>
      <w:bookmarkStart w:id="754" w:name="__RefHeading___Toc375683_1067777946"/>
      <w:bookmarkStart w:id="755" w:name="_Toc250"/>
      <w:bookmarkEnd w:id="754"/>
      <w:r>
        <w:rPr>
          <w:rtl w:val="true"/>
        </w:rPr>
        <w:t>من عبارات التشهد الأخير في الصلاة</w:t>
      </w:r>
      <w:bookmarkEnd w:id="7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سيدنا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ابتداء التشهّد الأخير في الصلاة،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التحيات للّه والصلوات الطيّبات المباركات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يتبع من غير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علينا وعلى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ذلك كراهيةٌ أم هو مستحب؟ أم الأولى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والأسماء الحسنى كلها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ورد في هذا أمرٌ أو خبرٌ؟ أفتنا،مأجوراً، آجرك اللّه أجر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التحيات في التشهّد الأخير مسنونةٌ، وعبارتها في كتب الأصحاب مشهورة</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سيدنا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المصلّي إذا انكشفت عورته في أثناء الصلاة ثمّ سَتَرهَا هل تَبْطُلُ صلاتُه أم لا ؟ وهل لو تَعمَّد كَشْفَها ثم سَتَرَها يكون الحال كما لو انكشفت بغیر اختياره أم لا ؟ أفتنا مأجوراً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العورة للمصلّي عمداً تُبطِلُ الصلاة قولاً واحداً، وإنّما الخلافُ في انكشافها بغير اختياره أو ناسياً، والأقوى فيهما عَدَمُ الإبطال، لكن تجب المبادرة إلى الستر، فإنْ أَخَلَّ بها مع الإمكان بطَلَتِ الصلاةُ كالعامد</w:t>
      </w:r>
      <w:r>
        <w:rPr>
          <w:rFonts w:eastAsia="Amiri" w:cs="Amiri" w:ascii="Amiri" w:hAnsi="Amiri"/>
          <w:color w:val="111111"/>
          <w:sz w:val="28"/>
          <w:szCs w:val="28"/>
          <w:rtl w:val="true"/>
          <w:lang w:bidi="ar-SA"/>
        </w:rPr>
        <w:t>.</w:t>
      </w:r>
    </w:p>
    <w:p>
      <w:pPr>
        <w:pStyle w:val="Heading4"/>
        <w:numPr>
          <w:ilvl w:val="3"/>
          <w:numId w:val="1"/>
        </w:numPr>
        <w:rPr/>
      </w:pPr>
      <w:bookmarkStart w:id="756" w:name="__RefHeading___Toc375685_1067777946"/>
      <w:bookmarkStart w:id="757" w:name="_Toc251"/>
      <w:bookmarkEnd w:id="756"/>
      <w:r>
        <w:rPr>
          <w:rtl w:val="true"/>
        </w:rPr>
        <w:t>مسألة في الصابون إذا جهل صانعه</w:t>
      </w:r>
      <w:bookmarkEnd w:id="7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سيّدنا الإمام العلّامة في الصابون إذا جُهِلَ عامله، فهل يكون طاهراً أم لا ؟ ولو تَنَبَّس هل يقبل التطهير بغَسْلِ الموضع الذي لاقته أم لا ؟ أفتنا مأجوراً</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فيه وفي أمثاله الطهارة إلى أن يُعْلَم خلافُها، ويقبل التطهير حال كونه من الجامدات؛ وما فيه من اللزوجة غيرُ مانعٍ من قبول الطهارة بالقليل، وأما بالكثير فلا إشكال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سيّدنا الإمام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أصبح جُنُباً متعمداً، هل يصحّ صَومُه نَدْباً غير معيّن أم لا ؟ وإذا احتلم في النهار وهو صائم ندباً هل يبطل صومه أم لا ؟ افتنا مأجوراً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المندوب كالواجب في ذلك كله، فلا يَنعَقِدُ من متعمد الإصباح بالجنابة، ولا يَبطُلُ بالجنابة الطارئة في أثناء النهار بغير اختياره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سيّدنا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توفيقه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محمّد بن الحنفية، هل كان يقول بإمامة أخويه وإمامة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 وهل ذكر علماؤنا له عذراً في تخلفه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نصرته له أم لا ؟ أوضح لنا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مستقيماً، وذكره الأصحاب</w:t>
      </w:r>
      <w:r>
        <w:rPr>
          <w:rStyle w:val="FootnoteAnchor"/>
          <w:rtl w:val="true"/>
        </w:rPr>
        <w:footnoteReference w:id="1277"/>
      </w:r>
      <w:r>
        <w:rPr>
          <w:rFonts w:ascii="Amiri" w:hAnsi="Amiri" w:eastAsia="Amiri" w:cs="Amiri"/>
          <w:color w:val="111111"/>
          <w:sz w:val="28"/>
          <w:sz w:val="28"/>
          <w:szCs w:val="28"/>
          <w:rtl w:val="true"/>
          <w:lang w:bidi="ar-SA"/>
        </w:rPr>
        <w:t>في كتب الرجال ونَصُّوا على توثيقه وما يظهر من بعض الأخبار</w:t>
      </w:r>
      <w:r>
        <w:rPr>
          <w:rStyle w:val="FootnoteAnchor"/>
          <w:rtl w:val="true"/>
        </w:rPr>
        <w:footnoteReference w:id="1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ذلك فله محامل وتأويلات لا يَسَعُ هنا تفصيلها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تخلُّفه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فعذره مشهور في الأخبار وكتب السير؛ فإنّه كان لِزَمانَةٍ فى رِجْلَيْه</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يروي حديثاً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يجوز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مع أنه لا يعلم يقيناً أن سيّدنا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 لا ؟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أحد الأئمّة ؟ أوضح لنا ذلك</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غير شرط في جواز الرواية، وإنما المعتبر صحّة الطريق وإن كان من طريق الآحاد ومن لم يكن له الطريق صحيحاً أو كان مجهولاً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يَتَّفِق لمن لا يَعْلَم بالطريق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فليشر إلى ما يَدُلُّ على ذلك،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فلانٍ عن النبيّ كذا،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w:t>
      </w:r>
      <w:bookmarkStart w:id="758" w:name="pg10113_92359"/>
    </w:p>
    <w:p>
      <w:pPr>
        <w:pStyle w:val="BookText"/>
        <w:rPr/>
      </w:pPr>
      <w:bookmarkEnd w:id="758"/>
      <w:r>
        <w:rPr>
          <w:rFonts w:ascii="Amiri" w:hAnsi="Amiri" w:eastAsia="Amiri" w:cs="Amiri"/>
          <w:color w:val="111111"/>
          <w:sz w:val="28"/>
          <w:sz w:val="28"/>
          <w:szCs w:val="28"/>
          <w:rtl w:val="true"/>
          <w:lang w:bidi="ar-SA"/>
        </w:rPr>
        <w:t>الكتاب الفلاني كذا، 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سيدنا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نَوى الصوم إمّا واجباً أو ندباً، ثمّ نوى الإفطار وعَزَمَ عليه ولم يُفْطِرْ، هل يحتاج إلى تجديد النيّة أم النيّة الأُولى كافية ولا تأثير لنيّة الفطر والعزم عليه ؟ وهل في ذلك فرق بين أن تكون قبل الزوال أو بعده أم لا فرق ؟ أفتنا مأجوراً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الإفطار في أثناء النهار مُفْسِدة للصوم الواجب مطلقاً قبل الزوال أو بعده، وأمّا الندب فتُفسِده النيّة السابقة، ثمّ إن بَدَأ النيّة قبل الغروب صح صومه وإلّا فلا؛ ولو كان ذلك قبل الزوال في المندوب فهو صحيح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المريض إذا بَرِئَ بعد الزوال في يوم من شهر رمضان، والمسافرِ إذا قَدِمَ بعد الزوال، ولم يكن أحدهما تناوَلَ شيئاً ولا نوى الصوم قبل الزوال، هل يجوز لهما الإفطار والحالة هذه أم لا ؟ أفتنا مأجوراً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جواز الإفطار والحال هذه</w:t>
      </w:r>
      <w:r>
        <w:rPr>
          <w:rFonts w:eastAsia="Amiri" w:cs="Amiri" w:ascii="Amiri" w:hAnsi="Amiri"/>
          <w:color w:val="111111"/>
          <w:sz w:val="28"/>
          <w:szCs w:val="28"/>
          <w:rtl w:val="true"/>
          <w:lang w:bidi="ar-SA"/>
        </w:rPr>
        <w:t>.</w:t>
      </w:r>
    </w:p>
    <w:p>
      <w:pPr>
        <w:pStyle w:val="Heading4"/>
        <w:numPr>
          <w:ilvl w:val="3"/>
          <w:numId w:val="1"/>
        </w:numPr>
        <w:rPr/>
      </w:pPr>
      <w:bookmarkStart w:id="759" w:name="__RefHeading___Toc375687_1067777946"/>
      <w:bookmarkStart w:id="760" w:name="_Toc252"/>
      <w:bookmarkEnd w:id="759"/>
      <w:r>
        <w:rPr>
          <w:rtl w:val="true"/>
        </w:rPr>
        <w:t>عقص الشعر والقول فيه</w:t>
      </w:r>
      <w:bookmarkEnd w:id="7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سيدنا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الشَعْرِ المعقوص كيف صفته ؟ هل هو عَقْصُ الشَعْرِ ولَفُّه إلى خلف ؟ أم هو عقصه من قدّام على الجبهة كما تفعله نساء العرب؟ وهل يَذْهَب مولانا إلى جواز الصلاة معه أم لا ؟ وهل يختصّ بالرجال أم يَدخُل فيه النساء ؟ أفتنا مأجوراً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عَقْصُ الشعر جمعُهُ في وسط الرأس وشدُّه</w:t>
      </w:r>
      <w:r>
        <w:rPr>
          <w:rStyle w:val="FootnoteAnchor"/>
          <w:rtl w:val="true"/>
        </w:rPr>
        <w:footnoteReference w:id="1280"/>
      </w:r>
      <w:r>
        <w:rPr>
          <w:rFonts w:ascii="Amiri" w:hAnsi="Amiri" w:eastAsia="Amiri" w:cs="Amiri"/>
          <w:color w:val="111111"/>
          <w:sz w:val="28"/>
          <w:sz w:val="28"/>
          <w:szCs w:val="28"/>
          <w:rtl w:val="true"/>
          <w:lang w:bidi="ar-SA"/>
        </w:rPr>
        <w:t>، والأقوى كراهته للرجل</w:t>
      </w:r>
      <w:r>
        <w:rPr>
          <w:rStyle w:val="FootnoteAnchor"/>
          <w:rtl w:val="true"/>
        </w:rPr>
        <w:footnoteReference w:id="1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المرأة فلا كراهة في حقها ولا تحريم قولاً واحداً</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مولانا وسيدنا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وجب عليه غَسْلُ يدِهِ من لمسِ مِيتَةٍ غير الآدمي أو من قطعةٍ أبينت من حيٍّ، هل تصحُّ صلاته قبل غسل يده أم لا؟ وفيمن وجب عليه الغُسل مِن مسِّ الميّت من الآدمي بعد بَرْدِه بالموت، هل يَحرُم عليه ما يَحرُم </w:t>
      </w:r>
    </w:p>
    <w:p>
      <w:pPr>
        <w:pStyle w:val="BookText"/>
        <w:rPr/>
      </w:pPr>
      <w:r>
        <w:rPr>
          <w:rFonts w:ascii="IRNazanin" w:hAnsi="IRNazanin" w:eastAsia="IRNazanin"/>
          <w:color w:val="111111"/>
          <w:sz w:val="28"/>
          <w:sz w:val="28"/>
          <w:szCs w:val="28"/>
          <w:rtl w:val="true"/>
          <w:lang w:bidi="fa-IR"/>
        </w:rPr>
        <w:t>على الجنب أم لا ؟ أفتنا مأجوراً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الصلاةُ قبلَ غَسْلِ اليد المذكورة، وعَدمُ 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لا يمنعُ الصوم ولا دخول المساجد المحرمين على الجنب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الجُلَيْداتِ الصغار التي تَطْلَع قُرْبَ الأظفار ويُوْلَعُ الإنسانُ بقطعها، حتّى ربّما اتّفق ذلك في الصلاة، هل يَجِبُ غَسْلُ اليد منها، وتَبطُلُ الصلاة بقطعها أم لا ؟ أفتنا مأجوراً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ذلك معفو عنه، ولا تبطل الصلاة بقطعها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مولانا فيمن يُصَلِّي الفريضة من غيرِ إخلال بشيءٍ منها، لكنَّه لا يَعلَم الواجب من ذلك من الندب أو يَعْتَقِد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الجميع، هل تصح صلاته والحالة هذه أم لا ؟ وهل العِلمُ بواجبات الصلاة شرط في صحّة الصلاة أم لا ؟ وهل تَجِبُ معرفةً الأركان من الواجبات بحيث تُعَدُّ شرطاً، أم يكفي معرفة الواجبات في صحّة الصلاة، ومعرفة الأركان من الواجبات من فقه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شرط صحّتها ؟ أفتنا مأجوراً آجرك اللّه أجر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في صحّة الصلاة من مَعْرِفةِ واجبها من مندوبها وإن لم تجب معرفة المندوب ؛ ومعرفَةُ الواجب منها شرط في صحّة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معرفة الأركان من غيرها فالظاهرُ أنّه ليس بشرط في صحّة الصلاة وإن كان واجباً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سيّدنا الإمام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يَعْتَقِد التوحيد والعدل والنبوة والإمامة تقليداً جازماً لا يرجع عنه، ولكنه لا يقدر على إقامة دليل على ذلك، ولا يَعرِفُ الدليل أيَّ شيءٍ هو مع كونه قادراً على النظر، هل يكون مؤمناً بهذا الاعتقاد ومثاباً عليه أم لا ؟ دام ظلُّكم علينا</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الدليل اللفظي غيرُ شرط في الإيمان، بل يكفي انقداحُه في النفس بحيث تطمئِنُّ إلى مدلوله بأيِّ وجهٍ اتّفق كدليل العجوز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التقليد المحض </w:t>
      </w:r>
    </w:p>
    <w:p>
      <w:pPr>
        <w:pStyle w:val="BookText"/>
        <w:rPr/>
      </w:pPr>
      <w:r>
        <w:rPr>
          <w:rFonts w:ascii="Amiri" w:hAnsi="Amiri" w:eastAsia="Amiri" w:cs="Amiri"/>
          <w:color w:val="111111"/>
          <w:sz w:val="28"/>
          <w:sz w:val="28"/>
          <w:szCs w:val="28"/>
          <w:rtl w:val="true"/>
          <w:lang w:bidi="ar-SA"/>
        </w:rPr>
        <w:t>فغير مجزيٍ ولا موجبِ للإيمان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سيدنا ومولانا فيما ورد في ولد الزنى من الأخبار كالرواية التي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غسالة الحمّام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يدخله اليهودي والنصراني والناصب وولد الزنى وهو شَرُّهم</w:t>
      </w:r>
      <w:r>
        <w:rPr>
          <w:rFonts w:eastAsia="Amiri" w:cs="Amiri" w:ascii="Amiri" w:hAnsi="Amiri"/>
          <w:color w:val="111111"/>
          <w:sz w:val="28"/>
          <w:szCs w:val="28"/>
          <w:rtl w:val="true"/>
          <w:lang w:bidi="ar-SA"/>
        </w:rPr>
        <w:t>»</w:t>
      </w:r>
      <w:r>
        <w:rPr>
          <w:rStyle w:val="FootnoteAnchor"/>
          <w:rtl w:val="true"/>
        </w:rPr>
        <w:footnoteReference w:id="1282"/>
      </w:r>
      <w:r>
        <w:rPr>
          <w:rFonts w:ascii="Amiri" w:hAnsi="Amiri" w:eastAsia="Amiri" w:cs="Amiri"/>
          <w:color w:val="111111"/>
          <w:sz w:val="28"/>
          <w:sz w:val="28"/>
          <w:szCs w:val="28"/>
          <w:rtl w:val="true"/>
          <w:lang w:bidi="ar-SA"/>
        </w:rPr>
        <w:t xml:space="preserve">وإجماع الطائفة على أنّه لا تجوز إمامته ولا تُقبل شهادَتُه </w:t>
      </w:r>
      <w:r>
        <w:rPr>
          <w:rStyle w:val="FootnoteAnchor"/>
          <w:rtl w:val="true"/>
        </w:rPr>
        <w:footnoteReference w:id="1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ومذهب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تَبِعَه في ذلك معروف</w:t>
      </w:r>
      <w:r>
        <w:rPr>
          <w:rStyle w:val="FootnoteAnchor"/>
          <w:rtl w:val="true"/>
        </w:rPr>
        <w:footnoteReference w:id="1284"/>
      </w:r>
      <w:r>
        <w:rPr>
          <w:rFonts w:ascii="Amiri" w:hAnsi="Amiri" w:eastAsia="Amiri" w:cs="Amiri"/>
          <w:color w:val="111111"/>
          <w:sz w:val="28"/>
          <w:sz w:val="28"/>
          <w:szCs w:val="28"/>
          <w:rtl w:val="true"/>
          <w:lang w:bidi="ar-SA"/>
        </w:rPr>
        <w:t>، فهل تقتضي هذه الأشياء عَدَمَ إيمانه، وأنّه إذا عَلِمَ ما يَجِبُ عليه عِلْمُه وَعَمِلَ بما يجب عَمَلُهُ وتَرَكَ ما يجب تركه لا يكون بذلك مؤمناً ولا مقبولَ العَمَل ولا يُثاب على أعماله فلا يَدْخُلُ الجنَّةَ ؟ فإن كان الأمر كذلك فبأي وجهٍ تَحْبَطُ أعماله ؟ أوضح لنا دامت أيّامك</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أنّ ولد الزنى كغيره يصحّ أن يكون مسلماً مؤمناً إذا اعتقد ما يوجب ذلك، وعدم جواز إمامته وقبول شهادته وقضائه دليل على ذلك؛ لأنّ المراد إنّما هو مع كونه مؤمناً؛ إذ لو كان كافراً لم يكن التعبير بكونه ولد الزنى وما ورد من الأخبار الموهمة</w:t>
      </w:r>
      <w:r>
        <w:rPr>
          <w:rStyle w:val="FootnoteAnchor"/>
          <w:rtl w:val="true"/>
        </w:rPr>
        <w:footnoteReference w:id="1285"/>
      </w:r>
      <w:r>
        <w:rPr>
          <w:rFonts w:ascii="Amiri" w:hAnsi="Amiri" w:eastAsia="Amiri" w:cs="Amiri"/>
          <w:color w:val="111111"/>
          <w:sz w:val="28"/>
          <w:sz w:val="28"/>
          <w:szCs w:val="28"/>
          <w:rtl w:val="true"/>
          <w:lang w:bidi="ar-SA"/>
        </w:rPr>
        <w:t>بخلاف ذلك مُؤَوَّلةٌ بما يدفع المنافاة بينها وبين ما دلّ على قبول إيمانه من الكتاب والسنّة</w:t>
      </w:r>
      <w:r>
        <w:rPr>
          <w:rStyle w:val="FootnoteAnchor"/>
          <w:rtl w:val="true"/>
        </w:rPr>
        <w:footnoteReference w:id="1286"/>
      </w:r>
      <w:r>
        <w:rPr>
          <w:rFonts w:ascii="Amiri" w:hAnsi="Amiri" w:eastAsia="Amiri" w:cs="Amiri"/>
          <w:color w:val="111111"/>
          <w:sz w:val="28"/>
          <w:sz w:val="28"/>
          <w:szCs w:val="28"/>
          <w:rtl w:val="true"/>
          <w:lang w:bidi="ar-SA"/>
        </w:rPr>
        <w:t>ودلالة العقل</w:t>
      </w:r>
      <w:r>
        <w:rPr>
          <w:rFonts w:eastAsia="Amiri" w:cs="Amiri" w:ascii="Amiri" w:hAnsi="Amiri"/>
          <w:color w:val="111111"/>
          <w:sz w:val="28"/>
          <w:szCs w:val="28"/>
          <w:rtl w:val="true"/>
          <w:lang w:bidi="ar-SA"/>
        </w:rPr>
        <w:t xml:space="preserve">. </w:t>
      </w:r>
      <w:bookmarkStart w:id="761" w:name="pg10113_92362"/>
    </w:p>
    <w:p>
      <w:pPr>
        <w:pStyle w:val="BookText"/>
        <w:rPr/>
      </w:pPr>
      <w:bookmarkEnd w:id="761"/>
      <w:r>
        <w:rPr>
          <w:rFonts w:ascii="Amiri" w:hAnsi="Amiri" w:eastAsia="Amiri" w:cs="Amiri"/>
          <w:color w:val="111111"/>
          <w:sz w:val="28"/>
          <w:sz w:val="28"/>
          <w:szCs w:val="28"/>
          <w:rtl w:val="true"/>
          <w:lang w:bidi="ar-SA"/>
        </w:rPr>
        <w:t>و تحقيق المقام لا يتحمله هذا المحلّ</w:t>
      </w:r>
      <w:r>
        <w:rPr>
          <w:rFonts w:eastAsia="Amiri" w:cs="Amiri" w:ascii="Amiri" w:hAnsi="Amiri"/>
          <w:color w:val="111111"/>
          <w:sz w:val="28"/>
          <w:szCs w:val="28"/>
          <w:rtl w:val="true"/>
          <w:lang w:bidi="ar-SA"/>
        </w:rPr>
        <w:t>.</w:t>
      </w:r>
    </w:p>
    <w:p>
      <w:pPr>
        <w:pStyle w:val="Heading4"/>
        <w:numPr>
          <w:ilvl w:val="3"/>
          <w:numId w:val="1"/>
        </w:numPr>
        <w:rPr/>
      </w:pPr>
      <w:bookmarkStart w:id="762" w:name="__RefHeading___Toc375689_1067777946"/>
      <w:bookmarkStart w:id="763" w:name="_Toc253"/>
      <w:bookmarkEnd w:id="762"/>
      <w:r>
        <w:rPr>
          <w:rtl w:val="true"/>
        </w:rPr>
        <w:t>تعريف الكعبين اللذين يُمسحان من القدم</w:t>
      </w:r>
      <w:bookmarkEnd w:id="7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سيدنا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الكَعَبَينِ اللذَيْنِ يجب المسح عليهما؛ فإنّ المعروف من مذهب الأصحاب أنّهما قُبَّتا القدم عند مَعْقِد الشراك، وبعض العلماء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مَفْصِل الساق من القَدَم</w:t>
      </w:r>
      <w:r>
        <w:rPr>
          <w:rFonts w:eastAsia="Amiri" w:cs="Amiri" w:ascii="Amiri" w:hAnsi="Amiri"/>
          <w:color w:val="111111"/>
          <w:sz w:val="28"/>
          <w:szCs w:val="28"/>
          <w:rtl w:val="true"/>
          <w:lang w:bidi="ar-SA"/>
        </w:rPr>
        <w:t>»</w:t>
      </w:r>
      <w:r>
        <w:rPr>
          <w:rStyle w:val="FootnoteAnchor"/>
          <w:rtl w:val="true"/>
        </w:rPr>
        <w:footnoteReference w:id="1287"/>
      </w:r>
      <w:r>
        <w:rPr>
          <w:rFonts w:ascii="Amiri" w:hAnsi="Amiri" w:eastAsia="Amiri" w:cs="Amiri"/>
          <w:color w:val="111111"/>
          <w:sz w:val="28"/>
          <w:sz w:val="28"/>
          <w:szCs w:val="28"/>
          <w:rtl w:val="true"/>
          <w:lang w:bidi="ar-SA"/>
        </w:rPr>
        <w:t>، فما الحجّة في ذلك ؟ وما حكم من اقتصر على مَعْقِدِ الشراك ؟ أفتنا مأجوراً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المعتمد أنّهما قُبَّنا القدم، بل ادّعى جماعةٌ من الأصحاب عليه الإجماع منهم الشيخ في التهذيب، والمحقّق في المعتبر، والشهيد في الذكرى</w:t>
      </w:r>
      <w:r>
        <w:rPr>
          <w:rStyle w:val="FootnoteAnchor"/>
          <w:rtl w:val="true"/>
        </w:rPr>
        <w:footnoteReference w:id="1288"/>
      </w:r>
      <w:r>
        <w:rPr>
          <w:rFonts w:ascii="Amiri" w:hAnsi="Amiri" w:eastAsia="Amiri" w:cs="Amiri"/>
          <w:color w:val="111111"/>
          <w:sz w:val="28"/>
          <w:sz w:val="28"/>
          <w:szCs w:val="28"/>
          <w:rtl w:val="true"/>
          <w:lang w:bidi="ar-SA"/>
        </w:rPr>
        <w:t>، ولا دليل أوضحُ من الإجماع المنقول بخبر مثل هؤلاء الأعيان</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دليله من جهة اللغة والأخبار فكتب مشروحاً في محلِّه</w:t>
      </w:r>
      <w:r>
        <w:rPr>
          <w:rStyle w:val="FootnoteAnchor"/>
          <w:rtl w:val="true"/>
        </w:rPr>
        <w:footnoteReference w:id="1289"/>
      </w:r>
      <w:r>
        <w:rPr>
          <w:rFonts w:ascii="Amiri" w:hAnsi="Amiri" w:eastAsia="Amiri" w:cs="Amiri"/>
          <w:color w:val="111111"/>
          <w:sz w:val="28"/>
          <w:sz w:val="28"/>
          <w:szCs w:val="28"/>
          <w:rtl w:val="true"/>
          <w:lang w:bidi="ar-SA"/>
        </w:rPr>
        <w:t xml:space="preserve">بل أفرَدَ له عميد الرؤساء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290"/>
      </w:r>
      <w:r>
        <w:rPr>
          <w:rFonts w:ascii="Amiri" w:hAnsi="Amiri" w:eastAsia="Amiri" w:cs="Amiri"/>
          <w:color w:val="111111"/>
          <w:sz w:val="28"/>
          <w:sz w:val="28"/>
          <w:szCs w:val="28"/>
          <w:rtl w:val="true"/>
          <w:lang w:bidi="ar-SA"/>
        </w:rPr>
        <w:t>، كتاباً مفرداً سمّاه كتاب الكعب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سيدنا ومولانا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دام فضله في البسملة إذا قرأها الإنسان ولم يكن عَيَّنَ السورةَ، فقد قال الشيخ جمال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يجب عليه إعادة البسملة إذا لم يُعيّن السورة</w:t>
      </w:r>
      <w:r>
        <w:rPr>
          <w:rFonts w:eastAsia="Amiri" w:cs="Amiri" w:ascii="Amiri" w:hAnsi="Amiri"/>
          <w:color w:val="111111"/>
          <w:sz w:val="28"/>
          <w:szCs w:val="28"/>
          <w:rtl w:val="true"/>
          <w:lang w:bidi="ar-SA"/>
        </w:rPr>
        <w:t>»</w:t>
      </w:r>
      <w:r>
        <w:rPr>
          <w:rStyle w:val="FootnoteAnchor"/>
          <w:rtl w:val="true"/>
        </w:rPr>
        <w:footnoteReference w:id="1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الحجّة في ذلك والبسملة آية صالحة لكلّ سورة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كونها صالحةً لكلِّ سورة؛ فإنّها حينئذٍ تصير 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والمشترك لا يُحْمَل على بعض ما يَصْلَح له إلّا بمخصِّص، وهو هنا 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سيّدنا العلّامة زيد توفيقه في نيّة الصلاة، هل تجب مقارنتها لتكبيرة الإحرام حتّى يكون الإنسان عاقداً لها من أَوَّلِ َألِفِ الجلالة إلى آخر راء التكبير، أم لا يجب ذلك بل الواجب مقارَنَةُ آخِرِ جزءٍ من النيّة أوَّلَ جزءٍ من التكبير ؟ أفتنا مأجوراً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أنّ النيّة لا جزء لها، بل هى أمرٌ واحدٌ بشرطه وهو القصد إلى الصلاة المعيَّنة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يُتَوَهَّم مِن الأجزاء إنّما هو مميزات معروضها وهو المقصود وحينئذٍ فالواجب المقارنة بالقصد إلى المعلوم المشخّص إلى ما يعتبر مقارنته له من تكبير أو غيره؛ وأما القرآن من الجلالة إلى راء التكبيرة فلا حقيقة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ولتحقيق معنى النيّة محلّ آخَرُ </w:t>
      </w:r>
      <w:r>
        <w:rPr>
          <w:rStyle w:val="FootnoteAnchor"/>
          <w:rtl w:val="true"/>
        </w:rPr>
        <w:footnoteReference w:id="1292"/>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سيدنا العلّامة في الحديث الذي رواه الجمهور، ورواه الشيخ أيضاً في الأمالي عن سيدنا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تعالى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تَردَّدْتُ في شيءٍ أَنَا </w:t>
      </w:r>
    </w:p>
    <w:p>
      <w:pPr>
        <w:pStyle w:val="BookText"/>
        <w:rPr/>
      </w:pPr>
      <w:r>
        <w:rPr>
          <w:rFonts w:ascii="Amiri" w:hAnsi="Amiri" w:eastAsia="Amiri" w:cs="Amiri"/>
          <w:color w:val="111111"/>
          <w:sz w:val="28"/>
          <w:sz w:val="28"/>
          <w:szCs w:val="28"/>
          <w:rtl w:val="true"/>
          <w:lang w:bidi="ar-SA"/>
        </w:rPr>
        <w:t>فاعله كتردّدي في قبض روح عبدِي المؤمن، يَكْرَه الموتَ وأَكْرَهُ مساءَتَه</w:t>
      </w:r>
      <w:r>
        <w:rPr>
          <w:rFonts w:eastAsia="Amiri" w:cs="Amiri" w:ascii="Amiri" w:hAnsi="Amiri"/>
          <w:color w:val="111111"/>
          <w:sz w:val="28"/>
          <w:szCs w:val="28"/>
          <w:rtl w:val="true"/>
          <w:lang w:bidi="ar-SA"/>
        </w:rPr>
        <w:t>»</w:t>
      </w:r>
      <w:r>
        <w:rPr>
          <w:rStyle w:val="FootnoteAnchor"/>
          <w:rtl w:val="true"/>
        </w:rPr>
        <w:footnoteReference w:id="1293"/>
      </w:r>
      <w:r>
        <w:rPr>
          <w:rFonts w:ascii="Amiri" w:hAnsi="Amiri" w:eastAsia="Amiri" w:cs="Amiri"/>
          <w:color w:val="111111"/>
          <w:sz w:val="28"/>
          <w:sz w:val="28"/>
          <w:szCs w:val="28"/>
          <w:rtl w:val="true"/>
          <w:lang w:bidi="ar-SA"/>
        </w:rPr>
        <w:t>ما معنى هذا التردّد، وكيف وجه هذا الحديث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صفةٍ للّه تعالى لا يمكن حملها عليه باعتبار حقيقتها فالمراد منها الغايةُ المطلوبة منها كالمكر والكيد والجوارح ونحوها؛ فإنّ الغاية المقصودة من المكر والكيد إيقاع الممكورِ في الممكور به والمكيد من غير شعوره، وكذا الغاية المطلوبة من اليدِ القوة ومن العينِ الاطلاع والإحاطة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التردّد في الشيء المكروه، فالغاية منه محنه المنزلة لا مَرى</w:t>
      </w:r>
      <w:r>
        <w:rPr>
          <w:rStyle w:val="FootnoteAnchor"/>
          <w:rtl w:val="true"/>
        </w:rPr>
        <w:footnoteReference w:id="1294"/>
      </w:r>
      <w:r>
        <w:rPr>
          <w:rFonts w:ascii="Amiri" w:hAnsi="Amiri" w:eastAsia="Amiri" w:cs="Amiri"/>
          <w:color w:val="111111"/>
          <w:sz w:val="28"/>
          <w:sz w:val="28"/>
          <w:szCs w:val="28"/>
          <w:rtl w:val="true"/>
          <w:lang w:bidi="ar-SA"/>
        </w:rPr>
        <w:t>، ونزول الأمر وإيثار رضاه وتحمُّلُ العبد عمّا يوجب مساءته فهو العذر</w:t>
      </w:r>
      <w:r>
        <w:rPr>
          <w:rStyle w:val="FootnoteAnchor"/>
          <w:rtl w:val="true"/>
        </w:rPr>
        <w:footnoteReference w:id="1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المراد من وصف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عَقَبَه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يكون إلّا ما أُريد</w:t>
      </w:r>
      <w:r>
        <w:rPr>
          <w:rFonts w:eastAsia="Amiri" w:cs="Amiri" w:ascii="Amiri" w:hAnsi="Amiri"/>
          <w:color w:val="111111"/>
          <w:sz w:val="28"/>
          <w:szCs w:val="28"/>
          <w:rtl w:val="true"/>
          <w:lang w:bidi="ar-SA"/>
        </w:rPr>
        <w:t>»</w:t>
      </w:r>
      <w:r>
        <w:rPr>
          <w:rStyle w:val="FootnoteAnchor"/>
          <w:rtl w:val="true"/>
        </w:rPr>
        <w:footnoteReference w:id="1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الكلام مستوفىً يحتاج إلى بسط في الكلام، وهذا القدر كان كافياً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سيدنا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نَذَرَ أنَّه كلَّما انتقض وضوره توضأ وصلّى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أخَلَّ بذلك مرّةً بعد أخرى، يلازم برهةٌ ثم يتركُهُ ثم يلازم برهةٌ ثمّ يَتْركُهُ، فهل تجب عليه بكلِّ مَرَّةٍ تَرَك فيها الوضوء كفّارةُ خُلْفِ النذر ؟ وهذا أمر 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تلزم كفارةً عن أَوَّلِ مرّةٍ ؟ وهل كفّارةُ خُلْفِ النذرِ عند مولانا كبيرة أو صغيرة؟ أفتنا مأجوراً</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المسألة لا تخلو من إشكال، ولها نظائر كثيرة، والاجتزاء بكفّارةٍ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ببطلان النذر بالترك أوّل الأمر لا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وجيهٌ وكفّارة النذر </w:t>
      </w:r>
      <w:bookmarkStart w:id="764" w:name="pg10113_92365"/>
    </w:p>
    <w:p>
      <w:pPr>
        <w:pStyle w:val="BookText"/>
        <w:rPr/>
      </w:pPr>
      <w:bookmarkEnd w:id="764"/>
      <w:r>
        <w:rPr>
          <w:rFonts w:ascii="Amiri" w:hAnsi="Amiri" w:eastAsia="Amiri" w:cs="Amiri"/>
          <w:color w:val="111111"/>
          <w:sz w:val="28"/>
          <w:sz w:val="28"/>
          <w:szCs w:val="28"/>
          <w:rtl w:val="true"/>
          <w:lang w:bidi="ar-SA"/>
        </w:rPr>
        <w:t>كبيرة مخيَّرةٌ مطلقاً على أصحّ الأقوال</w:t>
      </w:r>
      <w:r>
        <w:rPr>
          <w:rFonts w:eastAsia="Amiri" w:cs="Amiri" w:ascii="Amiri" w:hAnsi="Amiri"/>
          <w:color w:val="111111"/>
          <w:sz w:val="28"/>
          <w:szCs w:val="28"/>
          <w:rtl w:val="true"/>
          <w:lang w:bidi="ar-SA"/>
        </w:rPr>
        <w:t>.</w:t>
      </w:r>
    </w:p>
    <w:p>
      <w:pPr>
        <w:pStyle w:val="Heading4"/>
        <w:numPr>
          <w:ilvl w:val="3"/>
          <w:numId w:val="1"/>
        </w:numPr>
        <w:rPr/>
      </w:pPr>
      <w:bookmarkStart w:id="765" w:name="__RefHeading___Toc375691_1067777946"/>
      <w:bookmarkStart w:id="766" w:name="_Toc254"/>
      <w:bookmarkEnd w:id="765"/>
      <w:r>
        <w:rPr>
          <w:rtl w:val="true"/>
        </w:rPr>
        <w:t>تفسير آية</w:t>
      </w:r>
      <w:bookmarkEnd w:id="7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مولانا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الَّذِينَ شَقُواْ فَفِي النَّارِ لَهُمْ فِيهَا زَفِيرٌ وَ شَهِيقٌ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مَادَامَتِ السَّمَوَاتُ وَالْأَرْضُ إِلَّا مَا شَآءَ رَبُّكَ إِنَّ رَبَّكَ فَقَالٌ لِمَا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سُعِدُوا فَفِي الْجَنَّةِ خَلِدِينَ فِيهَا</w:t>
      </w:r>
      <w:r>
        <w:rPr>
          <w:rFonts w:eastAsia="Amiri" w:cs="Amiri" w:ascii="Amiri" w:hAnsi="Amiri"/>
          <w:color w:val="111111"/>
          <w:sz w:val="28"/>
          <w:szCs w:val="28"/>
          <w:rtl w:val="true"/>
          <w:lang w:bidi="ar-SA"/>
        </w:rPr>
        <w:t>»</w:t>
      </w:r>
      <w:r>
        <w:rPr>
          <w:rStyle w:val="FootnoteAnchor"/>
          <w:rtl w:val="true"/>
        </w:rPr>
        <w:footnoteReference w:id="1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وجه هذا الاستثناء ؟ وأيُّ شيءٍ نُقِلَ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 وأيُّ شيءٍ قال المفسرون ؟ أفتنا مأجوراً مجملاً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الكلام في الآية يقع في موضعين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الخُلود في الفريقين على دوام السماوات والأرضِ مع أنهما غير دائمين، والغرض إثبات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الإجماع على أنّ أهلَ الجنَّةِ مخلدون فيها أبداً، وكذلك الكفّار من أهل النار وهم بعض الأشقياء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أُجيب</w:t>
      </w:r>
      <w:r>
        <w:rPr>
          <w:rStyle w:val="FootnoteAnchor"/>
          <w:rtl w:val="true"/>
        </w:rPr>
        <w:footnoteReference w:id="1298"/>
      </w:r>
      <w:r>
        <w:rPr>
          <w:rFonts w:ascii="Amiri" w:hAnsi="Amiri" w:eastAsia="Amiri" w:cs="Amiri"/>
          <w:color w:val="111111"/>
          <w:sz w:val="28"/>
          <w:sz w:val="28"/>
          <w:szCs w:val="28"/>
          <w:rtl w:val="true"/>
          <w:lang w:bidi="ar-SA"/>
        </w:rPr>
        <w:t>عن الأوّل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سماوات الآخرة وأرضُها؛ إذ لابد للناس من مكانٍ وظلّ، وقد اشتهر أنّ عرش الرحمان سقف الجنّة والكرسي أرضُها، 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تُبَدَّلُ الْأَرْضُ غَيْرَ الْأَرْضِ وَالسَّمَاوَاتُ</w:t>
      </w:r>
      <w:r>
        <w:rPr>
          <w:rFonts w:eastAsia="Amiri" w:cs="Amiri" w:ascii="Amiri" w:hAnsi="Amiri"/>
          <w:color w:val="111111"/>
          <w:sz w:val="28"/>
          <w:szCs w:val="28"/>
          <w:rtl w:val="true"/>
          <w:lang w:bidi="ar-SA"/>
        </w:rPr>
        <w:t xml:space="preserve">» </w:t>
      </w:r>
      <w:r>
        <w:rPr>
          <w:rStyle w:val="FootnoteAnchor"/>
          <w:rtl w:val="true"/>
        </w:rPr>
        <w:footnoteReference w:id="1299"/>
      </w:r>
      <w:r>
        <w:rPr>
          <w:rFonts w:ascii="Amiri" w:hAnsi="Amiri" w:eastAsia="Amiri" w:cs="Amiri"/>
          <w:color w:val="111111"/>
          <w:sz w:val="28"/>
          <w:sz w:val="28"/>
          <w:szCs w:val="28"/>
          <w:rtl w:val="true"/>
          <w:lang w:bidi="ar-SA"/>
        </w:rPr>
        <w:t>إشارة إلى ثبوت ذلك</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إشارة إلى إثباتِ الدوام مطلقاً جدلاً على ما تَخَيَّله الناس سيما في وقت النزول من دوام ذلك؛ وقد خاطَبَ اللّه سبحانه الناس بما يَتَوَهَّمُونَه ويَفْهَمُونَه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يَنظُرُونَ إِلَى الْإِبِلِ كَيْفَ خُلِقَتْ</w:t>
      </w:r>
      <w:r>
        <w:rPr>
          <w:rFonts w:eastAsia="Amiri" w:cs="Amiri" w:ascii="Amiri" w:hAnsi="Amiri"/>
          <w:color w:val="111111"/>
          <w:sz w:val="28"/>
          <w:szCs w:val="28"/>
          <w:rtl w:val="true"/>
          <w:lang w:bidi="ar-SA"/>
        </w:rPr>
        <w:t>»</w:t>
      </w:r>
      <w:r>
        <w:rPr>
          <w:rStyle w:val="FootnoteAnchor"/>
          <w:rtl w:val="true"/>
        </w:rPr>
        <w:footnoteReference w:id="1300"/>
      </w:r>
      <w:r>
        <w:rPr>
          <w:rFonts w:ascii="IRNazanin" w:hAnsi="IRNazanin" w:eastAsia="IRNazanin"/>
          <w:color w:val="111111"/>
          <w:sz w:val="28"/>
          <w:sz w:val="28"/>
          <w:szCs w:val="28"/>
          <w:rtl w:val="true"/>
          <w:lang w:bidi="fa-IR"/>
        </w:rPr>
        <w:t>، ونحوه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المستثنى هو الخلود فيما تقتضيه الدارانِ من النعيم والعذاب،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الجنَّةِ قد يَشْتَغِلون عن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فيها من المأكل والمشرب والمنكح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برضوان اللّه تعالى ومطالعة كبريائه وجلاله، الذي هو أعظم الملاذ في الآخرة وأهل النار يُعَذَّبون بأحر من الإحراق</w:t>
      </w:r>
      <w:r>
        <w:rPr>
          <w:rStyle w:val="FootnoteAnchor"/>
          <w:rtl w:val="true"/>
        </w:rPr>
        <w:footnoteReference w:id="1301"/>
      </w:r>
      <w:r>
        <w:rPr>
          <w:rFonts w:ascii="Amiri" w:hAnsi="Amiri" w:eastAsia="Amiri" w:cs="Amiri"/>
          <w:color w:val="111111"/>
          <w:sz w:val="28"/>
          <w:sz w:val="28"/>
          <w:szCs w:val="28"/>
          <w:rtl w:val="true"/>
          <w:lang w:bidi="ar-SA"/>
        </w:rPr>
        <w:t>، وهي الإهانةُ والطردُ والتوبيخُ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ويُحْمَل المستثنى من الخلود في الجنّة على ما يَسْبِقُ عليها </w:t>
      </w:r>
      <w:r>
        <w:rPr>
          <w:rStyle w:val="FootnoteAnchor"/>
          <w:rtl w:val="true"/>
        </w:rPr>
        <w:footnoteReference w:id="1302"/>
      </w:r>
      <w:r>
        <w:rPr>
          <w:rFonts w:ascii="Amiri" w:hAnsi="Amiri" w:eastAsia="Amiri" w:cs="Amiri"/>
          <w:color w:val="111111"/>
          <w:sz w:val="28"/>
          <w:sz w:val="28"/>
          <w:szCs w:val="28"/>
          <w:rtl w:val="true"/>
          <w:lang w:bidi="ar-SA"/>
        </w:rPr>
        <w:t xml:space="preserve">في الآخرة من عذاب العاصي ونحوه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المستثنى من الخلود في النار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يَخرُجُ من النارِ إلى الجنّة من جملة الأشقياء؛ فإنّهم أعم من الكافرين والمؤمنين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سيدنا العلّامة في تكبير الركوع والسجود والرفع منه هل هو واجب أم لا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سيِّدنا في التكبير للقيام عقيب التشهّد الأوّل هل هو واجب أم لا ؟ وفي الفصل بين القراءة ودعاء القنوت بالتكبير هل هو كذلك أم لا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عدم وجوبه، وإنّما الكلام في استحبابه على الخصوص، والأشهر أنّه غَيرُ مستحب كذلك</w:t>
      </w:r>
      <w:r>
        <w:rPr>
          <w:rStyle w:val="FootnoteAnchor"/>
          <w:rtl w:val="true"/>
        </w:rPr>
        <w:footnoteReference w:id="1303"/>
      </w:r>
      <w:r>
        <w:rPr>
          <w:rFonts w:ascii="Amiri" w:hAnsi="Amiri" w:eastAsia="Amiri" w:cs="Amiri"/>
          <w:color w:val="111111"/>
          <w:sz w:val="28"/>
          <w:sz w:val="28"/>
          <w:szCs w:val="28"/>
          <w:rtl w:val="true"/>
          <w:lang w:bidi="ar-SA"/>
        </w:rPr>
        <w:t>، وإنّما يَسُوعُ فعله بقصد الذكر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تكبير القنوت فهو مسنونٌ، ومحلّه بعدَ القِراءَةِ وقبل القنوتِ</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مولانا في الركوع هل يتعيّن فيه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العظيم وبحمده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السجود هل يَتَعَيَّن فيه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الأعلى وبحمده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لا ؟ وهل يجب ثلاث مرّاث أم تكفي الواحدة؟ أفتنا مأجوراً</w:t>
      </w:r>
      <w:r>
        <w:rPr>
          <w:rFonts w:eastAsia="Amiri" w:cs="Amiri" w:ascii="Amiri" w:hAnsi="Amiri"/>
          <w:color w:val="111111"/>
          <w:sz w:val="28"/>
          <w:szCs w:val="28"/>
          <w:rtl w:val="true"/>
          <w:lang w:bidi="ar-SA"/>
        </w:rPr>
        <w:t xml:space="preserve">. </w:t>
      </w:r>
      <w:bookmarkStart w:id="767" w:name="pg10113_92367"/>
    </w:p>
    <w:p>
      <w:pPr>
        <w:pStyle w:val="BookText"/>
        <w:rPr/>
      </w:pPr>
      <w:bookmarkEnd w:id="767"/>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الاجتزاء فيهما بمطلق الذكر المشتمل على الثناء ولا يجب تعدّده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من التسبيحة الكبرى فيهما هو الأفضل والأحوط، ولا يجب تعدّدها إجماعاً بل يُستحب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سيّدنا الإمام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طبيخ حب الرمان محلّى بزبيب معتَصَرٍ مصفّى أو بعصير عنبٍ، ثمّ يحصل له الغليان مع اللحم والحوائج</w:t>
      </w:r>
      <w:r>
        <w:rPr>
          <w:rStyle w:val="FootnoteAnchor"/>
          <w:rtl w:val="true"/>
        </w:rPr>
        <w:footnoteReference w:id="1304"/>
      </w:r>
      <w:r>
        <w:rPr>
          <w:rFonts w:ascii="Amiri" w:hAnsi="Amiri" w:eastAsia="Amiri" w:cs="Amiri"/>
          <w:color w:val="111111"/>
          <w:sz w:val="28"/>
          <w:sz w:val="28"/>
          <w:szCs w:val="28"/>
          <w:rtl w:val="true"/>
          <w:lang w:bidi="ar-SA"/>
        </w:rPr>
        <w:t>، هل يكون حراماً أم لا ؟ أفتِنا مأجوراً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 طبيخ الزبيب حلال، وإن كان اجتنابه هو الأحوط والأولى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عصيرُ العِنَبِ فيحرم بالغليان وكذا يَحْرُم جميعُ ما معه إلى أنْ يَذْهَبَ تُلُنا العصير فَيحِلُّ الجميع</w:t>
      </w:r>
      <w:r>
        <w:rPr>
          <w:rFonts w:eastAsia="Amiri" w:cs="Amiri" w:ascii="Amiri" w:hAnsi="Amiri"/>
          <w:color w:val="111111"/>
          <w:sz w:val="28"/>
          <w:szCs w:val="28"/>
          <w:rtl w:val="true"/>
          <w:lang w:bidi="ar-SA"/>
        </w:rPr>
        <w:t>.</w:t>
      </w:r>
    </w:p>
    <w:p>
      <w:pPr>
        <w:pStyle w:val="Heading4"/>
        <w:numPr>
          <w:ilvl w:val="3"/>
          <w:numId w:val="1"/>
        </w:numPr>
        <w:rPr/>
      </w:pPr>
      <w:bookmarkStart w:id="768" w:name="__RefHeading___Toc375693_1067777946"/>
      <w:bookmarkStart w:id="769" w:name="_Toc255"/>
      <w:bookmarkEnd w:id="768"/>
      <w:r>
        <w:rPr>
          <w:rtl w:val="true"/>
        </w:rPr>
        <w:t>غسل الجنابة واجب لنفسه أم لا؟</w:t>
      </w:r>
      <w:bookmarkEnd w:id="7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النيّة ِللغُسْلِ والوضوء، هل تَجِبُ نيّة رفع الحدث واستباحة الصلاة والوجوبِ والقربة أم يكفي الاقتصار على أحد هذه الأربع ؟ وما الذي يُجْزِئُ الاقتصار عليه ؟ أفتنا مثاباً مفصلاً، آجرك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الغُسْل فلابدّ فيه من جميع ما ذكر؛ وأمّا الوضوء فالأولى كونه كذلك 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فيه بالقربة وجهٌ 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سيدنا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المحافظ على الصلوات التارك للمحرمات، وهو غير عارف بما يجب عليه من علم الأُصول وإن كان يعرف بعض ذلك فعلى جهة التقليد، فهل تكون أعماله مقبولةً موجبةً للثواب، أم جدّه واجتهادُه باطلٌ، وعبادتُه أَيضاً غير صحيحةٍ ولا مقبولةٍ ولامثاب عليها ؟ أفتِنا مأجوراً آجَرَكَ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المقلّد في الأُصول باطلة، وأعماله فاسدةٌ لا يَتَرَتَّب عليها ثواب وإنْ جدَّ واجتهد</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مولانا العلّامة زيد توفيقه في غُسْلِ الجنابة 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لنفسه أم </w:t>
      </w:r>
    </w:p>
    <w:p>
      <w:pPr>
        <w:pStyle w:val="BookText"/>
        <w:rPr/>
      </w:pPr>
      <w:r>
        <w:rPr>
          <w:rFonts w:ascii="Amiri" w:hAnsi="Amiri" w:eastAsia="Amiri" w:cs="Amiri"/>
          <w:color w:val="111111"/>
          <w:sz w:val="28"/>
          <w:sz w:val="28"/>
          <w:szCs w:val="28"/>
          <w:rtl w:val="true"/>
          <w:lang w:bidi="ar-SA"/>
        </w:rPr>
        <w:t>لا ؟ فإن لم يكن واجباً لنفسه وأراد الإنسانُ أن يَغْتَسِلَ قبل دخول الوقت هل يصحّ غُسْلُه أم لا ؟ وهل ينويه مندوباً أو واجباً ؟ وهل يستبيح بذلك جميع الصلوات، كما إذا اعْتَسَلَ بَعْدَ دخول الوقتِ ؟ بيِّن لنا مفصلاً أجرك اللّه وعافاك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 غُسْل الجنابة واجبٌ لغيره كغيره من أغسال الحي وباقي الطهارات الواجبة، فمتى أرادَ المكلّف فِعْلَه في خلوّ ذِمّتِه من مشروط بالطهارة نَوَى الندبَ واستباحَ به ما يستبيح بالواجب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سيدنا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المتطهّر قبل دخول الوقتِ على جهة الندب، هل يستبيح بذلك الوضوء جميع الصلوات أداءً وقضاء أم لا ؟ أفْتِنا مثاباً مأجوراً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الاستباحة بالوضوء المذكور ما يستبيح بالواجب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سيّدنا ومفيدنا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المتيمّم هل يستبيح به ما يستبيح بالتطهر بالماء</w:t>
      </w:r>
      <w:r>
        <w:rPr>
          <w:rStyle w:val="FootnoteAnchor"/>
          <w:rtl w:val="true"/>
        </w:rPr>
        <w:footnoteReference w:id="1305"/>
      </w:r>
      <w:r>
        <w:rPr>
          <w:rFonts w:ascii="Amiri" w:hAnsi="Amiri" w:eastAsia="Amiri" w:cs="Amiri"/>
          <w:color w:val="111111"/>
          <w:sz w:val="28"/>
          <w:sz w:val="28"/>
          <w:szCs w:val="28"/>
          <w:rtl w:val="true"/>
          <w:lang w:bidi="ar-SA"/>
        </w:rPr>
        <w:t>من جميع الصلواتِ أداءً وقضاء، فرضاً ونفلاً ؟ أفتِنا مأجوراً آجرك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استباحة المتيمم تيمّماً مشروعاً جميع الصلوات الواجبة والمندوبة، والضابط أنّه يستبيح ما يستبيحه المتطهِّرُ مِن الصلوات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النجاسة إذا وَقَعَتْ على ثوبه أو بدنه أو الإناء، فهل يجب فَرْكُ ذلك وغَسْلُه باليد ؟ أم يكفي صبُّ الماء عليه وإجالته فيه أو غطه في الماء الجاري؛ فإنَّ بعضَ الأواني لا يَتمكَّنُ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غَسْلِها من إيصال يَدَيهِ إليها كالإبريق والكُوز والحُبِّ الكبير ؟ فاكشف لنا ذلك، أفتنا مأجوراً</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الدَلك ليس بشرط في التطهير من النجاسة إن لم يكن لها جرمٌ، وإن كان لها جرمٌ فالواجب إزالته بأيِّ وجهٍ اتّفق ثمّ إن كان التطهير في الكثير كفى غَمسهُ فيه، وإن كان في القليل فلابدّ من عَصْرِ ما يُمكن عَصْرُهُ، وغيرُه يكفي صبُّ الماء عليه </w:t>
      </w:r>
      <w:bookmarkStart w:id="770" w:name="pg10113_92369"/>
    </w:p>
    <w:p>
      <w:pPr>
        <w:pStyle w:val="BookText"/>
        <w:rPr/>
      </w:pPr>
      <w:bookmarkEnd w:id="770"/>
      <w:r>
        <w:rPr>
          <w:rFonts w:ascii="Amiri" w:hAnsi="Amiri" w:eastAsia="Amiri" w:cs="Amiri"/>
          <w:color w:val="111111"/>
          <w:sz w:val="28"/>
          <w:sz w:val="28"/>
          <w:szCs w:val="28"/>
          <w:rtl w:val="true"/>
          <w:lang w:bidi="ar-SA"/>
        </w:rPr>
        <w:t>وانفصاله عنه، وإن كان مُجَوَّفاً حُرِّكَ الماء فيه ثمّ يُنْزَع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الحُبِّ الكبير يُصَبُّ فيه الماء بحيث يُصِيبُ المتنجّس منه ثمّ تُخْرَج الغسالة بآنِيَةٍ أو خِرقةٍ، ولا تُعاد ثانياً إلّا بعد تطهيرها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سيدنا ومولانا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الأُصول هل تجوز استفادته من الكتب ؟ وذلك لأنّه أمر عقلي، وقد يسنح للإنسان فيه بالمطالعة في الكتب ما تجب عليه معرفته، بخلاف الفروع؛ فإنّها أمر نقلي فلا بد فيه من التلقي والنقل، فهذا صحيح؛ أم لا ؟ أفتنا مأجوراً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في المعارفِ الأُصوليّة أخذها بالدليل سواء كان من كتاب أم من لفظ الإنسان من قِبَلِ نفسه وفي الاستعانة بكتب العلماء على ذلك عَون عظيمٌ؛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بقادح في المعرفة ولا يسمى تقليداً؛ فإنّ التقليد الأخذُ بقول الغيرِ بغير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سيدنا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المسافر الذي يجب عليه القصر، هل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الكفّارات وقضاء شهرِ رمضان وخاصّةً إذا خشِيَ أَن يُدْرِكَه رمضانُ آخَرُ وهو مسافرُ ؟ وهل يصحّ الصومُ المندوب في السفر أم لا ؟ أفتنا مأجوراً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في السفر شيءٌ من الصومِ الواجب عدا ما استثني في كُتُبِ الأصحاب، وهو مشهورٌ ؛ وأمّا قضاءُ شهر رمضانَ فلا يجوز مطلقاً، بل إذا خَشِيَ دخول رمضانَ المُقبِل وأمكنَتِ الإقامة وجب وإلا فلا، والأولى ترك المندوب سفراً</w:t>
      </w:r>
      <w:r>
        <w:rPr>
          <w:rFonts w:eastAsia="Amiri" w:cs="Amiri" w:ascii="Amiri" w:hAnsi="Amiri"/>
          <w:color w:val="111111"/>
          <w:sz w:val="28"/>
          <w:szCs w:val="28"/>
          <w:rtl w:val="true"/>
          <w:lang w:bidi="ar-SA"/>
        </w:rPr>
        <w:t>.</w:t>
      </w:r>
    </w:p>
    <w:p>
      <w:pPr>
        <w:pStyle w:val="Heading4"/>
        <w:numPr>
          <w:ilvl w:val="3"/>
          <w:numId w:val="1"/>
        </w:numPr>
        <w:rPr/>
      </w:pPr>
      <w:bookmarkStart w:id="771" w:name="__RefHeading___Toc375695_1067777946"/>
      <w:bookmarkStart w:id="772" w:name="_Toc256"/>
      <w:bookmarkEnd w:id="771"/>
      <w:r>
        <w:rPr>
          <w:rtl w:val="true"/>
        </w:rPr>
        <w:t>ماء غسلت به النجاسة ولم يتغيّر، هل هو طاهر أم لا؟</w:t>
      </w:r>
      <w:bookmarkEnd w:id="7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سيدنا الإمام العلّامة في الماء الذي تُغسل به النجاسة ويَنْفَصِل غير متغيّر، هل هو طاهرٌ أم لا ؟ وهل يجب عصرُ الثوبِ بعدَ غَسْلِه أم لا ؟ وهل يُعْصَر طريقاً أو طريقين ؟ وهل يكون الماء الذي يَخْرُجُ منه بالعصر طاهراً أم نجساً؟ فإنّه يتخلف منه كثيراً في الثوب ولا يقدر الإنسان على إخراجه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لنا هذا الحكم مفصلاً</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أنّ ماءَ الغُسالةِ نَجِسٌ، وحكمه كالمحلّ قبلها، ولا خلاف في </w:t>
      </w:r>
    </w:p>
    <w:p>
      <w:pPr>
        <w:pStyle w:val="BookText"/>
        <w:rPr/>
      </w:pPr>
      <w:r>
        <w:rPr>
          <w:rFonts w:ascii="Amiri" w:hAnsi="Amiri" w:eastAsia="Amiri" w:cs="Amiri"/>
          <w:color w:val="111111"/>
          <w:sz w:val="28"/>
          <w:sz w:val="28"/>
          <w:szCs w:val="28"/>
          <w:rtl w:val="true"/>
          <w:lang w:bidi="ar-SA"/>
        </w:rPr>
        <w:t>وجوب عصرِ الثوب وشبهه إذا غُسِل بالقليل؛ ثمّ إن كانت النجاسة بولاً وجب غَسْلُه مَرَّتَين وعصره كذلك، والأولى في غيرِ البولِ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يَخْرُج بالعَصْرِ نجس وما يَتَخَلَّف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غُسِلَ في الكثير طهر من غير عصرٍ و ولا تعدّد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سيدنا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الإنسان إذا تَوَضَّأ وهو قائمٌ في الماء، فإذا أَكْمل وضوءه أَخرَجَ رِجْلَيه وهي تقطر ماءً فمسح عليها بنَداوَةِ الوضوء الذي في يده، ثمّ أعادها إلى الماء، هل يصحّ وضوره أم لا </w:t>
      </w:r>
      <w:r>
        <w:rPr>
          <w:rStyle w:val="FootnoteAnchor"/>
          <w:rtl w:val="true"/>
        </w:rPr>
        <w:footnoteReference w:id="1306"/>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سيدنا في قول أصحابنا في البول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أقلّ ما يجزئ في غَسْل المَخْرَج مثلا ما على الحشفة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 غَسْلُ الموضع باليد فلا يُجْزِئُ ذلك ولا أمثاله أم يكفي صب الماء عليه من غير مباشرته باليد فيمكن أن يكون القدر المذكور يكفي</w:t>
      </w:r>
      <w:r>
        <w:rPr>
          <w:rStyle w:val="FootnoteAnchor"/>
          <w:rtl w:val="true"/>
        </w:rPr>
        <w:footnoteReference w:id="130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دَلْكُ مَوضِعِ البَوْلِ غيرُ شرطٍ في الطهارة على الأصح، بل يكفي صبُّ الماء عليه وانفصاله، والمماثلة المذكورة مؤيدة لذلك، وهي مبالغة في إجزاء القليل من الماء أو كناية عن غَسْلِ مَوْضِع البول مَرَّتَين؛ وكيف كان فالمعتبر إصابة الماء للمحل ثمّ انفصاله عنه مع ذهابِ العَيْن</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سيدنا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الثيابِ والكاغذ الذي يُجْلَبُ من الهندِ وبِلادِ الرومِ ومن غير ذلك من البلدان، وفيها ما هو مصبوغ وغَيْرُ مصبوغ وفيها ما يقال فيه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يعمله إلا الإفرنج كالجوخ </w:t>
      </w:r>
      <w:r>
        <w:rPr>
          <w:rStyle w:val="FootnoteAnchor"/>
          <w:rtl w:val="true"/>
        </w:rPr>
        <w:footnoteReference w:id="1308"/>
      </w:r>
      <w:r>
        <w:rPr>
          <w:rFonts w:ascii="Amiri" w:hAnsi="Amiri" w:eastAsia="Amiri" w:cs="Amiri"/>
          <w:color w:val="111111"/>
          <w:sz w:val="28"/>
          <w:sz w:val="28"/>
          <w:szCs w:val="28"/>
          <w:rtl w:val="true"/>
          <w:lang w:bidi="ar-SA"/>
        </w:rPr>
        <w:t xml:space="preserve">وثياب الصوف، ويجتمع ذلك كلّه في أسواق المسلمين ويُشْتَرى من المسلمين، فهل يجب غَسْلُه قبل لبسه أم لا ؟ وما قولكُم إذا اشتراه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يجلبه والجالِبُ مُشْرِك، هل يجب غَسْلُه والحالة هذه أم حكمُه </w:t>
      </w:r>
      <w:bookmarkStart w:id="773" w:name="pg10113_92371"/>
    </w:p>
    <w:p>
      <w:pPr>
        <w:pStyle w:val="BookText"/>
        <w:rPr/>
      </w:pPr>
      <w:bookmarkEnd w:id="773"/>
      <w:r>
        <w:rPr>
          <w:rFonts w:ascii="Amiri" w:hAnsi="Amiri" w:eastAsia="Amiri" w:cs="Amiri"/>
          <w:color w:val="111111"/>
          <w:sz w:val="28"/>
          <w:sz w:val="28"/>
          <w:szCs w:val="28"/>
          <w:rtl w:val="true"/>
          <w:lang w:bidi="ar-SA"/>
        </w:rPr>
        <w:t>حكم ما يُشْتَرى من أسواق المسلمين، مع علمنا بأنّ أهل السوق يَشْتَرُونَه ممّن يجلبه من مشرك وغيره ؟ أفتنا مأجوراً آجَرَك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البناء في هذه الأشياء كلّها على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يُعْلَم خلافها، لكن ينبغي أن يُعْلَم أنَّ العِلْمَ ليس منحصراً بالمشاهدة، بل له أسباب كثيرة، منها الخبر المحفوف بالقرائن وإن ضَعُفَ هذا الخبر؛ فإنّ القرائن الخارجيّة قد توجِبُ العلم بمضمونه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ذلك بالأُصول</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375697_1067777946"/>
      <w:bookmarkStart w:id="775" w:name="_Toc257"/>
      <w:bookmarkEnd w:id="774"/>
      <w:r>
        <w:rPr>
          <w:rtl w:val="true"/>
        </w:rPr>
        <w:t>مسألة في الزكاة</w:t>
      </w:r>
      <w:bookmarkEnd w:id="7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سيّدنا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دينارٍ مسكوكة وحال عليها الحولُ، فأخْرَجَ زكاتها ثمّ بقي الباقي بعد إخراج الزكاة على حاله حتّى حال عليه حول آخَرُ، هل يجب عليه إخراج الزكاة طريقاً ثانياً ؟ وكذلك كلما حال عليه الحولُ أُخْرِجَ منه الزكاة؟ أفتنا مأجوراً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تَجِبُ الزكاة في المال المذكور ما دامَ النصابُ حاصلاً فيه وإن بَقِيَ أحوالاً كثيرة، وهذه بخلاف الخمس فإنّه لا يَتَكَرَّر فى المال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أخل بجزءٍ من غَسْلِ وجهه أو يَدَيْه في الغَسْلَةِ الأُولى ثمّ أعاد الثانية على جهةِ الندب، فقد ذُكِرَ في ذلك في كتاب القواعد إشكالٌ</w:t>
      </w:r>
      <w:r>
        <w:rPr>
          <w:rStyle w:val="FootnoteAnchor"/>
          <w:rtl w:val="true"/>
        </w:rPr>
        <w:footnoteReference w:id="1309"/>
      </w:r>
      <w:r>
        <w:rPr>
          <w:rFonts w:ascii="Amiri" w:hAnsi="Amiri" w:eastAsia="Amiri" w:cs="Amiri"/>
          <w:color w:val="111111"/>
          <w:sz w:val="28"/>
          <w:sz w:val="28"/>
          <w:szCs w:val="28"/>
          <w:rtl w:val="true"/>
          <w:lang w:bidi="ar-SA"/>
        </w:rPr>
        <w:t xml:space="preserve">، ما وجه الإشكال في ذلك، وقد جاءَ في الرواية </w:t>
      </w:r>
      <w:r>
        <w:rPr>
          <w:rStyle w:val="FootnoteAnchor"/>
          <w:rtl w:val="true"/>
        </w:rPr>
        <w:footnoteReference w:id="1310"/>
      </w:r>
      <w:r>
        <w:rPr>
          <w:rFonts w:ascii="Amiri" w:hAnsi="Amiri" w:eastAsia="Amiri" w:cs="Amiri"/>
          <w:color w:val="111111"/>
          <w:sz w:val="28"/>
          <w:sz w:val="28"/>
          <w:szCs w:val="28"/>
          <w:rtl w:val="true"/>
          <w:lang w:bidi="ar-SA"/>
        </w:rPr>
        <w:t>أن الثانية تأتي على ذلك كلّه ؟ فأوضح لنا ذلك</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قوله لو كان الوضوء قبل دخول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وأخلّ بجزءٍ في الغَسْلَةِ الأُولى، هل يرد هذا الإشكال أم لا؟ وعلى هذا الإشكال ينبغي أن تَعُمّ الغَسْلَةُ الأولى جميع العضو والثانية كذلك، وإلّا يَحْصُل التبعيض في العضو الواحد </w:t>
      </w:r>
    </w:p>
    <w:p>
      <w:pPr>
        <w:pStyle w:val="BookText"/>
        <w:rPr/>
      </w:pPr>
      <w:r>
        <w:rPr>
          <w:rFonts w:ascii="Amiri" w:hAnsi="Amiri" w:eastAsia="Amiri" w:cs="Amiri"/>
          <w:color w:val="111111"/>
          <w:sz w:val="28"/>
          <w:sz w:val="28"/>
          <w:szCs w:val="28"/>
          <w:rtl w:val="true"/>
          <w:lang w:bidi="ar-SA"/>
        </w:rPr>
        <w:t>فيكون بعضُه مغسولاً واجباً وبعضُه مندوباً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فأوضح لنا جميع ذلك تفصيلاً لا مجملاً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أخل المتوضئ بِغَسْلِ لُمْعَةٍ في الغَسْلَةِ الأُولى وغَسَلَها في الثانية، فإنْ كان عالماً بها ونوى بغسلها الوجوب أو أطلق فالوضوء صحيحٌ رافعٌ؛ وإنْ لم يَعْلَم بها وانغسلت في الثانية بغير نيّة الندب بأنْ غَسَلَ الثانية ذاهلاً عن النيّة، فالأمر كما تقدّم مع تحقّق الترتيب في العضو؛ وإن غَسَلَها بنية الندب بُني على أنَّ الوضوء المجدَّد هل يَرْفَعُ الحَدَثَ على تقدير الحاجة إليه أم لا ؟ والأقوى فيهما الرفع، والحديث نَبَّة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الوضوء مندوباً رافعاً فالرفع أوضح هذا ما يتعلق بحكم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الإشكال فواضح؛ حيث إنّ الوجه مختلف، والمطلوب حينئذٍ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تظهر قوة الاجتزاء بغَسْلِها في الوضوء المندوب لاتّحاد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أن تَعُمَّ الغَسْلَةُ الأولى جميع العضو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كذلك؛ فإنَّ الغَسْلَةَ الثانية لا تتحقّق إلّا بعد الفراغ من الأولى، فلو بقي منها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وشَرَعَ في الثانية وقَعَتْ لَغْواً وكان القدر المكمّل للأُولى واجباً لمقتضى النيّة الأولى إن لم تطرأ عليها نيّة أُخرى تخالفها، فإنْ طَرَأَتْ فالحكم ما أسلفناه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اكتفينا بنية القربة في الوضوء فلا إشكال في الوضوء مع عدم معارَضَةِ نيّة الندبِ عالماً بالحال، ومعها يحتمل كونه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سيدنا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الألم المبتدا، هل يَحْسُنُ فعله إذا كان لطفاً لغير المُؤلم أم لا ؟ بیِّنوا تُوجروا</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مع اللطف للغير منفعةٌ للمُؤلَم تسوّغ الابتداء من وقت اللطف حَسُنَ، وإلّا فلا</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 xml:space="preserve">. </w:t>
      </w:r>
      <w:bookmarkStart w:id="776" w:name="pg10113_92373"/>
    </w:p>
    <w:p>
      <w:pPr>
        <w:pStyle w:val="Heading4"/>
        <w:numPr>
          <w:ilvl w:val="3"/>
          <w:numId w:val="1"/>
        </w:numPr>
        <w:rPr/>
      </w:pPr>
      <w:bookmarkStart w:id="777" w:name="__RefHeading___Toc375699_1067777946"/>
      <w:bookmarkStart w:id="778" w:name="_Toc258"/>
      <w:bookmarkEnd w:id="776"/>
      <w:bookmarkEnd w:id="777"/>
      <w:r>
        <w:rPr>
          <w:rtl w:val="true"/>
        </w:rPr>
        <w:t>شرح عبارة من كتاب القواعد للعلّامة</w:t>
      </w:r>
      <w:bookmarkEnd w:id="7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سيّدنا الإمام العلّامة في أُمّ الولد، هل يجوز لسيّدِها أَنْ يُحَلَّلَ وطعها لغيره مادام ولدها باقياً؟ فإنّ في هذا إشكالاً وخاصّةً على قول من يُلْحِقُ ذلك بملك اليمين أفتنا مأجوراً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جوازه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سيدنا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المصلّي إذا عَقَدَ نيّة الصلاة بما هذه 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أُصلّي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لوجوبها عليَّ قربةٌ إلى اللّه سبحانه وطاعة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سبحانه وطاعة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مبطلاً لنيّته وصلاته؛ لأنّه يجب أن يَلِيَ أوّل جزءٍ من التكبير آخر جزء من النيّة بلا فصل،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تمت النيّة، وإن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سبحانه وطاعة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كبَّر عقيب ذلك يكون قد فصل بينَ النيّة وتكبيرة الإحرام ؟ أم لا يكون قول ذلك باللسان أو بالقلب مبطلاً لنيّته ولا لصلاته ؟ أفتِنا مأجوراً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مقارنة القصدِ إلى الصلاةِ المُعيَّنة للتكبيرة، ومقارنة الألفاظ غيرُ معتبرة، وحيئنذٍ إنْ كان تحققت المقارَنَةُ المعتبرة أجزأت وإلّا فلا، بل لو تكلّم بالقدر من الكلام مع مراعاة القصد المذكور كفى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سيدنا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الذي يُروى عن سيدنا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لي يدٌ ثالثةٌ لاستَعَنتُ بها على الأكل</w:t>
      </w:r>
      <w:r>
        <w:rPr>
          <w:rFonts w:eastAsia="Amiri" w:cs="Amiri" w:ascii="Amiri" w:hAnsi="Amiri"/>
          <w:color w:val="111111"/>
          <w:sz w:val="28"/>
          <w:szCs w:val="28"/>
          <w:rtl w:val="true"/>
          <w:lang w:bidi="ar-SA"/>
        </w:rPr>
        <w:t>»</w:t>
      </w:r>
      <w:r>
        <w:rPr>
          <w:rStyle w:val="FootnoteAnchor"/>
          <w:rtl w:val="true"/>
        </w:rPr>
        <w:footnoteReference w:id="1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صحيح فيَسْتَعْمِلُ اليدين معاً في حالة الأكل، أم ليس بصحيح ؟ بيّن لنا أجرك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الاستعانة على الأكل باليد أعمُّ من الأكل بها، وحينئذٍ فلا ينافي كراهة الأكل بغير اليمين، وكأنّه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بذلك الاهتمام بالإسراع في الأكل ومقدّماتِه مع مراعاة وظائفه ليَشْتَغل بعده بما هو أهمُّ منه</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سيدنا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في كتاب القواعد في الأغسال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تَداخَلُ </w:t>
      </w:r>
    </w:p>
    <w:p>
      <w:pPr>
        <w:pStyle w:val="BookText"/>
        <w:rPr/>
      </w:pPr>
      <w:r>
        <w:rPr>
          <w:rFonts w:ascii="Amiri" w:hAnsi="Amiri" w:eastAsia="Amiri" w:cs="Amiri"/>
          <w:color w:val="111111"/>
          <w:sz w:val="28"/>
          <w:sz w:val="28"/>
          <w:szCs w:val="28"/>
          <w:rtl w:val="true"/>
          <w:lang w:bidi="ar-SA"/>
        </w:rPr>
        <w:t>وإن انضمّ إليها واجبٌ، ولا يُشترط فيها الطهارةُ من الحدثين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ويُقَدَّم ما للفعل إلّا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غُسل الجنابة من غيره لو جامعه دون العكس، فإن انضم الوضوء فإشكالٌ؛ ونيّة الاستباحة أقوى إشكالاً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وغُسل الأمواتِ كافٍ عن فرضه</w:t>
      </w:r>
      <w:r>
        <w:rPr>
          <w:rFonts w:eastAsia="Amiri" w:cs="Amiri" w:ascii="Amiri" w:hAnsi="Amiri"/>
          <w:color w:val="111111"/>
          <w:sz w:val="28"/>
          <w:szCs w:val="28"/>
          <w:rtl w:val="true"/>
          <w:lang w:bidi="ar-SA"/>
        </w:rPr>
        <w:t>»</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هذا الفصل جميعه محتاج إلى الشرح والبيان، والمسؤول مِنْ إحسانه شرحه وتبيينُه على طريق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هذه الأحكام مشروحةً بطريق البرهان لا يَسَعُه هذا المكان فأضربنا عن هذا الشأن</w:t>
      </w:r>
      <w:r>
        <w:rPr>
          <w:rStyle w:val="FootnoteAnchor"/>
          <w:rtl w:val="true"/>
        </w:rPr>
        <w:footnoteReference w:id="1314"/>
      </w:r>
      <w:r>
        <w:rPr>
          <w:rFonts w:ascii="Amiri" w:hAnsi="Amiri" w:eastAsia="Amiri" w:cs="Amiri"/>
          <w:color w:val="111111"/>
          <w:sz w:val="28"/>
          <w:sz w:val="28"/>
          <w:szCs w:val="28"/>
          <w:rtl w:val="true"/>
          <w:lang w:bidi="ar-SA"/>
        </w:rPr>
        <w:t>، وأنتم في أمان اللّه تعالى وحفظه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كتبنا هذه الأحرف على وجه الارتجال وحال الاستعجال، مُلْتَمِسين منكم قبول المعذرة وإقالَةَ العَثْرَة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امتثلنا المرسوم الكريم، وأجزنا للموالي العِظام والمشايخ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أجْزَلَ اللّه حظَّهم من السعادة، ورزقهم الحسنى وزيادةً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مع العمل بجميع ما رَقَمَهُ القلمُ القاصر من تعليق وتقييد ومتن وشرح، مراعين في ذلك شريطة الرواية وصحة النسخة وطريق الاحتياط واللّه تعالى يجمعنا وإيّاكم على طاعتِهِ، ويرعاكم بعين عنايته، ويُمدّكُم بمعونته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تنسونا من دعائكم الصالح في الخلوات وأعقاب الصلوات وأنتم في أمان اللّه تعالى وحفظه وكلاءَتِهِ على هذه الكلمات</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إلى اللّه تعالى زين الدين بن علي بن أحمد الشامي العاملي حامداً اللّه تعالى مُصَلِّياً على رسوله محمّد وآله مستغفِراً من ذنوبه، خاتمة شهر شوّال سنة اثنتين وخمسين وتسعمائة</w:t>
      </w:r>
      <w:r>
        <w:rPr>
          <w:rFonts w:eastAsia="Amiri" w:cs="Amiri" w:ascii="Amiri" w:hAnsi="Amiri"/>
          <w:color w:val="111111"/>
          <w:sz w:val="28"/>
          <w:szCs w:val="28"/>
          <w:rtl w:val="true"/>
          <w:lang w:bidi="ar-SA"/>
        </w:rPr>
        <w:t xml:space="preserve">. </w:t>
      </w:r>
      <w:bookmarkStart w:id="779" w:name="pg10113_92375"/>
    </w:p>
    <w:p>
      <w:pPr>
        <w:pStyle w:val="Heading3"/>
        <w:numPr>
          <w:ilvl w:val="2"/>
          <w:numId w:val="1"/>
        </w:numPr>
        <w:rPr/>
      </w:pPr>
      <w:bookmarkStart w:id="780" w:name="__RefHeading___Toc375701_1067777946"/>
      <w:bookmarkStart w:id="781" w:name="_Toc259"/>
      <w:bookmarkEnd w:id="779"/>
      <w:bookmarkEnd w:id="780"/>
      <w:r>
        <w:rPr/>
        <w:t>25</w:t>
      </w:r>
      <w:r>
        <w:rPr>
          <w:rtl w:val="true"/>
        </w:rPr>
        <w:t xml:space="preserve">. </w:t>
      </w:r>
      <w:r>
        <w:rPr>
          <w:rtl w:val="true"/>
        </w:rPr>
        <w:t>أجوبة مسائل السيّد ابن طراد الحسيني</w:t>
      </w:r>
      <w:bookmarkEnd w:id="781"/>
    </w:p>
    <w:p>
      <w:pPr>
        <w:pStyle w:val="Heading4"/>
        <w:numPr>
          <w:ilvl w:val="3"/>
          <w:numId w:val="1"/>
        </w:numPr>
        <w:rPr/>
      </w:pPr>
      <w:bookmarkStart w:id="782" w:name="__RefHeading___Toc375703_1067777946"/>
      <w:bookmarkStart w:id="783" w:name="_Toc260"/>
      <w:bookmarkEnd w:id="782"/>
      <w:r>
        <w:rPr>
          <w:rtl w:val="true"/>
        </w:rPr>
        <w:t>إشارة</w:t>
      </w:r>
      <w:r>
        <w:rPr>
          <w:rtl w:val="true"/>
        </w:rPr>
        <w:t>:</w:t>
      </w:r>
      <w:bookmarkEnd w:id="783"/>
    </w:p>
    <w:p>
      <w:pPr>
        <w:pStyle w:val="BookText"/>
        <w:rPr/>
      </w:pPr>
      <w:r>
        <w:rPr>
          <w:rFonts w:ascii="Amiri" w:hAnsi="Amiri" w:eastAsia="Amiri" w:cs="Amiri"/>
          <w:color w:val="111111"/>
          <w:sz w:val="28"/>
          <w:sz w:val="28"/>
          <w:szCs w:val="28"/>
          <w:rtl w:val="true"/>
          <w:lang w:bidi="ar-SA"/>
        </w:rPr>
        <w:t>تحقيق أبو مقداد</w:t>
      </w:r>
    </w:p>
    <w:p>
      <w:pPr>
        <w:pStyle w:val="BookText"/>
        <w:rPr/>
      </w:pPr>
      <w:r>
        <w:rPr>
          <w:rFonts w:ascii="Amiri" w:hAnsi="Amiri" w:eastAsia="Amiri" w:cs="Amiri"/>
          <w:color w:val="111111"/>
          <w:sz w:val="28"/>
          <w:sz w:val="28"/>
          <w:szCs w:val="28"/>
          <w:rtl w:val="true"/>
          <w:lang w:bidi="ar-SA"/>
        </w:rPr>
        <w:t>مراجعة</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رضا المختاري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صانع المصنوعات، الذي لم يكن له عضيد ولا نصير في المخلوقات الذي قال تعالى</w:t>
      </w:r>
      <w:r>
        <w:rPr>
          <w:rStyle w:val="FootnoteAnchor"/>
          <w:rtl w:val="true"/>
        </w:rPr>
        <w:footnoteReference w:id="1315"/>
      </w:r>
      <w:r>
        <w:rPr>
          <w:rFonts w:ascii="Amiri" w:hAnsi="Amiri" w:eastAsia="Amiri" w:cs="Amiri"/>
          <w:color w:val="111111"/>
          <w:sz w:val="28"/>
          <w:sz w:val="28"/>
          <w:szCs w:val="28"/>
          <w:rtl w:val="true"/>
          <w:lang w:bidi="ar-SA"/>
        </w:rPr>
        <w:t>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 بَعْضَكُمْ فَوْقَ بَعْضٍ دَرَجَاتٍ</w:t>
      </w:r>
      <w:r>
        <w:rPr>
          <w:rFonts w:eastAsia="Amiri" w:cs="Amiri" w:ascii="Amiri" w:hAnsi="Amiri"/>
          <w:color w:val="111111"/>
          <w:sz w:val="28"/>
          <w:szCs w:val="28"/>
          <w:rtl w:val="true"/>
          <w:lang w:bidi="ar-SA"/>
        </w:rPr>
        <w:t xml:space="preserve">» </w:t>
      </w:r>
      <w:r>
        <w:rPr>
          <w:rStyle w:val="FootnoteAnchor"/>
          <w:rtl w:val="true"/>
        </w:rPr>
        <w:footnoteReference w:id="1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يدوم ما دامت ساعات الليل والنهار مختلفاتٍ وأشهد أن لا إله إلّا اللّه وحده لا شريك له، شهادةً تُخرِجُنا إلى النور من الظلمات ونستدفع بها جميع البليات، وأشهد أن محمداً عبده ورسوله الشافع المشفّع يوم العرض والمناقشات، صلاةً وسلاماً دائمين ما دامتِ الأرض والسماوات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فيقول العبد الفقير المحتاج لرحمة خالق،البريات، محمد بن عليّ بن طرّاد الحسيني المُقيم ببلاد سيّد السادات</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الشيخ السند والكهف المستند، الملجأ لمن شَرَد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 اللّه منه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فريد عصره، ووحيد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عَضَدَه اللّه مِن ظهره وخَتَم له بالباقيات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الأجل، رفيع القدر والمحلّ مُظهر الدين بعد ما اضمحل، الشيخ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نَفَعَنا اللّه به، ورَزَقه زيارة سيّدِ،السادات، والوقوف بجبل عرفات والمبيت بمزدلفات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ويُنهي أنّ الموجب لهذه المُسَطَّراتِ السلام على المخدوم، والمساءلةُ عن حاله والدعاء منه للمملوك في أوقات الصلوات، والإفاضةُ على المملوك من العلوم النائفات</w:t>
      </w:r>
      <w:r>
        <w:rPr>
          <w:rStyle w:val="FootnoteAnchor"/>
          <w:rtl w:val="true"/>
        </w:rPr>
        <w:footnoteReference w:id="1317"/>
      </w:r>
      <w:r>
        <w:rPr>
          <w:rFonts w:ascii="Amiri" w:hAnsi="Amiri" w:eastAsia="Amiri" w:cs="Amiri"/>
          <w:color w:val="111111"/>
          <w:sz w:val="28"/>
          <w:sz w:val="28"/>
          <w:szCs w:val="28"/>
          <w:rtl w:val="true"/>
          <w:lang w:bidi="ar-SA"/>
        </w:rPr>
        <w:t xml:space="preserve">، بإيضاح هذه المسألات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بخير يوم تُجزى السيئةُ بالسيئة والحسنة بالحسناتِ، وغَفَر اللّه لك ولنا ولجميع المسلمين والمسلمات والمؤمنين والمؤمنات الأحياء منهم والأموات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تصح الجماعة بإمام لم يستكمل الشرائط ممن هو أشبُه ؟ ومع عدم صحّته هل تُدرك بذلك فضيلة ؟ وهل لو اجتمع جماعة في الحال كما ذكر ونووا الانفراد هل في ائتمامهم مزيّة عما لو انفرد كلُّهم لذاته ؟ وما قوله في جماعة المخالفين هل في ائتمامنا إيّاهم في الصلاة جماعةٌ والإمام منهم فضيلة لا مع نيتنا الانفراد ؟ وهل إذا كان الأمر كذلك تصير جماعةٌ، وتَحرمُ النوافل بمتابعتنا إيّاهم أم لا ؟ أفتنا مأجوراً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ألهم إلهاماً للصواب، إذا كان الإمام محسناً للقراءة، قائماً بالواجبات، تاركاً للمحرمات غير مرتكب دنّيةً تُسقط مروءته بين الناس، فالاقتداء به جائز، والفضل فيه جزيل، ومتى لم يَستَجمع شرائط الإمامة لم يصحّ الاقتداء به، ولا تُدرك بالوقوف معه فضيلة الجماعة، ولو اضطر المؤمنون إلى مثل ذلك صَلوا منفردين بصورة القُدوة، وليست جماعة حقيقةً</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الصلاة خلف المخالف ففيها ثواب عظيم، بل هي أفضلُ وأكثرُ ثواباً مِن جَماعة المؤمنين؛ لأجل التقية، وحقيقتها أن يقف المصلّي معهم منفرداً قارئاً لنفسه ولو في نفسه إذا خافَ الإظهار، ويتابعهم في الركوع والسجود حتّى لو سبقوه بالقراءة وركعوا سقط عنه باقي القراءة، وأدرك بالصلاة معهم في الصفّ الأوّل ثوابَ مَن صلّى مع </w:t>
      </w:r>
      <w:bookmarkStart w:id="784" w:name="pg10113_92379"/>
    </w:p>
    <w:p>
      <w:pPr>
        <w:pStyle w:val="BookText"/>
        <w:rPr/>
      </w:pPr>
      <w:bookmarkEnd w:id="784"/>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الصف الأوّل، كما ورد في الأخبار</w:t>
      </w:r>
      <w:r>
        <w:rPr>
          <w:rStyle w:val="FootnoteAnchor"/>
          <w:rtl w:val="true"/>
        </w:rPr>
        <w:footnoteReference w:id="1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ولهذه الصلاة أحكام خاصة ضاق الوقتُ عنها</w:t>
      </w:r>
      <w:r>
        <w:rPr>
          <w:rFonts w:eastAsia="Amiri" w:cs="Amiri" w:ascii="Amiri" w:hAnsi="Amiri"/>
          <w:color w:val="111111"/>
          <w:sz w:val="28"/>
          <w:szCs w:val="28"/>
          <w:rtl w:val="true"/>
          <w:lang w:bidi="ar-SA"/>
        </w:rPr>
        <w:t>.</w:t>
      </w:r>
    </w:p>
    <w:p>
      <w:pPr>
        <w:pStyle w:val="Heading4"/>
        <w:numPr>
          <w:ilvl w:val="3"/>
          <w:numId w:val="1"/>
        </w:numPr>
        <w:rPr/>
      </w:pPr>
      <w:bookmarkStart w:id="785" w:name="__RefHeading___Toc375705_1067777946"/>
      <w:bookmarkStart w:id="786" w:name="_Toc261"/>
      <w:bookmarkEnd w:id="785"/>
      <w:r>
        <w:rPr>
          <w:rtl w:val="true"/>
        </w:rPr>
        <w:t>مسألة عن لبس المخيط في الحجّ</w:t>
      </w:r>
      <w:bookmarkEnd w:id="7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لبس المخيط في الحجّ مع الضرورة إذا كان أثواباً، هل يُلبَسُ دفعةً لئلا يَتعدّدَ الفِداء، أو لَو لَبِسَ الثياب دفعاتٍ لمَ يلزم إلّا فِداءٌ واحدٌ؟ وهل فرق في تعدُّدِ مجالس أو 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وهل في قلعِ الثيابِ ولبسها حَرَج إذا لم يُقلَع المباشر للجلد وكذلك الرأس ؟ وهل يكون الفداء ما استغنى بالرعي وأكبر منه أو ممّا بالغه </w:t>
      </w:r>
      <w:r>
        <w:rPr>
          <w:rStyle w:val="FootnoteAnchor"/>
          <w:rtl w:val="true"/>
        </w:rPr>
        <w:footnoteReference w:id="1319"/>
      </w:r>
      <w:r>
        <w:rPr>
          <w:rFonts w:ascii="IRNazanin" w:hAnsi="IRNazanin" w:eastAsia="IRNazanin"/>
          <w:color w:val="111111"/>
          <w:sz w:val="28"/>
          <w:sz w:val="28"/>
          <w:szCs w:val="28"/>
          <w:rtl w:val="true"/>
          <w:lang w:bidi="fa-IR"/>
        </w:rPr>
        <w:t>أفتنا مأجوراً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أنّه إن لَبِسَ المتعدّد دفعةً واحدةً بأن جَمَعَ من الثياب جملةً ووَضَعَها على بدنه لم تتعدد الكفارة وإن اختلفت أصنافها، وإن لَبِسَها مترتِّبةً تَعَدَّدَت وإن اتَّحَدَ المجلس والوقتُ ولا فرق في القلع واللبس بين أن يَصِلَ إلى الجلد وعدمه، وكذا حكم الرأس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الزوجة إذا كان فرضها التقويم في الدار محلولة </w:t>
      </w:r>
      <w:r>
        <w:rPr>
          <w:rStyle w:val="FootnoteAnchor"/>
          <w:rtl w:val="true"/>
        </w:rPr>
        <w:footnoteReference w:id="1320"/>
      </w:r>
      <w:r>
        <w:rPr>
          <w:rFonts w:ascii="Amiri" w:hAnsi="Amiri" w:eastAsia="Amiri" w:cs="Amiri"/>
          <w:color w:val="111111"/>
          <w:sz w:val="28"/>
          <w:sz w:val="28"/>
          <w:szCs w:val="28"/>
          <w:rtl w:val="true"/>
          <w:lang w:bidi="ar-SA"/>
        </w:rPr>
        <w:t>وما الحكم في النخل وسائر الشجر هل يكون خشباً مطروحاً فيكون التقويم يسيراً، أو يُقَوَّمُ قائماً في أرضه فيعرف قسطها وقسطه فيكون التقويم كثيراً؟ أفتنا مأجوراً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يُقَوَّمُ الشجرُ والبِناءُ ثابتاً مستقراً إلى أن يفنى بغير أُجرةٍ، وإذا كان كذلك فلا يكاد يَنقُصُ مجرّداً عن الأرض إلّا يسيراً، وربما لا ينقُصُ في بعض الدور والأملاك؛ لقلة قيمة الأرض كذلك، وأمّا القولُ بتقويمها محلولةً فهو في غاية الضعف لا يُلتفت إليه أصلاً</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ظنَّ الضرر بقيام واجب عليه شرعاً فترك القيام بالواجب </w:t>
      </w:r>
      <w:bookmarkStart w:id="787" w:name="pg10113_92380"/>
    </w:p>
    <w:p>
      <w:pPr>
        <w:pStyle w:val="BookText"/>
        <w:rPr/>
      </w:pPr>
      <w:bookmarkEnd w:id="787"/>
      <w:r>
        <w:rPr>
          <w:rFonts w:ascii="Amiri" w:hAnsi="Amiri" w:eastAsia="Amiri" w:cs="Amiri"/>
          <w:color w:val="111111"/>
          <w:sz w:val="28"/>
          <w:sz w:val="28"/>
          <w:szCs w:val="28"/>
          <w:rtl w:val="true"/>
          <w:lang w:bidi="ar-SA"/>
        </w:rPr>
        <w:t>لحصول الظنّ بالضرر هل يجوز ترك الواجب بظنّه ؟ ومع جوازه إذا تركه ثم تبيّن الوهم هل يجب عليه إعادةُ الواجب بعد تبين وهم ظنّه، كمن استبدل الوضوء بالتيمّم وصلّى، والصيام بالإفطار، ولبس المخيط في الحجّ بغير المخيط ؟ أفتنا مأجوراً عموماً أو 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في ترك هذه الأُمور المذكرة والعدول إلى بدلها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يكون لها بدل كالطهارة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الغالب المستند إلى التجربة أو قول عارف يُظَنُّ صدقُه وإذا كان فرضُه ترك الواجب المذكور لحصول الظنّ لا تجب عليه الإعادة لو ثبت خلافه؛ لأنّ اللّه تَعَبَّدَه،بظنه، نعم، في الصوم يجب القضاءُ وإن لم يظهر فَسادُ الظنّ،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الوقف بالشياع ؟ وفي شهود الشياع هل لهم عدّة محصورة أو ما يحصل بهم الوثوق في الشياع ؟ وهل يقدح في الشياع سماع الشهود الشياع عن شخصين أو ثلاثة لقلتهم ؟ وهل يجوز الشياع في القسمة وفيمن هو موقوف عليه ؟ أفتنا مأجوراً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ممّا يثبتُ بالشياع والمراد به إخبار جماعةٍ يغلب على الظنّ صدقُهم وعدم تواطئهم على الكذب، ولا ينحصر ذلك في عددٍ بل قد يكفي الثلاثة والأربعة إذا حصل الظنّ المذكور بقولهم، وقد لا يكفي عشرة فصاعداً إذا لم يحصل الظنُّ بصدقهم؛ لكونهم مظنَّة الكذب، وذلك أمر وجداني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الشياع في القسمة كالوقف مع الشرط، بمعنى إفادته الملك المطلق لكلّ من في يده حصة بها، أما السبب وهو كون الملك المطلق مستنداً إلى الشياع فلا؛ لأنّ مواضع الشياع محصورة على المشهور في أُمور مخصوصةٍ مشهورةٍ</w:t>
      </w:r>
      <w:r>
        <w:rPr>
          <w:rFonts w:eastAsia="Amiri" w:cs="Amiri" w:ascii="Amiri" w:hAnsi="Amiri"/>
          <w:color w:val="111111"/>
          <w:sz w:val="28"/>
          <w:szCs w:val="28"/>
          <w:rtl w:val="true"/>
          <w:lang w:bidi="ar-SA"/>
        </w:rPr>
        <w:t>.</w:t>
      </w:r>
    </w:p>
    <w:p>
      <w:pPr>
        <w:pStyle w:val="Heading4"/>
        <w:numPr>
          <w:ilvl w:val="3"/>
          <w:numId w:val="1"/>
        </w:numPr>
        <w:rPr/>
      </w:pPr>
      <w:bookmarkStart w:id="788" w:name="__RefHeading___Toc375707_1067777946"/>
      <w:bookmarkStart w:id="789" w:name="_Toc262"/>
      <w:bookmarkEnd w:id="788"/>
      <w:r>
        <w:rPr>
          <w:rtl w:val="true"/>
        </w:rPr>
        <w:t>الغني وإعطاؤه من الخمس والزكاة</w:t>
      </w:r>
      <w:bookmarkEnd w:id="789"/>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غنيّةٍ هل يجوز أن تُعطى من الزكاة والخمس تتحوّجُ به فيما يُناسِبُ حالَها مِن ذهب وفضّة ومصروف في الزائد أو نفقة الحجّ وكسوة مما </w:t>
      </w:r>
    </w:p>
    <w:p>
      <w:pPr>
        <w:pStyle w:val="BookText"/>
        <w:rPr/>
      </w:pPr>
      <w:r>
        <w:rPr>
          <w:rFonts w:ascii="Amiri" w:hAnsi="Amiri" w:eastAsia="Amiri" w:cs="Amiri"/>
          <w:color w:val="111111"/>
          <w:sz w:val="28"/>
          <w:sz w:val="28"/>
          <w:szCs w:val="28"/>
          <w:rtl w:val="true"/>
          <w:lang w:bidi="ar-SA"/>
        </w:rPr>
        <w:t>لا يجب على الرجل ؟ وهل فرق بيَن رَجلها وغيره في العطاء مع جوازه ؟ أفتنا مأجوراً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إعطاء الغني من الخمس مطلقاً ولا من الزكاة، إلا ما استثني من العاملين عليها والمؤلفة قلوبهم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لا يستدلُّ على المعرفة ولا على نبوّة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يعدُّ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يكون سفره معصية مع عدم التعلم، فيتمّ الصلاة والصوم أم لا ؟ ومع كون سفره معصية بالجميع هل بالبعض كذلك ؟ وما أقلّ مراتب المعرفة ؟ أفتنا مأجوراً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مراتب المعرفة أن يعتقد المكلّف أنّ اللّه حي موجود قادر عالم سميع بصير متكلّم ليس بجسم ولا متحيّز متصف بصفات الكمال منزّه عن الناقصات، و إن لم يُقِم على كلّ مسألةٍ دليلاً لِعُسر ذلك على أكثر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يُكَلِّف الناس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مُضيفاً إلى ذلك أنّ محمداً رسولُ اللّه وبه يتحقّق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الإيمانُ الخاص فيتوقّف على اعتقاد إمامة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يتوقّف على معرفة عددهم، وهذا أمرٌ سهلٌ يُمكِنُ حصوله في ساعةٍ واحدةٍ، ومَن قَصَّرَ عنه فهو عاصٍ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زيد ادّعى على عمرو، فقال زيد لعمرو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المسطور الذي بيدك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المسطور مسطوري إن أردتُ إخراجه وتخليته، لكن ما عندي مسطور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المسطور يشهد لي بالتطرّق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الحصة معك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فيه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يُلزَمُ عمرو بإحضاره أو باليمين مع إنكاره أم لا ؟ ومع لزوم اليمين بالإنكار ما صورتها ؟ وهل له الرَدّ على زيد ولو كان اليمين عن تهمة ؟ أفتنا مأجوراً</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ادّعى زيد أنّه شريك عمرو في الورقة وجب إحضارها وتوجّهتِ اليمين مع إنكارها، وإن لم يدّع الشركة فيها لم يجب إحضارها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اليمين فتتوجّه مع الدعوى المسموعة حيث لا بيّنة، ودعوى التهمة لا تردّ يمينها على المدّعي بل يتعيّن حلفُ المنكر إن لم يعترف بالحق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تابع القطر والنبات هل يكون للمسافر من غيرهم إذا جاءهم حكم المدن في الإتمام والقصر ؟ ولو أخذوا كلّ يوم مسافة مثلاً هل تهدم نيّة إقامة عشرة أيّام أم لا ؟ أفتنا مأجوراً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 لطالب القطر والنبت حيث يكون فرضُه الإتمام يلزمه حكمه، وسفره إلى المسافة لا يُخرجه عن حكم التمام حيث تصدقُ الكثرة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أدنى مراتب الإيمان هل هو معرفة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ذلك هل يجوز أن يُعطى من الزكاة من كان ظاهره الإيمان بلا سؤال عن معرفة الأئمّة مع الإمكان بالمعرفة وعدمها ؟ وهل يكون البحث في الخمس كذلك أم لا ؟ أفتنا مأجوراً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مراتب الإيمان الموجب لإلحاق حكم المؤمن به أن يعرف اللّه ورسوله على الوجه الذي قرّرناه سابقاً</w:t>
      </w:r>
      <w:r>
        <w:rPr>
          <w:rStyle w:val="FootnoteAnchor"/>
          <w:rtl w:val="true"/>
        </w:rPr>
        <w:footnoteReference w:id="1321"/>
      </w:r>
      <w:r>
        <w:rPr>
          <w:rFonts w:ascii="Amiri" w:hAnsi="Amiri" w:eastAsia="Amiri" w:cs="Amiri"/>
          <w:color w:val="111111"/>
          <w:sz w:val="28"/>
          <w:sz w:val="28"/>
          <w:szCs w:val="28"/>
          <w:rtl w:val="true"/>
          <w:lang w:bidi="ar-SA"/>
        </w:rPr>
        <w:t>ويعتقد إمامة الأئمّة كذلك، وأمّا إقامة الدليل على ذلك فهو فرضُ كفايةٍ على أهل القُطر لتقوية الضعفاء وإزاحة الشبهة العارضة ومقاومة الخصم بالحجّة إن اتّفق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مؤمن عليه مال لرجل مؤمن في بلد ما فيها قاض يُخلّص إلّا من قضاة الجور، ولا يَحصُلُ الحقّ إلّا بهم لا بقضاة مذهب الحق، ومن تقدير عدم جواز الخلاص بقُضاة الجور، وعدم حاكم من قضاة الحقّ أو وجوده وعدم نفاذ أمره مع الخصم يضيعُ حقٌّ،مؤمن أو يجوز له الاستيفاء بيده بما يقتضي الشرع إن أمكنه، فيصير شنعةً عند أهل هذا الزمان إذا لم يكن بأمر حاكم ولو لم يُحسن صلاته، أفتنا مأجوراً معلّلاً</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تعذر تحصيل الحقّ بحاكم العدل يجوز التوصُّل إلى تحصيله بما أمكن ولو بقاضي الجور بجعله وسيلةً إلى تحصيل الحقّ كما يُتَوَسَّل بغيره من الناس، ولو أمكن أن يستوفي بيده مقاصّةً جاز أيضاً مع جحود الغريم أو مطله، ولا عبرة </w:t>
      </w:r>
    </w:p>
    <w:p>
      <w:pPr>
        <w:pStyle w:val="BookText"/>
        <w:rPr/>
      </w:pPr>
      <w:r>
        <w:rPr>
          <w:rFonts w:ascii="Amiri" w:hAnsi="Amiri" w:eastAsia="Amiri" w:cs="Amiri"/>
          <w:color w:val="111111"/>
          <w:sz w:val="28"/>
          <w:sz w:val="28"/>
          <w:szCs w:val="28"/>
          <w:rtl w:val="true"/>
          <w:lang w:bidi="ar-SA"/>
        </w:rPr>
        <w:t>بالشُنعة المخالفة للحق، بل إثمها على مرتكبها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شخص مات ولم يُوصِ، وأقام بعض المؤمنين على تركته وصيّاً، هل تُشْتَرطُ العدالة في المقيم والقائم على التركة ؟ ومع اشتراطها إذا لم توجد أصلاً هل تُمسك عنها حتّى يوجد الغرضُ من الآفاق ؟ أو يُقيمُ ويقام الأشبه فالأشبه ؟ وهل يتعيّن على العدل إذا لم يكن عدل غيره في البلد أن يقيم ويقوم على تركة الميّت ؟ وكذلك الطلاق واشتراط العدالة في حاضريه مع انتفائها يُعْمَلُ بالأشبه فالأشبه ؟ أفتنا مأجوراً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يُوص الميّت إلى أحدٍ ولا وجد حاكم شرعي ولا منصوبه يجب على عدول المؤمنين كفايةً مراعاة مال الأطفال وحفظه، ولا يتحقّق هنا أنّ أحد العدول يقيم عدلاً آخر لأنّ كلا منهما مخاطب بذلك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تعذَّرَ العدلُ وجب ذلك على غيره مراعى فيه الأقرب إليه فالأقربُ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الإمساك لطالب العلم فيما شجر بين الناس إذا أتوه في خصومة إذا لم يثق بنفسه من باب شرائط القضاء ؟ ومع جواز الإمساك والعمل على الأشبه فالأشبه هل يجب عليه الخوض إذا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قلّة وثوقه بنفسه ؟ أفتنا مأجوراً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بين الناس من وظائف الفقيه المجتهد، وأما الوقوف بينهم ودفع الإحن</w:t>
      </w:r>
      <w:r>
        <w:rPr>
          <w:rStyle w:val="FootnoteAnchor"/>
          <w:rtl w:val="true"/>
        </w:rPr>
        <w:footnoteReference w:id="1322"/>
      </w:r>
      <w:r>
        <w:rPr>
          <w:rFonts w:ascii="Amiri" w:hAnsi="Amiri" w:eastAsia="Amiri" w:cs="Amiri"/>
          <w:color w:val="111111"/>
          <w:sz w:val="28"/>
          <w:sz w:val="28"/>
          <w:szCs w:val="28"/>
          <w:rtl w:val="true"/>
          <w:lang w:bidi="ar-SA"/>
        </w:rPr>
        <w:t>والتشاجر والصلح وتعليمهم الصيغ فيجوز لأهل الخير مطلقاً إذا كان الواقف ناقلاً للأحكام عن المجتهد ولو بواسطة أو وسائط</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القرض ما سبب دخوله في الربا معلّلاً؟ وهل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محذور فيما إذا باع زيد ثمن الدينار بدينارين على عمرو إلى أجل، ثمّ قرضه زيد دينارين؟ أفتنا مأجوراً</w:t>
      </w:r>
      <w:r>
        <w:rPr>
          <w:rFonts w:eastAsia="Amiri" w:cs="Amiri" w:ascii="Amiri" w:hAnsi="Amiri"/>
          <w:color w:val="111111"/>
          <w:sz w:val="28"/>
          <w:szCs w:val="28"/>
          <w:rtl w:val="true"/>
          <w:lang w:bidi="ar-SA"/>
        </w:rPr>
        <w:t xml:space="preserve">. </w:t>
      </w:r>
      <w:bookmarkStart w:id="790" w:name="pg10113_92384"/>
    </w:p>
    <w:p>
      <w:pPr>
        <w:pStyle w:val="BookText"/>
        <w:rPr/>
      </w:pPr>
      <w:bookmarkEnd w:id="790"/>
      <w:r>
        <w:rPr>
          <w:rFonts w:ascii="Amiri" w:hAnsi="Amiri" w:eastAsia="Amiri" w:cs="Amiri"/>
          <w:color w:val="111111"/>
          <w:sz w:val="28"/>
          <w:sz w:val="28"/>
          <w:szCs w:val="28"/>
          <w:rtl w:val="true"/>
          <w:lang w:bidi="ar-SA"/>
        </w:rPr>
        <w:t>الجواب الربايردُ في كلّ معاوضة على أصح القولين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 الرِّبوا</w:t>
      </w:r>
      <w:r>
        <w:rPr>
          <w:rFonts w:eastAsia="Amiri" w:cs="Amiri" w:ascii="Amiri" w:hAnsi="Amiri"/>
          <w:color w:val="111111"/>
          <w:sz w:val="28"/>
          <w:szCs w:val="28"/>
          <w:rtl w:val="true"/>
          <w:lang w:bidi="ar-SA"/>
        </w:rPr>
        <w:t>»</w:t>
      </w:r>
      <w:r>
        <w:rPr>
          <w:rStyle w:val="FootnoteAnchor"/>
          <w:rtl w:val="true"/>
        </w:rPr>
        <w:footnoteReference w:id="1323"/>
      </w:r>
      <w:r>
        <w:rPr>
          <w:rFonts w:ascii="Amiri" w:hAnsi="Amiri" w:eastAsia="Amiri" w:cs="Amiri"/>
          <w:color w:val="111111"/>
          <w:sz w:val="28"/>
          <w:sz w:val="28"/>
          <w:szCs w:val="28"/>
          <w:rtl w:val="true"/>
          <w:lang w:bidi="ar-SA"/>
        </w:rPr>
        <w:t>غير مقيّد بالبيع وإن كان صدر الآية مقيداً بحلّ البيع؛ لأنّ العبرة بعموم اللفظ وأمّا بيع ثمن الدينار بدينارين فما فهمنا حاصله لنجيب عنه</w:t>
      </w:r>
      <w:r>
        <w:rPr>
          <w:rFonts w:eastAsia="Amiri" w:cs="Amiri" w:ascii="Amiri" w:hAnsi="Amiri"/>
          <w:color w:val="111111"/>
          <w:sz w:val="28"/>
          <w:szCs w:val="28"/>
          <w:rtl w:val="true"/>
          <w:lang w:bidi="ar-SA"/>
        </w:rPr>
        <w:t>.</w:t>
      </w:r>
    </w:p>
    <w:p>
      <w:pPr>
        <w:pStyle w:val="Heading4"/>
        <w:numPr>
          <w:ilvl w:val="3"/>
          <w:numId w:val="1"/>
        </w:numPr>
        <w:rPr/>
      </w:pPr>
      <w:bookmarkStart w:id="791" w:name="__RefHeading___Toc375709_1067777946"/>
      <w:bookmarkStart w:id="792" w:name="_Toc263"/>
      <w:bookmarkEnd w:id="791"/>
      <w:r>
        <w:rPr>
          <w:rtl w:val="true"/>
        </w:rPr>
        <w:t>الخمس في أرباح التجارات</w:t>
      </w:r>
      <w:bookmarkEnd w:id="7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يجب فيه الخمس من أرباح التجارات؟ ومع التوضيح ووجوب الخمس هل يكون بعد المؤونة ؟ وما المؤونة ؟ فإذا كان بعدها هل تُضاف إلى أرباح التجارات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مدخول التاجر من نماء وغيره كالهبة وما شابه ذلك، وتُؤخذ المؤونة عموماً أو خصوصاً؟ أفتنا مأجوراً معلّلاً مفنِّداً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المكاسب وأرباح التجارات بعد مؤونة من يجب عليه الخمس لنفسه وعياله وضيفه وما يعتازهُ في تلك السنّة وينفقه ويهديه ويُصانع به ممّا يليق بحاله عادةً من غير إسراف ولا تقتير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أن المؤونة تُؤخَذُ من الربح والنماء خاصةً لا من أصل المال ولا منهما، وإن كان التوزيع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معاقد الناس الآن هل هو جائز أم لا ؟ وهو فيما إذا جاء المدان وقال للمدين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عشرة دنانير مثلاً باثني عشر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أُعطيك إلا بثلاثة عشر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على الأوّل، ثم بعد ذلك أحضروا في المجلس شيئاً من التجارة فباعه المدين على المدان بما توافقوا عليه، ثم اشتراه المدين بعشرة دنانير من المدان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جوازه هل يجوز عند حلول الأجل أن يقول المدان للمدين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صالح العشرة الدنانير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الدينارين أو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وأخرها إلى أجل ثانٍ بمثل صالحها الماضي، واحتال بوجه شرعي وهو إما هبة أوباعه المدين بخمسة وشراها منه بدينارين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جوازه هل يكون تركه الأحوط أم لا ؟ أفتنا</w:t>
      </w:r>
    </w:p>
    <w:p>
      <w:pPr>
        <w:pStyle w:val="BookText"/>
        <w:rPr/>
      </w:pPr>
      <w:r>
        <w:rPr>
          <w:rFonts w:ascii="Amiri" w:hAnsi="Amiri" w:eastAsia="Amiri" w:cs="Amiri"/>
          <w:color w:val="111111"/>
          <w:sz w:val="28"/>
          <w:sz w:val="28"/>
          <w:szCs w:val="28"/>
          <w:rtl w:val="true"/>
          <w:lang w:bidi="ar-SA"/>
        </w:rPr>
        <w:t>مأجوراً</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الحيلة على إسقاط الربا بما ذكر وغيره من العقود الشرعيّة، ولا </w:t>
      </w:r>
    </w:p>
    <w:p>
      <w:pPr>
        <w:pStyle w:val="BookText"/>
        <w:rPr/>
      </w:pPr>
      <w:r>
        <w:rPr>
          <w:rFonts w:ascii="Amiri" w:hAnsi="Amiri" w:eastAsia="Amiri" w:cs="Amiri"/>
          <w:color w:val="111111"/>
          <w:sz w:val="28"/>
          <w:sz w:val="28"/>
          <w:szCs w:val="28"/>
          <w:rtl w:val="true"/>
          <w:lang w:bidi="ar-SA"/>
        </w:rPr>
        <w:t>كراهة فيه إذا توجّه قصدهما إلى العقد المذكور ولو لأجل إسقاط الربا؛ فإنّ ذلك غاية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الناصبي هل هو من جحد إمامة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أحدهم، أو انقبض وجهه عند ذكر فضيلة أو غير ذلك، وفي ذبيحته، وهل يرث أهل الحقّ أم لا ؟ أفتنا مأجوراً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أنّ الناصبي هو الذي يعلن بعداوة أحدٍ من الأئمّة لا من يجحد إمامتهم مطلقاً؛ فإنّ ذلك مخالف للحق لا ناصبي، وعلى هذا فالناصبي قليل الوجود في الدنيا، وحيث يتحقّق لا تَحِلُّ ذبيحته، ولا يلحقه حكم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الرهن عند حلول الأجل، هل يجوز للمرتهن بيعه إذا لم يكن حاكم شرعي يحكم بالبيع والراهن غائب في بعض الأمصار، أو كان حاضراً ولم يسدً</w:t>
      </w:r>
      <w:r>
        <w:rPr>
          <w:rStyle w:val="FootnoteAnchor"/>
          <w:rtl w:val="true"/>
        </w:rPr>
        <w:footnoteReference w:id="1324"/>
      </w:r>
      <w:r>
        <w:rPr>
          <w:rFonts w:ascii="Amiri" w:hAnsi="Amiri" w:eastAsia="Amiri" w:cs="Amiri"/>
          <w:color w:val="111111"/>
          <w:sz w:val="28"/>
          <w:sz w:val="28"/>
          <w:szCs w:val="28"/>
          <w:rtl w:val="true"/>
          <w:lang w:bidi="ar-SA"/>
        </w:rPr>
        <w:t xml:space="preserve">ولم يبع الرهن إمّا لتكاسُلٍ أو لقلّة قابلية على بيع الرهن أو قلة ثقاتٍ ؟ ومع جواز بيع المرتهن للرهن هل يحرج عليه </w:t>
      </w:r>
      <w:r>
        <w:rPr>
          <w:rStyle w:val="FootnoteAnchor"/>
          <w:rtl w:val="true"/>
        </w:rPr>
        <w:footnoteReference w:id="1325"/>
      </w:r>
      <w:r>
        <w:rPr>
          <w:rFonts w:ascii="Amiri" w:hAnsi="Amiri" w:eastAsia="Amiri" w:cs="Amiri"/>
          <w:color w:val="111111"/>
          <w:sz w:val="28"/>
          <w:sz w:val="28"/>
          <w:szCs w:val="28"/>
          <w:rtl w:val="true"/>
          <w:lang w:bidi="ar-SA"/>
        </w:rPr>
        <w:t>حتّى تنتهي الرغبات ؟ ومع ذلك هل لانتهاء الرغبات حد محدود أو المرجع في ذلك العرف ؟ وإذا كان قاض من قضاة الجور بيع الرهن على يديه بما يقتضي الشرع لحسم المنازعة، هل فيه حرج أم لا ؟ هذا فرع على جواز بيعه ؟ أفتنا مأجوراً</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المرتهن وكيلاً من قبل الراهن في البيع فله البيع بعد الأجل وإن لم يراجع الراهن، وإن لم يكن وكيلاً فإن أمكن وصوله إلى الحاكم الشرعي استأذنه في البيع، فإن تعذر جاز له توليه بنفسه حيث يمتنع الراهن من الإذن فيه أو مباشرته، فيبيعه بثمن مثله عادةً، ولا يجب تحرّي الزائد عنه، نعم لو وجد راغب يبذل فيه زيادة وجب </w:t>
      </w:r>
      <w:bookmarkStart w:id="793" w:name="pg10113_92386"/>
    </w:p>
    <w:p>
      <w:pPr>
        <w:pStyle w:val="BookText"/>
        <w:rPr/>
      </w:pPr>
      <w:bookmarkEnd w:id="793"/>
      <w:r>
        <w:rPr>
          <w:rFonts w:ascii="Amiri" w:hAnsi="Amiri" w:eastAsia="Amiri" w:cs="Amiri"/>
          <w:color w:val="111111"/>
          <w:sz w:val="28"/>
          <w:sz w:val="28"/>
          <w:szCs w:val="28"/>
          <w:rtl w:val="true"/>
          <w:lang w:bidi="ar-SA"/>
        </w:rPr>
        <w:t>تحرّيه وإلّا فلا، وأما بيعه على يد قاضي الجور فإن كان المرتهن ممّن يجوز له البيع جاز التوسّل بالقاضي المذكور وإلّا فلا</w:t>
      </w:r>
      <w:r>
        <w:rPr>
          <w:rFonts w:eastAsia="Amiri" w:cs="Amiri" w:ascii="Amiri" w:hAnsi="Amiri"/>
          <w:color w:val="111111"/>
          <w:sz w:val="28"/>
          <w:szCs w:val="28"/>
          <w:rtl w:val="true"/>
          <w:lang w:bidi="ar-SA"/>
        </w:rPr>
        <w:t>.</w:t>
      </w:r>
    </w:p>
    <w:p>
      <w:pPr>
        <w:pStyle w:val="Heading4"/>
        <w:numPr>
          <w:ilvl w:val="3"/>
          <w:numId w:val="1"/>
        </w:numPr>
        <w:rPr/>
      </w:pPr>
      <w:bookmarkStart w:id="794" w:name="__RefHeading___Toc375711_1067777946"/>
      <w:bookmarkStart w:id="795" w:name="_Toc264"/>
      <w:bookmarkEnd w:id="794"/>
      <w:r>
        <w:rPr>
          <w:rtl w:val="true"/>
        </w:rPr>
        <w:t>قاطع الطريق ودفعه</w:t>
      </w:r>
      <w:bookmarkEnd w:id="7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يقيم في دروب المدينة لأجل قطع السبل، وفيمن له على المدينة مرسوم وإلّا أخربها إن قدر، وهو إن قتل جاء أشرُّ منه من جماعته أو مثله أو دونه، وإنّ جرحَ أو نهب ما له لم يردّه ذلك، لكن يكتفى شرّه بذلك الفعل زماناً، هل يجوز لنا حال مجيئه للخراب المذكور نهبُ المال وقتلُ الحال مع القدرة؟ ومع جواز ذلك هل يجوز لنا إذا شردوا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يعود يقيناً في وقته أو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لحوقه وقتل حاله ونهب ماله إن أمكن ذلك؛ لأجل الردع له عن هذا الفعل حيناً من الزمان، وتنكيلاً لغيره من العربان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للأنجع فالانجع منا فائدة؛ لأنّهم ما يرتدون بأشقّ الأفعال فضلاً عن الأنجع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الحال هذا هل يجب على من كان بالمدينة الذبُّ عنها مع أنّ لها عسكر بالفلوس أم لا ؟ أفتنا مأجوراً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مدافعة هذا المفسد واجبة على الكفاية، ويجوز قتله إذا لم يندفع بدونه، ويجب معونة العسكر الذي بالمدينة إن لم يقم بالكفاية، وإن قام بها سقط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هرب وعلم أنّه يعود يجوز تتّبعه وقتله حيث لا يندفع إلّا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ماله فالأجود عدم التعرّض إليه إن كان مسلماً، وإلّا أُخذ أيضاً</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واضع اليد على عقار إذا ادعى عليه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المال الواضعُ عليه يدك مالُ أبي أو جدّي، وأقام عليه شاهدين يشهدان بأن هذا المال كان لأبيه الخارج أو جده، هل تَرفَعُ هذه الشهادة يد المتشبّث أو هو يحتاج معها 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وهو في ملكه، أو لم أعلم له مزيلاً ؟ ثم بعد رفع يد المتشبث يصير مدعياً أو تُحسَمُ دعاويه ؟ وفي الشهود إذا لم يوجد العدل في زماننا هذا إلّا قليلاً تحقيقاً أو تقديراً، هل يعمل بمستور الحال إذا وُجد ؟ ومع قلّة وجوده إذا كان أكل الحرام موجوداً في كلّ شاهد إلّا قليلاً، هل تُقبل شهادته مع قلة تظاهره بالكذب تمشياً لحال الناس وإلّا بطل </w:t>
      </w:r>
    </w:p>
    <w:p>
      <w:pPr>
        <w:pStyle w:val="BookText"/>
        <w:rPr/>
      </w:pPr>
      <w:r>
        <w:rPr>
          <w:rFonts w:ascii="Amiri" w:hAnsi="Amiri" w:eastAsia="Amiri" w:cs="Amiri"/>
          <w:color w:val="111111"/>
          <w:sz w:val="28"/>
          <w:sz w:val="28"/>
          <w:szCs w:val="28"/>
          <w:rtl w:val="true"/>
          <w:lang w:bidi="ar-SA"/>
        </w:rPr>
        <w:t>يقيناً ليس ترخيصاً؟ أفتنا مثاباً مأجوراً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تكفي الشهادة للخارج بأنّه كان ملكاً لأبيه أو جدّه، بل لا بدّ من إضافة بقائه إلى الآن على ملك المدّعي، أو انتقاله إليه ولا يَعلَمُ له مزيلاً،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يوجد العدلُ يعتبر في الشهود بلوغ عددٍ يَحصل به الشياعُ والاستفاضةُ بحيث يَغلِبُ على الظنِّ صدقُهم غلبةً تُقارِب العلم، وأقلُّ ذلك ثلاثة فصاعداً بحيث يحصُلُ الوصفُ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مُستَفتٍ أرسل يستفتي هَل يُقبل قولُ الواسطة في الفتاوى ؟ ومع قبوله هل تشترط العدالة في الواسطة ؟ وهل فرق فيما إذا كانت الفتاوى مشافهةً من الواسطة أو في قرطاس كتابة ؟</w:t>
      </w:r>
    </w:p>
    <w:p>
      <w:pPr>
        <w:pStyle w:val="BookText"/>
        <w:rPr/>
      </w:pPr>
      <w:r>
        <w:rPr>
          <w:rFonts w:ascii="Amiri" w:hAnsi="Amiri" w:eastAsia="Amiri" w:cs="Amiri"/>
          <w:color w:val="111111"/>
          <w:sz w:val="28"/>
          <w:sz w:val="28"/>
          <w:szCs w:val="28"/>
          <w:rtl w:val="true"/>
          <w:lang w:bidi="ar-SA"/>
        </w:rPr>
        <w:t>أفتِنا مأجوراً غفر اللّه لكم ولنا ولجميع المسلمين والمسلمات والمؤمنين والمؤمنات الأحياء منهم والأموات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 المستفتي خطّ المُفتي جاز له التعويل عليه، وإلا افتقر إلى عدلٍ يُخبِرُه أَنّ هذا خطُّ المُفتي أو فتواه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والمطلوبُ من المخدوم سَدُّ الخلل، جَلَّ وعَلا مَن لا عيبَ فيه ذو الجلال والإكرام، المؤمن مرآة أخيه المؤمن، رسول اللّه لهذا الكلام 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التقى والكمال</w:t>
      </w:r>
      <w:r>
        <w:rPr>
          <w:rStyle w:val="FootnoteAnchor"/>
          <w:rtl w:val="true"/>
        </w:rPr>
        <w:footnoteReference w:id="1326"/>
      </w:r>
      <w:r>
        <w:rPr>
          <w:rFonts w:ascii="Amiri" w:hAnsi="Amiri" w:eastAsia="Amiri" w:cs="Amiri"/>
          <w:color w:val="111111"/>
          <w:sz w:val="28"/>
          <w:sz w:val="28"/>
          <w:szCs w:val="28"/>
          <w:rtl w:val="true"/>
          <w:lang w:bidi="ar-SA"/>
        </w:rPr>
        <w:t>، والسلام عليهم وعليكم ما اختلف الأيّام والليال</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هذه الأجوبة الفقيرُ إلى اللّه تعالى زين الدين بن عليّ بن أحمد الشامي داعياً للسيد الجليل الفاضل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تعالى سَلَفَه وأبقى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ملتمساً منه الدعاء في تلك البقاع المشرفة المنيرة، وإهداء بعض القربات وإبلاغ سلامه وتحيّته جدّه المصطفى وعترته النجباء، جَمَعَنا اللّه تعالى وإيّاكم على طاعته بمحمّدٍ وعترته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وعلى من لديكم من السادة النُجَباء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وحده، وصلاته على سيدنا محمّد وآله</w:t>
      </w:r>
      <w:r>
        <w:rPr>
          <w:rFonts w:eastAsia="Amiri" w:cs="Amiri" w:ascii="Amiri" w:hAnsi="Amiri"/>
          <w:color w:val="111111"/>
          <w:sz w:val="28"/>
          <w:szCs w:val="28"/>
          <w:rtl w:val="true"/>
          <w:lang w:bidi="ar-SA"/>
        </w:rPr>
        <w:t xml:space="preserve">.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6" w:name="pg10113_92389"/>
      <w:bookmarkStart w:id="797" w:name="pg10113_92389"/>
      <w:bookmarkEnd w:id="797"/>
    </w:p>
    <w:p>
      <w:pPr>
        <w:pStyle w:val="Heading3"/>
        <w:numPr>
          <w:ilvl w:val="2"/>
          <w:numId w:val="1"/>
        </w:numPr>
        <w:rPr/>
      </w:pPr>
      <w:bookmarkStart w:id="798" w:name="pg10113_92389"/>
      <w:bookmarkStart w:id="799" w:name="__RefHeading___Toc375713_1067777946"/>
      <w:bookmarkStart w:id="800" w:name="_Toc265"/>
      <w:bookmarkEnd w:id="798"/>
      <w:bookmarkEnd w:id="799"/>
      <w:r>
        <w:rPr/>
        <w:t>26</w:t>
      </w:r>
      <w:r>
        <w:rPr>
          <w:rtl w:val="true"/>
        </w:rPr>
        <w:t xml:space="preserve">. </w:t>
      </w:r>
      <w:r>
        <w:rPr>
          <w:rtl w:val="true"/>
        </w:rPr>
        <w:t>أجوبة مسائل زين الدين بن إدريس</w:t>
      </w:r>
      <w:bookmarkEnd w:id="800"/>
    </w:p>
    <w:p>
      <w:pPr>
        <w:pStyle w:val="Heading4"/>
        <w:numPr>
          <w:ilvl w:val="3"/>
          <w:numId w:val="1"/>
        </w:numPr>
        <w:rPr/>
      </w:pPr>
      <w:bookmarkStart w:id="801" w:name="__RefHeading___Toc375715_1067777946"/>
      <w:bookmarkStart w:id="802" w:name="_Toc266"/>
      <w:bookmarkEnd w:id="801"/>
      <w:r>
        <w:rPr>
          <w:rtl w:val="true"/>
        </w:rPr>
        <w:t>إشارة</w:t>
      </w:r>
      <w:r>
        <w:rPr>
          <w:rtl w:val="true"/>
        </w:rPr>
        <w:t>:</w:t>
      </w:r>
      <w:bookmarkEnd w:id="802"/>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حسين الشفيعي</w:t>
      </w:r>
    </w:p>
    <w:p>
      <w:pPr>
        <w:pStyle w:val="BookText"/>
        <w:rPr/>
      </w:pPr>
      <w:r>
        <w:rPr>
          <w:rFonts w:ascii="Amiri" w:hAnsi="Amiri" w:eastAsia="Amiri" w:cs="Amiri"/>
          <w:color w:val="111111"/>
          <w:sz w:val="28"/>
          <w:sz w:val="28"/>
          <w:szCs w:val="28"/>
          <w:rtl w:val="true"/>
          <w:lang w:bidi="ar-SA"/>
        </w:rPr>
        <w:t>مراجعة</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رضا المختاري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3" w:name="pg10113_92391"/>
      <w:bookmarkStart w:id="804" w:name="pg10113_92391"/>
      <w:bookmarkEnd w:id="804"/>
    </w:p>
    <w:p>
      <w:pPr>
        <w:pStyle w:val="BookText"/>
        <w:rPr/>
      </w:pPr>
      <w:bookmarkStart w:id="805" w:name="pg10113_92391"/>
      <w:bookmarkEnd w:id="805"/>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مولانا في أرض غَصَبَها رجل مدةٌ، ثم رحل عنها وتركها مُعرضاً عنها، المغصوب منه ليس له عليها يد وبقيت هكذا؛ هل يجوز لأحد أن يصلّي فيها بشاهد الحال أم لا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تجوز الصلاة فيها والحال هذه، ويرتفع عنها حكم الغصب وإن بقيت مضمونةً على الغاصب السابق</w:t>
      </w:r>
      <w:r>
        <w:rPr>
          <w:rFonts w:eastAsia="Amiri" w:cs="Amiri" w:ascii="Amiri" w:hAnsi="Amiri"/>
          <w:color w:val="111111"/>
          <w:sz w:val="28"/>
          <w:szCs w:val="28"/>
          <w:rtl w:val="true"/>
          <w:lang w:bidi="ar-SA"/>
        </w:rPr>
        <w:t>.</w:t>
      </w:r>
    </w:p>
    <w:p>
      <w:pPr>
        <w:pStyle w:val="Heading4"/>
        <w:numPr>
          <w:ilvl w:val="3"/>
          <w:numId w:val="1"/>
        </w:numPr>
        <w:rPr/>
      </w:pPr>
      <w:bookmarkStart w:id="806" w:name="__RefHeading___Toc375717_1067777946"/>
      <w:bookmarkStart w:id="807" w:name="_Toc267"/>
      <w:bookmarkEnd w:id="806"/>
      <w:r>
        <w:rPr>
          <w:rtl w:val="true"/>
        </w:rPr>
        <w:t>هل يجوز شدّ الإزار في الإحرام والتمنطق</w:t>
      </w:r>
      <w:bookmarkEnd w:id="8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مولانا في ثوبي الإحرام هل يجوز عقدهما أو أحدهما ؟ هل يجوز التمنطق</w:t>
      </w:r>
      <w:r>
        <w:rPr>
          <w:rStyle w:val="FootnoteAnchor"/>
          <w:rtl w:val="true"/>
        </w:rPr>
        <w:footnoteReference w:id="1327"/>
      </w:r>
      <w:r>
        <w:rPr>
          <w:rFonts w:ascii="Amiri" w:hAnsi="Amiri" w:eastAsia="Amiri" w:cs="Amiri"/>
          <w:color w:val="111111"/>
          <w:sz w:val="28"/>
          <w:sz w:val="28"/>
          <w:szCs w:val="28"/>
          <w:rtl w:val="true"/>
          <w:lang w:bidi="ar-SA"/>
        </w:rPr>
        <w:t>بمنديل ونحوه على ما يأتزربه أم لا، مع إمساس الحاجة وبدونها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عقد الإزار دون الرداء، وكذا يجوز التمنطق فوق الإزار لأجل شَدِّه</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مولانا في نيّة الوقوف بعرفة ؟ ذكر الشيخ المتأخّر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328"/>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مقارنة النيّة للزوال؛ فلو أخَّر أثِمَ وأجز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فعلى هذا هل يجب الترقّب للزوال أم لا ؟ وهل يجوز إيقاع النيّة عند ظنّ الزوال وتجديدها عند تحقّقه، أم لابد من إيقاعها بعد تحقّقه مع أنّه إنما يتحقّق بعد مضيّ زمان ؟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النيّة بعد تحقّق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مراعاته بالعلامات المقررة؛ لئلّا يفوت الوقتُ أو 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تقديمها بمجرّد الظنّ ولكن لو فَعَلَ لم يَضُرَّ، والزمان الذي يمضي قبل تحقّق الزوال مغتَفَرُ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مولانا في المهدى إليه ثلث هَدي التمتّع، هل يشترط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كما يقوله الشيخ المتأخّر</w:t>
      </w:r>
      <w:r>
        <w:rPr>
          <w:rStyle w:val="FootnoteAnchor"/>
          <w:rtl w:val="true"/>
        </w:rPr>
        <w:footnoteReference w:id="1329"/>
      </w:r>
      <w:r>
        <w:rPr>
          <w:rFonts w:ascii="IRNazanin" w:hAnsi="IRNazanin" w:eastAsia="IRNazanin"/>
          <w:color w:val="111111"/>
          <w:sz w:val="28"/>
          <w:sz w:val="28"/>
          <w:szCs w:val="28"/>
          <w:rtl w:val="true"/>
          <w:lang w:bidi="fa-IR"/>
        </w:rPr>
        <w:t>أم لا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المُهدى إليه الإيمانُ خاصَّةً، وفي المُتصدَّقِ عليه الإيمانُ والفقر معاً</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مولانا في المُهدي، هل يجب مقارنة أوّل الذبح لآخرِ النيّة مُسَمِّياً حالَ الذبح أم يكون بعد الفراغ من النيّة والتسمية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النيّه من الأفعال القلبيّة أمكن مصاحبتها لغيرها من الأفعال والواجب مقارَنَةُ أوّلِ الذَبح للتسمية، فإن أمكن النيّة بالقلب حالة التسمية، ومقارنه الذبح للتسمية النيّة معاً،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يُمكن أو تَعشَر قَدَّمَ النيّة أولاً، ثمّ عَقَّبها بالتسمية وقارَنَ الذَبحَ بالتسميةِ خاصَّةٌ</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مولانا في البركَةِ والحوض يكون في دهليز </w:t>
      </w:r>
      <w:r>
        <w:rPr>
          <w:rStyle w:val="FootnoteAnchor"/>
          <w:rtl w:val="true"/>
        </w:rPr>
        <w:footnoteReference w:id="1331"/>
      </w:r>
      <w:r>
        <w:rPr>
          <w:rFonts w:ascii="Amiri" w:hAnsi="Amiri" w:eastAsia="Amiri" w:cs="Amiri"/>
          <w:color w:val="111111"/>
          <w:sz w:val="28"/>
          <w:sz w:val="28"/>
          <w:szCs w:val="28"/>
          <w:rtl w:val="true"/>
          <w:lang w:bidi="ar-SA"/>
        </w:rPr>
        <w:t xml:space="preserve">دارِ الرجل فَيُخبِرُ ثلاثةٌ أو أربعة من أهل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منهم من طَلَبة العلم، أحدهما مرضي والآخر حَسَنُ الظاهر، والباقي من جملة عامة الناس بل أحد الباقين يدّعي أنّه وكيل صاحب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 الدار أباحَ استعمال الماء لكلّ أحدٍ من المؤمنين، فهل </w:t>
      </w:r>
    </w:p>
    <w:p>
      <w:pPr>
        <w:pStyle w:val="BookText"/>
        <w:rPr/>
      </w:pPr>
      <w:r>
        <w:rPr>
          <w:rFonts w:ascii="Amiri" w:hAnsi="Amiri" w:eastAsia="Amiri" w:cs="Amiri"/>
          <w:color w:val="111111"/>
          <w:sz w:val="28"/>
          <w:sz w:val="28"/>
          <w:szCs w:val="28"/>
          <w:rtl w:val="true"/>
          <w:lang w:bidi="ar-SA"/>
        </w:rPr>
        <w:t>يكفي ذلك في استعماله أم لا ؟ وهل يكون مثل هذا ممَّا يَثبُتُ بالاستفاضة أم لا ؟</w:t>
      </w:r>
    </w:p>
    <w:p>
      <w:pPr>
        <w:pStyle w:val="BookText"/>
        <w:rPr/>
      </w:pPr>
      <w:r>
        <w:rPr>
          <w:rFonts w:ascii="Amiri" w:hAnsi="Amiri" w:eastAsia="Amiri" w:cs="Amiri"/>
          <w:color w:val="111111"/>
          <w:sz w:val="28"/>
          <w:sz w:val="28"/>
          <w:szCs w:val="28"/>
          <w:rtl w:val="true"/>
          <w:lang w:bidi="ar-SA"/>
        </w:rPr>
        <w:t>ولو تطهّر إنسان من هذا الماء وصلّى بتلك الطهارة، أو طاف طواف عُمرة التمتّع ثمّ قضى مناسك الحجّ بتمامها، وبعد مضي زمان طويل حصل في قلبه أنّ إخبار أُولئك الجماعة هل كان كافياً أم لا ؟ فسأل جماعةٌ مرضينَ عن صاحب الدار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نَشهد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بإباحة صاحب الدار الماء لكلِّ أحدٍ من المؤمنين، حتّى أن بعض المؤمنين أتى برحى فغَمَسَها في ذلك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الحكم في ذلك ؟ المرجُوّ الجواب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التعويل على قول مَن يَدَّعي وكالة المالك وَحدهُ في ذلك، تصحُّ الطهارة وغيرها من الاستعمال والأفعال وعلى تقدير عدم وجود واحد يدعي الوكالة لا يجوز التعويل على قول المخبرين إلا إذا وجد فيهم عدلان، أو بلغوا في الكثرة حدّاً يحصل بخبرهم العلم أو الظنُّ المتاخم</w:t>
      </w:r>
      <w:r>
        <w:rPr>
          <w:rStyle w:val="FootnoteAnchor"/>
          <w:rtl w:val="true"/>
        </w:rPr>
        <w:footnoteReference w:id="1332"/>
      </w:r>
      <w:r>
        <w:rPr>
          <w:rFonts w:ascii="Amiri" w:hAnsi="Amiri" w:eastAsia="Amiri" w:cs="Amiri"/>
          <w:color w:val="111111"/>
          <w:sz w:val="28"/>
          <w:sz w:val="28"/>
          <w:szCs w:val="28"/>
          <w:rtl w:val="true"/>
          <w:lang w:bidi="ar-SA"/>
        </w:rPr>
        <w:t>له، فيجوزُ التعويل حينئذٍ على 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مولانا فيما ذكره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w:t>
      </w:r>
      <w:r>
        <w:rPr>
          <w:rStyle w:val="FootnoteAnchor"/>
          <w:rtl w:val="true"/>
        </w:rPr>
        <w:footnoteReference w:id="1333"/>
      </w:r>
      <w:r>
        <w:rPr>
          <w:rFonts w:ascii="Amiri" w:hAnsi="Amiri" w:eastAsia="Amiri" w:cs="Amiri"/>
          <w:color w:val="111111"/>
          <w:sz w:val="28"/>
          <w:sz w:val="28"/>
          <w:szCs w:val="28"/>
          <w:rtl w:val="true"/>
          <w:lang w:bidi="ar-SA"/>
        </w:rPr>
        <w:t>في مشروعية قضاء صلاة من ظنَّ أو تخيل فوات شرطٍ أو غيره فيها، هل يُشرع قضاؤها أم لا ؟ وليس في بالي عبارة الدروس</w:t>
      </w:r>
      <w:r>
        <w:rPr>
          <w:rStyle w:val="FootnoteAnchor"/>
          <w:rtl w:val="true"/>
        </w:rPr>
        <w:footnoteReference w:id="1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يُحكى عن الشيخ جمال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335"/>
      </w:r>
      <w:r>
        <w:rPr>
          <w:rFonts w:ascii="Amiri" w:hAnsi="Amiri" w:eastAsia="Amiri" w:cs="Amiri"/>
          <w:color w:val="111111"/>
          <w:sz w:val="28"/>
          <w:sz w:val="28"/>
          <w:szCs w:val="28"/>
          <w:rtl w:val="true"/>
          <w:lang w:bidi="ar-SA"/>
        </w:rPr>
        <w:t>أنّه قضى صلاته وأوصى بالقضاء عنه، هل لهذ أصل وقفتم عليه أم لا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الذي يظهر من الأخبار الكثيرة الواردة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مشروعية قضاء </w:t>
      </w:r>
    </w:p>
    <w:p>
      <w:pPr>
        <w:pStyle w:val="BookText"/>
        <w:rPr/>
      </w:pPr>
      <w:r>
        <w:rPr>
          <w:rFonts w:ascii="Amiri" w:hAnsi="Amiri" w:eastAsia="Amiri" w:cs="Amiri"/>
          <w:color w:val="111111"/>
          <w:sz w:val="28"/>
          <w:sz w:val="28"/>
          <w:szCs w:val="28"/>
          <w:rtl w:val="true"/>
          <w:lang w:bidi="ar-SA"/>
        </w:rPr>
        <w:t>الصلوات على الوجه المذكور</w:t>
      </w:r>
      <w:r>
        <w:rPr>
          <w:rStyle w:val="FootnoteAnchor"/>
          <w:rtl w:val="true"/>
        </w:rPr>
        <w:footnoteReference w:id="1336"/>
      </w:r>
      <w:r>
        <w:rPr>
          <w:rFonts w:ascii="Amiri" w:hAnsi="Amiri" w:eastAsia="Amiri" w:cs="Amiri"/>
          <w:color w:val="111111"/>
          <w:sz w:val="28"/>
          <w:sz w:val="28"/>
          <w:szCs w:val="28"/>
          <w:rtl w:val="true"/>
          <w:lang w:bidi="ar-SA"/>
        </w:rPr>
        <w:t xml:space="preserve">، كما ذكره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وعليه العمل، وما يحكى عن الشيخ جمال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سمعناهُ مشافهة من الأصحاب والشيوخ كثيراً، وما وقفت عليه بغير ذلك ولكنه مطابق للمشروع</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وحده والصلاة على نبيّه محمّد وآله أجمعين</w:t>
      </w:r>
      <w:r>
        <w:rPr>
          <w:rFonts w:eastAsia="Amiri" w:cs="Amiri" w:ascii="Amiri" w:hAnsi="Amiri"/>
          <w:color w:val="111111"/>
          <w:sz w:val="28"/>
          <w:szCs w:val="28"/>
          <w:rtl w:val="true"/>
          <w:lang w:bidi="ar-SA"/>
        </w:rPr>
        <w:t xml:space="preserve">. </w:t>
      </w:r>
      <w:bookmarkStart w:id="808" w:name="pg10113_92395"/>
    </w:p>
    <w:p>
      <w:pPr>
        <w:pStyle w:val="Heading3"/>
        <w:numPr>
          <w:ilvl w:val="2"/>
          <w:numId w:val="1"/>
        </w:numPr>
        <w:rPr/>
      </w:pPr>
      <w:bookmarkStart w:id="809" w:name="__RefHeading___Toc375719_1067777946"/>
      <w:bookmarkStart w:id="810" w:name="_Toc268"/>
      <w:bookmarkEnd w:id="808"/>
      <w:bookmarkEnd w:id="809"/>
      <w:r>
        <w:rPr/>
        <w:t>27</w:t>
      </w:r>
      <w:r>
        <w:rPr>
          <w:rtl w:val="true"/>
        </w:rPr>
        <w:t xml:space="preserve">. </w:t>
      </w:r>
      <w:r>
        <w:rPr>
          <w:rtl w:val="true"/>
        </w:rPr>
        <w:t>أجوبة مسائل الشيخ حسين بن زَمْعة المدني</w:t>
      </w:r>
      <w:bookmarkEnd w:id="810"/>
    </w:p>
    <w:p>
      <w:pPr>
        <w:pStyle w:val="Heading4"/>
        <w:numPr>
          <w:ilvl w:val="3"/>
          <w:numId w:val="1"/>
        </w:numPr>
        <w:rPr/>
      </w:pPr>
      <w:bookmarkStart w:id="811" w:name="__RefHeading___Toc375721_1067777946"/>
      <w:bookmarkStart w:id="812" w:name="_Toc269"/>
      <w:bookmarkEnd w:id="811"/>
      <w:r>
        <w:rPr>
          <w:rtl w:val="true"/>
        </w:rPr>
        <w:t>إشارة</w:t>
      </w:r>
      <w:r>
        <w:rPr>
          <w:rtl w:val="true"/>
        </w:rPr>
        <w:t>:</w:t>
      </w:r>
      <w:bookmarkEnd w:id="812"/>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أبو أيمن</w:t>
      </w:r>
    </w:p>
    <w:p>
      <w:pPr>
        <w:pStyle w:val="BookText"/>
        <w:rPr/>
      </w:pPr>
      <w:r>
        <w:rPr>
          <w:rFonts w:ascii="Amiri" w:hAnsi="Amiri" w:eastAsia="Amiri" w:cs="Amiri"/>
          <w:color w:val="111111"/>
          <w:sz w:val="28"/>
          <w:sz w:val="28"/>
          <w:szCs w:val="28"/>
          <w:rtl w:val="true"/>
          <w:lang w:bidi="ar-SA"/>
        </w:rPr>
        <w:t>مراجعة</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رضا المختاري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3" w:name="pg10113_92397"/>
      <w:bookmarkStart w:id="814" w:name="pg10113_92397"/>
      <w:bookmarkEnd w:id="814"/>
    </w:p>
    <w:p>
      <w:pPr>
        <w:pStyle w:val="BookText"/>
        <w:rPr/>
      </w:pPr>
      <w:bookmarkStart w:id="815" w:name="pg10113_92397"/>
      <w:bookmarkEnd w:id="815"/>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816" w:name="__RefHeading___Toc375723_1067777946"/>
      <w:bookmarkStart w:id="817" w:name="_Toc270"/>
      <w:bookmarkEnd w:id="816"/>
      <w:r>
        <w:rPr>
          <w:rtl w:val="true"/>
        </w:rPr>
        <w:t>سؤال في الوصيّة</w:t>
      </w:r>
      <w:bookmarkEnd w:id="81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في نهايته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أوصي له بعبد ومات المُوصي قبل الغروب، ولم يقبل الموصى له إلا بعد الغروب فالفطرة في تركة الميّت، أو على الوارث، أو لا فطرة إن جعلنا القبول سبباً أو جزءاً، وإن جعلناه كاشفاً فالفطرة على الموصى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الموصى له قبل القبول والرد فقَبِلَ وَرَثَتُه، فالوجهان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الموصي بعد غروب الشمس، فالزكاة في تَرِكَتِهِ،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الوارث</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الأشهرُ أنّ قبول الوصيّة إذا تأخَّرَ عن الموتِ كاشفٌ الموتِ كاشف عن سبق ملك الموصى له من حين الموت؛ فتكون الفِطَرة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جعلناه ناقلاً للملكِ من حينه لكونه سبباً أو جزء السبب ففي وجوبها على الوارث أو لا تجب على أحد،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أجودُهما الثاني؛ لأنّ ملك الوارث مشروط بعدم الوصيّة والدين، وهي موجودة هنا، ووجه الوجوب عليه استبعاد بقاء مال بغير مالك وقبول ورثة الموصى له كقبول مُورِثهم</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الإنسان حجّ حَجَّ الإسلام وأراد أن يحج ثانياً، هل يجوز له أن ينوي به حجّ الإسلام أو ينوي الحجّ المندوب ؟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ينوي الحجّ المندوب؛ لأنّ حجّ الإسلام لا يُشرعُ إلّا لمن لم يحجّ حجّ الإسلام وإنّما ينوي الندب بالإحرام، ثمّ يجب إتمامه كغيره من أفراد الحجّ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تبعَ التاجر تابع القطر والنبات هل يكون حكمه حكمهم في الإتمام أم لا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تحقّق له قصد مسافة قصَّرَ فيها،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المراد بالمثل والمثلين بعد الزوال مثل الفيء الباقي بعد الزوال أو مثل الشخص نفسه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مثل الشخص ذي الظلّ لا الفيء الباقي بعد الزوال؛ لأنّه يزيدُ وينقصُ ينعدم في بعض الأوقات في بعض الأماكن، ويقل حتّى لا يَسعَ مقدار الفريضة، وما هذا شأنه لا يصلُحُ وقتاً محدوداً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حجّ الإنسانُ عن شخص آخر متبرعاً، أو صام عنه، هل ينوي لفظ التبرع أو ينوي الندب خاصّة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ينوي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أُجرة الإجارة تُملك بالعقد ويستحقّها الأجير ؟</w:t>
      </w:r>
    </w:p>
    <w:p>
      <w:pPr>
        <w:pStyle w:val="BookText"/>
        <w:rPr/>
      </w:pPr>
      <w:r>
        <w:rPr>
          <w:rFonts w:ascii="Amiri" w:hAnsi="Amiri" w:eastAsia="Amiri" w:cs="Amiri"/>
          <w:color w:val="111111"/>
          <w:sz w:val="28"/>
          <w:sz w:val="28"/>
          <w:szCs w:val="28"/>
          <w:rtl w:val="true"/>
          <w:lang w:bidi="ar-SA"/>
        </w:rPr>
        <w:t>الجواب تُملَكُ بالعقد، لكن لا يستَحِقُّها إلّا بتمام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للإنسان أن يقرأ هذه التواريخ والسير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والغزوات، والأخبار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نقل أم لا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هذه المذكورات مختلفة، فمنها ما رواه الثقاتُ الأثبات</w:t>
      </w:r>
      <w:r>
        <w:rPr>
          <w:rStyle w:val="FootnoteAnchor"/>
          <w:rtl w:val="true"/>
        </w:rPr>
        <w:footnoteReference w:id="1338"/>
      </w:r>
      <w:r>
        <w:rPr>
          <w:rFonts w:ascii="Amiri" w:hAnsi="Amiri" w:eastAsia="Amiri" w:cs="Amiri"/>
          <w:color w:val="111111"/>
          <w:sz w:val="28"/>
          <w:sz w:val="28"/>
          <w:szCs w:val="28"/>
          <w:rtl w:val="true"/>
          <w:lang w:bidi="ar-SA"/>
        </w:rPr>
        <w:t>، وقراءتها جائزة مطلقاً، ومنها المجهول صحتها، فينبغي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جرى كذا ووقع كذا؛ ومنها المعلوم كونه موضوعاً وهو كثير، فلا يجوز قراءته ولا روايتُه</w:t>
      </w:r>
      <w:r>
        <w:rPr>
          <w:rFonts w:eastAsia="Amiri" w:cs="Amiri" w:ascii="Amiri" w:hAnsi="Amiri"/>
          <w:color w:val="111111"/>
          <w:sz w:val="28"/>
          <w:szCs w:val="28"/>
          <w:rtl w:val="true"/>
          <w:lang w:bidi="ar-SA"/>
        </w:rPr>
        <w:t xml:space="preserve">. </w:t>
      </w:r>
      <w:bookmarkStart w:id="818" w:name="pg10113_92399"/>
    </w:p>
    <w:p>
      <w:pPr>
        <w:pStyle w:val="Heading4"/>
        <w:numPr>
          <w:ilvl w:val="3"/>
          <w:numId w:val="1"/>
        </w:numPr>
        <w:rPr/>
      </w:pPr>
      <w:bookmarkStart w:id="819" w:name="__RefHeading___Toc375725_1067777946"/>
      <w:bookmarkStart w:id="820" w:name="_Toc271"/>
      <w:bookmarkEnd w:id="818"/>
      <w:bookmarkEnd w:id="819"/>
      <w:r>
        <w:rPr>
          <w:rtl w:val="true"/>
        </w:rPr>
        <w:t>القهوة وحبّ البن والحشيشة حرام أم حلال؟</w:t>
      </w:r>
      <w:bookmarkEnd w:id="82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 شيخنا في القهوة وأكل حبّ البنّ</w:t>
      </w:r>
      <w:r>
        <w:rPr>
          <w:rStyle w:val="FootnoteAnchor"/>
          <w:rtl w:val="true"/>
        </w:rPr>
        <w:footnoteReference w:id="1339"/>
      </w:r>
      <w:r>
        <w:rPr>
          <w:rFonts w:ascii="Amiri" w:hAnsi="Amiri" w:eastAsia="Amiri" w:cs="Amiri"/>
          <w:color w:val="111111"/>
          <w:sz w:val="28"/>
          <w:sz w:val="28"/>
          <w:szCs w:val="28"/>
          <w:rtl w:val="true"/>
          <w:lang w:bidi="ar-SA"/>
        </w:rPr>
        <w:t>وفي حبّ الحشيشة وفي البنج ؟ أفتونا مأجورين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الحشيشة فإنها محرّمة مطلقاً، وأما الآخران فيحرم منهما ما أضرّ بالبدن أفسد المزاج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 شيخنا في الخصمين إذا لم يُعلم المحقُّ منهما من المبطل، وبسبب ميل النفس إلى أحدهما علمه ما ينتصر به على صاحبه، هل يجوز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تعليم الخصم إلا إذا كان محقاً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 شيخنا هل يجب على الأبوين تطهير الطفل من الخبث للأكل والشرب أم لا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يجب عليهما منعه من أكل النجس أم لا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الطفل يقدر على مضغ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للوالدة أن تَمضَغَه تُطعمه إيّاه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لو كان الثدي نجساً يجوز وضعه في فم الطفل ليشرب منه أم لا ؟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والأولى في جميع ذلك التطهيرُ إن لم يضُرَّ بحال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 شيخنا في الخبز لو ابتل بالريق أو الدمع ثمّ جفَّ، هل يجوز أكله أم لا ؟</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لو وقع بعض فضلات الإنسان الطاهرة في قعب لبن أو دبسٍ ثمّ استهلكه اللبن بحيث لا يتميَّز، هل يجوز أكله أم لا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لو بال الكلب في كرّ ماء، هل يجوز الشرب منه أم لا يجوز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تثبتُ المسافة بالظنّ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المسافة بالاعتبار وشهادة عدلين والشياع، ولا يكفي الظنُّ بدون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المسافة من سور البلد أو من محلِّ الترخص ؟</w:t>
      </w:r>
    </w:p>
    <w:p>
      <w:pPr>
        <w:pStyle w:val="BookText"/>
        <w:rPr/>
      </w:pPr>
      <w:r>
        <w:rPr>
          <w:rFonts w:ascii="Amiri" w:hAnsi="Amiri" w:eastAsia="Amiri" w:cs="Amiri"/>
          <w:color w:val="111111"/>
          <w:sz w:val="28"/>
          <w:sz w:val="28"/>
          <w:szCs w:val="28"/>
          <w:rtl w:val="true"/>
          <w:lang w:bidi="ar-SA"/>
        </w:rPr>
        <w:t>الجواب من آخر العمّارة في البلد الصغير والمتوسط، ومن آخر محلّته في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المسافة من الجدران دون البساتين والمزارع وإن شرطا في جواز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أجيري الصلاة الواحدة عن الشخص الواحد المقسِّمين للزمان، هل يجوز لكلٍّ منهما إجارة نفسه لصلاةٍ أُخرى في الزمان المشغول بصاحبه ؟</w:t>
      </w:r>
    </w:p>
    <w:p>
      <w:pPr>
        <w:pStyle w:val="BookText"/>
        <w:rPr/>
      </w:pPr>
      <w:r>
        <w:rPr>
          <w:rFonts w:ascii="Amiri" w:hAnsi="Amiri" w:eastAsia="Amiri" w:cs="Amiri"/>
          <w:color w:val="111111"/>
          <w:sz w:val="28"/>
          <w:sz w:val="28"/>
          <w:szCs w:val="28"/>
          <w:rtl w:val="true"/>
          <w:lang w:bidi="ar-SA"/>
        </w:rPr>
        <w:t>فعلى القول به هل فرق بين أن يقع العقد في الصلاة المشتركة بينهما لأحدهما، ثم يقع العقد الثاني من الصلاة لصاحبه ثم يتّفقا على تعيين الزمان ؟</w:t>
      </w:r>
    </w:p>
    <w:p>
      <w:pPr>
        <w:pStyle w:val="BookText"/>
        <w:rPr/>
      </w:pPr>
      <w:r>
        <w:rPr>
          <w:rFonts w:ascii="Amiri" w:hAnsi="Amiri" w:eastAsia="Amiri" w:cs="Amiri"/>
          <w:color w:val="111111"/>
          <w:sz w:val="28"/>
          <w:sz w:val="28"/>
          <w:szCs w:val="28"/>
          <w:rtl w:val="true"/>
          <w:lang w:bidi="ar-SA"/>
        </w:rPr>
        <w:t xml:space="preserve">ومعه هل لهما تغيير ما اتَّفقا عليه ؟ وتُوقع الصلاة الأخرى في الزمان السالم عن الورد مطلقاً، فيتعاكسان متى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فينعكس الأمر حينئذٍ في الصلاةِ الأُخرى المستأجر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 وهكذا متى أراده ؟</w:t>
      </w:r>
    </w:p>
    <w:p>
      <w:pPr>
        <w:pStyle w:val="BookText"/>
        <w:rPr/>
      </w:pPr>
      <w:r>
        <w:rPr>
          <w:rFonts w:ascii="Amiri" w:hAnsi="Amiri" w:eastAsia="Amiri" w:cs="Amiri"/>
          <w:color w:val="111111"/>
          <w:sz w:val="28"/>
          <w:sz w:val="28"/>
          <w:szCs w:val="28"/>
          <w:rtl w:val="true"/>
          <w:lang w:bidi="ar-SA"/>
        </w:rPr>
        <w:t>وهل لمن سبق عقده نقض ما اتَّفقا عليه ومنعه من الوقت ؟</w:t>
      </w:r>
    </w:p>
    <w:p>
      <w:pPr>
        <w:pStyle w:val="BookText"/>
        <w:rPr/>
      </w:pPr>
      <w:r>
        <w:rPr>
          <w:rFonts w:ascii="Amiri" w:hAnsi="Amiri" w:eastAsia="Amiri" w:cs="Amiri"/>
          <w:color w:val="111111"/>
          <w:sz w:val="28"/>
          <w:sz w:val="28"/>
          <w:szCs w:val="28"/>
          <w:rtl w:val="true"/>
          <w:lang w:bidi="ar-SA"/>
        </w:rPr>
        <w:t>وهل فرق بين اشتراكهما في الصلاة الأُخرى وعدمه أم لا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القول به يجوز لهما تعدُّد العقود بحسب تعدُّد الأوقات التي لا يستلزم الاشتغال فيها عدم الإخلال بالفورية، وعلى القول بعدمها يتّجه الجواز بحسب الساعاتِ بل بما </w:t>
      </w:r>
    </w:p>
    <w:p>
      <w:pPr>
        <w:pStyle w:val="BookText"/>
        <w:rPr/>
      </w:pPr>
      <w:r>
        <w:rPr>
          <w:rFonts w:ascii="Amiri" w:hAnsi="Amiri" w:eastAsia="Amiri" w:cs="Amiri"/>
          <w:color w:val="111111"/>
          <w:sz w:val="28"/>
          <w:sz w:val="28"/>
          <w:szCs w:val="28"/>
          <w:rtl w:val="true"/>
          <w:lang w:bidi="ar-SA"/>
        </w:rPr>
        <w:t>هو أقلُّ منها، بحيث لا يستلزم مصادفة العقد الثاني لزمان الأوّل كما قلناه، ويكون التعيين موكولاً باختيار هما في تعيين الزمان ؟</w:t>
      </w:r>
    </w:p>
    <w:p>
      <w:pPr>
        <w:pStyle w:val="BookText"/>
        <w:rPr/>
      </w:pPr>
      <w:r>
        <w:rPr>
          <w:rFonts w:ascii="Amiri" w:hAnsi="Amiri" w:eastAsia="Amiri" w:cs="Amiri"/>
          <w:color w:val="111111"/>
          <w:sz w:val="28"/>
          <w:sz w:val="28"/>
          <w:szCs w:val="28"/>
          <w:rtl w:val="true"/>
          <w:lang w:bidi="ar-SA"/>
        </w:rPr>
        <w:t>وهل ينجرُّ البحث في الأجير الواحد للصلاة الواحدة ويكون الوقت إليه إلى آخر ما ذكر من التعاكس وغيره ؟</w:t>
      </w:r>
    </w:p>
    <w:p>
      <w:pPr>
        <w:pStyle w:val="BookText"/>
        <w:rPr/>
      </w:pPr>
      <w:r>
        <w:rPr>
          <w:rFonts w:ascii="Amiri" w:hAnsi="Amiri" w:eastAsia="Amiri" w:cs="Amiri"/>
          <w:color w:val="111111"/>
          <w:sz w:val="28"/>
          <w:sz w:val="28"/>
          <w:szCs w:val="28"/>
          <w:rtl w:val="true"/>
          <w:lang w:bidi="ar-SA"/>
        </w:rPr>
        <w:t>وهل فرق بين ما إذا استلزم العقد الثاني في الصور كلّها ضعفاً عن القيام بالعمل الأوّل أم لا، على القول بالفورية في القضاء ؟</w:t>
      </w:r>
    </w:p>
    <w:p>
      <w:pPr>
        <w:pStyle w:val="BookText"/>
        <w:rPr/>
      </w:pPr>
      <w:r>
        <w:rPr>
          <w:rFonts w:ascii="Amiri" w:hAnsi="Amiri" w:eastAsia="Amiri" w:cs="Amiri"/>
          <w:color w:val="111111"/>
          <w:sz w:val="28"/>
          <w:sz w:val="28"/>
          <w:szCs w:val="28"/>
          <w:rtl w:val="true"/>
          <w:lang w:bidi="ar-SA"/>
        </w:rPr>
        <w:t>وهل ينجرُّ البحثُ في جواز استئجار مشغول الذمّة عن نفسه بشرط أن يُعين للقضاء عن نفسه زماناً وعن غيره آخر على القول به في القضاء، فإن استؤجر أوّلاً عن غيره قد استحق المستأجر شغل ذمَّته، مع أنّه يجوز له تعيين أي وقت أراد إذا جاء شريك آخرُ إلى آخر ما ذكر ؟</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جواز إجارة مشغول الذمّة بالصلاة عن نفسه، بناءً على عدم الفورية بالقضاء، إذا لم تستلزم الإجارة فوات القضاء في مدّة عمره، وهذا بخلاف القضاء عن الغير بالاستئجار، فقد نقل الأصحابُ أن المبادرة إليه واجبة، وحينئذٍ فينافي إجارةً أُخرى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جاز الجمع بين اثنين يشتركان في عملها أو إحداهما؛ لخلو بعض أوقات المشترك كذلك عن وجوب المبادرة إلى فعل الصلاة، وذلك زمن اشتغال الأجير الآخر؛ لعدم جواز فعلها 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ذلك لم يجز له إجارة نفسه 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منعناهُ من إجارةٍ أُخرى على تقدير عدم الشركة، ومن إجارة ثالثة على تقديرها؛ لأنّ الزمان الذي سلم له باشتغال رفيقه قد اشتغل بالصلاة الثانية، فاستغرق زمانه أجمع، فامتنعت الثالثة كما امتنعت الثانية لو لم يكن له شريك</w:t>
      </w:r>
      <w:r>
        <w:rPr>
          <w:rFonts w:eastAsia="Amiri" w:cs="Amiri" w:ascii="Amiri" w:hAnsi="Amiri"/>
          <w:color w:val="111111"/>
          <w:sz w:val="28"/>
          <w:szCs w:val="28"/>
          <w:rtl w:val="true"/>
          <w:lang w:bidi="ar-SA"/>
        </w:rPr>
        <w:t xml:space="preserve">. </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1" w:name="pg10113_92403"/>
      <w:bookmarkStart w:id="822" w:name="pg10113_92403"/>
      <w:bookmarkEnd w:id="822"/>
    </w:p>
    <w:p>
      <w:pPr>
        <w:pStyle w:val="Heading3"/>
        <w:numPr>
          <w:ilvl w:val="2"/>
          <w:numId w:val="1"/>
        </w:numPr>
        <w:rPr/>
      </w:pPr>
      <w:bookmarkStart w:id="823" w:name="pg10113_92403"/>
      <w:bookmarkStart w:id="824" w:name="__RefHeading___Toc375727_1067777946"/>
      <w:bookmarkStart w:id="825" w:name="_Toc272"/>
      <w:bookmarkEnd w:id="823"/>
      <w:bookmarkEnd w:id="824"/>
      <w:r>
        <w:rPr/>
        <w:t>28</w:t>
      </w:r>
      <w:r>
        <w:rPr>
          <w:rtl w:val="true"/>
        </w:rPr>
        <w:t xml:space="preserve">. </w:t>
      </w:r>
      <w:r>
        <w:rPr>
          <w:rtl w:val="true"/>
        </w:rPr>
        <w:t>أجوبة مسائل الشيخ أحمد المازحي</w:t>
      </w:r>
      <w:bookmarkEnd w:id="825"/>
    </w:p>
    <w:p>
      <w:pPr>
        <w:pStyle w:val="Heading4"/>
        <w:numPr>
          <w:ilvl w:val="3"/>
          <w:numId w:val="1"/>
        </w:numPr>
        <w:rPr/>
      </w:pPr>
      <w:bookmarkStart w:id="826" w:name="__RefHeading___Toc375729_1067777946"/>
      <w:bookmarkStart w:id="827" w:name="_Toc273"/>
      <w:bookmarkEnd w:id="826"/>
      <w:r>
        <w:rPr>
          <w:rtl w:val="true"/>
        </w:rPr>
        <w:t>إشارة</w:t>
      </w:r>
      <w:r>
        <w:rPr>
          <w:rtl w:val="true"/>
        </w:rPr>
        <w:t>:</w:t>
      </w:r>
      <w:bookmarkEnd w:id="827"/>
    </w:p>
    <w:p>
      <w:pPr>
        <w:pStyle w:val="BookText"/>
        <w:rPr/>
      </w:pPr>
      <w:r>
        <w:rPr>
          <w:rFonts w:ascii="Amiri" w:hAnsi="Amiri" w:eastAsia="Amiri" w:cs="Amiri"/>
          <w:color w:val="111111"/>
          <w:sz w:val="28"/>
          <w:sz w:val="28"/>
          <w:szCs w:val="28"/>
          <w:rtl w:val="true"/>
          <w:lang w:bidi="ar-SA"/>
        </w:rPr>
        <w:t>تحقيق عليّ الأسدي</w:t>
      </w:r>
    </w:p>
    <w:p>
      <w:pPr>
        <w:pStyle w:val="BookText"/>
        <w:rPr/>
      </w:pPr>
      <w:r>
        <w:rPr>
          <w:rFonts w:ascii="Amiri" w:hAnsi="Amiri" w:eastAsia="Amiri" w:cs="Amiri"/>
          <w:color w:val="111111"/>
          <w:sz w:val="28"/>
          <w:sz w:val="28"/>
          <w:szCs w:val="28"/>
          <w:rtl w:val="true"/>
          <w:lang w:bidi="ar-SA"/>
        </w:rPr>
        <w:t>مراجعة</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المختاري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8" w:name="pg10113_92405"/>
      <w:bookmarkStart w:id="829" w:name="pg10113_92405"/>
      <w:bookmarkEnd w:id="829"/>
    </w:p>
    <w:p>
      <w:pPr>
        <w:pStyle w:val="BookText"/>
        <w:rPr/>
      </w:pPr>
      <w:bookmarkStart w:id="830" w:name="pg10113_92405"/>
      <w:bookmarkEnd w:id="830"/>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عمَّ عباده بالنوال</w:t>
      </w:r>
      <w:r>
        <w:rPr>
          <w:rStyle w:val="FootnoteAnchor"/>
          <w:rtl w:val="true"/>
        </w:rPr>
        <w:footnoteReference w:id="1340"/>
      </w:r>
      <w:r>
        <w:rPr>
          <w:rFonts w:ascii="Amiri" w:hAnsi="Amiri" w:eastAsia="Amiri" w:cs="Amiri"/>
          <w:color w:val="111111"/>
          <w:sz w:val="28"/>
          <w:sz w:val="28"/>
          <w:szCs w:val="28"/>
          <w:rtl w:val="true"/>
          <w:lang w:bidi="ar-SA"/>
        </w:rPr>
        <w:t xml:space="preserve">، ومنحهم من مواهبِ كَرَمه بغیر سؤال وتَفَضَّلَ عليهم من جوده بِسوابغ </w:t>
      </w:r>
      <w:r>
        <w:rPr>
          <w:rStyle w:val="FootnoteAnchor"/>
          <w:rtl w:val="true"/>
        </w:rPr>
        <w:footnoteReference w:id="1341"/>
      </w:r>
      <w:r>
        <w:rPr>
          <w:rFonts w:ascii="Amiri" w:hAnsi="Amiri" w:eastAsia="Amiri" w:cs="Amiri"/>
          <w:color w:val="111111"/>
          <w:sz w:val="28"/>
          <w:sz w:val="28"/>
          <w:szCs w:val="28"/>
          <w:rtl w:val="true"/>
          <w:lang w:bidi="ar-SA"/>
        </w:rPr>
        <w:t>الإفضال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على رسوله محمَّدٍ المُظلَّل بالغمام، وعلى آله البَرَرَةِ الكرام المطهَّرينَ من الزلل والآثام، صلاة دائمّة بدوام الليالي والأيّام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التكاليف الشرعيّة تحتاج في القيام بها إما إلى الأدلّة التفصيلية، أو إلى الأمور النقليّة، ولمّا كان الأوّل متعسِّراً على كثيرٍ من الطلّاب، بل متعذِّراً على جميع الأصحاب، تعيَّن الثاني، وهو غاية ما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الفروع الفقهيّة تتجدد بتجدد الأعصار، أحببتُ أن أكتُبَ ما تُلجئ الضرورة إليه، وأستفتي من يقوى اعتمادي عليه، وهو من عوارض الأفكار، ومن اللّه أستمد التوفيق، و أسأله هداية الطريق</w:t>
      </w:r>
      <w:r>
        <w:rPr>
          <w:rFonts w:eastAsia="Amiri" w:cs="Amiri" w:ascii="Amiri" w:hAnsi="Amiri"/>
          <w:color w:val="111111"/>
          <w:sz w:val="28"/>
          <w:szCs w:val="28"/>
          <w:rtl w:val="true"/>
          <w:lang w:bidi="ar-SA"/>
        </w:rPr>
        <w:t>.</w:t>
      </w:r>
    </w:p>
    <w:p>
      <w:pPr>
        <w:pStyle w:val="Heading4"/>
        <w:numPr>
          <w:ilvl w:val="3"/>
          <w:numId w:val="1"/>
        </w:numPr>
        <w:rPr/>
      </w:pPr>
      <w:bookmarkStart w:id="831" w:name="__RefHeading___Toc375731_1067777946"/>
      <w:bookmarkStart w:id="832" w:name="_Toc274"/>
      <w:bookmarkEnd w:id="831"/>
      <w:r>
        <w:rPr>
          <w:rtl w:val="true"/>
        </w:rPr>
        <w:t>العلاقة بين صلة في زيادة العمر و بين الأجل المكتوب</w:t>
      </w:r>
      <w:bookmarkEnd w:id="832"/>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أنّ صلة الرحم تزيد في العمر</w:t>
      </w:r>
      <w:r>
        <w:rPr>
          <w:rStyle w:val="FootnoteAnchor"/>
          <w:rtl w:val="true"/>
        </w:rPr>
        <w:footnoteReference w:id="1342"/>
      </w:r>
      <w:r>
        <w:rPr>
          <w:rFonts w:ascii="Amiri" w:hAnsi="Amiri" w:eastAsia="Amiri" w:cs="Amiri"/>
          <w:color w:val="111111"/>
          <w:sz w:val="28"/>
          <w:sz w:val="28"/>
          <w:szCs w:val="28"/>
          <w:rtl w:val="true"/>
          <w:lang w:bidi="ar-SA"/>
        </w:rPr>
        <w:t>، وكذا برُّ الوالدين</w:t>
      </w:r>
      <w:r>
        <w:rPr>
          <w:rStyle w:val="FootnoteAnchor"/>
          <w:rtl w:val="true"/>
        </w:rPr>
        <w:footnoteReference w:id="1343"/>
      </w:r>
      <w:r>
        <w:rPr>
          <w:rFonts w:ascii="IRNazanin" w:hAnsi="IRNazanin" w:eastAsia="IRNazanin"/>
          <w:color w:val="111111"/>
          <w:sz w:val="28"/>
          <w:sz w:val="28"/>
          <w:szCs w:val="28"/>
          <w:rtl w:val="true"/>
          <w:lang w:bidi="fa-IR"/>
        </w:rPr>
        <w:t xml:space="preserve">، وفعل </w:t>
      </w:r>
    </w:p>
    <w:p>
      <w:pPr>
        <w:pStyle w:val="BookText"/>
        <w:rPr/>
      </w:pPr>
      <w:r>
        <w:rPr>
          <w:rFonts w:ascii="IRNazanin" w:hAnsi="IRNazanin" w:eastAsia="IRNazanin"/>
          <w:color w:val="111111"/>
          <w:sz w:val="28"/>
          <w:sz w:val="28"/>
          <w:szCs w:val="28"/>
          <w:rtl w:val="true"/>
          <w:lang w:bidi="fa-IR"/>
        </w:rPr>
        <w:t>المعروف</w:t>
      </w:r>
      <w:r>
        <w:rPr>
          <w:rStyle w:val="FootnoteAnchor"/>
          <w:rtl w:val="true"/>
        </w:rPr>
        <w:footnoteReference w:id="1344"/>
      </w:r>
      <w:r>
        <w:rPr>
          <w:rFonts w:ascii="Amiri" w:hAnsi="Amiri" w:eastAsia="Amiri" w:cs="Amiri"/>
          <w:color w:val="111111"/>
          <w:sz w:val="28"/>
          <w:sz w:val="28"/>
          <w:szCs w:val="28"/>
          <w:rtl w:val="true"/>
          <w:lang w:bidi="ar-SA"/>
        </w:rPr>
        <w:t>، كيف ذلك ؟ والمقدَّراتُ في الغيب والمكتوبات في اللوح لا تقبل الزيادة النقصان؛ لاستحالة الجهل عليه تعالى وعلمه بالموجودات على ما هي عليه قبل وجودِها، فكيف يتّجه زيادةُ العمر ونقصانُه بسبب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كما سبق في علمه تعالى تحقّقُ سبق في علمه تعالى تحقّق أُمورٍ مضبوطةٍ مطلقاً، كذلك تعلق علمه بأمورٍ موقوفةٍ على أسباب وعلل، كما سبق في علمه أنّ دخول فلان الجنَّةَ موقوف على موته على الإيمان، وإن كان تعالى يعلم هل يموت مؤمناً أم لا؟ وحينئذٍ فيجوز تعليق العمرِ زيادةً ونقصاناً على سببٍ وشرط، كصلة الرحم وقطعه وغيرهما، وذلك لا ينافي علمه السابق بوجه، فإذا فرض أنه جعل لزيدٍ من العمر خمسين سنةً مثلاً بشرط أن لا يصل رحمه، فإذا وَصَلَه جَعَله ثمانين، فلا يتَّكل الإنسانُ على العلم السابق، بل يُبادر إلى صلة رحمه، فإذا فعله عُلم سبق علم اللّه تعالى بجعل عمره ثمانين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هذا المحل يحتاج إلى أوراقٍ لا يَحتَملُها بياضُك</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آجر الموقوف عليه وعلى أولاده من بعده الوقف مدَّة معيّنة فمات في أثنائها، فهل تبطل الإجارة بالموت، ويرتَجِعُ مِن الأُجرةِ مع قبضها بنسبة الباقي أم لا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آجرَه المدّة المذكورة لمصلحته بطلت بموته؛ وإن آجره كذلك لمصلحة الوقف وكان ناظراً عليه لم تبطل</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النصّ بأنّ دية المقتول تُقضى منها ديونه، وتُنفَذُ وصإيّاه</w:t>
      </w:r>
      <w:r>
        <w:rPr>
          <w:rStyle w:val="FootnoteAnchor"/>
          <w:rtl w:val="true"/>
        </w:rPr>
        <w:footnoteReference w:id="1346"/>
      </w:r>
      <w:r>
        <w:rPr>
          <w:rFonts w:ascii="Amiri" w:hAnsi="Amiri" w:eastAsia="Amiri" w:cs="Amiri"/>
          <w:color w:val="111111"/>
          <w:sz w:val="28"/>
          <w:sz w:val="28"/>
          <w:szCs w:val="28"/>
          <w:rtl w:val="true"/>
          <w:lang w:bidi="ar-SA"/>
        </w:rPr>
        <w:t xml:space="preserve">، والقطع حاصل بعدم ملكه لها في حياته لاستحالة تقدّم المسبب على السبب، وبعد موته تدخل في ملك الوارث، فكيف يتَّجه قضاء الديون وإنفاذُ الوصايا منها ؟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البحثُ ساقط، وجواب آخره موجود في أوّله؛ فإنّك لما اعترفت بورود النصّ بالحكم المذكور، لا معنى لقولك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يتّجه وجوب القضاء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إشكال في أنّها بحكم مال الميّت وإن لم تدخُل في ملكه حال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تأخير الصلاة إلى آخر الوقت لا يجوز إلا لذوي الأعذار</w:t>
      </w:r>
      <w:r>
        <w:rPr>
          <w:rFonts w:eastAsia="Amiri" w:cs="Amiri" w:ascii="Amiri" w:hAnsi="Amiri"/>
          <w:color w:val="111111"/>
          <w:sz w:val="28"/>
          <w:szCs w:val="28"/>
          <w:rtl w:val="true"/>
          <w:lang w:bidi="ar-SA"/>
        </w:rPr>
        <w:t>»</w:t>
      </w:r>
      <w:r>
        <w:rPr>
          <w:rStyle w:val="FootnoteAnchor"/>
          <w:rtl w:val="true"/>
        </w:rPr>
        <w:footnoteReference w:id="1347"/>
      </w:r>
      <w:r>
        <w:rPr>
          <w:rFonts w:ascii="Amiri" w:hAnsi="Amiri" w:eastAsia="Amiri" w:cs="Amiri"/>
          <w:color w:val="111111"/>
          <w:sz w:val="28"/>
          <w:sz w:val="28"/>
          <w:szCs w:val="28"/>
          <w:rtl w:val="true"/>
          <w:lang w:bidi="ar-SA"/>
        </w:rPr>
        <w:t>، فهل يأثَم غيرُهم على هذا القول، فيجتمع الأداء والإثم أم لا ؟ فإن كان الأوّل فقد اجتمعا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الثاني، فقد ورد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الوقت رضوان اللّه، وآخره عفو اللّه</w:t>
      </w:r>
      <w:r>
        <w:rPr>
          <w:rFonts w:eastAsia="Amiri" w:cs="Amiri" w:ascii="Amiri" w:hAnsi="Amiri"/>
          <w:color w:val="111111"/>
          <w:sz w:val="28"/>
          <w:szCs w:val="28"/>
          <w:rtl w:val="true"/>
          <w:lang w:bidi="ar-SA"/>
        </w:rPr>
        <w:t>»</w:t>
      </w:r>
      <w:r>
        <w:rPr>
          <w:rStyle w:val="FootnoteAnchor"/>
          <w:rtl w:val="true"/>
        </w:rPr>
        <w:footnoteReference w:id="1348"/>
      </w:r>
      <w:r>
        <w:rPr>
          <w:rFonts w:ascii="Amiri" w:hAnsi="Amiri" w:eastAsia="Amiri" w:cs="Amiri"/>
          <w:color w:val="111111"/>
          <w:sz w:val="28"/>
          <w:sz w:val="28"/>
          <w:szCs w:val="28"/>
          <w:rtl w:val="true"/>
          <w:lang w:bidi="ar-SA"/>
        </w:rPr>
        <w:t>، فعلى ما يُحمل الخبر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المتأخّرين </w:t>
      </w:r>
      <w:r>
        <w:rPr>
          <w:rStyle w:val="FootnoteAnchor"/>
          <w:rtl w:val="true"/>
        </w:rPr>
        <w:footnoteReference w:id="1349"/>
      </w:r>
      <w:r>
        <w:rPr>
          <w:rFonts w:ascii="Amiri" w:hAnsi="Amiri" w:eastAsia="Amiri" w:cs="Amiri"/>
          <w:color w:val="111111"/>
          <w:sz w:val="28"/>
          <w:sz w:val="28"/>
          <w:szCs w:val="28"/>
          <w:rtl w:val="true"/>
          <w:lang w:bidi="ar-SA"/>
        </w:rPr>
        <w:t>اشتراك وقت الفرضين على الوجه الذي فصَّلوه؛ جمعاً بين الأخبار، وإن دلّ بعضُها</w:t>
      </w:r>
      <w:r>
        <w:rPr>
          <w:rStyle w:val="FootnoteAnchor"/>
          <w:rtl w:val="true"/>
        </w:rPr>
        <w:footnoteReference w:id="1350"/>
      </w:r>
      <w:r>
        <w:rPr>
          <w:rFonts w:ascii="Amiri" w:hAnsi="Amiri" w:eastAsia="Amiri" w:cs="Amiri"/>
          <w:color w:val="111111"/>
          <w:sz w:val="28"/>
          <w:sz w:val="28"/>
          <w:szCs w:val="28"/>
          <w:rtl w:val="true"/>
          <w:lang w:bidi="ar-SA"/>
        </w:rPr>
        <w:t>على ذلك، وبعضُها</w:t>
      </w:r>
      <w:r>
        <w:rPr>
          <w:rStyle w:val="FootnoteAnchor"/>
          <w:rtl w:val="true"/>
        </w:rPr>
        <w:footnoteReference w:id="1351"/>
      </w:r>
      <w:r>
        <w:rPr>
          <w:rFonts w:ascii="Amiri" w:hAnsi="Amiri" w:eastAsia="Amiri" w:cs="Amiri"/>
          <w:color w:val="111111"/>
          <w:sz w:val="28"/>
          <w:sz w:val="28"/>
          <w:szCs w:val="28"/>
          <w:rtl w:val="true"/>
          <w:lang w:bidi="ar-SA"/>
        </w:rPr>
        <w:t>على اختصاص كلّ واحدةٍ بوقت مع الاختيار، فتحمل هذه على الفضيلة</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وخالف جماعة</w:t>
      </w:r>
      <w:r>
        <w:rPr>
          <w:rStyle w:val="FootnoteAnchor"/>
          <w:rtl w:val="true"/>
        </w:rPr>
        <w:footnoteReference w:id="1352"/>
      </w:r>
      <w:r>
        <w:rPr>
          <w:rFonts w:ascii="Amiri" w:hAnsi="Amiri" w:eastAsia="Amiri" w:cs="Amiri"/>
          <w:color w:val="111111"/>
          <w:sz w:val="28"/>
          <w:sz w:val="28"/>
          <w:szCs w:val="28"/>
          <w:rtl w:val="true"/>
          <w:lang w:bidi="ar-SA"/>
        </w:rPr>
        <w:t>فحكموا باختصاص جواز التأخير بذوي الأعذار، وعليه فمن أخَّر لا لعذرٍ يأثمُ ويبقى أداء ما دام وقت الاضطرار 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الذي ذكرته ظاهر في هذا القول؛ لأنّ العفو يقتضي حصول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القول الأوّل حملوه على المبالغة في الكراهية نقصان الثواب</w:t>
      </w:r>
      <w:r>
        <w:rPr>
          <w:rFonts w:eastAsia="Amiri" w:cs="Amiri" w:ascii="Amiri" w:hAnsi="Amiri"/>
          <w:color w:val="111111"/>
          <w:sz w:val="28"/>
          <w:szCs w:val="28"/>
          <w:rtl w:val="true"/>
          <w:lang w:bidi="ar-SA"/>
        </w:rPr>
        <w:t xml:space="preserve">. </w:t>
      </w:r>
      <w:bookmarkStart w:id="833" w:name="pg10113_92408"/>
    </w:p>
    <w:p>
      <w:pPr>
        <w:pStyle w:val="BookText"/>
        <w:rPr/>
      </w:pPr>
      <w:bookmarkEnd w:id="833"/>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ظنَّ أنّه سلَّمَ، فأحرَمَ بفريضةٍ أُخرى، ثم ذكر نقص الأولى ركعةً، فهل تبطلان معاً، أم يجب إكمال الأولى حين الذكر وتصحُّ أم لا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لم يتجاوز العدد بأن يركعَ في ركعةٍ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تعارض الصف الأوّل مع فوات ركعة أو أقل أو أكثر فيه، والأخير مع حصول الصلاة فيه تماماً، فأيُّهما أفضلُ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يتربَّحُ الصف الأوّل لأهله حيث لا يستلزم فوات ركعة فصاعداً مع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عَلَّقَ البيع على الواقع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هذا إن كان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على ما هو شرط فيه،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إن 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ينعقد أم لا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العقد على شرط يعلمان حصوله غير قادح فيه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834" w:name="__RefHeading___Toc375733_1067777946"/>
      <w:bookmarkStart w:id="835" w:name="_Toc275"/>
      <w:bookmarkEnd w:id="834"/>
      <w:r>
        <w:rPr>
          <w:rtl w:val="true"/>
        </w:rPr>
        <w:t>إباحة التصرّف في الثمار في الأشجار بعد إعراض المالك</w:t>
      </w:r>
      <w:bookmarkEnd w:id="83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الثمار على رؤوس الأشجار هل يُباح التصرُّف فيها بعد إعراض المالك عنها أم لا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تعارض فعلُ الصلاة جماعةٌ في الوقت المتأخّر عن وقت فضيلتها أو تقديم الثانية</w:t>
      </w:r>
      <w:r>
        <w:rPr>
          <w:rStyle w:val="FootnoteAnchor"/>
          <w:rtl w:val="true"/>
        </w:rPr>
        <w:footnoteReference w:id="1353"/>
      </w:r>
      <w:r>
        <w:rPr>
          <w:rFonts w:ascii="Amiri" w:hAnsi="Amiri" w:eastAsia="Amiri" w:cs="Amiri"/>
          <w:color w:val="111111"/>
          <w:sz w:val="28"/>
          <w:sz w:val="28"/>
          <w:szCs w:val="28"/>
          <w:rtl w:val="true"/>
          <w:lang w:bidi="ar-SA"/>
        </w:rPr>
        <w:t>كذلك وفرادى فيه، فأيّهما أولى بالمراعاة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وقت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قيل بعدم جواز تأخير الفريضة عنه اختياراً تقديمُها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دعا الخصمُ خصمه إلى الحاكم وهو مُعسر، أو يعتقد براءة ذمته، أو أنّ الحاكم يحكم عليه بجورٍ، لاطلاعه في البيِّنة على ما لا يطَّلع عليه الحاكم، هل تجب إجابته أم لا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عليه الإجابة ويبيِّنُ عُذره بوجه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يحكم الحاكم </w:t>
      </w:r>
    </w:p>
    <w:p>
      <w:pPr>
        <w:pStyle w:val="BookText"/>
        <w:rPr/>
      </w:pPr>
      <w:r>
        <w:rPr>
          <w:rFonts w:ascii="Amiri" w:hAnsi="Amiri" w:eastAsia="Amiri" w:cs="Amiri"/>
          <w:color w:val="111111"/>
          <w:sz w:val="28"/>
          <w:sz w:val="28"/>
          <w:szCs w:val="28"/>
          <w:rtl w:val="true"/>
          <w:lang w:bidi="ar-SA"/>
        </w:rPr>
        <w:t>عليه بجورٍ حيثُ لم يطَّلع على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جورٌ؛ لأنّ فرض الحاكم العمل بالظاهر، وذلك لا يُعدُّ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الوجوبَ والندبَ في عبادةٍ واحدةٍ، كما لو نوى بالغسل الجنابة والسنّة، هل يبطل لتنافي الوجهين أم لا ؟ فإن كان الثاني فلا بحث، وإن كان الأوّل واقتصر على الوجوبِ هل يكتفي به في القيام بالسنّة أم لا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دخول المندوب تحت الواجب حيث يجتمعان، ولا يفتقر إلى النيّتين المتنافيتين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دخول الوقت وصلّى فصادف الوقت أو دخل وهو فيها، فهل تقع مجزئة أم لا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والحالُ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التعويل على الظنّ مع وجود الطريق إلى العلم به أم لا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المأكول في المخمصة مأذوناً فيه هل يقع مضموناً على الأكل أم لا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 الإنسان فعلاً أو قولاً يوجب الارتداد جاهلاً بذلك هل يرتدُّ أم لا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رغوة</w:t>
      </w:r>
      <w:r>
        <w:rPr>
          <w:rStyle w:val="FootnoteAnchor"/>
          <w:rtl w:val="true"/>
        </w:rPr>
        <w:footnoteReference w:id="1354"/>
      </w:r>
      <w:r>
        <w:rPr>
          <w:rFonts w:ascii="Amiri" w:hAnsi="Amiri" w:eastAsia="Amiri" w:cs="Amiri"/>
          <w:color w:val="111111"/>
          <w:sz w:val="28"/>
          <w:sz w:val="28"/>
          <w:szCs w:val="28"/>
          <w:rtl w:val="true"/>
          <w:lang w:bidi="ar-SA"/>
        </w:rPr>
        <w:t>الحليب هل هي من الجامدات فلا تسري النجاسة فيها، أم لا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الدفاع المؤدّي إلى القتل عن بُضع محرّمٍ في الأجانب إذا لم يُمكن بدونه، أو قتل مؤمن ظلماً كذلك، هل هو واجب ولا يترتَّبُ عليه شيء من مسبَّبات القتل أم لا ؟</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حيثُ تُظنُّ السلامة، وإلّا فلا</w:t>
      </w:r>
      <w:r>
        <w:rPr>
          <w:rFonts w:eastAsia="Amiri" w:cs="Amiri" w:ascii="Amiri" w:hAnsi="Amiri"/>
          <w:color w:val="111111"/>
          <w:sz w:val="28"/>
          <w:szCs w:val="28"/>
          <w:rtl w:val="true"/>
          <w:lang w:bidi="ar-SA"/>
        </w:rPr>
        <w:t xml:space="preserve">. </w:t>
      </w:r>
      <w:bookmarkStart w:id="836" w:name="pg10113_92410"/>
    </w:p>
    <w:p>
      <w:pPr>
        <w:pStyle w:val="BookText"/>
        <w:rPr/>
      </w:pPr>
      <w:bookmarkEnd w:id="836"/>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تساوى خوفُ التلف في الوديعة مع الإقامة والسفر مع وجوبه عليه تعذُّرِ المالك ووكيله والحاكم والثقة، فهل يجب السفرُ بها ولا ضمان أم لا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يجوز خاصّةً</w:t>
      </w:r>
      <w:r>
        <w:rPr>
          <w:rFonts w:eastAsia="Amiri" w:cs="Amiri" w:ascii="Amiri" w:hAnsi="Amiri"/>
          <w:color w:val="111111"/>
          <w:sz w:val="28"/>
          <w:szCs w:val="28"/>
          <w:rtl w:val="true"/>
          <w:lang w:bidi="ar-SA"/>
        </w:rPr>
        <w:t>.</w:t>
      </w:r>
    </w:p>
    <w:p>
      <w:pPr>
        <w:pStyle w:val="Heading4"/>
        <w:numPr>
          <w:ilvl w:val="3"/>
          <w:numId w:val="1"/>
        </w:numPr>
        <w:rPr/>
      </w:pPr>
      <w:bookmarkStart w:id="837" w:name="__RefHeading___Toc375735_1067777946"/>
      <w:bookmarkStart w:id="838" w:name="_Toc276"/>
      <w:bookmarkEnd w:id="837"/>
      <w:r>
        <w:rPr>
          <w:rtl w:val="true"/>
        </w:rPr>
        <w:t xml:space="preserve">النذر على الإمام </w:t>
      </w:r>
      <w:r>
        <w:rPr>
          <w:rtl w:val="true"/>
        </w:rPr>
        <w:t>(</w:t>
      </w:r>
      <w:r>
        <w:rPr>
          <w:rtl w:val="true"/>
        </w:rPr>
        <w:t>عَلَيهِ السَّلَامُ</w:t>
      </w:r>
      <w:r>
        <w:rPr>
          <w:rtl w:val="true"/>
        </w:rPr>
        <w:t>)</w:t>
      </w:r>
      <w:bookmarkEnd w:id="83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شيئاً معيَّناً على الإمام ولم يُعينه، فهل يُحمَلُ الإطلاق على صاحب هذا الزمان أم لا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من لا يعتقد وجوب الصوم عليه نهاراً في شهر رمضان جائز أم لا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المؤونة من التلاد المخمَّس، أم من الطارف</w:t>
      </w:r>
      <w:r>
        <w:rPr>
          <w:rStyle w:val="FootnoteAnchor"/>
          <w:rtl w:val="true"/>
        </w:rPr>
        <w:footnoteReference w:id="1355"/>
      </w:r>
      <w:r>
        <w:rPr>
          <w:rFonts w:ascii="Amiri" w:hAnsi="Amiri" w:eastAsia="Amiri" w:cs="Amiri"/>
          <w:color w:val="111111"/>
          <w:sz w:val="28"/>
          <w:sz w:val="28"/>
          <w:szCs w:val="28"/>
          <w:rtl w:val="true"/>
          <w:lang w:bidi="ar-SA"/>
        </w:rPr>
        <w:t>عكس الأوّل، أم منهما بالنسبة ؟</w:t>
      </w:r>
    </w:p>
    <w:p>
      <w:pPr>
        <w:pStyle w:val="BookText"/>
        <w:rPr/>
      </w:pPr>
      <w:r>
        <w:rPr>
          <w:rFonts w:ascii="Amiri" w:hAnsi="Amiri" w:eastAsia="Amiri" w:cs="Amiri"/>
          <w:color w:val="111111"/>
          <w:sz w:val="28"/>
          <w:sz w:val="28"/>
          <w:szCs w:val="28"/>
          <w:rtl w:val="true"/>
          <w:lang w:bidi="ar-SA"/>
        </w:rPr>
        <w:t>الجواب الأوّل أحوطُ، والأخيرُ أعدل، والأوسط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بكثرة الاستحاضة وقلتها في أوقات الصلوات أم لا ؟ ثمّ الانقطاع على إحدى الحالات للبرء هل يوجب ما توجبه الحالة أم لا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انقطاعه للبرء يوجبُ ما كان قبله من وضوء أو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الوسطى لو حصلت في وقت الظهرين أو العشائين هل توجبُ ما توجبه في وقت الفرض الخامس أم لا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توجب إلّا أن تحصُل في وقت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للأب والسيِّد والزوج والعالم ونحوهم جائزٌ أم لا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الثاني فهل هو كفر أم لا ؟</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وعلى الثاني فهل فرق بين أن يكون المعظَمُ مشتملاً على الكمالات النفسانيّة أم لا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تواطئا على شرط فنسياه حين العقد، فهل يقعُ باطلاً أم لا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وكذا لو جهلاه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تواطئا اثنان على بيع، وفي أنفسهما رده بعد مدة بزيادة عن ثمنه، هل يصحُّ أم لا ؟</w:t>
      </w:r>
    </w:p>
    <w:p>
      <w:pPr>
        <w:pStyle w:val="BookText"/>
        <w:rPr/>
      </w:pPr>
      <w:r>
        <w:rPr>
          <w:rFonts w:ascii="IRNazanin" w:hAnsi="IRNazanin" w:eastAsia="IRNazanin"/>
          <w:color w:val="111111"/>
          <w:sz w:val="28"/>
          <w:sz w:val="28"/>
          <w:szCs w:val="28"/>
          <w:rtl w:val="true"/>
          <w:lang w:bidi="fa-IR"/>
        </w:rPr>
        <w:t>الجواب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أنفق فقير على غني هل تسقُط الفطرةُ عنهما معاً أم لا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الصبيّ لا ذمّة له</w:t>
      </w:r>
      <w:r>
        <w:rPr>
          <w:rStyle w:val="FootnoteAnchor"/>
          <w:rtl w:val="true"/>
        </w:rPr>
        <w:footnoteReference w:id="1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أتلف مال غيره، فهل يتعلَّقُ به الضمانُ ؟ على تقديره فهل هو مُعجَّل أم مشروط بالبلوغ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به مُعَجَّلاً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الصرف معاطاةً وأخذُ العوض على التعاقب أم لا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بدون التقابض في المجلس كغيره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ذمَّتِه حقٌّ ويَنسَ من معرفة صاحبه، هل تجوز الصدقة به على العلويّين حيثُ إنّها مندوبةً أم لا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تجوزُ وإن كانت واجبةً، ولا معنى للندب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تكفين من تجب نفقته لو مات مُعدِماً </w:t>
      </w:r>
      <w:r>
        <w:rPr>
          <w:rStyle w:val="FootnoteAnchor"/>
          <w:rtl w:val="true"/>
        </w:rPr>
        <w:footnoteReference w:id="1357"/>
      </w:r>
      <w:r>
        <w:rPr>
          <w:rFonts w:ascii="Amiri" w:hAnsi="Amiri" w:eastAsia="Amiri" w:cs="Amiri"/>
          <w:color w:val="111111"/>
          <w:sz w:val="28"/>
          <w:sz w:val="28"/>
          <w:szCs w:val="28"/>
          <w:rtl w:val="true"/>
          <w:lang w:bidi="ar-SA"/>
        </w:rPr>
        <w:t>عدا الزوجة والمملوك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لا يجب تكفين من عدا الزوجة من الأقارب</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الأب أو الابن فقيراً، فهل يجوز له أخذُ الصدقة من الآخر مع </w:t>
      </w:r>
    </w:p>
    <w:p>
      <w:pPr>
        <w:pStyle w:val="BookText"/>
        <w:rPr/>
      </w:pPr>
      <w:r>
        <w:rPr>
          <w:rFonts w:ascii="Amiri" w:hAnsi="Amiri" w:eastAsia="Amiri" w:cs="Amiri"/>
          <w:color w:val="111111"/>
          <w:sz w:val="28"/>
          <w:sz w:val="28"/>
          <w:szCs w:val="28"/>
          <w:rtl w:val="true"/>
          <w:lang w:bidi="ar-SA"/>
        </w:rPr>
        <w:t>إمكان الأخذ من الغير أم لا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زَرَعَ الحنطة وغيرها، ولولا زرعُها لَفَضَلَت عن مؤونةٍ سَنَتِهِ، هل يجبُ فيها خُمس أم لا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استؤجرت المرأةُ لتُصلِّي عن الرجل، هل يجب عليها الج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مواضعه أم لا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المصلّي عن المرأة هل يَتَخيَّرُ في الجهرية بين الجهر والإخفات أم لا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الفقيرة إذا لم يُنفق عليها زوجها الغني، هل يجوز لها أخذ الزكاة منه أم لا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من تجب نفقته ذا كسب يقوم به، لكنه مشغول بطلب العلم أو محصلاته، فهل يجوزُ لِمَن تجب نفقته عليه أن يدفع إليه من الزكاة أم لا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التبرع بالإرضاع لباً </w:t>
      </w:r>
      <w:r>
        <w:rPr>
          <w:rStyle w:val="FootnoteAnchor"/>
          <w:rtl w:val="true"/>
        </w:rPr>
        <w:footnoteReference w:id="1358"/>
      </w:r>
      <w:r>
        <w:rPr>
          <w:rFonts w:ascii="Amiri" w:hAnsi="Amiri" w:eastAsia="Amiri" w:cs="Amiri"/>
          <w:color w:val="111111"/>
          <w:sz w:val="28"/>
          <w:sz w:val="28"/>
          <w:szCs w:val="28"/>
          <w:rtl w:val="true"/>
          <w:lang w:bidi="ar-SA"/>
        </w:rPr>
        <w:t>وغيره من الأمّ وغيرها، أو بالأجرة كذلك، موجب لاشتغال الذمّة بالفطرة أم لا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اجتماع باقي الشرائط</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آجر الطفل أو ماله مدة، فبلغ في أثنائها، فهل له الفسخ في الباقي أم لا ؟ </w:t>
      </w:r>
      <w:bookmarkStart w:id="839" w:name="pg10113_92413"/>
    </w:p>
    <w:p>
      <w:pPr>
        <w:pStyle w:val="BookText"/>
        <w:rPr/>
      </w:pPr>
      <w:bookmarkEnd w:id="839"/>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والثلج المجتمعان في ملكه، والكلا النابتُ في أرضه هل يدخُلُ في ملكه قهراً كالإرث أم لا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أولى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 بيع الأثمانِ بالأثمانِ مؤجلاً مع القبض في المجلس، هل يصحّ أم لا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واللحم ونحوهما الموصى به إذا وضعه للغير غير الوصي مع عدم العلم بالإذن هل يجوز تناوله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الصوم ندباً مع جهل الوالد، أو علمه وعدم النهي أم لا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كراهة الصوم المندوب بدون إذن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المباحُ أو المندوب بغير إذن الوالدين أو أحدهما معصيةً يحرُمُ التقصير فيه أم لا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أخذ الزكاةِ والخُمس والكفّارة من المُمتَنعِ قهراً وصرفها في أربابها لغير الإمام أو الحاكم أم لا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Heading4"/>
        <w:numPr>
          <w:ilvl w:val="3"/>
          <w:numId w:val="1"/>
        </w:numPr>
        <w:rPr/>
      </w:pPr>
      <w:bookmarkStart w:id="840" w:name="__RefHeading___Toc375737_1067777946"/>
      <w:bookmarkStart w:id="841" w:name="_Toc277"/>
      <w:bookmarkEnd w:id="840"/>
      <w:r>
        <w:rPr>
          <w:rtl w:val="true"/>
        </w:rPr>
        <w:t>المال المغصوب لا يجب أخذه وإيصاله إلى أهله</w:t>
      </w:r>
      <w:bookmarkEnd w:id="84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ظفر بمال مغصوب هل يجب أخذه وإيصاله إلى أربابه أم لا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الخبر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لا تضرُّ معها سيئة، وبغضه سيئة لا تنفع معها حسنة</w:t>
      </w:r>
      <w:r>
        <w:rPr>
          <w:rFonts w:eastAsia="Amiri" w:cs="Amiri" w:ascii="Amiri" w:hAnsi="Amiri"/>
          <w:color w:val="111111"/>
          <w:sz w:val="28"/>
          <w:szCs w:val="28"/>
          <w:rtl w:val="true"/>
          <w:lang w:bidi="ar-SA"/>
        </w:rPr>
        <w:t>»</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فالثاني يمكن توجيهه باستحالة حصول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الجنَّةَ ونعيمها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سببه، هو المحبَّةُ التي هي الموالاة له ولأحد عشر من ولده، وذلك هو الإيمان أو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الأوّل فقد قيل </w:t>
      </w:r>
      <w:r>
        <w:rPr>
          <w:rStyle w:val="FootnoteAnchor"/>
          <w:rtl w:val="true"/>
        </w:rPr>
        <w:footnoteReference w:id="13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صاحب الكبيرةِ يُعاقب ما لم يحصل له أحدُ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توبةً مخلصَةٌ، أو شَفاعة، أو عفو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يتّجه استقلال المحبَّةِ بدخول الجنَّة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تصحيح الخبر أوّلاً، من تصحيح الخبر أوّلاً، ومع ذلك فالقرآن ناطق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w:t>
      </w:r>
      <w:r>
        <w:rPr>
          <w:rStyle w:val="FootnoteAnchor"/>
          <w:rtl w:val="true"/>
        </w:rPr>
        <w:footnoteReference w:id="136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تَشملُ مُحِبَّ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تقدير صحّة الخبر يفتقر إلى التأويل، وأقرب التأويلاتِ حَمله على المحبَّةِ الحقيقية الكاملة، وهي توجب عدم ملابسة شي من الذنوب البتَّةَ؛ لأنّ المُحِبَّ الحقيقي يُؤثِرُ رضى المحبوبِ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رضى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ترك المحرمات والقيام بالواجبات، فمُحِبُّهُ على الحقيقةِ يُؤثِرُ لأجله ذلك فلا يفعل موجِبَ النار، فيدخل الجنَّةَ، ومن خالف هوى مَحبوبه فمَحبَّتُه معلولةٌ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دين الغارم مؤجلاً، فهل يجوز له قبضُ الزكاةِ معجَّلاً أم لا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مؤونَةُ سَنَتِه له ولواجبي النفقة، وعليه دين موْجَّلٌ سَنةٌ أو أكثرَ، فهل هو فقيرُ يَستَحِقُّ الزكاةَ أم لا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 الغدير يَعدِلُ صوم الدهرِ</w:t>
      </w:r>
      <w:r>
        <w:rPr>
          <w:rFonts w:eastAsia="Amiri" w:cs="Amiri" w:ascii="Amiri" w:hAnsi="Amiri"/>
          <w:color w:val="111111"/>
          <w:sz w:val="28"/>
          <w:szCs w:val="28"/>
          <w:rtl w:val="true"/>
          <w:lang w:bidi="ar-SA"/>
        </w:rPr>
        <w:t>»</w:t>
      </w:r>
      <w:r>
        <w:rPr>
          <w:rStyle w:val="FootnoteAnchor"/>
          <w:rtl w:val="true"/>
        </w:rPr>
        <w:footnoteReference w:id="1362"/>
      </w:r>
      <w:r>
        <w:rPr>
          <w:rFonts w:ascii="Amiri" w:hAnsi="Amiri" w:eastAsia="Amiri" w:cs="Amiri"/>
          <w:color w:val="111111"/>
          <w:sz w:val="28"/>
          <w:sz w:val="28"/>
          <w:szCs w:val="28"/>
          <w:rtl w:val="true"/>
          <w:lang w:bidi="ar-SA"/>
        </w:rPr>
        <w:t xml:space="preserve">، فكيف يُساوي الجزء الكل ؟ </w:t>
      </w:r>
      <w:bookmarkStart w:id="842" w:name="pg10113_92415"/>
    </w:p>
    <w:p>
      <w:pPr>
        <w:pStyle w:val="BookText"/>
        <w:rPr/>
      </w:pPr>
      <w:bookmarkEnd w:id="842"/>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على تقدير صحته محمول على الدهر مع خروج ذلك اليوم منه، حتّى لا يلزم تفضيلُ الشيء على نفسه، ومثله واقع في الأخبار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تقدير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كونه ضعيف السند، وإن كان مذكوراً في الكتب المعتبرة كالمصباح وغيره،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مشهورٍ لا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أفضل من المندوب، فما وجه أفضليّة إبراء المعسِرِ من الدين مع ندبه على الإنظار الواجب ؟ وإعادة المنفرد صلاته جماعة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الواجب مطلقاً أفضل من الندب ممنوع وسند المنعِ ما ذكر في المثالين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أنّ المراد من تفضيل الواجب على الندب مع تساويهما كيفيّةً وكمّيّةً، كصلاة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أفضل منها مندوبةً، والصدقة بدرهم واجباً أفضل منها به مندوباً، وهكذا، وحينئذٍ فيرتفع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بالرحم المعروف بالنسب وإن بعد ذكراً كان أم أنثى، أم من يحرم نكاحه على تقدير الأنوثة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أنّ الرحم كلّ قريب وإن بعد، والقول باختصاصه بالمحرم من شذوذ أقوال العامّة</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3" w:name="__RefHeading___Toc375739_1067777946"/>
      <w:bookmarkStart w:id="844" w:name="_Toc278"/>
      <w:bookmarkEnd w:id="843"/>
      <w:r>
        <w:rPr>
          <w:rtl w:val="true"/>
        </w:rPr>
        <w:t>انتفاع المسلم بالأرض المختصة بالإمام</w:t>
      </w:r>
      <w:bookmarkEnd w:id="84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يَمِلكُ المسلم الانتفاع بالأرضِ المختصّة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بالإحياء في زَمَنِ الغيبة، وكذا منافعها كالحطب والحشيش أم لا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وعليه خمس أو زكاة أو حجٌّ واجب أو دين ولم يُوص به، وكلّ من الوصيّ والوارث عالم به، فهل يجبُ عليهما إخراجُ ذلك من صُلب المال أم لا ؟ </w:t>
      </w:r>
    </w:p>
    <w:p>
      <w:pPr>
        <w:pStyle w:val="BookText"/>
        <w:rPr/>
      </w:pPr>
      <w:r>
        <w:rPr>
          <w:rFonts w:ascii="Amiri" w:hAnsi="Amiri" w:eastAsia="Amiri" w:cs="Amiri"/>
          <w:color w:val="111111"/>
          <w:sz w:val="28"/>
          <w:sz w:val="28"/>
          <w:szCs w:val="28"/>
          <w:rtl w:val="true"/>
          <w:lang w:bidi="ar-SA"/>
        </w:rPr>
        <w:t>وهل حكم الصلاة الواجبة كذلك أم لا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واجب مالي يجب إخراجه عن الميّت إذا تَرَكَ مالاً، أوصى به أو لم يُوصِ، جميعُ ما ذكره السائل من الأمثلة من هذا القبيل إلا الصلاة؛ فإنّها واجب بدني لا يجب إخراجه إلّا مع الوصيّة به من ثلث المالِ إن لم يُجِزِ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استؤجر للحج واشترط المستأجرُ إيقاع كلّ فعل في محله منه بنفسه، ثم مات بعد دخولِ الحَرَمِ، فهل يستَحِقُّ جميعَ الأُجرَةِ أم لا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يستَحِقُ بنسبةِ ما فَعلَ والحالُ هذه، وإنّما يَستحقُّ الجميع مع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مسَّ الميّت بينه أو يشعره أو ظُفره هل يلزمُه غُسل أم لا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ثواب الطاعات المندوبة صحيحة أم لا ؟ وهل الواجبة كذلك أم لا ؟ وهل فرق في الموهوب بينَ الحيِّ والميّت أم لا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والأولى إيقاعها بصيغة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خَرَزَةُ الدماغ حرام مع التمييز، فهل هي كذلك مع عدمه كدماغ الطير الصغير أم لا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تحرى قضاء الصوم الواجب في الأيّام المستحبّةِ قاصداً تحصيل الفضيلتين، فهل تكفي نيّة الواجب ويحصلان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جواب الدعوى موقوفاً على العلم بالمدعى، فما وجه جواز دعوى التهمة وسماعها مع الظنِّ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يتوقّف على العلم فيما يُمكن العلم به، أمّا ما يخفى كالسرقة فلا</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يصحّ هبةٌ للحمل، ويُكتفى بقبض الأُمِّ في اللزوم أم لا ؟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الحالةُ العليا أو الوسطى من الاستحاضة بالنسبة إلى الصبح مع الجنابة، فهل إذا نَوَت الاستباحة أو الرفع المطلق أو الجنابة يتداخلانِ أم لا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الغُسل والوضوء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جَدَّدَ الإنسانُ نيّة قضاء الصوم قبل الزوال مع كونه أصبحَ ناوي الإفطار هل به بأس أم لا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الواقف على الفقراء فقيراً، فهل يدخُلُ في الوقف ويجوز كونه قابضاً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بمسّ السقط لِدونِ أربعة أشهرٍ غُسل أم لا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قَذَفَ ولدة من الرضاع أو قتله هل يُحدُّ أو يُقتل به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تقبل شهادةُ الولد عليه أم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الولد القضاء عن أبيه المُرتدّ عن فِطرة أم لا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اليهودي أو النصراني صُوفاً أو جلداً في بلاد الإسلام وأسواقهم أخبَرَ أنّه من مأكول اللحم، فهل يُقبل قوله أم لا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ميتةٌ في يده مطلقاً، سواء أخبر بكونه ممّا يُؤكَلُ لحمه أم لا، وأمّا الصُوفُ فأصله الغَنَم، فلا يفتقر إلى خبره فيه</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يطهر الصابون بالقليل أم لا ؟ </w:t>
      </w:r>
    </w:p>
    <w:p>
      <w:pPr>
        <w:pStyle w:val="BookText"/>
        <w:rPr/>
      </w:pPr>
      <w:r>
        <w:rPr>
          <w:rFonts w:ascii="Amiri" w:hAnsi="Amiri" w:eastAsia="Amiri" w:cs="Amiri"/>
          <w:color w:val="111111"/>
          <w:sz w:val="28"/>
          <w:sz w:val="28"/>
          <w:szCs w:val="28"/>
          <w:rtl w:val="true"/>
          <w:lang w:bidi="ar-SA"/>
        </w:rPr>
        <w:t>الجواب نعم إن كانت النجاسة على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ينوي في الصلاة نيّة عبادةٍ أُخرى أم لا ؟</w:t>
      </w:r>
    </w:p>
    <w:p>
      <w:pPr>
        <w:pStyle w:val="BookText"/>
        <w:rPr/>
      </w:pPr>
      <w:r>
        <w:rPr>
          <w:rFonts w:ascii="Amiri" w:hAnsi="Amiri" w:eastAsia="Amiri" w:cs="Amiri"/>
          <w:color w:val="111111"/>
          <w:sz w:val="28"/>
          <w:sz w:val="28"/>
          <w:szCs w:val="28"/>
          <w:rtl w:val="true"/>
          <w:lang w:bidi="ar-SA"/>
        </w:rPr>
        <w:t>الجواب نعم يصحّ حال الصلاة والنيّة بالقلب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تقليد المخالف والفاسق في القرآن والقراءة بنقلهم في الصلاة أم لا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القِراءات العشر متواترةٌ، والمخالفُ من جملة المخبرين بالتواتر، ولولا الرجوعُ إليهم في ذلك لبطل تواتُر القراءات؛ إذ لم يقُم بضبطه غيرُهم غالباً في سائر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الائتمامُ بصلاة الكسوف المعادة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 المشَرَّبُ بالنجس نجسٌ ثمّ كلَّما سُنّ</w:t>
      </w:r>
      <w:r>
        <w:rPr>
          <w:rStyle w:val="FootnoteAnchor"/>
          <w:rtl w:val="true"/>
        </w:rPr>
        <w:footnoteReference w:id="1364"/>
      </w:r>
      <w:r>
        <w:rPr>
          <w:rFonts w:ascii="Amiri" w:hAnsi="Amiri" w:eastAsia="Amiri" w:cs="Amiri"/>
          <w:color w:val="111111"/>
          <w:sz w:val="28"/>
          <w:sz w:val="28"/>
          <w:szCs w:val="28"/>
          <w:rtl w:val="true"/>
          <w:lang w:bidi="ar-SA"/>
        </w:rPr>
        <w:t>عليه هل يجب تطهيره أم لا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أعطى المكلّف ناراً لصبيٍّ فأجَّجَها </w:t>
      </w:r>
      <w:r>
        <w:rPr>
          <w:rStyle w:val="FootnoteAnchor"/>
          <w:rtl w:val="true"/>
        </w:rPr>
        <w:footnoteReference w:id="1365"/>
      </w:r>
      <w:r>
        <w:rPr>
          <w:rFonts w:ascii="Amiri" w:hAnsi="Amiri" w:eastAsia="Amiri" w:cs="Amiri"/>
          <w:color w:val="111111"/>
          <w:sz w:val="28"/>
          <w:sz w:val="28"/>
          <w:szCs w:val="28"/>
          <w:rtl w:val="true"/>
          <w:lang w:bidi="ar-SA"/>
        </w:rPr>
        <w:t>في مباح، فَسَرت وجَنَّت فالضمانٌ على مَن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حَصَل تعدٍ بأن كان هناك هواء يوجبُ السِرايةَ، أو كانت النارُ زائدةً عن قدر الحاجة على وجهِ يُظَنُّ التعدّي ضَمِنَ الصبيُّ، ولا ضَمان على المكلّف مطلقاً مع كون الصبيّ مميّزاً</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غَلَبَ الظنُّ بطهارة الجلد المطروح في بلاد الإسلام بقرينة الدبغِ ونحوها، فهل هو طاهر أم لا ؟ </w:t>
      </w:r>
      <w:bookmarkStart w:id="845" w:name="pg10113_92419"/>
    </w:p>
    <w:p>
      <w:pPr>
        <w:pStyle w:val="BookText"/>
        <w:rPr/>
      </w:pPr>
      <w:bookmarkEnd w:id="845"/>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الدبغ ليس من القرائن الدالّة على التذكية؛ لاشتراكه بين المسلمين والكفّار، الأصل عدم التذكية إلى أن تُعلم</w:t>
      </w:r>
      <w:r>
        <w:rPr>
          <w:rFonts w:eastAsia="Amiri" w:cs="Amiri" w:ascii="Amiri" w:hAnsi="Amiri"/>
          <w:color w:val="111111"/>
          <w:sz w:val="28"/>
          <w:szCs w:val="28"/>
          <w:rtl w:val="true"/>
          <w:lang w:bidi="ar-SA"/>
        </w:rPr>
        <w:t>.</w:t>
      </w:r>
    </w:p>
    <w:p>
      <w:pPr>
        <w:pStyle w:val="Heading4"/>
        <w:numPr>
          <w:ilvl w:val="3"/>
          <w:numId w:val="1"/>
        </w:numPr>
        <w:rPr/>
      </w:pPr>
      <w:bookmarkStart w:id="846" w:name="__RefHeading___Toc375741_1067777946"/>
      <w:bookmarkStart w:id="847" w:name="_Toc279"/>
      <w:bookmarkEnd w:id="846"/>
      <w:r>
        <w:rPr>
          <w:rtl w:val="true"/>
        </w:rPr>
        <w:t xml:space="preserve">تفسير آية </w:t>
      </w:r>
      <w:r>
        <w:rPr>
          <w:rtl w:val="true"/>
        </w:rPr>
        <w:t>«</w:t>
      </w:r>
      <w:r>
        <w:rPr>
          <w:rtl w:val="true"/>
        </w:rPr>
        <w:t>وَإِن تُبْدُواْ مَا فِي أَنفُسِكُمْ أَوْ تُخْفُوهُ يُحَاسِبْكُم بِهِ اللّه</w:t>
      </w:r>
      <w:r>
        <w:rPr>
          <w:rtl w:val="true"/>
        </w:rPr>
        <w:t>»:</w:t>
      </w:r>
      <w:bookmarkEnd w:id="84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تُبْدُواْ مَا فِي أَنفُسِكُمْ أَوْ تُخْفُوهُ يُحَاسِبْكُم بِهِ اللّه</w:t>
      </w:r>
      <w:r>
        <w:rPr>
          <w:rFonts w:eastAsia="Amiri" w:cs="Amiri" w:ascii="Amiri" w:hAnsi="Amiri"/>
          <w:color w:val="111111"/>
          <w:sz w:val="28"/>
          <w:szCs w:val="28"/>
          <w:rtl w:val="true"/>
          <w:lang w:bidi="ar-SA"/>
        </w:rPr>
        <w:t>»</w:t>
      </w:r>
      <w:r>
        <w:rPr>
          <w:rStyle w:val="FootnoteAnchor"/>
          <w:rtl w:val="true"/>
        </w:rPr>
        <w:footnoteReference w:id="1366"/>
      </w:r>
      <w:r>
        <w:rPr>
          <w:rFonts w:ascii="Amiri" w:hAnsi="Amiri" w:eastAsia="Amiri" w:cs="Amiri"/>
          <w:color w:val="111111"/>
          <w:sz w:val="28"/>
          <w:sz w:val="28"/>
          <w:szCs w:val="28"/>
          <w:rtl w:val="true"/>
          <w:lang w:bidi="ar-SA"/>
        </w:rPr>
        <w:t>فهل تحاسَبُ على ما يَخطُرُ في النفسِ مِن عزم على ترك واجب أو فعل قبيح أم لا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الآيةِ ما يتناوله الأمرُ، والنهي من الاعتقادات والإرادات مما هو مُستورٌ عنّا، ويُمكنُ المكلّف نفيه وإثباته، فأما ما لا يدخل في التكليف من الهواجس النفسانيّة والوساوس، وما لا يمكن التحفُّظُ عنه من الخواطر، فخارج عن ذلك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عُفى لهذه الأُمِّةِ عمّا حَدَّثت به أنفُسها</w:t>
      </w:r>
      <w:r>
        <w:rPr>
          <w:rFonts w:eastAsia="Amiri" w:cs="Amiri" w:ascii="Amiri" w:hAnsi="Amiri"/>
          <w:color w:val="111111"/>
          <w:sz w:val="28"/>
          <w:szCs w:val="28"/>
          <w:rtl w:val="true"/>
          <w:lang w:bidi="ar-SA"/>
        </w:rPr>
        <w:t>»</w:t>
      </w:r>
      <w:r>
        <w:rPr>
          <w:rStyle w:val="FootnoteAnchor"/>
          <w:rtl w:val="true"/>
        </w:rPr>
        <w:footnoteReference w:id="1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يدلُّ على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وطئ البالغ بهيمة غيره ولم يَعلَم المالك به هل تلزمه القيمة أم لا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عدم لزوم القيمةِ للفاعل إلا مع ثبوتِ الفعل بالبيّنة، أو إقراره مع تصديق المالك إيّاه،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الثيابُ المَطوية المشاهَدَةُ يجوز بيعها أم لا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اعتبارها على وجه ترتفع الجهالة عنها بالنشر أو ما يقوم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كالكلامِ لحفظ الأعمى والصبيّ من التردّي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يبطل الصلاة أم لا ؟</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يُبطل من غير إثم، إلا أن يكون بالقرآنِ أو الذكر حيثُ لا يَتَمَخَضُ به قصد الإعلام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شرع في القراءة أو التسبيح في الأخيرتين هل يجوز له العدول إلى الآخَرِ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شرَعَ في أحدهما بقصده لم يَجُز العدول عنه مطلقاً، وكذا إن سبق إليه لسانه على الأقوى، وإن قصد أحدهما فسبق لسانه إلى غيره جاز العدولُ إلى ما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تُستَحَبُّ حكاية أذانِ عصري الجمعة وعرفة وعشاء المُزدلفة والأذان الأوّل في الصبح أم لا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الحكاية تابع لشرعيَّة الأذان، وحيثُ لا يُشرَعُ في الثلاثةِ الأوّل لا تُشرَعُ حكايته، بخلاف الأذان للصبح؛ فإنه مستحب، وكذا حكايته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أعطى ثوبه لفاسقٍ لِيُطَهّره، فهل يفتقر إلى سؤاله أم لا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يفتقر إلى السؤال، ويُقبلُ في تطهيره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المائعُ كاللبن والدبس إذا عَرَض له نَجاسة، يجوز بيعه على المخالفِ والكافر أم لا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 لا يستحلُّ أكل النجس، فلا يجوز بيعه منه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الكافر فإن علم من مذهبه استحلال ذلك جاز بيعه منه من دون الإعلام،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أوقَبَ غيرُ البالغ مثله هل يتعلَّق به نشر الحرمة ؟ فلو تزوّج ثم فارقها هل تجب عليها عدة أم لا ؟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إيقاب الذكر يوجب نشر الحرمةِ لأُمّه وأُختِه وبنته مع سبقه، فالعقدُ المتأخّر باطل، سواءٌ عَلِمَ بالحالِ أم جَهِلَ والولد ولد شُبهة مع جهلهما بالتحريم وزنى علمهما لو تفرّقا في العلم لزم كلاً منهما حُكمُه، وعليها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جَهلهما أو</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لطالب العلم العدل أن يحكم بين الناس ويُحَلِّفَ مع فقد المجتهد لئلّا تتعطّل الأحكام الشرعيّة أم لا ؟ </w:t>
      </w:r>
      <w:bookmarkStart w:id="848" w:name="pg10113_92421"/>
    </w:p>
    <w:p>
      <w:pPr>
        <w:pStyle w:val="BookText"/>
        <w:rPr/>
      </w:pPr>
      <w:bookmarkEnd w:id="848"/>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المسلمين في عدم جواز ذلك، نعم، له الوساطة بينهم بالصلح الإصلاح والإعلام بما يَعلَمُه مِن الحُكم الشرعي دون القضاء؛ فإنه متوقف على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طيِّنَ حائط أو سطح بطين نجس فَجَنَّفته الشمسُ، هل يطهر ظاهراً باطناً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أشرقت على ظاهره طهر هو وما اتصل به من النجس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 قطرة من بول مأكول اللحم أو بعضُ فَضَلاتِهِ في المائع كالحليب ما حكمه؟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استهلك فيه حَلَّ الجميع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في الفقير المتناول للحقوق الشرعيّة والصدقات كونه يعتقد معتقد الإماميّة وإن لم يكن بدليل عقلي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 الفقيرُ من مال الزكاة ما يكفيه سنين متعددة دفعةً، فهل يجب في الزائد عن مؤونة السنّة الخُمسُ والزكاة إذا بلغ النصابَ أم لا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الخمس وتجب الزكاة إذا اجتمعت شرائطها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ظَفِرَ المُقاصُّ بغير جنس ماله، فهل يجوز له بيعه وأخذ حقه منه أم لا ؟ هل يكون مضموناً عليه قبل البيع أم لا ؟ وهل يعتبر اللفظ في الأخذ قصاصاً أم لا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البيع، ويكون مضموناً عليه قبله على الأقوى، ولا يعتبر اللفظ، نعم يُستَحبُّ</w:t>
      </w:r>
      <w:r>
        <w:rPr>
          <w:rFonts w:eastAsia="Amiri" w:cs="Amiri" w:ascii="Amiri" w:hAnsi="Amiri"/>
          <w:color w:val="111111"/>
          <w:sz w:val="28"/>
          <w:szCs w:val="28"/>
          <w:rtl w:val="true"/>
          <w:lang w:bidi="ar-SA"/>
        </w:rPr>
        <w:t>.</w:t>
      </w:r>
    </w:p>
    <w:p>
      <w:pPr>
        <w:pStyle w:val="Heading4"/>
        <w:numPr>
          <w:ilvl w:val="3"/>
          <w:numId w:val="1"/>
        </w:numPr>
        <w:rPr/>
      </w:pPr>
      <w:bookmarkStart w:id="849" w:name="__RefHeading___Toc375743_1067777946"/>
      <w:bookmarkStart w:id="850" w:name="_Toc280"/>
      <w:bookmarkEnd w:id="849"/>
      <w:r>
        <w:rPr>
          <w:rtl w:val="true"/>
        </w:rPr>
        <w:t>نقل فرش مسجد إلى مسجد آخر</w:t>
      </w:r>
      <w:bookmarkEnd w:id="85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نقل حصير الجامع إلى جامع آخرَ ليُصلّى عليه فيه مع عدم المُصلِّين في الأوّل، أو كانوا وكان عندَهم مِن الحُصُرِ ما يكفيهم ويفضل عنهم أم لا ؟</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تكن على الغريم بينة، أو كانت لكنَّها غير مقبولة عند الحاكم، فهل تجوز له المقاصة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غير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له المقاصّة والحال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أرسل إنسان سلاماً مع غيره، هل يجوز للرسول أن يصلّي مع سَعةِ الوقت أم لا ؟</w:t>
      </w:r>
    </w:p>
    <w:p>
      <w:pPr>
        <w:pStyle w:val="BookText"/>
        <w:rPr/>
      </w:pPr>
      <w:r>
        <w:rPr>
          <w:rFonts w:ascii="Amiri" w:hAnsi="Amiri" w:eastAsia="Amiri" w:cs="Amiri"/>
          <w:color w:val="111111"/>
          <w:sz w:val="28"/>
          <w:sz w:val="28"/>
          <w:szCs w:val="28"/>
          <w:rtl w:val="true"/>
          <w:lang w:bidi="ar-SA"/>
        </w:rPr>
        <w:t>الجواب نعم الصلاة صحيحة، وإن كان أداء الأمانة قبلها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الإنسانٍ شيء من الغرس كالتوت وغيره، ولآخر أرض، فتواطئا على الغرس في تلك الأرض على التنصيف فيهما، فهل يصحّ أم لا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المعاملة المذكورة غير لازمةٍ، بل ولا جائزة بمجرّد التواطؤ، بل الطريق إلى تصحيحها أن يبيعه نصف الأرض بنصف الغرس، أو نحو ذلك من الوجوه السائغة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أرضعت العمة أو الخالة ولد الأخ أو الأخت يلين زوجهما الرضاع المحرّم، هل تحرمان عليه أم لا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الخالة لا تحرم، وأمّا العمةُ فتحريمها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الجدّة لو أرضعت ولد ولدها أو الأُخت أختها بلبن زوجيهما الفحل هل تحرمان عليه ام لا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كان معه مساءٍ ذو 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التركة بقدر السهام قسّمت على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زادت كان الزائد ردّاً عليهم على قدر السهام، ما لم يكن حاجب لأحدهم، أو ينفرد بزيادة في الوصلة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w:t>
      </w:r>
      <w:r>
        <w:rPr>
          <w:rStyle w:val="FootnoteAnchor"/>
          <w:rtl w:val="true"/>
        </w:rPr>
        <w:footnoteReference w:id="1368"/>
      </w:r>
      <w:r>
        <w:rPr>
          <w:rFonts w:ascii="Amiri" w:hAnsi="Amiri" w:eastAsia="Amiri" w:cs="Amiri"/>
          <w:color w:val="111111"/>
          <w:sz w:val="28"/>
          <w:sz w:val="28"/>
          <w:szCs w:val="28"/>
          <w:rtl w:val="true"/>
          <w:lang w:bidi="ar-SA"/>
        </w:rPr>
        <w:t>نقصت التركَة، كان النقص داخلاً على البنت أو البنات أو الأب</w:t>
      </w:r>
      <w:r>
        <w:rPr>
          <w:rFonts w:eastAsia="Amiri" w:cs="Amiri" w:ascii="Amiri" w:hAnsi="Amiri"/>
          <w:color w:val="111111"/>
          <w:sz w:val="28"/>
          <w:szCs w:val="28"/>
          <w:rtl w:val="true"/>
          <w:lang w:bidi="ar-SA"/>
        </w:rPr>
        <w:t>»</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كيف يتّجه دخولُ النقص على الأب لأنّه أمّا مع الولد فلا ينتقص سهمه عن السدس، أو لا معه فإرثه بالقرابة والحال أنّه ذو فرضٍ مع ذي فرضٍ، فكيف يدخل النقص عليه ؟</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الأب في المثال غيرُ سديدٍ، وقد أثبته كذلك جماعة</w:t>
      </w:r>
      <w:r>
        <w:rPr>
          <w:rStyle w:val="FootnoteAnchor"/>
          <w:rtl w:val="true"/>
        </w:rPr>
        <w:footnoteReference w:id="1370"/>
      </w:r>
      <w:r>
        <w:rPr>
          <w:rFonts w:ascii="IRNazanin" w:hAnsi="IRNazanin" w:eastAsia="IRNazanin"/>
          <w:color w:val="111111"/>
          <w:sz w:val="28"/>
          <w:sz w:val="28"/>
          <w:szCs w:val="28"/>
          <w:rtl w:val="true"/>
          <w:lang w:bidi="fa-IR"/>
        </w:rPr>
        <w:t>، وأغفله آخرون</w:t>
      </w:r>
      <w:r>
        <w:rPr>
          <w:rStyle w:val="FootnoteAnchor"/>
          <w:rtl w:val="true"/>
        </w:rPr>
        <w:footnoteReference w:id="1371"/>
      </w:r>
      <w:r>
        <w:rPr>
          <w:rFonts w:ascii="Amiri" w:hAnsi="Amiri" w:eastAsia="Amiri" w:cs="Amiri"/>
          <w:color w:val="111111"/>
          <w:sz w:val="28"/>
          <w:sz w:val="28"/>
          <w:szCs w:val="28"/>
          <w:rtl w:val="true"/>
          <w:lang w:bidi="ar-SA"/>
        </w:rPr>
        <w:t>، وقد حقّقنا ذلك في محلّه</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 xml:space="preserve">. </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1" w:name="pg10113_92425"/>
      <w:bookmarkStart w:id="852" w:name="pg10113_92425"/>
      <w:bookmarkEnd w:id="852"/>
    </w:p>
    <w:p>
      <w:pPr>
        <w:pStyle w:val="Heading3"/>
        <w:numPr>
          <w:ilvl w:val="2"/>
          <w:numId w:val="1"/>
        </w:numPr>
        <w:rPr/>
      </w:pPr>
      <w:bookmarkStart w:id="853" w:name="pg10113_92425"/>
      <w:bookmarkStart w:id="854" w:name="__RefHeading___Toc375745_1067777946"/>
      <w:bookmarkStart w:id="855" w:name="_Toc281"/>
      <w:bookmarkEnd w:id="853"/>
      <w:bookmarkEnd w:id="854"/>
      <w:r>
        <w:rPr/>
        <w:t>29</w:t>
      </w:r>
      <w:r>
        <w:rPr>
          <w:rtl w:val="true"/>
        </w:rPr>
        <w:t xml:space="preserve">. </w:t>
      </w:r>
      <w:r>
        <w:rPr>
          <w:rtl w:val="true"/>
        </w:rPr>
        <w:t>أجوبة مسائل السيد شرف الدين السمّاكي</w:t>
      </w:r>
      <w:bookmarkEnd w:id="855"/>
    </w:p>
    <w:p>
      <w:pPr>
        <w:pStyle w:val="Heading4"/>
        <w:numPr>
          <w:ilvl w:val="3"/>
          <w:numId w:val="1"/>
        </w:numPr>
        <w:rPr/>
      </w:pPr>
      <w:bookmarkStart w:id="856" w:name="__RefHeading___Toc375747_1067777946"/>
      <w:bookmarkStart w:id="857" w:name="_Toc282"/>
      <w:bookmarkEnd w:id="856"/>
      <w:r>
        <w:rPr>
          <w:rtl w:val="true"/>
        </w:rPr>
        <w:t>إشارة</w:t>
      </w:r>
      <w:r>
        <w:rPr>
          <w:rtl w:val="true"/>
        </w:rPr>
        <w:t>:</w:t>
      </w:r>
      <w:bookmarkEnd w:id="857"/>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عباس المحمّدي</w:t>
      </w:r>
    </w:p>
    <w:p>
      <w:pPr>
        <w:pStyle w:val="BookText"/>
        <w:rPr/>
      </w:pPr>
      <w:r>
        <w:rPr>
          <w:rFonts w:ascii="Amiri" w:hAnsi="Amiri" w:eastAsia="Amiri" w:cs="Amiri"/>
          <w:color w:val="111111"/>
          <w:sz w:val="28"/>
          <w:sz w:val="28"/>
          <w:szCs w:val="28"/>
          <w:rtl w:val="true"/>
          <w:lang w:bidi="ar-SA"/>
        </w:rPr>
        <w:t>مراجعة</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رضا المختاري </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8" w:name="pg10113_92427"/>
      <w:bookmarkStart w:id="859" w:name="pg10113_92427"/>
      <w:bookmarkEnd w:id="859"/>
    </w:p>
    <w:p>
      <w:pPr>
        <w:pStyle w:val="BookText"/>
        <w:rPr/>
      </w:pPr>
      <w:bookmarkStart w:id="860" w:name="pg10113_92427"/>
      <w:bookmarkEnd w:id="860"/>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حقَّ حمده، والصلاة والسلامُ على سيّد رُسُلِهِ محمّدٍ وآله وصحبه، اللّهمّ اهدنا لما اختلف فيه من الحقّ بإذنك؛ إنّك تهدي من تشاء إلى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فقد وصلت رسالتك أيّها المولى الجليل الفاضل العالم العامل، خلاصة الأبرار، زُبدَةُ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اللّه تعالى توفيقك وتسديدَكَ، وأجزَلَ مِن فضلِهِ حظك حظّك مزيدك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المشتملة على الأسئلة الثلاثة، وطَلَبِ الجواب عنها، وبسط الكلام فيها، وبيان مأخذ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 أنّ طالب الجواب جليل لا يقنعه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وَصَلَتْ إِلَّا في وقتٍ ضَيْقٍ على خاطِرٍ مُقسَّمٍ لم يتفق فيه البسط بحقِّهِ، فاقتصرتُ في الجواب على مقتضى الوقتِ الحاضر، فإن وقعت موافقةً للغرض، وإلا فنبهوا على مواضع الإشكال منها؛ لنحرّرها في وقتٍ آخر إن شاء اللّه تعالى، ونستمد منه التوفيق</w:t>
      </w:r>
      <w:r>
        <w:rPr>
          <w:rFonts w:eastAsia="Amiri" w:cs="Amiri" w:ascii="Amiri" w:hAnsi="Amiri"/>
          <w:color w:val="111111"/>
          <w:sz w:val="28"/>
          <w:szCs w:val="28"/>
          <w:rtl w:val="true"/>
          <w:lang w:bidi="ar-SA"/>
        </w:rPr>
        <w:t>.</w:t>
      </w:r>
    </w:p>
    <w:p>
      <w:pPr>
        <w:pStyle w:val="Heading4"/>
        <w:numPr>
          <w:ilvl w:val="3"/>
          <w:numId w:val="1"/>
        </w:numPr>
        <w:rPr/>
      </w:pPr>
      <w:bookmarkStart w:id="861" w:name="__RefHeading___Toc375749_1067777946"/>
      <w:bookmarkStart w:id="862" w:name="_Toc283"/>
      <w:bookmarkEnd w:id="861"/>
      <w:r>
        <w:rPr>
          <w:rtl w:val="true"/>
        </w:rPr>
        <w:t>سؤال عن كيفية غسل المني الذى على البدن</w:t>
      </w:r>
      <w:bookmarkEnd w:id="862"/>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على بدنه المني وهو يغتسل في الماء الكثير، ويمعك</w:t>
      </w:r>
      <w:r>
        <w:rPr>
          <w:rStyle w:val="FootnoteAnchor"/>
          <w:rtl w:val="true"/>
        </w:rPr>
        <w:footnoteReference w:id="1373"/>
      </w:r>
      <w:r>
        <w:rPr>
          <w:rFonts w:ascii="Amiri" w:hAnsi="Amiri" w:eastAsia="Amiri" w:cs="Amiri"/>
          <w:color w:val="111111"/>
          <w:sz w:val="28"/>
          <w:sz w:val="28"/>
          <w:szCs w:val="28"/>
          <w:rtl w:val="true"/>
          <w:lang w:bidi="ar-SA"/>
        </w:rPr>
        <w:t xml:space="preserve">بدنه لإزالة الخبث، فلما اغتسل وانصرف تيقن أن تحت أظفاره شيئاً من وسخ البدن المختلط بالمني، فهل يطهرُ الوسخ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جرم مخالط للمني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بنفوذ الماء في أعماقه أم لا ؟</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على هذا السؤال يقع من وجوه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دخول الماء في الوسخ الكائن تحت الظفر هل يكفي في طهارته إذا كان نَجِساً من حيث إنه لم يدخل فيه بقوة وجريان بل على وجه الترشُّح والسريان، أم يَطهرُ بنفوذه فيه واستيعابه لأجزائه النجسة كيف كان ؟</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القول بطهارته بمطلق النفوذ في أعماقه واستيعابه لأجزائه لو كان نَجِساً بنَجاسةٍ لا جرم لها كالبول والماء النجس هل يَطهُرُ في هذه الصورة أم لا؟ من حيث إنّ المنيَّ له جرم ثخين لا يطهر بدون زوال عينه، واختلاطه بالوسخ المذكور يوجبُ الشكَّ في زوال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متفرّع على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طهارة الوسخ المذكور وعدمه هل يقدح ذلك في صحّة الغُسل من حيث الشك في جريان الماء على البشرة الملاصقة للوسخ على وجه يكفي في تحقّق غَسلها أم لا؟</w:t>
      </w:r>
    </w:p>
    <w:p>
      <w:pPr>
        <w:pStyle w:val="BookText"/>
        <w:rPr/>
      </w:pPr>
      <w:r>
        <w:rPr>
          <w:rFonts w:ascii="Amiri" w:hAnsi="Amiri" w:eastAsia="Amiri" w:cs="Amiri"/>
          <w:color w:val="111111"/>
          <w:sz w:val="28"/>
          <w:sz w:val="28"/>
          <w:szCs w:val="28"/>
          <w:rtl w:val="true"/>
          <w:lang w:bidi="ar-SA"/>
        </w:rPr>
        <w:t>فلنتكلّم على المطالب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 فنقول الظاهر من النصوص</w:t>
      </w:r>
      <w:r>
        <w:rPr>
          <w:rStyle w:val="FootnoteAnchor"/>
          <w:rtl w:val="true"/>
        </w:rPr>
        <w:footnoteReference w:id="1374"/>
      </w:r>
      <w:r>
        <w:rPr>
          <w:rFonts w:ascii="IRNazanin" w:hAnsi="IRNazanin" w:eastAsia="IRNazanin"/>
          <w:color w:val="111111"/>
          <w:sz w:val="28"/>
          <w:sz w:val="28"/>
          <w:szCs w:val="28"/>
          <w:rtl w:val="true"/>
          <w:lang w:bidi="fa-IR"/>
        </w:rPr>
        <w:t xml:space="preserve">والفتاوى </w:t>
      </w:r>
      <w:r>
        <w:rPr>
          <w:rStyle w:val="FootnoteAnchor"/>
          <w:rtl w:val="true"/>
        </w:rPr>
        <w:footnoteReference w:id="1375"/>
      </w:r>
      <w:r>
        <w:rPr>
          <w:rFonts w:ascii="Amiri" w:hAnsi="Amiri" w:eastAsia="Amiri" w:cs="Amiri"/>
          <w:color w:val="111111"/>
          <w:sz w:val="28"/>
          <w:sz w:val="28"/>
          <w:szCs w:val="28"/>
          <w:rtl w:val="true"/>
          <w:lang w:bidi="ar-SA"/>
        </w:rPr>
        <w:t>طهارة ما أصابه الماء من ذلك أمثاله وإن لم يَصِل إليه بقوّة، بل يكفي مطلق وصوله إليه ونفوذه في الأجزاء النَحِسَةِ، وعموم الأوامر بالغسل وإطلاقها يشمله، والإجماع واقع على طهارة الثوب والجلد والحشايا التي تدخل النجاسة إلى أجزائها الداخلة بوصول الماء إليها مع عصر ما يمكن عصره كالثوب، دقّ الحَشايا وتغميزها؛ لإخراج الغُسالة الداخلة في أعماقها ولا شبهة في أنّ دخول الماء إلى هذه الأشياء إنما هو على وجه الترشح والنفوذ اللطيف</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اتّفقوا على طهارة الإناء النجس المشرب بالنجاسة حتّى الخمر وإن كان خشباً أو خزفاً غير مدهون وإن كرة استعمال غير المدهون والمقيَّر من أواني الخمر </w:t>
      </w:r>
      <w:r>
        <w:rPr>
          <w:rStyle w:val="FootnoteAnchor"/>
          <w:rtl w:val="true"/>
        </w:rPr>
        <w:footnoteReference w:id="1376"/>
      </w:r>
      <w:r>
        <w:rPr>
          <w:rFonts w:ascii="Amiri" w:hAnsi="Amiri" w:eastAsia="Amiri" w:cs="Amiri"/>
          <w:color w:val="111111"/>
          <w:sz w:val="28"/>
          <w:sz w:val="28"/>
          <w:szCs w:val="28"/>
          <w:rtl w:val="true"/>
          <w:lang w:bidi="ar-SA"/>
        </w:rPr>
        <w:t xml:space="preserve">، والحكم </w:t>
      </w:r>
    </w:p>
    <w:p>
      <w:pPr>
        <w:pStyle w:val="BookText"/>
        <w:rPr/>
      </w:pPr>
      <w:r>
        <w:rPr>
          <w:rFonts w:ascii="Amiri" w:hAnsi="Amiri" w:eastAsia="Amiri" w:cs="Amiri"/>
          <w:color w:val="111111"/>
          <w:sz w:val="28"/>
          <w:sz w:val="28"/>
          <w:szCs w:val="28"/>
          <w:rtl w:val="true"/>
          <w:lang w:bidi="ar-SA"/>
        </w:rPr>
        <w:t>هنا أيضاً منصوص</w:t>
      </w:r>
      <w:r>
        <w:rPr>
          <w:rStyle w:val="FootnoteAnchor"/>
          <w:rtl w:val="true"/>
        </w:rPr>
        <w:footnoteReference w:id="1377"/>
      </w:r>
      <w:r>
        <w:rPr>
          <w:rFonts w:ascii="Amiri" w:hAnsi="Amiri" w:eastAsia="Amiri" w:cs="Amiri"/>
          <w:color w:val="111111"/>
          <w:sz w:val="28"/>
          <w:sz w:val="28"/>
          <w:szCs w:val="28"/>
          <w:rtl w:val="true"/>
          <w:lang w:bidi="ar-SA"/>
        </w:rPr>
        <w:t>بخصوصه، ولعلّه أضعف قبولاً لدخول الماء في أعماقه من الوسخ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حكموا بطهارة الحبوب المُشرَّبة بالماء النجس إذا وُضعت في الكثير حتّى يتخلّلها </w:t>
      </w:r>
      <w:r>
        <w:rPr>
          <w:rStyle w:val="FootnoteAnchor"/>
          <w:rtl w:val="true"/>
        </w:rPr>
        <w:footnoteReference w:id="1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إنّما يدخل الماء في مسامه مترشّحاً على وجه أضعف ممّا في مسألة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شك في استيعاب الماء لأجزاء الوسخ المتنجس استَصحَبَ حُكم النجاسة؛ لأصالة عدم طهارته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المعتبر في طهارة هذه الأشياء إنّما هو الغسل، وقد فسّروه بأنه إصابة الماء للمحلّ مستوعباً له مع انفصاله عنه</w:t>
      </w:r>
      <w:r>
        <w:rPr>
          <w:rStyle w:val="FootnoteAnchor"/>
          <w:rtl w:val="true"/>
        </w:rPr>
        <w:footnoteReference w:id="1379"/>
      </w:r>
      <w:r>
        <w:rPr>
          <w:rFonts w:ascii="Amiri" w:hAnsi="Amiri" w:eastAsia="Amiri" w:cs="Amiri"/>
          <w:color w:val="111111"/>
          <w:sz w:val="28"/>
          <w:sz w:val="28"/>
          <w:szCs w:val="28"/>
          <w:rtl w:val="true"/>
          <w:lang w:bidi="ar-SA"/>
        </w:rPr>
        <w:t>، وبذلك فرّقوا بينه وبين الرشّ المستحبّ في إصابة الكلب وغيره من نَجاسة السبعة المشهورة، والصبّ المكتفى به في بول الرضيع باشتراط الجريان فيه دونهما، فيُشكل الحكم بطهارة تلك الأجزاء الداخلة؛ من حيث إنّ الغُسالة الداخلة فيها لا تنفصل عنها، فلا يتحقّق فيها معنى الغسل وإن تحقق في ظاهرها</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مُندفِعٌ بأنّ هذا الفرق إنّما يكون مع غسله بالقليل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صرّحوا به </w:t>
      </w:r>
      <w:r>
        <w:rPr>
          <w:rStyle w:val="FootnoteAnchor"/>
          <w:rtl w:val="true"/>
        </w:rPr>
        <w:footnoteReference w:id="1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الكثير فلا يُشترط شيء من ذلك، ولا يتحقّق فيه من الأقسام الثلاثة غير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تقدير كون التطهير في القليل فليس المعتبر في الغسل انفصال جميع أجزاء الماء المغسول به إجماعاً؛ لتخلّفه في كثير من الأفراد بل في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يُعتبرُ انفصالُ ما يمكن فصله عادةً وهو المنفصل بنفسه عن الجسم الصلب، وبالعصر فيما يُمكن عصره، وبالدقّ والتغميز في نحو الحشايا، ويغتفر فيه ما يَتَخَلَّفُ من الغُسالة في المغسول بعد ذلك، </w:t>
      </w:r>
    </w:p>
    <w:p>
      <w:pPr>
        <w:pStyle w:val="BookText"/>
        <w:rPr/>
      </w:pPr>
      <w:r>
        <w:rPr>
          <w:rFonts w:ascii="Amiri" w:hAnsi="Amiri" w:eastAsia="Amiri" w:cs="Amiri"/>
          <w:color w:val="111111"/>
          <w:sz w:val="28"/>
          <w:sz w:val="28"/>
          <w:szCs w:val="28"/>
          <w:rtl w:val="true"/>
          <w:lang w:bidi="ar-SA"/>
        </w:rPr>
        <w:t>وربّما كان ذلك أضعاف ما يتَخَلَّفُ في هذا الوسخ ونحوه، والمعتبر في هذا الغسل إنّما هو انفصال ما يَقبَلُ الانفصال من الماء المغسول به لا جميعه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أثّر هذا الوهم لزم أن لا يحكم بطهارة شيءٍ من الأشياء التي تدخُل النجاسة في باطنها، ولا يجري فيه الماء من التراب والثوب وغيرهما، وهو معلوم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لم أقف على مخالف فيه صريحاً، نعم وَقَعَ في بعض أفراد ما يدخل الماء إليه كذلك ما يُوهِمُ قيام الاحتمال في عدم الطهارة، فقد قال في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طهارة الحنطة واللحم وشبهه ممّا يُطبخ بالماء النجس بالكثير إذا عُلِمَ التخلّلُ، وكذا الجلد المدهون بالنجس</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نهاية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السمسم والحنطة إذا نقعا في النجس، فالأقوى قبولهما للطهارة، وكذا اللحم إذا تَنَجَّسَت مَرَقَتَهُ</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يُشعِر بخلافٍ أو احتمال في عدم الطهارة في هذه الأشياء، أمّا طهارة التراب الثوب والجلد ونحوها بالكثير فهو موضع وفاقٍ</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فحكمه بعد ما ذكرناه واضح؛ لأنّ الوسخ المتنجِّس بالمني إذا كان بعد زوال عينه وبقاء أثره فلا شبهة في قبوله الطهارة بمجرّد وصول الماء الكثير إليه؛ لأنّ نَجاسته حينئذٍ ليست عينيّةً، فيكفي في طهارته إصابة الماء له على وجه الغسل كما يطهرُ المتنجس بغيره من النجاسات التي لا جرم لها كالبول والماء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تحقّق اختلاط الوسخ بجرم المني الذي لا يقبل التطهير مع بقائه، فلا شبهة في عدم طهارة الوسخ المذكور بدخول الماء في أعماقه ما لم يتحقّق زوال جرم المني منه ؛ عملاً باستصحاب النجاسة وأصالة بقائها إلى أن يُعلَمَ المُزيل، ولا يقدح في </w:t>
      </w:r>
      <w:bookmarkStart w:id="863" w:name="pg10113_92431"/>
    </w:p>
    <w:p>
      <w:pPr>
        <w:pStyle w:val="BookText"/>
        <w:rPr/>
      </w:pPr>
      <w:bookmarkEnd w:id="863"/>
      <w:r>
        <w:rPr>
          <w:rFonts w:ascii="Amiri" w:hAnsi="Amiri" w:eastAsia="Amiri" w:cs="Amiri"/>
          <w:color w:val="111111"/>
          <w:sz w:val="28"/>
          <w:sz w:val="28"/>
          <w:szCs w:val="28"/>
          <w:rtl w:val="true"/>
          <w:lang w:bidi="ar-SA"/>
        </w:rPr>
        <w:t>ذلك زوال صورة المنيّ باختلاطه بالوسخ؛ لأنّ ذلك لا يوجب زوال حقيقته وإن لم يتميّز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في كون الممازج للوسخ هل له جرم أم لا ؟ فالأصل عدمه، فيقبل الطهارة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القسم يرجع إلى قواعد كلّيّة لا خلاف فيها، وهذا القدر كافٍ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فالحكم فيه أيضاً واضح بعد ما أسلفناه؛ فإنا إن لم نحكم بطهارة الوسخ فلا شبهة في عدم إجزاء غسل ما تحته من البشرة، فلم يكمل الغُسلِ، ويبقى في صحته وبطلانه ما هو مقرّر في إغفال لمعةٍ من البدن في الغُسل، والفرق بين غسل الترتيب والارتماس بما هو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حُكم بطهارته ووَصَلَ الماء منه إلى البشرة على الوجه المعتبر في غسلها لو لم يكن هناك وسخ، فلا شبهة أيضاً في صحّة 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الاشتباه فيما لو وصل إلى ما تحتها على وجه الترشّح المذكور الذي قد اكتفي به في تطهير الخبث ظاهر الأصحاب الاكتفاء به أيضاً في غُسل الحدث؛ لإطلاقهم الاكتفاء بوصول الماء إلى البشرة التي تحت الوسَخِ من غير اشتراط الجريان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في المنتهى والتذكرة والنهاية والقواعد والتحرير عبارةً متقاربة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من إيصال الماء إلى ما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إزالته مع عدم المشقّة</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4" w:name="__RefHeading___Toc375751_1067777946"/>
      <w:bookmarkStart w:id="865" w:name="_Toc284"/>
      <w:bookmarkEnd w:id="864"/>
      <w:r>
        <w:rPr>
          <w:rtl w:val="true"/>
        </w:rPr>
        <w:t>بعض عبارات الفقهاء في المسألة السابقة</w:t>
      </w:r>
      <w:bookmarkEnd w:id="865"/>
    </w:p>
    <w:p>
      <w:pPr>
        <w:pStyle w:val="BookText"/>
        <w:rPr/>
      </w:pPr>
      <w:r>
        <w:rPr>
          <w:rFonts w:ascii="Amiri" w:hAnsi="Amiri" w:eastAsia="Amiri" w:cs="Amiri"/>
          <w:color w:val="111111"/>
          <w:sz w:val="28"/>
          <w:sz w:val="28"/>
          <w:szCs w:val="28"/>
          <w:rtl w:val="true"/>
          <w:lang w:bidi="ar-SA"/>
        </w:rPr>
        <w:t>وقال الشهيد في الذكرى</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 لا يمنع من وصول الماء استجب إزالته، ولو منع وَجبَ إلا مع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الحَرج</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المحقّق في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الظفر المانع من وصول الماء تجب إزالته إذا لم يكن فيه ضررٌ؛ لأنه حائلٌ تمكن إزالته من غير مشقّة</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هذه العبارات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بمطلق وصول الماء إلى البشرة، لكن لما عُهد من الشارع في غسل الوضوء والغُسل اعتبار الجريان فليكن هنا كذلك؛ لأنّ ما تحته من البشرة من جملة ما يجب غسله، فكل ما دلّ على اعتبار الجريان في غير دلّ عليه فيه وإن كانت عباراتهم هنا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أنهم يكتفون هنا بمطلق وصول الماء، فالأظهر عندنا أنه لا يكفي ذلك؛ لعدم الدليل على سقوط ما وجب فيه لولا الوسخ كغيره من الحائل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المسألة ليست خلافيّةً، بل مجملة موكولة إلى القواعد المشهورة، وفي كلام العلّامة ما يُرشد إلى ذلك؛ حيث عَلَّل في النهاية الحكم بوجوب إيصال الماء بعد حكاية ما ذكرناه عنه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استيعاب الأعضاء بالغسل</w:t>
      </w:r>
      <w:r>
        <w:rPr>
          <w:rStyle w:val="FootnoteAnchor"/>
          <w:rtl w:val="true"/>
        </w:rPr>
        <w:footnoteReference w:id="1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في وجوب غسله على وجه الجريان كغيره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يحصُلُ الفرق بين طهارة ما تحت الوسخ من الخبث ومن الحدث في الجملة؛ إذ المعتبر في طهارة الخبث مجرّد وصول الماء إلى ما ذكر مع انفصال ما يمكن انفصاله عنه، وفي الحدث الجريان على نفس البشرة</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في الماء القليل، أما الكثيرُ فَيتَّجه أن يُنزَّل وصول الماء إلى أجزاء الوسخ ثمّ إلى البشرة مع اتصاله بالكثير منزلة الجريان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تُنزَّلُ مُماسَةُ الكثير لغيره من أجزاء العضو المغسول منزلة الجريان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عين الجريان؛ لأنّ المراد منه مفارقة الماء المغسول به للعضو المغسول وإن بقي عليه البلل، ليتميّز عن الدهن وهو متحقق هنا</w:t>
      </w:r>
      <w:r>
        <w:rPr>
          <w:rFonts w:eastAsia="Amiri" w:cs="Amiri" w:ascii="Amiri" w:hAnsi="Amiri"/>
          <w:color w:val="111111"/>
          <w:sz w:val="28"/>
          <w:szCs w:val="28"/>
          <w:rtl w:val="true"/>
          <w:lang w:bidi="ar-SA"/>
        </w:rPr>
        <w:t xml:space="preserve">. </w:t>
      </w:r>
      <w:bookmarkStart w:id="866" w:name="pg10113_92433"/>
    </w:p>
    <w:p>
      <w:pPr>
        <w:pStyle w:val="BookText"/>
        <w:rPr/>
      </w:pPr>
      <w:bookmarkEnd w:id="866"/>
      <w:r>
        <w:rPr>
          <w:rFonts w:ascii="Amiri" w:hAnsi="Amiri" w:eastAsia="Amiri" w:cs="Amiri"/>
          <w:color w:val="111111"/>
          <w:sz w:val="28"/>
          <w:sz w:val="28"/>
          <w:szCs w:val="28"/>
          <w:rtl w:val="true"/>
          <w:lang w:bidi="ar-SA"/>
        </w:rPr>
        <w:t>ويُحتَمَلُ عدمُ الإجزاء بدون الجريان حقيقةً كغيره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فيُشكِلُ الحال في غسل البشرة تحت الوسخ بناءً على الظاهر من عدم تحقّق الجريان المعتبر في الغُسل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قيل بالاكتفاء بمسمّى الغُسل عرفاً، وهو ما اشتمل على فضل قوّةٍ في الماء وإن لم يَجرِ في جميع الأجزاء؛ نظراً إلى عدم تصريح أهل اللغة باشتراط جريان الماء في تحقّقه، دلالة العرف على ما هو أعم منه، إلّا أنّ المعروف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المتأخّرين المصرح به في كثيرٍ من عباراتهم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الجريان مطلقاً</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7" w:name="__RefHeading___Toc375753_1067777946"/>
      <w:bookmarkStart w:id="868" w:name="_Toc285"/>
      <w:bookmarkEnd w:id="867"/>
      <w:r>
        <w:rPr>
          <w:rtl w:val="true"/>
        </w:rPr>
        <w:t>قطعة جلد الإنسان المنفصلة طاهرة أم لا ؟</w:t>
      </w:r>
      <w:bookmarkEnd w:id="868"/>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الجلد المنفصلة عن بدن الإنسان هل هي طاهرة أم نَجِسة ؟ معفو عنها أم غير معفوّة؟ وهل يفرق بين صغيرها وكبيرها، وبينها وبين المشتملة مع ذلك على لحم وبينها وبين المشتملة على العظم أم لا ؟ وهل يلزمُ غَسلُ المحلّ الذي انفصلت عنه ؟ وهل يلزم بمسه شيء من غسل العضو اللامس أو غيره ؟</w:t>
      </w:r>
    </w:p>
    <w:p>
      <w:pPr>
        <w:pStyle w:val="BookText"/>
        <w:rPr/>
      </w:pPr>
      <w:r>
        <w:rPr>
          <w:rFonts w:ascii="Amiri" w:hAnsi="Amiri" w:eastAsia="Amiri" w:cs="Amiri"/>
          <w:color w:val="111111"/>
          <w:sz w:val="28"/>
          <w:sz w:val="28"/>
          <w:szCs w:val="28"/>
          <w:rtl w:val="true"/>
          <w:lang w:bidi="ar-SA"/>
        </w:rPr>
        <w:t xml:space="preserve">المطلوب بيان المختار في ذلك، ونقل الخلاف وذكر المرجح، والخروج عن الاقتصار على مجرّد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وظيفة 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الغرض هنا 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من مذهب الأصحاب أن ميتة الآدمي وأجزاءه التي تحلُّها الحياةُ نَجِسةٌ، سَواءٌ كانت متّصلة أم منفصلةً، وسواءٌ أبينت من حيّ أم،ميّتٍ لا نعلم في ذلك خلافاً بينهم، بل صرَّحَ الشيخ في الخلاف بدعوى الإجماع عليه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واحتجّوا له مع الإجماع بأنّه حيوان له نفس سائلة فينجس بالموت كغيره من </w:t>
      </w:r>
    </w:p>
    <w:p>
      <w:pPr>
        <w:pStyle w:val="BookText"/>
        <w:rPr/>
      </w:pPr>
      <w:r>
        <w:rPr>
          <w:rFonts w:ascii="Amiri" w:hAnsi="Amiri" w:eastAsia="Amiri" w:cs="Amiri"/>
          <w:color w:val="111111"/>
          <w:sz w:val="28"/>
          <w:sz w:val="28"/>
          <w:szCs w:val="28"/>
          <w:rtl w:val="true"/>
          <w:lang w:bidi="ar-SA"/>
        </w:rPr>
        <w:t>الحيوانات التي أجمع المسلمون على نجاستها به</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الجملة بحسنة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يُصيب ثوبه جَسَد الميّت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ما أصاب الثوب</w:t>
      </w:r>
      <w:r>
        <w:rPr>
          <w:rFonts w:eastAsia="Amiri" w:cs="Amiri" w:ascii="Amiri" w:hAnsi="Amiri"/>
          <w:color w:val="111111"/>
          <w:sz w:val="28"/>
          <w:szCs w:val="28"/>
          <w:rtl w:val="true"/>
          <w:lang w:bidi="ar-SA"/>
        </w:rPr>
        <w:t>»</w:t>
      </w:r>
      <w:r>
        <w:rPr>
          <w:rStyle w:val="FootnoteAnchor"/>
          <w:rtl w:val="true"/>
        </w:rPr>
        <w:footnoteReference w:id="1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إبراهيم بن ميمون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الثوب يَقَعُ على جَسَدِ الميّت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الميّت غُسِّلَ فلا تغسل ما أصاب ثوبك منه وإن كان لم يُغسل الميّت فاغسل ما أصاب ثوبك منه</w:t>
      </w:r>
      <w:r>
        <w:rPr>
          <w:rFonts w:eastAsia="Amiri" w:cs="Amiri" w:ascii="Amiri" w:hAnsi="Amiri"/>
          <w:color w:val="111111"/>
          <w:sz w:val="28"/>
          <w:szCs w:val="28"/>
          <w:rtl w:val="true"/>
          <w:lang w:bidi="ar-SA"/>
        </w:rPr>
        <w:t>»</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الأبعاض برواية أيوب بن نوح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قُطِعَ من الرجل قطعَةٌ فهي ميتةٌ، فإذا مَسَّهُ إنسان فكلُّ ما فيه عظم فقد وَجَبَ على من يَمَسُّه الغُسلُ، فإن لم يكن فيه عظم فلا غُسل عليه</w:t>
      </w:r>
      <w:r>
        <w:rPr>
          <w:rFonts w:eastAsia="Amiri" w:cs="Amiri" w:ascii="Amiri" w:hAnsi="Amiri"/>
          <w:color w:val="111111"/>
          <w:sz w:val="28"/>
          <w:szCs w:val="28"/>
          <w:rtl w:val="true"/>
          <w:lang w:bidi="ar-SA"/>
        </w:rPr>
        <w:t>»</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اشتركت الأبعاضُ المبانَةُ من الإنسان التي تَحلَّها الحياة في كونها منه نجسة سواء اشتملت على عظم أم لا، وسواء كانت مجرّد الجلد أو مُشتملة على لحم وإن اختلفتِ القطع بعد النجاسة في الأحكام</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كان فيها عظم وجب الغسلُ بمسها على المشهور بين الأصحاب</w:t>
      </w:r>
      <w:r>
        <w:rPr>
          <w:rStyle w:val="FootnoteAnchor"/>
          <w:rtl w:val="true"/>
        </w:rPr>
        <w:footnoteReference w:id="1393"/>
      </w:r>
      <w:r>
        <w:rPr>
          <w:rFonts w:ascii="Amiri" w:hAnsi="Amiri" w:eastAsia="Amiri" w:cs="Amiri"/>
          <w:color w:val="111111"/>
          <w:sz w:val="28"/>
          <w:sz w:val="28"/>
          <w:szCs w:val="28"/>
          <w:rtl w:val="true"/>
          <w:lang w:bidi="ar-SA"/>
        </w:rPr>
        <w:t xml:space="preserve">، مضافاً إلى </w:t>
      </w:r>
    </w:p>
    <w:p>
      <w:pPr>
        <w:pStyle w:val="BookText"/>
        <w:rPr/>
      </w:pPr>
      <w:r>
        <w:rPr>
          <w:rFonts w:ascii="Amiri" w:hAnsi="Amiri" w:eastAsia="Amiri" w:cs="Amiri"/>
          <w:color w:val="111111"/>
          <w:sz w:val="28"/>
          <w:sz w:val="28"/>
          <w:szCs w:val="28"/>
          <w:rtl w:val="true"/>
          <w:lang w:bidi="ar-SA"/>
        </w:rPr>
        <w:t>نجاستها، والرواية السابقة مصرحة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الشيخ في الخلاف الإجماع عليه أيضاً</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 أنه إن ثبت الإجماع، أو قبل المنقول منه بخبر الواحد مطلقاً فهو الحجة، وإلّا ففي الحكم نظر ؛ لأصالة البراءة، وإرسال الرواية، ومنع الإجماع؛ فإنّ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يرى وجوب غُسل المسِّ مطلقاً </w:t>
      </w:r>
      <w:r>
        <w:rPr>
          <w:rStyle w:val="FootnoteAnchor"/>
          <w:rtl w:val="true"/>
        </w:rPr>
        <w:footnoteReference w:id="1395"/>
      </w:r>
      <w:r>
        <w:rPr>
          <w:rFonts w:ascii="Amiri" w:hAnsi="Amiri" w:eastAsia="Amiri" w:cs="Amiri"/>
          <w:color w:val="111111"/>
          <w:sz w:val="28"/>
          <w:sz w:val="28"/>
          <w:szCs w:val="28"/>
          <w:rtl w:val="true"/>
          <w:lang w:bidi="ar-SA"/>
        </w:rPr>
        <w:t>والمحقّق نفى وجوب الغسل بمسِّ القطعة المذكورة؛ مستضعفاً للمستند ومانعاً للإجماع</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الشهيد رحمه اللّه بأنّ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القطعة نَجسة قطعاً؛ لوجوب غُسلها وهي بعض من جملة يجب بمسِّها، فكلُّ دليل دلَّ على وجوب الغُسل بمس الميّت فهو دالّ عليها</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ما فيه؛ لأنّ نَجاستها لا تستلزم وجوب الغُسل بمسها، وحكم الجملة غير لازم في الأبعاض عقلاً وشرعاً، وانفكاك حكم الجملة عنها ظاهر في مثل القطعة الخالية من العظم اتّفاقاً، والأدلّة التي دلّت على وجوب الغُسل بمسّ الميّت إنما دلّت على حكم جملة الميّت، كما يظهر لمن تأملها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وحكايتها هنا تطول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ثبت الإجماع والتفتَ إلى عدم قدح المخالف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قاعدة حجّية الإجماع عند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الدليل، وإلّا فالأصل يقتضي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القطعة عظماً مجرّداً فإن أبينَ من حيّ فهو طاهرٌ؛ لأنّه لا تحلَّه الحياة فليس بميّتٍ، وكذا إن أبينَ من ميِّتٍ بعد تطهيره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أُبين قبله ففي نجاسته ووجوب الغُسل بمسّه قولان</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بنجاسة الميّت قبل تمام غُسله، وهذا من جملته فيُستَصحَبُ حُكمُ </w:t>
      </w:r>
      <w:bookmarkStart w:id="869" w:name="pg10113_92436"/>
    </w:p>
    <w:p>
      <w:pPr>
        <w:pStyle w:val="BookText"/>
        <w:rPr/>
      </w:pPr>
      <w:bookmarkEnd w:id="869"/>
      <w:r>
        <w:rPr>
          <w:rFonts w:ascii="Amiri" w:hAnsi="Amiri" w:eastAsia="Amiri" w:cs="Amiri"/>
          <w:color w:val="111111"/>
          <w:sz w:val="28"/>
          <w:sz w:val="28"/>
          <w:szCs w:val="28"/>
          <w:rtl w:val="true"/>
          <w:lang w:bidi="ar-SA"/>
        </w:rPr>
        <w:t>النّجاسةِ، وأنّ وجوبَ الغُسلِ دائر مع العظمِ وجوداً وعدماً فدل على عليّته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حجة الشهيد في الذكرى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عرفت أنّ نَجاسة المحل لا تدلّ على وجوب الغسل بمسه، مع أنا نمنع من نَجاسة ما لا تَحِلُّهُ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ضعف عليّة الدوران عند الأصحاب المانِعينَ مِن العمل بالقياس، جاز كون سبب الغُسل هو المجموع المركّب من العظم وغيره، بل هو الظاهر، وأصالة البراءة من وجوب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ضعف الأصل المبني عليه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يندفع بذلك</w:t>
      </w:r>
      <w:r>
        <w:rPr>
          <w:rFonts w:eastAsia="Amiri" w:cs="Amiri" w:ascii="Amiri" w:hAnsi="Amiri"/>
          <w:color w:val="111111"/>
          <w:sz w:val="28"/>
          <w:szCs w:val="28"/>
          <w:rtl w:val="true"/>
          <w:lang w:bidi="ar-SA"/>
        </w:rPr>
        <w:t>.</w:t>
      </w:r>
    </w:p>
    <w:p>
      <w:pPr>
        <w:pStyle w:val="Heading4"/>
        <w:numPr>
          <w:ilvl w:val="3"/>
          <w:numId w:val="1"/>
        </w:numPr>
        <w:rPr/>
      </w:pPr>
      <w:bookmarkStart w:id="870" w:name="__RefHeading___Toc375755_1067777946"/>
      <w:bookmarkStart w:id="871" w:name="_Toc286"/>
      <w:bookmarkEnd w:id="870"/>
      <w:r>
        <w:rPr>
          <w:rtl w:val="true"/>
        </w:rPr>
        <w:t>إذا كانت القطعة المذكورة خالية من عظم</w:t>
      </w:r>
      <w:bookmarkEnd w:id="871"/>
    </w:p>
    <w:p>
      <w:pPr>
        <w:pStyle w:val="BookText"/>
        <w:rPr/>
      </w:pPr>
      <w:r>
        <w:rPr>
          <w:rFonts w:ascii="Amiri" w:hAnsi="Amiri" w:eastAsia="Amiri" w:cs="Amiri"/>
          <w:color w:val="111111"/>
          <w:sz w:val="28"/>
          <w:sz w:val="28"/>
          <w:szCs w:val="28"/>
          <w:rtl w:val="true"/>
          <w:lang w:bidi="ar-SA"/>
        </w:rPr>
        <w:t>وإن كانت القطعة خاليةً من عظمٍ لكنّها مشتملة على لحم، أو على جملة كثيرة من الجلد لا تَعُمّ البلوى بها فهي نَجسة أيضاً إجماعاً، لكنّها لا توجب الغُسل بمسِّها إجماعاً</w:t>
      </w:r>
      <w:r>
        <w:rPr>
          <w:rStyle w:val="FootnoteAnchor"/>
          <w:rtl w:val="true"/>
        </w:rPr>
        <w:footnoteReference w:id="1399"/>
      </w:r>
      <w:r>
        <w:rPr>
          <w:rFonts w:ascii="Amiri" w:hAnsi="Amiri" w:eastAsia="Amiri" w:cs="Amiri"/>
          <w:color w:val="111111"/>
          <w:sz w:val="28"/>
          <w:sz w:val="28"/>
          <w:szCs w:val="28"/>
          <w:rtl w:val="true"/>
          <w:lang w:bidi="ar-SA"/>
        </w:rPr>
        <w:t xml:space="preserve">وهو الحجة، والخبر المرسل السابق </w:t>
      </w:r>
      <w:r>
        <w:rPr>
          <w:rStyle w:val="FootnoteAnchor"/>
          <w:rtl w:val="true"/>
        </w:rPr>
        <w:footnoteReference w:id="1400"/>
      </w:r>
      <w:r>
        <w:rPr>
          <w:rFonts w:ascii="Amiri" w:hAnsi="Amiri" w:eastAsia="Amiri" w:cs="Amiri"/>
          <w:color w:val="111111"/>
          <w:sz w:val="28"/>
          <w:sz w:val="28"/>
          <w:szCs w:val="28"/>
          <w:rtl w:val="true"/>
          <w:lang w:bidi="ar-SA"/>
        </w:rPr>
        <w:t>مصرّح بذلك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القطعة صغيرةً كالموجودة حول البثور والأظفار والعقب ونحوها مما تَعُمّ به البلوى، فمقتضى الوجوه السابقة كونها نجسة أيضاً؛ لأنّها من الأجزاء التي تحلُّها الحياة، فتكون ميتةً ممّا له نفس؛ فإنّ الموت هو عدم الحياة عمّا من شأنه أن يكون حيّاً</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ذهب بعض الأصحاب منهم العلّامة في النهاية إلى أنّها طاهرة، مُحتَجِّينَ بلزوم الحَرَج لو كانت نَجِسةٌ؛ لأنّ الإنسان لا ينفك عنها غالباً </w:t>
      </w:r>
      <w:r>
        <w:rPr>
          <w:rStyle w:val="FootnoteAnchor"/>
          <w:rtl w:val="true"/>
        </w:rPr>
        <w:footnoteReference w:id="1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حسن وإن كان القول بالنجاسة لا يخلو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هذه الأجزاء كثيراً ما تذهب عنها الحياةُ قبل الانفصال، فلو أثر موتُها في النّجاسَة لزم نجاستها حال الاتصال، ولم تصح الصلاة بها ولا مباشرتها فيما تُشترط فيه الطهارة، وينفعل بالنجاسة بسببها، وهذا على غاية عظيمةٍ من </w:t>
      </w:r>
    </w:p>
    <w:p>
      <w:pPr>
        <w:pStyle w:val="BookText"/>
        <w:rPr/>
      </w:pPr>
      <w:r>
        <w:rPr>
          <w:rFonts w:ascii="Amiri" w:hAnsi="Amiri" w:eastAsia="Amiri" w:cs="Amiri"/>
          <w:color w:val="111111"/>
          <w:sz w:val="28"/>
          <w:sz w:val="28"/>
          <w:szCs w:val="28"/>
          <w:rtl w:val="true"/>
          <w:lang w:bidi="ar-SA"/>
        </w:rPr>
        <w:t>الحرج والضرر المنفيَّين</w:t>
      </w:r>
      <w:r>
        <w:rPr>
          <w:rStyle w:val="FootnoteAnchor"/>
          <w:rtl w:val="true"/>
        </w:rPr>
        <w:footnoteReference w:id="1402"/>
      </w:r>
      <w:r>
        <w:rPr>
          <w:rFonts w:ascii="Amiri" w:hAnsi="Amiri" w:eastAsia="Amiri" w:cs="Amiri"/>
          <w:color w:val="111111"/>
          <w:sz w:val="28"/>
          <w:sz w:val="28"/>
          <w:szCs w:val="28"/>
          <w:rtl w:val="true"/>
          <w:lang w:bidi="ar-SA"/>
        </w:rPr>
        <w:t>إن لم يكن بديهي البطلان؛ لعدم انفكاك المكلّفين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ضُويقنا في مثل هذه الأدلّة لأمكننا القدحُ في الأدلّة السابقة الدالّة على نجاسة الجملة والأجزاء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 فقد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الأوّل فلأن روايتها لا تبلغ حد الصحيح، بل أولى الروايتين من الحسن، والثانية في طريقها إبراهيم بن ميمون وهو مجهول العدالة</w:t>
      </w:r>
      <w:r>
        <w:rPr>
          <w:rStyle w:val="FootnoteAnchor"/>
          <w:rtl w:val="true"/>
        </w:rPr>
        <w:footnoteReference w:id="1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يُعتمد على الإجماع وهو منفيٌّ عن هذه القطعة وإن ثبت في غيرها، فكان القولُ بطهارتها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في القِطعَةِ مطلقاً، وفي نجاسة موضع الانفصال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المحلِّ الماسِّ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القول فيهما أن القطعة إن انفصلت من البدن حَيَّةٌ لم يجب غسلُ موضع الانفصال مطلقاً، وهو واضح؛ إذ لم تُلاقِهِ نَجاسةٌ مطلقاً فلا وجه لغسله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انفصلت منه مَيتَةً فإن كان موضع الانفصال رطباً وحكمنا بنَجاستِها وجب تطهيره لذلك، لا لأجل انفصالها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كانا يابسين بني على أنّ نَجاسة الميّت التام هل تتعدّى إلى غيرها مطلقاً أم مع الرطوبة ؟</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المشهور بين الأصحاب </w:t>
      </w:r>
      <w:r>
        <w:rPr>
          <w:rStyle w:val="FootnoteAnchor"/>
          <w:rtl w:val="true"/>
        </w:rPr>
        <w:footnoteReference w:id="1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الغُسل بمسِّها هنا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إلحاقها بالجملة؛ لما تقدّم من التعليل الذي نقلناه عن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872" w:name="pg10113_92438"/>
    </w:p>
    <w:p>
      <w:pPr>
        <w:pStyle w:val="BookText"/>
        <w:rPr/>
      </w:pPr>
      <w:bookmarkEnd w:id="872"/>
      <w:r>
        <w:rPr>
          <w:rFonts w:ascii="Amiri" w:hAnsi="Amiri" w:eastAsia="Amiri" w:cs="Amiri"/>
          <w:color w:val="111111"/>
          <w:sz w:val="28"/>
          <w:sz w:val="28"/>
          <w:szCs w:val="28"/>
          <w:rtl w:val="true"/>
          <w:lang w:bidi="ar-SA"/>
        </w:rPr>
        <w:t>ولوجوبه بمسها متصلةً فيُستَصحب، ولأنّ الوجوب حالة الاتصال متحقّق بمسّ البعض لا الجملة، فلا يُعقل الفرق بين الحالين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أوجبناه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وقوفاً فيما خالف الأصل على موضع اليقين، وقدحاً في أدلّة الوجوب، وقد تقدّم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الآخر لا يجب إلّا مع 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وحجّة المشهور الخبران الأوّلان الدالان على نجاسة الملاقي للميّت</w:t>
      </w:r>
      <w:r>
        <w:rPr>
          <w:rStyle w:val="FootnoteAnchor"/>
          <w:rtl w:val="true"/>
        </w:rPr>
        <w:footnoteReference w:id="1405"/>
      </w:r>
      <w:r>
        <w:rPr>
          <w:rFonts w:ascii="Amiri" w:hAnsi="Amiri" w:eastAsia="Amiri" w:cs="Amiri"/>
          <w:color w:val="111111"/>
          <w:sz w:val="28"/>
          <w:sz w:val="28"/>
          <w:szCs w:val="28"/>
          <w:rtl w:val="true"/>
          <w:lang w:bidi="ar-SA"/>
        </w:rPr>
        <w:t>من غير تفصيل ولا استفصال المفيد للعموم عند بعض الأُصوليّين</w:t>
      </w:r>
      <w:r>
        <w:rPr>
          <w:rStyle w:val="FootnoteAnchor"/>
          <w:rtl w:val="true"/>
        </w:rPr>
        <w:footnoteReference w:id="1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قد تقدّم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الثاني؛ للأصل والإجماع على عدم تعدّي غيره مع عدم الرطوبة، مع أنّ فيها ما هو أقوى من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القوّة اتّفاق المسلِمينَ على نَجاسته دون نَجاسَة الميّت، وهو المنصوص على عدم تعدّى نَجاسته يابساً كالكلب والخنزير والكافر</w:t>
      </w:r>
      <w:r>
        <w:rPr>
          <w:rStyle w:val="FootnoteAnchor"/>
          <w:rtl w:val="true"/>
        </w:rPr>
        <w:footnoteReference w:id="1407"/>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يابس ذكيٌّ</w:t>
      </w:r>
      <w:r>
        <w:rPr>
          <w:rFonts w:eastAsia="Amiri" w:cs="Amiri" w:ascii="Amiri" w:hAnsi="Amiri"/>
          <w:color w:val="111111"/>
          <w:sz w:val="28"/>
          <w:szCs w:val="28"/>
          <w:rtl w:val="true"/>
          <w:lang w:bidi="ar-SA"/>
        </w:rPr>
        <w:t>»</w:t>
      </w:r>
      <w:r>
        <w:rPr>
          <w:rStyle w:val="FootnoteAnchor"/>
          <w:rtl w:val="true"/>
        </w:rPr>
        <w:footnoteReference w:id="1408"/>
      </w:r>
      <w:r>
        <w:rPr>
          <w:rFonts w:ascii="Amiri" w:hAnsi="Amiri" w:eastAsia="Amiri" w:cs="Amiri"/>
          <w:color w:val="111111"/>
          <w:sz w:val="28"/>
          <w:sz w:val="28"/>
          <w:szCs w:val="28"/>
          <w:rtl w:val="true"/>
          <w:lang w:bidi="ar-SA"/>
        </w:rPr>
        <w:t>يشمُلُ الجميع، وبه احتجّ الأصحابُ وغيرهم على عدم تعدّي النّجاسَة مع اليبوسة في غيره من النجاسات</w:t>
      </w:r>
      <w:r>
        <w:rPr>
          <w:rStyle w:val="FootnoteAnchor"/>
          <w:rtl w:val="true"/>
        </w:rPr>
        <w:footnoteReference w:id="1409"/>
      </w:r>
      <w:r>
        <w:rPr>
          <w:rFonts w:ascii="Amiri" w:hAnsi="Amiri" w:eastAsia="Amiri" w:cs="Amiri"/>
          <w:color w:val="111111"/>
          <w:sz w:val="28"/>
          <w:sz w:val="28"/>
          <w:szCs w:val="28"/>
          <w:rtl w:val="true"/>
          <w:lang w:bidi="ar-SA"/>
        </w:rPr>
        <w:t xml:space="preserve">، فإخراج ميِّت الإنسان عن القاعدة بالحديثين 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بجيّدٍ وإن كان المشهورُ أحوط وأولى</w:t>
      </w:r>
      <w:r>
        <w:rPr>
          <w:rFonts w:eastAsia="Amiri" w:cs="Amiri" w:ascii="Amiri" w:hAnsi="Amiri"/>
          <w:color w:val="111111"/>
          <w:sz w:val="28"/>
          <w:szCs w:val="28"/>
          <w:rtl w:val="true"/>
          <w:lang w:bidi="ar-SA"/>
        </w:rPr>
        <w:t>.</w:t>
      </w:r>
    </w:p>
    <w:p>
      <w:pPr>
        <w:pStyle w:val="Heading4"/>
        <w:numPr>
          <w:ilvl w:val="3"/>
          <w:numId w:val="1"/>
        </w:numPr>
        <w:rPr/>
      </w:pPr>
      <w:bookmarkStart w:id="873" w:name="__RefHeading___Toc375757_1067777946"/>
      <w:bookmarkStart w:id="874" w:name="_Toc287"/>
      <w:bookmarkEnd w:id="873"/>
      <w:r>
        <w:rPr>
          <w:rtl w:val="true"/>
        </w:rPr>
        <w:t>وصيّة المريض</w:t>
      </w:r>
      <w:bookmarkEnd w:id="874"/>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مريضٌ مرضاً بالغاً أراد الوصيّة، فعَرَضَ عليه بعض أصحابه أن يَجعَلَ عشرين توماناً مِن ماله خُمساً،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كذا زكاة،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كذا للصلاة،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كذا للصوم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كذا لعبيدك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إنّي أعطَيْتُهُم ما 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يكون هذا دليلاً على الشعور والاختيار ؟ هذا بعد أن كان مدعياً لعدم الوارث ثمّ بان أنّ له أولاد خال، فهل يكون هذا القول بالتلقين إقراراً باشتغال ذِمّته بالخُمس والزكاة ؟ وهل يكون نصفه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كأنّه يُوهم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أنّ العوام إذا أطلقوا الخُمس يريدون به حقَّ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شيء من حقّ الإمام 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اجعلوا كذا كذا حق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يحمل على جميع الخمس المشترك بين الإمام وفريقه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في شعور الموصي وغيره من المكلّفين، وقصده وتمييزه المعتبر في صحّة العقد والإيقاع إلى قرائن الأحوال المستفادة من حاله المستفيضة من مداخلَتِهِ في الكلام ومزاوَلَتِهِ في أفعاله وأقواله الموافقة لأفعال العقلاء والمميزين وأقوالهم ومقاصدهم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 في السؤال عن هذا 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أمره بالوصايا المذكورة، ومنعه عبيده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القرائن الدالّة على حضور قصده واختياره، فإن انضم إلى ذلك العلم باختياره قبله مع الشكّ في زواله كفى استصحاب السابق مؤيداً بهذه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اتّفق له زوال الاختيار واضطراب الحال في هذا المرض قبل الوصيّة، فلابدّ من العلم بعود التمييز إليه حالها وما ذكر من كلامه قرينة قوية لكن لا تبلغ بمجرّدها حدّ الحكم بتمييزه وقصده مع سبق زواله، بل يُرجَع في ذلك إلى شهود حاله حينئذٍ، فإن استفادوا من ذلك وغيره حكماً بَنَوا عليه، وإلّا استُصحِبَ ما قبله من الحالة</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نفيه للوارث ثمّ تبيّن،وجوده فلا يدلُّ على شيءٍ من الأمرين لاحتماله وجوهاً من التأويل والأغراض، ومن جملتها نسيان ذلك القريب، أو تَوَهُمُ كونه غير وارث، أو نسيان حكمه، أو غير ذلك من الأمور الصحيحة وغيرها الصادرة عن العقلاء المختارِينَ وغيرِهم فلا يدل على أحدهما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وحيث يُحكم بحضور عقله وتمام رشده وصحة وصيّته يبقى الكلام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اجعلوا كذا خُمساً وزكاةً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يقتضي وجوب ذلك عليه أم يجعل وصيّةً متبرعاً بها ؟ وهذا موضع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حيث أصالة البراءة مع عدم التصريح بما يدلّ على الوجوب، وجريان العادة بوقوع مثل ذلك على وجه الاحتياط، وأنّ الإنسان يسمح بإخراج ماله في وجوه الخير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يَسمَحُ ببذله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حيث كون الخُمس والزكاةِ حقيقةً شرعيّةً في الحقّ الواجب لبني هاشم أو المستحِقّي الزكاة، خصوصاً الخُمس فإنّه لا يقع إلّا واجباً؛ أما الزكاة فإنّها وإن وقعت مندوبةً كزكاة التجارة إلّا أنّ المتبادِرَ منها عند الإطلاق عرفاً هو الواجب، فيُحمل عليه؛ إمّا لكونه هو الحقيقة، أو للقرينة في بعض أفراد المشترك لفظاً أو معنى، وموافقةً للعرف بأنّ التجار لا يَسمَحُون ببذل ما لا يجب عليهم، وأنّ هذه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تتعلّق بأموالهم ولا يكادون ينفكون عنها، وخصوصاً حِصّةَ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لا تُدفَعُ حالَ الغَيبة دفعاً مُبرِئاً إلا بالفقيه الشرعي، وهو متعذِّرٌ غالباً، فيُرجحُ جانبُ الوجوب، والوصيّة بمجرّدها لا تدلّ على التبرُّع؛ لأنّها تَقَعُ بالوجوب والندب، وأنّ الموصى به حقيقةً الخُمسُ والزكاة وذلك لا يمكن إحداثه بالجَعل المذكور، فلا بُدَّ من تحقّقه قبل ذلك فى ذِمَّته ليُمكِنَ إثباتُ حقيقته بجعله، وما يُجعَلُ منه على وجه الاحتياط ليس خُمساً وزكاةً حقيقيّاً، وهذا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دلّت القرائن المتكثّرة المستفادة من مقاله وحاله على إرادة التَّبَرُّع بذلك، وإطلاقه الخمس والزكاة على ما يُخرجه احتياطاً على وجه المجاز لم يبعد المصير إليها</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وتظهر فائدته مع قصور ثُلثِ ماله عن جملة ذلك وعدم إجازة الوارث، وإلَّا تَعَيَّنَ إخراجه على التقديرين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وحيث يتعين الخُمس يُراد به ما يَسْمُلُ حصة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وقبيله؛ لأنه معناه شرعاً، والعرف لا يأباه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اتّفق في بعض الألفاظ إطلاقه على حِصّةِ قبيل الإمام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وجوب حقّ الإمام ولزومه لذِمَّتِهِ أقوى من حقِّ قبيله؛ لما تقدّم من أنّ إخراجه على الوجه الصحيح يتوقّف على أمرٍ يَعسُرُ وجوده غالباً بخلاف حقّ غيره من الخُمس، فإنّ المالك يُمكنه إخراجه بنفسه، فكان بقاؤه في ذِمَّته أغلب إن لم يكن محقّقاً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فتخصيصه هذا الخمس بقبيل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وإسقاط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 الحقيقة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وإلزامه بمقداره حقّاً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أوصى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هذا الإطلاق في بعض الأخبار مع أصالة براءة ذمّته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بجيّد، فحمله على الأمرين هو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حق حمده، والصلاة على نبيّه وآله الطاهرين</w:t>
      </w:r>
      <w:r>
        <w:rPr>
          <w:rFonts w:eastAsia="Amiri" w:cs="Amiri" w:ascii="Amiri" w:hAnsi="Amiri"/>
          <w:color w:val="111111"/>
          <w:sz w:val="28"/>
          <w:szCs w:val="28"/>
          <w:rtl w:val="true"/>
          <w:lang w:bidi="ar-SA"/>
        </w:rPr>
        <w:t xml:space="preserve">. </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5" w:name="pg10113_92443"/>
      <w:bookmarkStart w:id="876" w:name="pg10113_92443"/>
      <w:bookmarkEnd w:id="876"/>
    </w:p>
    <w:p>
      <w:pPr>
        <w:pStyle w:val="Heading3"/>
        <w:numPr>
          <w:ilvl w:val="2"/>
          <w:numId w:val="1"/>
        </w:numPr>
        <w:rPr/>
      </w:pPr>
      <w:bookmarkStart w:id="877" w:name="pg10113_92443"/>
      <w:bookmarkStart w:id="878" w:name="__RefHeading___Toc375759_1067777946"/>
      <w:bookmarkStart w:id="879" w:name="_Toc288"/>
      <w:bookmarkEnd w:id="877"/>
      <w:bookmarkEnd w:id="878"/>
      <w:r>
        <w:rPr/>
        <w:t>30</w:t>
      </w:r>
      <w:r>
        <w:rPr>
          <w:rtl w:val="true"/>
        </w:rPr>
        <w:t xml:space="preserve">. </w:t>
      </w:r>
      <w:r>
        <w:rPr>
          <w:rtl w:val="true"/>
        </w:rPr>
        <w:t>أجوبة المسائل النجفيّة</w:t>
      </w:r>
      <w:bookmarkEnd w:id="879"/>
    </w:p>
    <w:p>
      <w:pPr>
        <w:pStyle w:val="Heading4"/>
        <w:numPr>
          <w:ilvl w:val="3"/>
          <w:numId w:val="1"/>
        </w:numPr>
        <w:rPr/>
      </w:pPr>
      <w:bookmarkStart w:id="880" w:name="__RefHeading___Toc375761_1067777946"/>
      <w:bookmarkStart w:id="881" w:name="_Toc289"/>
      <w:bookmarkEnd w:id="880"/>
      <w:r>
        <w:rPr>
          <w:rtl w:val="true"/>
        </w:rPr>
        <w:t>إشارة</w:t>
      </w:r>
      <w:r>
        <w:rPr>
          <w:rtl w:val="true"/>
        </w:rPr>
        <w:t>:</w:t>
      </w:r>
      <w:bookmarkEnd w:id="881"/>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 xml:space="preserve">أبو 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حسين قيصريه‌ها</w:t>
      </w:r>
    </w:p>
    <w:p>
      <w:pPr>
        <w:pStyle w:val="BookText"/>
        <w:rPr/>
      </w:pPr>
      <w:r>
        <w:rPr>
          <w:rFonts w:ascii="Amiri" w:hAnsi="Amiri" w:eastAsia="Amiri" w:cs="Amiri"/>
          <w:color w:val="111111"/>
          <w:sz w:val="28"/>
          <w:sz w:val="28"/>
          <w:szCs w:val="28"/>
          <w:rtl w:val="true"/>
          <w:lang w:bidi="ar-SA"/>
        </w:rPr>
        <w:t>مراجعة</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رضا المختاري </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2" w:name="pg10113_92445"/>
      <w:bookmarkStart w:id="883" w:name="pg10113_92445"/>
      <w:bookmarkEnd w:id="883"/>
    </w:p>
    <w:p>
      <w:pPr>
        <w:pStyle w:val="BookText"/>
        <w:rPr/>
      </w:pPr>
      <w:bookmarkStart w:id="884" w:name="pg10113_92445"/>
      <w:bookmarkEnd w:id="884"/>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885" w:name="__RefHeading___Toc375763_1067777946"/>
      <w:bookmarkStart w:id="886" w:name="_Toc290"/>
      <w:bookmarkEnd w:id="885"/>
      <w:r>
        <w:rPr>
          <w:rtl w:val="true"/>
        </w:rPr>
        <w:t>مسألة في الضمان</w:t>
      </w:r>
      <w:bookmarkEnd w:id="886"/>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1410"/>
      </w:r>
      <w:r>
        <w:rPr>
          <w:rFonts w:ascii="Amiri" w:hAnsi="Amiri" w:eastAsia="Amiri" w:cs="Amiri"/>
          <w:color w:val="111111"/>
          <w:sz w:val="28"/>
          <w:sz w:val="28"/>
          <w:szCs w:val="28"/>
          <w:rtl w:val="true"/>
          <w:lang w:bidi="ar-SA"/>
        </w:rPr>
        <w:t>في مسألة الضمان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يشهد رجع بالأقلّ من الثاني والأوّل 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الرجوع بالأقلّ من الثلاثة أنّه إن كان هو الأوّل، فالضامن يعترف بأنّه لا يستحق غيره؛ لأنّه بزعمه مظلوم في الأخذ منه ثانياً</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الثاني، فهو الثابت ظاهراً وإن كان الحقّ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إنّما يرجع بالأقل من المدفوع والحقِّ، وحينئذٍ فالأقلُّ من الثلاثة أمر ثابت عليه على كلّ حال؛ إذ لا خصوصية لنفس المدفوع أولاً أو ثانياً، وإنما المعتبر بقدره، وهو مستحق على التقديرات الثلاثة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ما يُقال في توجيهه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كان صادقاً فالأداء وقع بالأوّل، وإن كان كاذباً فقد وقع بالثاني، فعلى كلّ تقدير قد أدّى الحق، والمرجوع به هو اللازم على التقديرين، وهو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 سند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الرجوع لا يمكن إلّا بعد تحقّق الأداء المعتبر، وهو الذي يكون مسلم الثبوتِ عند الأصيل ولا يقدر على إنكاره، ويكون عوضاً عن حق المستحق، وإذا وقع على هذا الوجه يمكن الرجوع به وإلّا فلا ولم يتحقّق هنا كذلك؛ لأنّ الأوّل ليس بثابت عند الأصيل، والثاني وإنْ كانَ معلوماً لكنّ الضامن يزعم أنّه مظلوم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المشترك من هذه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الأقل من الدفعي 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متحقق عند الأصيل، مسلَّمُ الثبوتِ لا يقدر على إنكاره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وخصوصية المدفوع لا عبرةً بها، وإنّما العبرة بالقدر، وهو أمرٌ ثابت قطعاً ويرشد إلى أنّ المعتبر إنّما هو القدر لا خصوصيّة المدفوع؛ إذ شخص المدفوع لا يمكن الرجوع به، وإنّما الرجوع يحصل بمثله وقدره، والأقلّ قدر متحقق على التقديرين لا يمكن الأصيل إنكاره ولا الضامِنُ دعوى كونه مظلوماً فيه وإنما الذي يزعم كونه مظلوماً فيه ما دفع ثانياً لا قدره في الجملة، فإنّه يعترف بدفعه بالحق فضلاً عن كونه يدَّعي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تندفع المعارضة أيضاً، ولا يكون معارضةً للمعارضة بل متّحداً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 مسألة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تماثلتِ الأعداد في الأقسام الثلاثة اقتصرت على أحدها فضربته في الفريضة كأربعة إخوةٍ من أٍب ومثلهم من أُمٍّ</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إنما يكون متماثلاً إذا أُخِذ التوافق بالمعنى الأخص المقابل للتداخل وهو أحد معنييه عند أهل الحساب، ولا حجّة على المصنّفِ في استعماله وإن استلزم في بعض المواضع ارتقاء الفريضة إلى عددٍ أكثر ممّا يمكن استخراجها بدونه بغير هذا الطريق، وكذا القولُ فيما بعده من الأمثلة</w:t>
      </w:r>
      <w:r>
        <w:rPr>
          <w:rFonts w:eastAsia="Amiri" w:cs="Amiri" w:ascii="Amiri" w:hAnsi="Amiri"/>
          <w:color w:val="111111"/>
          <w:sz w:val="28"/>
          <w:szCs w:val="28"/>
          <w:rtl w:val="true"/>
          <w:lang w:bidi="ar-SA"/>
        </w:rPr>
        <w:t xml:space="preserve">. </w:t>
      </w:r>
      <w:bookmarkStart w:id="887" w:name="pg10113_92447"/>
    </w:p>
    <w:p>
      <w:pPr>
        <w:pStyle w:val="Heading4"/>
        <w:numPr>
          <w:ilvl w:val="3"/>
          <w:numId w:val="1"/>
        </w:numPr>
        <w:rPr/>
      </w:pPr>
      <w:bookmarkStart w:id="888" w:name="__RefHeading___Toc375765_1067777946"/>
      <w:bookmarkStart w:id="889" w:name="_Toc291"/>
      <w:bookmarkEnd w:id="887"/>
      <w:bookmarkEnd w:id="888"/>
      <w:r>
        <w:rPr>
          <w:rtl w:val="true"/>
        </w:rPr>
        <w:t>البيع مع الخيار وتصرّف المشتري في العين</w:t>
      </w:r>
      <w:bookmarkEnd w:id="889"/>
    </w:p>
    <w:p>
      <w:pPr>
        <w:pStyle w:val="BookText"/>
        <w:rPr/>
      </w:pPr>
      <w:r>
        <w:rPr>
          <w:rFonts w:ascii="Amiri" w:hAnsi="Amiri" w:eastAsia="Amiri" w:cs="Amiri"/>
          <w:color w:val="111111"/>
          <w:sz w:val="28"/>
          <w:sz w:val="28"/>
          <w:szCs w:val="28"/>
          <w:rtl w:val="true"/>
          <w:lang w:bidi="ar-SA"/>
        </w:rPr>
        <w:t>والعلّامة في القواعد</w:t>
      </w:r>
      <w:r>
        <w:rPr>
          <w:rStyle w:val="FootnoteAnchor"/>
          <w:rtl w:val="true"/>
        </w:rPr>
        <w:footnoteReference w:id="1411"/>
      </w:r>
      <w:r>
        <w:rPr>
          <w:rFonts w:ascii="Amiri" w:hAnsi="Amiri" w:eastAsia="Amiri" w:cs="Amiri"/>
          <w:color w:val="111111"/>
          <w:sz w:val="28"/>
          <w:sz w:val="28"/>
          <w:szCs w:val="28"/>
          <w:rtl w:val="true"/>
          <w:lang w:bidi="ar-SA"/>
        </w:rPr>
        <w:t xml:space="preserve">والتحرير صرّح بإرادة المعنى الأخصّ </w:t>
      </w:r>
      <w:r>
        <w:rPr>
          <w:rStyle w:val="FootnoteAnchor"/>
          <w:rtl w:val="true"/>
        </w:rPr>
        <w:footnoteReference w:id="1412"/>
      </w:r>
      <w:r>
        <w:rPr>
          <w:rFonts w:ascii="Amiri" w:hAnsi="Amiri" w:eastAsia="Amiri" w:cs="Amiri"/>
          <w:color w:val="111111"/>
          <w:sz w:val="28"/>
          <w:sz w:val="28"/>
          <w:szCs w:val="28"/>
          <w:rtl w:val="true"/>
          <w:lang w:bidi="ar-SA"/>
        </w:rPr>
        <w:t>حيث شرط في تعريف المتوافقين أن لا يعدّهما الآخرُ،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على ما عرّفه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ما ذكره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هذه المسألة سديد لا شبهة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 مسألة البيع المشتمل على خيار للبائع، وتصرّف المشتري في العين بعد انتقالها إليه بعقد الإجارة بإذن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سقوط خيار البائع بالإذن في الإجارة مع وقوعها 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بحث هذه المسألة في الاحتمالين غير موجه، وأن القولَ بسقوطِ خيارِ البائع متعيّن، لا لما ذكره في توجيهه، بل للإجماع على أن الخيار يسقط بالتصرف من ذي الخيار ومأموره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الإجارة تصرّف من التصرفاتِ وإن كانت غير ناقلة للعين، فإنّ التصرف المسقط للخيار غيرُ منحصرٍ في نقل العين، وقد عدُّوا منه الاستخدام ونحوه من الانتقاعات بالعين مما هو أضعفُ من التصرف بالإجارة</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المسألة موجودة في كلام الفقهاء </w:t>
      </w:r>
      <w:r>
        <w:rPr>
          <w:rStyle w:val="FootnoteAnchor"/>
          <w:rtl w:val="true"/>
        </w:rPr>
        <w:footnoteReference w:id="1413"/>
      </w:r>
      <w:r>
        <w:rPr>
          <w:rFonts w:ascii="Amiri" w:hAnsi="Amiri" w:eastAsia="Amiri" w:cs="Amiri"/>
          <w:color w:val="111111"/>
          <w:sz w:val="28"/>
          <w:sz w:val="28"/>
          <w:szCs w:val="28"/>
          <w:rtl w:val="true"/>
          <w:lang w:bidi="ar-SA"/>
        </w:rPr>
        <w:t>لمن تدبرها وأما ما ذكره من كلام العلّامة في التحرير</w:t>
      </w:r>
      <w:r>
        <w:rPr>
          <w:rStyle w:val="FootnoteAnchor"/>
          <w:rtl w:val="true"/>
        </w:rPr>
        <w:footnoteReference w:id="1414"/>
      </w:r>
      <w:r>
        <w:rPr>
          <w:rFonts w:ascii="Amiri" w:hAnsi="Amiri" w:eastAsia="Amiri" w:cs="Amiri"/>
          <w:color w:val="111111"/>
          <w:sz w:val="28"/>
          <w:sz w:val="28"/>
          <w:szCs w:val="28"/>
          <w:rtl w:val="true"/>
          <w:lang w:bidi="ar-SA"/>
        </w:rPr>
        <w:t>، والتذكرة</w:t>
      </w:r>
      <w:r>
        <w:rPr>
          <w:rStyle w:val="FootnoteAnchor"/>
          <w:rtl w:val="true"/>
        </w:rPr>
        <w:footnoteReference w:id="1415"/>
      </w:r>
      <w:r>
        <w:rPr>
          <w:rFonts w:ascii="IRNazanin" w:hAnsi="IRNazanin" w:eastAsia="IRNazanin"/>
          <w:color w:val="111111"/>
          <w:sz w:val="28"/>
          <w:sz w:val="28"/>
          <w:szCs w:val="28"/>
          <w:rtl w:val="true"/>
          <w:lang w:bidi="fa-IR"/>
        </w:rPr>
        <w:t>والقواعد</w:t>
      </w:r>
      <w:r>
        <w:rPr>
          <w:rStyle w:val="FootnoteAnchor"/>
          <w:rtl w:val="true"/>
        </w:rPr>
        <w:footnoteReference w:id="1416"/>
      </w:r>
      <w:r>
        <w:rPr>
          <w:rFonts w:ascii="Amiri" w:hAnsi="Amiri" w:eastAsia="Amiri" w:cs="Amiri"/>
          <w:color w:val="111111"/>
          <w:sz w:val="28"/>
          <w:sz w:val="28"/>
          <w:szCs w:val="28"/>
          <w:rtl w:val="true"/>
          <w:lang w:bidi="ar-SA"/>
        </w:rPr>
        <w:t xml:space="preserve">شاهداً على بطلان الخيارِ فليس بجيّدٍ ؛ لأنّ ما نقلَهُ موضعه تصرّفُ ذي الخيار، لكنّه يفيد معنى التصرّفِ المُبطِل للخيارِ في الجملةِ، فإذا </w:t>
      </w:r>
    </w:p>
    <w:p>
      <w:pPr>
        <w:pStyle w:val="BookText"/>
        <w:rPr/>
      </w:pPr>
      <w:r>
        <w:rPr>
          <w:rFonts w:ascii="Amiri" w:hAnsi="Amiri" w:eastAsia="Amiri" w:cs="Amiri"/>
          <w:color w:val="111111"/>
          <w:sz w:val="28"/>
          <w:sz w:val="28"/>
          <w:szCs w:val="28"/>
          <w:rtl w:val="true"/>
          <w:lang w:bidi="ar-SA"/>
        </w:rPr>
        <w:t>أُضيف إليه قولُ العلّامة فى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أذِنَ أحدهما للآخر في التصرف، فإن تصرف سقط الخياران وإلا خيارُ الآذِنِ</w:t>
      </w:r>
      <w:r>
        <w:rPr>
          <w:rStyle w:val="FootnoteAnchor"/>
          <w:rtl w:val="true"/>
        </w:rPr>
        <w:footnoteReference w:id="1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ذكر سابقاً من أقسام التصرفاتِ المبطلة لخيار المتصرّف التي منها الإجارة وغيرها ممّا لا ينقل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تصرّف المشتري بإذن البائع أو البائع بوكالة المشتري صحّ التصرف وانقطع خيارهما</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في التذكرة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أذن أحدهما للآخرِ في التصرف فتصرف سقط الخيارانِ، ولو لم يتصرّف سقط خيار الآذن دون المأمور؛ لأنه لم يُوجد منه تصرّف فعلي ولا قولي</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فيها في مسألةٍ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أذن له البائع في طحن الحنطة فطحنها كان مجيزاً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عباراتِ القوم تَمَّ</w:t>
      </w:r>
      <w:r>
        <w:rPr>
          <w:rStyle w:val="FootnoteAnchor"/>
          <w:rtl w:val="true"/>
        </w:rPr>
        <w:footnoteReference w:id="1420"/>
      </w:r>
      <w:r>
        <w:rPr>
          <w:rFonts w:ascii="Amiri" w:hAnsi="Amiri" w:eastAsia="Amiri" w:cs="Amiri"/>
          <w:color w:val="111111"/>
          <w:sz w:val="28"/>
          <w:sz w:val="28"/>
          <w:szCs w:val="28"/>
          <w:rtl w:val="true"/>
          <w:lang w:bidi="ar-SA"/>
        </w:rPr>
        <w:t>الشاهِدُ من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بطلانَ الخيارِ بالتصرفِ والإذنِ فيه مع حصوله ممّا لا خلاف فيه وكون التصرفِ شاملاً لما فيه نقل العين والمنافع، وما ليس فيه شيء من ذلك،كالاستخدام والرُّكوبِ والانتفاع بالآلة والاستمتاع بالأمة وتغيُّر الصفة كطحن الحنطة مما لا شبهة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اختلفوا في ضروبِ من الانتفاع قليلةٍ كركوب الدابّة للتجربة ونحوها مما لا يدخل في مسألتنا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وجمله هذه الأفرادِ من التصرف دالّة على الرضى بالبيع والإلزام به</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أراد مريد إحداث وجه في المسألة بعد اتّفاقهم على هذه الأحكام لم يمكنه وإن </w:t>
      </w:r>
      <w:bookmarkStart w:id="890" w:name="pg10113_92449"/>
    </w:p>
    <w:p>
      <w:pPr>
        <w:pStyle w:val="BookText"/>
        <w:rPr/>
      </w:pPr>
      <w:bookmarkEnd w:id="890"/>
      <w:r>
        <w:rPr>
          <w:rFonts w:ascii="Amiri" w:hAnsi="Amiri" w:eastAsia="Amiri" w:cs="Amiri"/>
          <w:color w:val="111111"/>
          <w:sz w:val="28"/>
          <w:sz w:val="28"/>
          <w:szCs w:val="28"/>
          <w:rtl w:val="true"/>
          <w:lang w:bidi="ar-SA"/>
        </w:rPr>
        <w:t>أقام عليه الدليل؛ لأنّه لا تُسمَعُ في مقابلة النصّ</w:t>
      </w:r>
      <w:r>
        <w:rPr>
          <w:rStyle w:val="FootnoteAnchor"/>
          <w:rtl w:val="true"/>
        </w:rPr>
        <w:footnoteReference w:id="1421"/>
      </w:r>
      <w:r>
        <w:rPr>
          <w:rFonts w:ascii="Amiri" w:hAnsi="Amiri" w:eastAsia="Amiri" w:cs="Amiri"/>
          <w:color w:val="111111"/>
          <w:sz w:val="28"/>
          <w:sz w:val="28"/>
          <w:szCs w:val="28"/>
          <w:rtl w:val="true"/>
          <w:lang w:bidi="ar-SA"/>
        </w:rPr>
        <w:t>والإجماع، وبهذا بطل حكم استصحاب الخيار السابق ونحوه من الوجوه التي استُدِلَّ بها على بقاء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أجادَ المحقّق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رسالته </w:t>
      </w:r>
      <w:r>
        <w:rPr>
          <w:rStyle w:val="FootnoteAnchor"/>
          <w:rtl w:val="true"/>
        </w:rPr>
        <w:footnoteReference w:id="1422"/>
      </w:r>
      <w:r>
        <w:rPr>
          <w:rFonts w:ascii="Amiri" w:hAnsi="Amiri" w:eastAsia="Amiri" w:cs="Amiri"/>
          <w:color w:val="111111"/>
          <w:sz w:val="28"/>
          <w:sz w:val="28"/>
          <w:szCs w:val="28"/>
          <w:rtl w:val="true"/>
          <w:lang w:bidi="ar-SA"/>
        </w:rPr>
        <w:t>التي وضعها في هذه المسألة، وأغنانا بحثه عن التطويل</w:t>
      </w:r>
      <w:r>
        <w:rPr>
          <w:rFonts w:eastAsia="Amiri" w:cs="Amiri" w:ascii="Amiri" w:hAnsi="Amiri"/>
          <w:color w:val="111111"/>
          <w:sz w:val="28"/>
          <w:szCs w:val="28"/>
          <w:rtl w:val="true"/>
          <w:lang w:bidi="ar-SA"/>
        </w:rPr>
        <w:t>.</w:t>
      </w:r>
    </w:p>
    <w:p>
      <w:pPr>
        <w:pStyle w:val="Heading4"/>
        <w:numPr>
          <w:ilvl w:val="3"/>
          <w:numId w:val="1"/>
        </w:numPr>
        <w:rPr/>
      </w:pPr>
      <w:bookmarkStart w:id="891" w:name="__RefHeading___Toc375767_1067777946"/>
      <w:bookmarkStart w:id="892" w:name="_Toc292"/>
      <w:bookmarkEnd w:id="891"/>
      <w:r>
        <w:rPr>
          <w:rtl w:val="true"/>
        </w:rPr>
        <w:t>طلاق الغائب</w:t>
      </w:r>
      <w:bookmarkEnd w:id="892"/>
    </w:p>
    <w:p>
      <w:pPr>
        <w:pStyle w:val="BookText"/>
        <w:rPr/>
      </w:pPr>
      <w:r>
        <w:rPr>
          <w:rFonts w:ascii="Amiri" w:hAnsi="Amiri" w:eastAsia="Amiri" w:cs="Amiri"/>
          <w:color w:val="111111"/>
          <w:sz w:val="28"/>
          <w:sz w:val="28"/>
          <w:szCs w:val="28"/>
          <w:rtl w:val="true"/>
          <w:lang w:bidi="ar-SA"/>
        </w:rPr>
        <w:t>قوله في مسألة طلاق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خرج عن زوجته في طهرٍ قد قربها فيه وطلَّقَ بعد الطهرِ الثاني عالماً بأنّها 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العلّامة فخر الدين في شرح القواعد بصحته، واستدل على ذلك بأن فيه جمعاً بين الأدلّة</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ادعى الصحّة، وإنّما نقلها عن أصحاب القول، وما كان في مقام الاختيار، بل في مقام تعدادِ الأقوال</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نقله عنه أنّه احتج عليه بأنّ فيه جمعاً بين الأقوالِ فهو وهم بيّنٌ؛ لأنّه ما جعل ذلك إلّا دليلاً على القولِ المحكي الذي نسبه إلى والده في أوّلِ البحث، من أنّ حدَّ الغيبة أنْ يمضي قدرٌ يُعلَمُ به انتقالُها من طهرِ المُواقعة</w:t>
      </w:r>
      <w:r>
        <w:rPr>
          <w:rFonts w:eastAsia="Amiri" w:cs="Amiri" w:ascii="Amiri" w:hAnsi="Amiri"/>
          <w:color w:val="111111"/>
          <w:sz w:val="28"/>
          <w:szCs w:val="28"/>
          <w:rtl w:val="true"/>
          <w:lang w:bidi="ar-SA"/>
        </w:rPr>
        <w:t xml:space="preserve">... </w:t>
      </w:r>
      <w:r>
        <w:rPr>
          <w:rStyle w:val="FootnoteAnchor"/>
          <w:rtl w:val="true"/>
        </w:rPr>
        <w:footnoteReference w:id="1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فإنّ أصحابَ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الشيخ في الاستبصار</w:t>
      </w:r>
      <w:r>
        <w:rPr>
          <w:rStyle w:val="FootnoteAnchor"/>
          <w:rtl w:val="true"/>
        </w:rPr>
        <w:footnoteReference w:id="1425"/>
      </w:r>
      <w:r>
        <w:rPr>
          <w:rFonts w:ascii="Amiri" w:hAnsi="Amiri" w:eastAsia="Amiri" w:cs="Amiri"/>
          <w:color w:val="111111"/>
          <w:sz w:val="28"/>
          <w:sz w:val="28"/>
          <w:szCs w:val="28"/>
          <w:rtl w:val="true"/>
          <w:lang w:bidi="ar-SA"/>
        </w:rPr>
        <w:t>، وابن إدريس</w:t>
      </w:r>
      <w:r>
        <w:rPr>
          <w:rStyle w:val="FootnoteAnchor"/>
          <w:rtl w:val="true"/>
        </w:rPr>
        <w:footnoteReference w:id="1426"/>
      </w:r>
      <w:r>
        <w:rPr>
          <w:rFonts w:ascii="IRNazanin" w:hAnsi="IRNazanin" w:eastAsia="IRNazanin"/>
          <w:color w:val="111111"/>
          <w:sz w:val="28"/>
          <w:sz w:val="28"/>
          <w:szCs w:val="28"/>
          <w:rtl w:val="true"/>
          <w:lang w:bidi="fa-IR"/>
        </w:rPr>
        <w:t>، والمحقّق أبو القاسم</w:t>
      </w:r>
      <w:r>
        <w:rPr>
          <w:rStyle w:val="FootnoteAnchor"/>
          <w:rtl w:val="true"/>
        </w:rPr>
        <w:footnoteReference w:id="1427"/>
      </w:r>
      <w:r>
        <w:rPr>
          <w:rFonts w:ascii="Amiri" w:hAnsi="Amiri" w:eastAsia="Amiri" w:cs="Amiri"/>
          <w:color w:val="111111"/>
          <w:sz w:val="28"/>
          <w:sz w:val="28"/>
          <w:szCs w:val="28"/>
          <w:rtl w:val="true"/>
          <w:lang w:bidi="ar-SA"/>
        </w:rPr>
        <w:t xml:space="preserve">، والعلّامة في غير المختلف </w:t>
      </w:r>
      <w:r>
        <w:rPr>
          <w:rStyle w:val="FootnoteAnchor"/>
          <w:rtl w:val="true"/>
        </w:rPr>
        <w:footnoteReference w:id="1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أنّ في ذلك جمعاً بين الأخبار المختلفة التي دلّ بعضُها على جواز </w:t>
      </w:r>
    </w:p>
    <w:p>
      <w:pPr>
        <w:pStyle w:val="BookText"/>
        <w:rPr/>
      </w:pPr>
      <w:r>
        <w:rPr>
          <w:rFonts w:ascii="Amiri" w:hAnsi="Amiri" w:eastAsia="Amiri" w:cs="Amiri"/>
          <w:color w:val="111111"/>
          <w:sz w:val="28"/>
          <w:sz w:val="28"/>
          <w:szCs w:val="28"/>
          <w:rtl w:val="true"/>
          <w:lang w:bidi="ar-SA"/>
        </w:rPr>
        <w:t>الطلاق على كلّ حال</w:t>
      </w:r>
      <w:r>
        <w:rPr>
          <w:rStyle w:val="FootnoteAnchor"/>
          <w:rtl w:val="true"/>
        </w:rPr>
        <w:footnoteReference w:id="1429"/>
      </w:r>
      <w:r>
        <w:rPr>
          <w:rFonts w:ascii="IRNazanin" w:hAnsi="IRNazanin" w:eastAsia="IRNazanin"/>
          <w:color w:val="111111"/>
          <w:sz w:val="28"/>
          <w:sz w:val="28"/>
          <w:szCs w:val="28"/>
          <w:rtl w:val="true"/>
          <w:lang w:bidi="fa-IR"/>
        </w:rPr>
        <w:t>، وبعضُها على وجوب التربص شهراً</w:t>
      </w:r>
      <w:r>
        <w:rPr>
          <w:rStyle w:val="FootnoteAnchor"/>
          <w:rtl w:val="true"/>
        </w:rPr>
        <w:footnoteReference w:id="1430"/>
      </w:r>
      <w:r>
        <w:rPr>
          <w:rFonts w:ascii="Amiri" w:hAnsi="Amiri" w:eastAsia="Amiri" w:cs="Amiri"/>
          <w:color w:val="111111"/>
          <w:sz w:val="28"/>
          <w:sz w:val="28"/>
          <w:szCs w:val="28"/>
          <w:rtl w:val="true"/>
          <w:lang w:bidi="ar-SA"/>
        </w:rPr>
        <w:t>، وبعضها على ثلاثة أشهرٍ</w:t>
      </w:r>
      <w:r>
        <w:rPr>
          <w:rStyle w:val="FootnoteAnchor"/>
          <w:rtl w:val="true"/>
        </w:rPr>
        <w:footnoteReference w:id="1431"/>
      </w:r>
      <w:r>
        <w:rPr>
          <w:rFonts w:ascii="Amiri" w:hAnsi="Amiri" w:eastAsia="Amiri" w:cs="Amiri"/>
          <w:color w:val="111111"/>
          <w:sz w:val="28"/>
          <w:sz w:val="28"/>
          <w:szCs w:val="28"/>
          <w:rtl w:val="true"/>
          <w:lang w:bidi="ar-SA"/>
        </w:rPr>
        <w:t>، وبعضُها على خمسة أو ستّة</w:t>
      </w:r>
      <w:r>
        <w:rPr>
          <w:rStyle w:val="FootnoteAnchor"/>
          <w:rtl w:val="true"/>
        </w:rPr>
        <w:footnoteReference w:id="1432"/>
      </w:r>
      <w:r>
        <w:rPr>
          <w:rFonts w:ascii="Amiri" w:hAnsi="Amiri" w:eastAsia="Amiri" w:cs="Amiri"/>
          <w:color w:val="111111"/>
          <w:sz w:val="28"/>
          <w:sz w:val="28"/>
          <w:szCs w:val="28"/>
          <w:rtl w:val="true"/>
          <w:lang w:bidi="ar-SA"/>
        </w:rPr>
        <w:t>، بحمل هذا الاختلافِ على اختلافِ عاداتِ النساء فمن تحيضُ في كلّ شهر مرّةً يُنتظَرُ بها شهراً، ومن تحيض في كلّ ثلاثة أشهرٍ مرّةً يُنتظَرُ بها ثلاثة أشهرٍ،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جواز طلاقها مع علمه بالحيض الذي جعله من توابع هذا القول فليس مستنده الجمع بين الأخبار، وإنّما مستنده إطلاق الإذن في طلاقها بعد المدة المعتبرة من غير تقييدٍ بكونها طاهراً أو غير طاهر، فسقط حينئذٍ أكثر ما أوردوه من المباحث على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الأخبار الخاصة شيء يدلُّ على أنه لا بدّ في صحّة الطلاق من كونها طاهراً وقت الطلاق، بل غايةُ ما تَدلُّ عليه الانتقال من طهر إلى آخر أعم من أن تكون طاهراً وقت الطلاق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لم تدلَّ على اعتبار انتقال من طهرٍ إلى آخر أيضاً، وإنما دلّتْ على اعتبار المدَّةِ، وهم إنّما جعلوها مُنزّلةٌ على الانتقال المذكور، إلحاقاً لها بزوجة الحاضر، حيث وجدوها قد شاركتها في اعتبار استبراء الرحم وإلحاقها بها يقتضي سلامتها من الحيض المعلوم وقتَ الطلاق، وإلا فلو نظر إلى إطلاق الأخبار لم يوجد فيها سوى اعتبار مضيّ المدّة المذكورة، سواءٌ حَصَلَ الانتقال من طُهْرٍ إلى آخرَ أم لا</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فالاعترافُ لهم بدلالتها على اعتبار الانتقال يوجب الاعتراف باعتبار الطهارة من </w:t>
      </w:r>
    </w:p>
    <w:p>
      <w:pPr>
        <w:pStyle w:val="BookText"/>
        <w:rPr/>
      </w:pPr>
      <w:r>
        <w:rPr>
          <w:rFonts w:ascii="Amiri" w:hAnsi="Amiri" w:eastAsia="Amiri" w:cs="Amiri"/>
          <w:color w:val="111111"/>
          <w:sz w:val="28"/>
          <w:sz w:val="28"/>
          <w:szCs w:val="28"/>
          <w:rtl w:val="true"/>
          <w:lang w:bidi="ar-SA"/>
        </w:rPr>
        <w:t>الحيض أيضاً؛ لأنّ ذلك هو حكم لزوجها</w:t>
      </w:r>
      <w:r>
        <w:rPr>
          <w:rFonts w:eastAsia="Amiri" w:cs="Amiri" w:ascii="Amiri" w:hAnsi="Amiri"/>
          <w:color w:val="111111"/>
          <w:sz w:val="28"/>
          <w:szCs w:val="28"/>
          <w:rtl w:val="true"/>
          <w:lang w:bidi="ar-SA"/>
        </w:rPr>
        <w:t xml:space="preserve">... </w:t>
      </w:r>
      <w:r>
        <w:rPr>
          <w:rStyle w:val="FootnoteAnchor"/>
          <w:rtl w:val="true"/>
        </w:rPr>
        <w:footnoteReference w:id="1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 نزلوا اختلاف الأخبار على ما يناسب حكمها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اندفاع الوجه الثالث فظاهر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في غاية الجودة بالنسبة إلى هذا المبحثِ وإن كان للكلام في أصله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 الاستدلال بجواز الطلاقِ مع العلم بالحيض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اشتركت فيه الأخبار الدالّة على اعتبار المدّةٍ</w:t>
      </w:r>
      <w:r>
        <w:rPr>
          <w:rStyle w:val="FootnoteAnchor"/>
          <w:rtl w:val="true"/>
        </w:rPr>
        <w:footnoteReference w:id="1434"/>
      </w:r>
      <w:r>
        <w:rPr>
          <w:rFonts w:ascii="Amiri" w:hAnsi="Amiri" w:eastAsia="Amiri" w:cs="Amiri"/>
          <w:color w:val="111111"/>
          <w:sz w:val="28"/>
          <w:sz w:val="28"/>
          <w:szCs w:val="28"/>
          <w:rtl w:val="true"/>
          <w:lang w:bidi="ar-SA"/>
        </w:rPr>
        <w:t>مخَصَّص بعموم الخبرينِ الدالَّينِ على جواز تطليق زوجة الغائب على الإطلاق</w:t>
      </w:r>
      <w:r>
        <w:rPr>
          <w:rStyle w:val="FootnoteAnchor"/>
          <w:rtl w:val="true"/>
        </w:rPr>
        <w:footnoteReference w:id="1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أيضاً أنّ الخبرينِ المخصِّصَينِ يُخَصِّصانِ عموم المنعِ من طلاق الحائض، فيصحّ الطلاق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الخبرين الدالين على جواز طلاقِ الغائبِ مطلقان بالنسبة إلى كونها حائضاً أو طاهراً، لا مصرّحَانِ بجواز طلاقها وإن كانت حائضاً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الدالّة على المنع من طلاق الحائض</w:t>
      </w:r>
      <w:r>
        <w:rPr>
          <w:rStyle w:val="FootnoteAnchor"/>
          <w:rtl w:val="true"/>
        </w:rPr>
        <w:footnoteReference w:id="1436"/>
      </w:r>
      <w:r>
        <w:rPr>
          <w:rFonts w:ascii="Amiri" w:hAnsi="Amiri" w:eastAsia="Amiri" w:cs="Amiri"/>
          <w:color w:val="111111"/>
          <w:sz w:val="28"/>
          <w:sz w:val="28"/>
          <w:szCs w:val="28"/>
          <w:rtl w:val="true"/>
          <w:lang w:bidi="ar-SA"/>
        </w:rPr>
        <w:t>عامّة أيضاً بالنسبة إلى زوجة الغائب وغيره، فتخصيصها بالخبرين العامين ليجوز طلاق الحائض في غَيْبَةِ الزوج ليس أولى من عكسه بأن تجعل الأخبار العامّة في المنع من طلاق الحائض مخصصةً لعموم الآخر في طلاق الغائب على كلّ حال</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فالعمومان متعارضان فلا بُدَّ من،مُرجّح، وبتعارِضِهما يحتاجُ الحكم بصحّةِ الطلاق إلى دليل ليُزيل ما هو معلوم قطعاً من الزوجية المستمرة والحقوقِ الثابتة بالإجماع</w:t>
      </w:r>
      <w:r>
        <w:rPr>
          <w:rFonts w:eastAsia="Amiri" w:cs="Amiri" w:ascii="Amiri" w:hAnsi="Amiri"/>
          <w:color w:val="111111"/>
          <w:sz w:val="28"/>
          <w:szCs w:val="28"/>
          <w:rtl w:val="true"/>
          <w:lang w:bidi="ar-SA"/>
        </w:rPr>
        <w:t xml:space="preserve">. </w:t>
      </w:r>
      <w:bookmarkStart w:id="893" w:name="pg10113_92452"/>
    </w:p>
    <w:p>
      <w:pPr>
        <w:pStyle w:val="Heading4"/>
        <w:numPr>
          <w:ilvl w:val="3"/>
          <w:numId w:val="1"/>
        </w:numPr>
        <w:rPr/>
      </w:pPr>
      <w:bookmarkStart w:id="894" w:name="__RefHeading___Toc375769_1067777946"/>
      <w:bookmarkStart w:id="895" w:name="_Toc293"/>
      <w:bookmarkEnd w:id="893"/>
      <w:bookmarkEnd w:id="894"/>
      <w:r>
        <w:rPr>
          <w:rtl w:val="true"/>
        </w:rPr>
        <w:t>التسليم على المصلّي</w:t>
      </w:r>
      <w:bookmarkEnd w:id="895"/>
    </w:p>
    <w:p>
      <w:pPr>
        <w:pStyle w:val="BookText"/>
        <w:rPr/>
      </w:pPr>
      <w:r>
        <w:rPr>
          <w:rFonts w:ascii="Amiri" w:hAnsi="Amiri" w:eastAsia="Amiri" w:cs="Amiri"/>
          <w:color w:val="111111"/>
          <w:sz w:val="28"/>
          <w:sz w:val="28"/>
          <w:szCs w:val="28"/>
          <w:rtl w:val="true"/>
          <w:lang w:bidi="ar-SA"/>
        </w:rPr>
        <w:t>قوله في مسألة التسليم على المصلي</w:t>
      </w:r>
    </w:p>
    <w:p>
      <w:pPr>
        <w:pStyle w:val="BookText"/>
        <w:rPr/>
      </w:pPr>
      <w:r>
        <w:rPr>
          <w:rFonts w:ascii="Amiri" w:hAnsi="Amiri" w:eastAsia="Amiri" w:cs="Amiri"/>
          <w:color w:val="111111"/>
          <w:sz w:val="28"/>
          <w:sz w:val="28"/>
          <w:szCs w:val="28"/>
          <w:rtl w:val="true"/>
          <w:lang w:bidi="ar-SA"/>
        </w:rPr>
        <w:t xml:space="preserve">إذا ردَّ بعضُهم هل يصحّ رَدُّ الباقين أم لا ؟ احتجّ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الجواز بأنه إذا ردَّ واحد سقط الوجوبُ المضيَّقُ عن الباقين، وبقي معنى الوجوبِ العامّ</w:t>
      </w:r>
      <w:r>
        <w:rPr>
          <w:rStyle w:val="FootnoteAnchor"/>
          <w:rtl w:val="true"/>
        </w:rPr>
        <w:footnoteReference w:id="1437"/>
      </w:r>
      <w:r>
        <w:rPr>
          <w:rFonts w:ascii="Amiri" w:hAnsi="Amiri" w:eastAsia="Amiri" w:cs="Amiri"/>
          <w:color w:val="111111"/>
          <w:sz w:val="28"/>
          <w:sz w:val="28"/>
          <w:szCs w:val="28"/>
          <w:rtl w:val="true"/>
          <w:lang w:bidi="ar-SA"/>
        </w:rPr>
        <w:t>مثل الصلاة المعادة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تنقيح 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الأوامر الدالّة على وجوب ردِّ السلام ليس فيها كونُ الوجوب كفائياً، وإنّما الظاهرُ منها أنّ كلّ من سُلَّمَ عليه فهو مأمور بالرد؛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حُتِيتُم بِتَحِيَّةٍ فَحَبُّواْ بِأَحْسَنَ مِنْهَا</w:t>
      </w:r>
      <w:r>
        <w:rPr>
          <w:rFonts w:eastAsia="Amiri" w:cs="Amiri" w:ascii="Amiri" w:hAnsi="Amiri"/>
          <w:color w:val="111111"/>
          <w:sz w:val="28"/>
          <w:szCs w:val="28"/>
          <w:rtl w:val="true"/>
          <w:lang w:bidi="ar-SA"/>
        </w:rPr>
        <w:t xml:space="preserve">» </w:t>
      </w:r>
      <w:r>
        <w:rPr>
          <w:rStyle w:val="FootnoteAnchor"/>
          <w:rtl w:val="true"/>
        </w:rPr>
        <w:footnoteReference w:id="1438"/>
      </w:r>
      <w:r>
        <w:rPr>
          <w:rFonts w:ascii="Amiri" w:hAnsi="Amiri" w:eastAsia="Amiri" w:cs="Amiri"/>
          <w:color w:val="111111"/>
          <w:sz w:val="28"/>
          <w:sz w:val="28"/>
          <w:szCs w:val="28"/>
          <w:rtl w:val="true"/>
          <w:lang w:bidi="ar-SA"/>
        </w:rPr>
        <w:t>خِطاب لكلّ واحد من المكلّفين، فكلُّ واحدٍ منهم إذا سُلِّمَ عليه مأمور بالردّ، سواء كان السلام عليه بصيغةٍ خاصة له، أو عامّةٍ له ولغيره؛ إذ لا شكّ أنّ من سَلَّمَ على جماعةٍ بصيغةٍ عامّةٍ مُسَلّم على كلّ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كلّ واحد منهم مأموراً بالرد، لكن وردَتْ رُخصة باكتفاء الجماعة برد واحد منهم</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 يستحبّ لكلّ واحد أنْ يُسَلَّمَ على مَنْ لَقِيَهُ إِلّا أنّه رُخِّصَ للجماعةِ في تأدية هذه السنّة بتسليم واحدٍ منهم كقول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مرّت الجماعةُ بقوم أجزأهم أنْ يُسلَّمَ واحد منهم، وإذا سُلَّمَ على القوم وهم جماعة أجزأهم أنْ يَرُدَّ واحد منهم</w:t>
      </w:r>
      <w:r>
        <w:rPr>
          <w:rFonts w:eastAsia="Amiri" w:cs="Amiri" w:ascii="Amiri" w:hAnsi="Amiri"/>
          <w:color w:val="111111"/>
          <w:sz w:val="28"/>
          <w:szCs w:val="28"/>
          <w:rtl w:val="true"/>
          <w:lang w:bidi="ar-SA"/>
        </w:rPr>
        <w:t>»</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أنّه لو سلَّمَ من الجماعةِ أكثر من واحدٍ كان مؤدّياً للسنّةِ؛ لأنّ كلّ واحد منهم مأمورُ بالتسليم على من لقِيَهُ وإنْ تأدّى أصل السنّة بتسليم الواحد، وكذلك إذا ردَّ واحد من الجماعة فالباقون داخلون في عموم الأمرِ برد السلام؛ لأنّ كلّ واحدٍ منهم مُسَلَّم عليه، لكنّ الأمر المُضَيَّق قد تأدّى بجواب الواحد، وبقى معنى الأمر العامّ لكل واحدٍ بالردّ إذا سُلَّمَ عليه، فإذا ردّ كان مُمتثلاً للأمر، وكان رده موصوفاً بالشرعيّة؛ إذ لا </w:t>
      </w:r>
    </w:p>
    <w:p>
      <w:pPr>
        <w:pStyle w:val="BookText"/>
        <w:rPr/>
      </w:pPr>
      <w:r>
        <w:rPr>
          <w:rFonts w:ascii="Amiri" w:hAnsi="Amiri" w:eastAsia="Amiri" w:cs="Amiri"/>
          <w:color w:val="111111"/>
          <w:sz w:val="28"/>
          <w:sz w:val="28"/>
          <w:szCs w:val="28"/>
          <w:rtl w:val="true"/>
          <w:lang w:bidi="ar-SA"/>
        </w:rPr>
        <w:t>دليل على زوالِ الشرعيّة بردّ الواحد، بل غاية الإجزاء المذكور سقوط الوجوب فيبقى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نصّ الأصحاب على أنّ ردَّ السلام قد يكون واجباً كفائياً كما إذا كان المُسَلَّمُ عليهم جماعة، وقديكون عينيّاً كما إذا كان التسليم على شخص بخصوصه، وقد يكون مستحبّاً كرد بقيّة الجماعة بعد ردّ واحدٍ منهم فاستحباب الرد على المتأخّر عن الواحد أمر لا شبهة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التعبير بالإجزاء في خبر الجماعةِ</w:t>
      </w:r>
      <w:r>
        <w:rPr>
          <w:rStyle w:val="FootnoteAnchor"/>
          <w:rtl w:val="true"/>
        </w:rPr>
        <w:footnoteReference w:id="1441"/>
      </w:r>
      <w:r>
        <w:rPr>
          <w:rFonts w:ascii="Amiri" w:hAnsi="Amiri" w:eastAsia="Amiri" w:cs="Amiri"/>
          <w:color w:val="111111"/>
          <w:sz w:val="28"/>
          <w:sz w:val="28"/>
          <w:szCs w:val="28"/>
          <w:rtl w:val="true"/>
          <w:lang w:bidi="ar-SA"/>
        </w:rPr>
        <w:t xml:space="preserve">إشعار بالرخصة والتسهيل في ترك باقي الجماعةِ لا في سقوط الشرعيّة أصلاً ؛ إذ لا شك في دخول كلّ واحد منهم في عموم الأوامر بردّ السلام على من سلّم عليه، وهي مشتركة بين الأمر الكفائي والعيني والاستحباب وإلى هذا المعنى أشار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الذكرى في تقليل جواز ردّ الباقينَ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ردَّ بعد قيام غيره لم يضُرَّ ؛ لأنّه مشروع في الجملة وهل هو مستحبٌّ كما في غير الصلاة ؟ فيه نظر، من شرعيَّتِهِ خارج الصلاة 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بحيث كان الاستحباب باقياً خارج الصلاة، ومستَنَدُهُ إنّما هو الأوامر العامّة والخاصة من الكتاب</w:t>
      </w:r>
      <w:r>
        <w:rPr>
          <w:rStyle w:val="FootnoteAnchor"/>
          <w:rtl w:val="true"/>
        </w:rPr>
        <w:footnoteReference w:id="1443"/>
      </w:r>
      <w:r>
        <w:rPr>
          <w:rFonts w:ascii="Amiri" w:hAnsi="Amiri" w:eastAsia="Amiri" w:cs="Amiri"/>
          <w:color w:val="111111"/>
          <w:sz w:val="28"/>
          <w:sz w:val="28"/>
          <w:szCs w:val="28"/>
          <w:rtl w:val="true"/>
          <w:lang w:bidi="ar-SA"/>
        </w:rPr>
        <w:t>والسنّة</w:t>
      </w:r>
      <w:r>
        <w:rPr>
          <w:rStyle w:val="FootnoteAnchor"/>
          <w:rtl w:val="true"/>
        </w:rPr>
        <w:footnoteReference w:id="1444"/>
      </w:r>
      <w:r>
        <w:rPr>
          <w:rFonts w:ascii="Amiri" w:hAnsi="Amiri" w:eastAsia="Amiri" w:cs="Amiri"/>
          <w:color w:val="111111"/>
          <w:sz w:val="28"/>
          <w:sz w:val="28"/>
          <w:szCs w:val="28"/>
          <w:rtl w:val="true"/>
          <w:lang w:bidi="ar-SA"/>
        </w:rPr>
        <w:t>، بل في بعضها إشعار بالاستحباب مثلُ حديثِ الحقوقِ للمؤمن على المؤمن، التي من جملتها التسليم عليه، وردُّ سلامه، وتسميتُ عطسه، وإجابة دعوته</w:t>
      </w:r>
      <w:r>
        <w:rPr>
          <w:rStyle w:val="FootnoteAnchor"/>
          <w:rtl w:val="true"/>
        </w:rPr>
        <w:footnoteReference w:id="1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وأكثرها مستحبّة، فلو فُرِضَ دلالة بعض الأدلّة على الوجوب العيني وبعضها على الكفائي كان بعضها أيضاً دالّاً على الاستحباب، ولكن تخصيص كلّ واحد </w:t>
      </w:r>
    </w:p>
    <w:p>
      <w:pPr>
        <w:pStyle w:val="BookText"/>
        <w:rPr/>
      </w:pPr>
      <w:r>
        <w:rPr>
          <w:rFonts w:ascii="Amiri" w:hAnsi="Amiri" w:eastAsia="Amiri" w:cs="Amiri"/>
          <w:color w:val="111111"/>
          <w:sz w:val="28"/>
          <w:sz w:val="28"/>
          <w:szCs w:val="28"/>
          <w:rtl w:val="true"/>
          <w:lang w:bidi="ar-SA"/>
        </w:rPr>
        <w:t>بمورد، بل تلك الأوامر الدالّة على الوجوب في بعض الأفراد إذا تعذّر حملها على الوجوب في بعض آخر تُحمَلُ على الاستحباب؛ لأنّ الأمر يرد للاستحباب في الجملة، وأيّ صارفٍ لإطلاقه على الوجوب إلى الاستحباب في بعض المواردِ أعظمُ من الإجماع على عدم الوجوب ؟</w:t>
      </w:r>
    </w:p>
    <w:p>
      <w:pPr>
        <w:pStyle w:val="BookText"/>
        <w:rPr/>
      </w:pPr>
      <w:r>
        <w:rPr>
          <w:rFonts w:ascii="Amiri" w:hAnsi="Amiri" w:eastAsia="Amiri" w:cs="Amiri"/>
          <w:color w:val="111111"/>
          <w:sz w:val="28"/>
          <w:sz w:val="28"/>
          <w:szCs w:val="28"/>
          <w:rtl w:val="true"/>
          <w:lang w:bidi="ar-SA"/>
        </w:rPr>
        <w:t>وحينئذٍ، فاستجاب الردّ للباقين أمرٌ،واضح، والأصحاب معترفون به، وهذا هو المقصود للشيخ من بقاء معنى الوجوبِ العامّ</w:t>
      </w:r>
      <w:r>
        <w:rPr>
          <w:rStyle w:val="FootnoteAnchor"/>
          <w:rtl w:val="true"/>
        </w:rPr>
        <w:footnoteReference w:id="1446"/>
      </w:r>
      <w:r>
        <w:rPr>
          <w:rFonts w:ascii="Amiri" w:hAnsi="Amiri" w:eastAsia="Amiri" w:cs="Amiri"/>
          <w:color w:val="111111"/>
          <w:sz w:val="28"/>
          <w:sz w:val="28"/>
          <w:szCs w:val="28"/>
          <w:rtl w:val="true"/>
          <w:lang w:bidi="ar-SA"/>
        </w:rPr>
        <w:t>وإن كانت عبارته غير جيّدةٍ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وإيراد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شرفه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خصوص العبارة جيّد في محله، لكن المقصود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ردَّ أحد المصلين بقي الباقي منهم مأموراً بالردِّ، أو مأذوناً له فيه، فإذا ردَّ لم تكن صلاته باطلة، بل الظاهرُ أنّه يكون مؤدياً للمستحب، مثاباً على ذلك، وهو الذي توقف فيه الشهيد في الذكرى بعد حكمه بجواز الرد، ويزيدُ هذا المحلَّ بياناً 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المسجد والناسُ يُصلّونَ فسلَّم عليهم، وإذا سُلّم عليكَ فارْدُدْ، فإنّي أفعلُ</w:t>
      </w:r>
      <w:r>
        <w:rPr>
          <w:rFonts w:eastAsia="Amiri" w:cs="Amiri" w:ascii="Amiri" w:hAnsi="Amiri"/>
          <w:color w:val="111111"/>
          <w:sz w:val="28"/>
          <w:szCs w:val="28"/>
          <w:rtl w:val="true"/>
          <w:lang w:bidi="ar-SA"/>
        </w:rPr>
        <w:t>»</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شكّ أنّ المسلَّم عليه بالصيغة العامّة داخل في هذا الأمر، وأقلُّ محتملاته الاستحباب، وقريب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سأله محمد بن مسلم أيردُّ السلام وهو في الصلاة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ما تقدّم ومثلهما من الأخبار كثيرٌ</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الأمر حمله على الوجوب فيُحمَلُ هنا عليه، وحينئذٍ فيحتملُ لمن لم يسبق من غير ردّ، فلا يدلُّ على المتنازع، ولو حُمِلَ على غير </w:t>
      </w:r>
    </w:p>
    <w:p>
      <w:pPr>
        <w:pStyle w:val="BookText"/>
        <w:rPr/>
      </w:pPr>
      <w:r>
        <w:rPr>
          <w:rFonts w:ascii="Amiri" w:hAnsi="Amiri" w:eastAsia="Amiri" w:cs="Amiri"/>
          <w:color w:val="111111"/>
          <w:sz w:val="28"/>
          <w:sz w:val="28"/>
          <w:szCs w:val="28"/>
          <w:rtl w:val="true"/>
          <w:lang w:bidi="ar-SA"/>
        </w:rPr>
        <w:t>ذلك لزم الاشتراك، وهو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لما تقدّم أنّ الردَّ قد يكون عينيّاً، وقد يكون كفائياً، وقد يكون 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فاشتراك الأمر متحقّق إمّا في نفس كلّ أمر كما هو الظاهرُ من استدلالاتهم، أو في جملة الأوامر، ولو حملناه على معنى واحدٍ ارتفع الأمران الآخَرانِ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السلام من كلام الآدميين وليس بقرآن ولا دعاء، فهو مستثنى بالنصّ، كما استثني أصل الردّ؛ لاشتراكهما في الإذن من غير تفصيل بكونه واجباً أو غير واجب، بل لكونه مسلماً عليه، وهو حاصل في الجميع، فإرتفاع الوجوب حينئذٍ غيرُ مانع من الجواز،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قُرآن كما هو الحقُّ،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القرآن</w:t>
      </w:r>
      <w:r>
        <w:rPr>
          <w:rStyle w:val="FootnoteAnchor"/>
          <w:rtl w:val="true"/>
        </w:rPr>
        <w:footnoteReference w:id="1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السرّ في اختصاص الردّ بهذه الصيغة في الصلاة وإن جاز في غيرها بغيرها فلا إشكال</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قصدتَهُ ردَّ السلام خرج عن القرآن،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 بذلك في موضوعِ المنع؛ لأنه قرآن باعتبار نظمه، وباعتبار قصدِ ردّ السلام يكون ردّاً، فإنّ الداعى بالقرآن لا يخرج بقصده الدعاء من القرآن كما لو قال في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 لَنَا وَلِإِخْوَانِنَا الَّذِينَ سَبَقُونَا بِالإِيمَانِ وَلَا تَجْعَلْ فِي قُلُوبِنَا غِلّا لِلَّذِينَ ءَامَنُوا</w:t>
      </w:r>
      <w:r>
        <w:rPr>
          <w:rFonts w:eastAsia="Amiri" w:cs="Amiri" w:ascii="Amiri" w:hAnsi="Amiri"/>
          <w:color w:val="111111"/>
          <w:sz w:val="28"/>
          <w:szCs w:val="28"/>
          <w:rtl w:val="true"/>
          <w:lang w:bidi="ar-SA"/>
        </w:rPr>
        <w:t>»</w:t>
      </w:r>
      <w:r>
        <w:rPr>
          <w:rStyle w:val="FootnoteAnchor"/>
          <w:rtl w:val="true"/>
        </w:rPr>
        <w:footnoteReference w:id="1450"/>
      </w:r>
      <w:r>
        <w:rPr>
          <w:rFonts w:ascii="Amiri" w:hAnsi="Amiri" w:eastAsia="Amiri" w:cs="Amiri"/>
          <w:color w:val="111111"/>
          <w:sz w:val="28"/>
          <w:sz w:val="28"/>
          <w:szCs w:val="28"/>
          <w:rtl w:val="true"/>
          <w:lang w:bidi="ar-SA"/>
        </w:rPr>
        <w:t>فَإِنَّهُ لا يخْرُجُ عن القرآن وإن قصد الدعاء، وقد اختار هذا جماعةٌ من فضلاء الأصحاب، منهم المحقّق في المعتبر</w:t>
      </w:r>
      <w:r>
        <w:rPr>
          <w:rStyle w:val="FootnoteAnchor"/>
          <w:rtl w:val="true"/>
        </w:rPr>
        <w:footnoteReference w:id="1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يُرحَجُ القولُ بجواز الردّ المذكور وإن لم تنحسم مادَّةُ الشبهة أصلاً؛ فإنّ حصول أصل الرجحان هو المقصود في امتثالِ ذلك في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أوجَبنا في الردّ قصد القرآن مع الردّ كما اختاره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452"/>
      </w:r>
      <w:r>
        <w:rPr>
          <w:rFonts w:ascii="Amiri" w:hAnsi="Amiri" w:eastAsia="Amiri" w:cs="Amiri"/>
          <w:color w:val="111111"/>
          <w:sz w:val="28"/>
          <w:sz w:val="28"/>
          <w:szCs w:val="28"/>
          <w:rtl w:val="true"/>
          <w:lang w:bidi="ar-SA"/>
        </w:rPr>
        <w:t>زالَ الإشكال من رأسٍ</w:t>
      </w:r>
      <w:r>
        <w:rPr>
          <w:rFonts w:eastAsia="Amiri" w:cs="Amiri" w:ascii="Amiri" w:hAnsi="Amiri"/>
          <w:color w:val="111111"/>
          <w:sz w:val="28"/>
          <w:szCs w:val="28"/>
          <w:rtl w:val="true"/>
          <w:lang w:bidi="ar-SA"/>
        </w:rPr>
        <w:t xml:space="preserve">. </w:t>
      </w:r>
      <w:bookmarkStart w:id="896" w:name="pg10113_92456"/>
    </w:p>
    <w:p>
      <w:pPr>
        <w:pStyle w:val="Heading4"/>
        <w:numPr>
          <w:ilvl w:val="3"/>
          <w:numId w:val="1"/>
        </w:numPr>
        <w:rPr/>
      </w:pPr>
      <w:bookmarkStart w:id="897" w:name="__RefHeading___Toc375771_1067777946"/>
      <w:bookmarkStart w:id="898" w:name="_Toc294"/>
      <w:bookmarkEnd w:id="896"/>
      <w:bookmarkEnd w:id="897"/>
      <w:r>
        <w:rPr>
          <w:rtl w:val="true"/>
        </w:rPr>
        <w:t>تيقن الطهارة والحدث والشكّ في السابق</w:t>
      </w:r>
      <w:bookmarkEnd w:id="89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تيقن الطهارة والحدث، والشكّ في السابق وعلمه بحاله قبلهما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كلام المحقّق</w:t>
      </w:r>
      <w:r>
        <w:rPr>
          <w:rStyle w:val="FootnoteAnchor"/>
          <w:rtl w:val="true"/>
        </w:rPr>
        <w:footnoteReference w:id="14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يأخذُ بضد ما علمه من حالِه قَبلَهما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دليله على الحكم بالطهارة في سبقِ الحدث يجري فيما إذا كان متطهّراً قبل زمانهما؛ لأن خلاصة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متيقن للطهارة شالاً في الحدث، وكلُّ من كان كذلك فهو مُتَطَهِّرٌ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 هذه الطهارة مزيلة للحدث السابق فليس ركناً من أركان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قيدِ أنّ الطهارة مزيلة للحدث ليس ركناً للدليل، بل هو العمدة والركن الأعظمُ له، حتّى أنّ المكلّف لو تحقّق الطهارة وشكٍّ في الحدثِ لكن لا يعلَمُ أنّ الطهارة التي حَقَّقها رافعة للحدث أو غيرُ رافعة، بأن جوَّزَ كونها إحدى الطهارتِ المندوبة التي لا ترفعُ الحدث لم يُفده ذلك شيئاً، وهي على الحدث، وذلك؛ لأنّ الفرضَ إنّما هو تحقّق طهارةٍ رافعة للحدثِ ليدخُلَ بها في العبادة المشروطة بها، ويستصحب المتيقن، ويبني على أصالة عدم المشكوك فيه، فأما إذا لم يتحقّق كونها رافعةً لم يكن محققاً لطهارة يجوز الدخول بها في الصلاة التي هي المقصد الذاتي في هذا الباب من الطهارة وحينئذٍ، فإذا تيقّن كونه في مسألتنا مُحدِثاً قبل الطهارة والحدث المشكوك في السابق منهما فقد تيقن طهارةً رافعةً للحدثِ وشكَ في المُزيل لها؛ لأنّ الطهارة إن وقعت بعد الحدثين فهي رافعة مطلقاً، وإن وقعت بينهما فهي رافعة للحدثِ السابق، وإبطالُ الآخَرِ لها غير معلوم، فيبني على الطهارة</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يجري هذا الدليل في جانب الحدث؛ لأنّ الحدث المؤثِّرَ في هذا المحل هو الحدث الناقضُ للطهارة لا مطلق الحدث، ومعلوم أنّ هذا الحدث المبطل غيرُ معلومٍ هنا؛ لجواز كون هذا الحدث المشكوك فى سبقه ولحوقه سابقاً على الطهارة، فلا يكونُ مؤثراً في هذا المحل بالنسبة إلى تأسيس إيجاب الطهارة والمنع من الصلاة؛ لأنّ ذلك </w:t>
      </w:r>
    </w:p>
    <w:p>
      <w:pPr>
        <w:pStyle w:val="BookText"/>
        <w:rPr/>
      </w:pPr>
      <w:r>
        <w:rPr>
          <w:rFonts w:ascii="Amiri" w:hAnsi="Amiri" w:eastAsia="Amiri" w:cs="Amiri"/>
          <w:color w:val="111111"/>
          <w:sz w:val="28"/>
          <w:sz w:val="28"/>
          <w:szCs w:val="28"/>
          <w:rtl w:val="true"/>
          <w:lang w:bidi="ar-SA"/>
        </w:rPr>
        <w:t>كان حاصلاً من قبل، وإن كان له تأثير في الجملة من حيث إنّه يجوز فيه رفعه، ويرتفعُ به الباقي، إلّا أنّ هذا الحكم لا مدخل له في مطلوبِنا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يجري هذا الدليلُ فيما لو علم كونه متطهراً قبلهما؛ لأنّ الطهارة المتيقّنة بعد الطهارةِ السابقة لا يُعلَمُ أنّها رافعة للحدث، مؤثرةً في إباحة الصلاة حتّى ينفعه استصحابها؛ لأنّ من الجائز كونها مُعاقبةً للطهارة السابقة عليهما، فلا يكون للطهارة الثانية تأثير، ويجوز كونها بعد الحدث، فتكون مؤثّرةً في رفع الحدث وإباحة الصلاة، وحينئذٍ فكونها رافعةً مبيحةً غير معلومٍ فيكون وجودها كعدمها؛ لما أسلفناه من أنّ المعتبر من الطهارة التي ينفعُ استصحابها إنّما هي الطهارة الرافعة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الحدث في هذه الصورة فتأثيره المنع من الصلاة أمر معلوم؛ لأنّه إن وقع بعد الطهارتين فمنعه ظاهر، وإن وقع بعد الطهارة الأولى فمنعه أيضاً مُتَحقّق، وارتفاعه بالطهارة الثانية غير معلومٍ على حد ما قيل في الطهارة في الشق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فاحتمالُ المحقّق في الأخذ بضدّ الحالة السابقة في غاية القُوَّةِ، إلّا أنّه يجب تقييده بما إذا جُوِّزَ التجديد كما يُعلَمُ من الدليل، فلو لم يُجَوَّز التجديد كانت الطهارة رافعةً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هذا القيد كالمُستغنى عنه في أمثالِ هذه التحقيقات؛ لأنّ نفى التجديدِ يُخرجُ المسألة من باب الشك إلى باب نفي الطهارة؛ للقطع بأنَّ نفي التجديدِ من العلم بكونه متطهراً قبلهما نقيض تقدّم الحدث على الطهارة، وهذا أمر واضح</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يبقى عليه أنّ هذا مبني على كون الوضوء المجددِ غير رافع، فلو حكمنا بكونه رافعاً كان الحكم من العلم بسبق الطهارة، كما لو لم يُعلم حاله قبلها؛ لتحققِ الحدث الناقض والطهارة الرافعة، ولا ترجيح والمحقّق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المعتبر رجّح كون الوضوء المجدَّدِ رافعاً</w:t>
      </w:r>
      <w:r>
        <w:rPr>
          <w:rStyle w:val="FootnoteAnchor"/>
          <w:rtl w:val="true"/>
        </w:rPr>
        <w:footnoteReference w:id="1454"/>
      </w:r>
      <w:r>
        <w:rPr>
          <w:rFonts w:ascii="Amiri" w:hAnsi="Amiri" w:eastAsia="Amiri" w:cs="Amiri"/>
          <w:color w:val="111111"/>
          <w:sz w:val="28"/>
          <w:sz w:val="28"/>
          <w:szCs w:val="28"/>
          <w:rtl w:val="true"/>
          <w:lang w:bidi="ar-SA"/>
        </w:rPr>
        <w:t>، فيرد ذلك عليه</w:t>
      </w:r>
      <w:r>
        <w:rPr>
          <w:rFonts w:eastAsia="Amiri" w:cs="Amiri" w:ascii="Amiri" w:hAnsi="Amiri"/>
          <w:color w:val="111111"/>
          <w:sz w:val="28"/>
          <w:szCs w:val="28"/>
          <w:rtl w:val="true"/>
          <w:lang w:bidi="ar-SA"/>
        </w:rPr>
        <w:t xml:space="preserve">. </w:t>
      </w:r>
      <w:bookmarkStart w:id="899" w:name="pg10113_92458"/>
    </w:p>
    <w:p>
      <w:pPr>
        <w:pStyle w:val="Heading4"/>
        <w:numPr>
          <w:ilvl w:val="3"/>
          <w:numId w:val="1"/>
        </w:numPr>
        <w:rPr/>
      </w:pPr>
      <w:bookmarkStart w:id="900" w:name="__RefHeading___Toc375773_1067777946"/>
      <w:bookmarkStart w:id="901" w:name="_Toc295"/>
      <w:bookmarkEnd w:id="899"/>
      <w:bookmarkEnd w:id="900"/>
      <w:r>
        <w:rPr>
          <w:rtl w:val="true"/>
        </w:rPr>
        <w:t>الشك بين الأربع والخمس بعد الركوع وقبل السجود</w:t>
      </w:r>
      <w:bookmarkEnd w:id="901"/>
    </w:p>
    <w:p>
      <w:pPr>
        <w:pStyle w:val="BookText"/>
        <w:rPr/>
      </w:pPr>
      <w:r>
        <w:rPr>
          <w:rFonts w:ascii="Amiri" w:hAnsi="Amiri" w:eastAsia="Amiri" w:cs="Amiri"/>
          <w:color w:val="111111"/>
          <w:sz w:val="28"/>
          <w:sz w:val="28"/>
          <w:szCs w:val="28"/>
          <w:rtl w:val="true"/>
          <w:lang w:bidi="ar-SA"/>
        </w:rPr>
        <w:t>قوله في مسألة الشكٍّ بين الأربع والخمس بعد الركوع وقبل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قولاً بالبطلان</w:t>
      </w:r>
      <w:r>
        <w:rPr>
          <w:rStyle w:val="FootnoteAnchor"/>
          <w:rtl w:val="true"/>
        </w:rPr>
        <w:footnoteReference w:id="1455"/>
      </w:r>
      <w:r>
        <w:rPr>
          <w:rFonts w:ascii="Amiri" w:hAnsi="Amiri" w:eastAsia="Amiri" w:cs="Amiri"/>
          <w:color w:val="111111"/>
          <w:sz w:val="28"/>
          <w:sz w:val="28"/>
          <w:szCs w:val="28"/>
          <w:rtl w:val="true"/>
          <w:lang w:bidi="ar-SA"/>
        </w:rPr>
        <w:t>للتردُّدِ بين 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القولُ عندنا ضعيف، وما أورده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شرفه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وارد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استدلاله على الصحّة بخبر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لا تدري أربعاً صلَّيتَ أم خمساً</w:t>
      </w:r>
      <w:r>
        <w:rPr>
          <w:rFonts w:eastAsia="Amiri" w:cs="Amiri" w:ascii="Amiri" w:hAnsi="Amiri"/>
          <w:color w:val="111111"/>
          <w:sz w:val="28"/>
          <w:szCs w:val="28"/>
          <w:rtl w:val="true"/>
          <w:lang w:bidi="ar-SA"/>
        </w:rPr>
        <w:t xml:space="preserve">...» </w:t>
      </w:r>
      <w:r>
        <w:rPr>
          <w:rStyle w:val="FootnoteAnchor"/>
          <w:rtl w:val="true"/>
        </w:rPr>
        <w:footnoteReference w:id="1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نظراً لأنّ المراد من الخبر أربع ركعاتٍ أو خمس والركعة حقيقة شرعيَّةٌ في الأمر المركَّب من الأفعال المتعدّدة التي من جُملتها القيام والركوع والسجود، ففعل السجودِ لا يحقق هذا المعنى المركّب شرعاً، وإنما يحقق الركعة، والمعنى الشرعي مقدّم في هذا المقام لكن يكفي في الحكم بالصحّة قبل السجودِ أصالة عدم الزيادة في الشك في المبطل، والنهي عن قطع العمل، فيبني على المتيقن وهو الأربع، ويُكمِلُ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أكمل السجود لزم العمل بمقتضى الخبر أيضاً؛ لأنّه حينئذٍ قد شك بين الأربع والخمس، إن استمرَّ الشكُ فتجبُ عليه سجدة السهو، وإن زال الشكّ فالحكم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في نُصرة الصحّة بتنزيل مُعظَمِ الركعةِ مَنزَلَتَها، أو أنّ إطلاق اسمِ الركعةِ على المجموع إنما هو باعتبار الركوع وقد حصل، فهو أمرٌ غير نافع؛ لأنّ الأوّل مجاز لا يُصار إليه مع إمكان الحقيقة، والثاني لا يضرهم؛ لأنّ سبب التسميةِ أمرٌ آخر بعد تحقّق إطلاق الاسم شرعاً على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 مسألة نيّة المسافر إقامة عشرة في غير بلده ثم خروجه إلى ما دون المسافة بحيث يتجاوز حدود البلدِ عازماً على العودِ من دونِ إقامة عشرة مستأنفة</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قول العلّامة بالقصر ذاهباً وعائداً وفي البلد</w:t>
      </w:r>
      <w:r>
        <w:rPr>
          <w:rStyle w:val="FootnoteAnchor"/>
          <w:rtl w:val="true"/>
        </w:rPr>
        <w:footnoteReference w:id="1457"/>
      </w:r>
      <w:r>
        <w:rPr>
          <w:rFonts w:ascii="IRNazanin" w:hAnsi="IRNazanin" w:eastAsia="IRNazanin"/>
          <w:color w:val="111111"/>
          <w:sz w:val="28"/>
          <w:sz w:val="28"/>
          <w:szCs w:val="28"/>
          <w:rtl w:val="true"/>
          <w:lang w:bidi="fa-IR"/>
        </w:rPr>
        <w:t xml:space="preserve">أرجح بناء على أن الذهاب إنّما </w:t>
      </w:r>
    </w:p>
    <w:p>
      <w:pPr>
        <w:pStyle w:val="BookText"/>
        <w:rPr/>
      </w:pPr>
      <w:r>
        <w:rPr>
          <w:rFonts w:ascii="Amiri" w:hAnsi="Amiri" w:eastAsia="Amiri" w:cs="Amiri"/>
          <w:color w:val="111111"/>
          <w:sz w:val="28"/>
          <w:sz w:val="28"/>
          <w:szCs w:val="28"/>
          <w:rtl w:val="true"/>
          <w:lang w:bidi="ar-SA"/>
        </w:rPr>
        <w:t>لا يُضمّ إلى العود من كون أحدهما مؤثراً في تكميل الآخر بالنسبة إلى حصول المسافة منهما، أمّا مع عدم احتياج العودِ إلى التكميل بالذهاب فيجوز أن يُضَمَّ إليه ويُجعَلا سفراً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بانفكاك حكم الذهاب عن الإياب مطلقاً أمر مستقر في غير مسألة قصدِ أربعة فراسخ مع قصدِ الرجوع ليومه، وإن كان كلام العلّامة في هذا الفرد الخاص قد يُوهِمُ ما ذكره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شرفه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قد وافق في مسائل كثيرة، وصرَّح فيها بعدم ضمّ الذهاب إلى العود في عدم احتياج العود إليه في تكميل المسافة، وأنّ لكلّ واحد منهما حكم نفسه، فممّا صرّح فيه بذلك مسألة البلد ذات الطريقين اللتين إحداهما مسافة والأخرى غير مسافة، فإنّه حكم فيها في التذكرة </w:t>
      </w:r>
      <w:r>
        <w:rPr>
          <w:rStyle w:val="FootnoteAnchor"/>
          <w:rtl w:val="true"/>
        </w:rPr>
        <w:footnoteReference w:id="1458"/>
      </w:r>
      <w:r>
        <w:rPr>
          <w:rFonts w:ascii="Amiri" w:hAnsi="Amiri" w:eastAsia="Amiri" w:cs="Amiri"/>
          <w:color w:val="111111"/>
          <w:sz w:val="28"/>
          <w:sz w:val="28"/>
          <w:szCs w:val="28"/>
          <w:rtl w:val="true"/>
          <w:lang w:bidi="ar-SA"/>
        </w:rPr>
        <w:t>وغيرها من مطوّلاتِ كتبه بأنّه إن عزم على سُلوكِ القصيرة ذاهباً وعائداً أتم مطلقاً، وإن عزم على الذهاب بالقصيرة والرجوع بالطويلة أتمَّ ذاهباً، وفي البلد، وقصَّرَ راجعاً، وإن عزم على الذهاب بالطويلة والرجوع بالقصيرة قصر ذاهباً وعائداً وفي البلد</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 كيف لم يضمَّ الذهاب هنا بالقصيرة التي دون المسافة إلى الطويلة في العود، مع أنّها لا تفتقر إلى الذهاب في تكميل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 أن بين الخروج من البلد إلى منتهى المقصدِ ثم العود إليه وبين الخروج من موضع إقامة العشرة فرقاً؛ لأنّ موضع الإقامة بعد الصلاة تماماً يصير في حكم البلد في اعتبار قصد المسافة بالنسبة إلى القصر وغيره من الأحكام المترتّبة على السفر</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اعترف به الجماعة</w:t>
      </w:r>
      <w:r>
        <w:rPr>
          <w:rStyle w:val="FootnoteAnchor"/>
          <w:rtl w:val="true"/>
        </w:rPr>
        <w:footnoteReference w:id="1460"/>
      </w:r>
      <w:r>
        <w:rPr>
          <w:rFonts w:ascii="Amiri" w:hAnsi="Amiri" w:eastAsia="Amiri" w:cs="Amiri"/>
          <w:color w:val="111111"/>
          <w:sz w:val="28"/>
          <w:sz w:val="28"/>
          <w:szCs w:val="28"/>
          <w:rtl w:val="true"/>
          <w:lang w:bidi="ar-SA"/>
        </w:rPr>
        <w:t>، ومنهم العلّامة</w:t>
      </w:r>
      <w:r>
        <w:rPr>
          <w:rStyle w:val="FootnoteAnchor"/>
          <w:rtl w:val="true"/>
        </w:rPr>
        <w:footnoteReference w:id="1461"/>
      </w:r>
      <w:r>
        <w:rPr>
          <w:rFonts w:ascii="Amiri" w:hAnsi="Amiri" w:eastAsia="Amiri" w:cs="Amiri"/>
          <w:color w:val="111111"/>
          <w:sz w:val="28"/>
          <w:sz w:val="28"/>
          <w:szCs w:val="28"/>
          <w:rtl w:val="true"/>
          <w:lang w:bidi="ar-SA"/>
        </w:rPr>
        <w:t xml:space="preserve">في عدم ضمِّ الذهاب إلى العود وإن </w:t>
      </w:r>
    </w:p>
    <w:p>
      <w:pPr>
        <w:pStyle w:val="BookText"/>
        <w:rPr/>
      </w:pPr>
      <w:r>
        <w:rPr>
          <w:rFonts w:ascii="Amiri" w:hAnsi="Amiri" w:eastAsia="Amiri" w:cs="Amiri"/>
          <w:color w:val="111111"/>
          <w:sz w:val="28"/>
          <w:sz w:val="28"/>
          <w:szCs w:val="28"/>
          <w:rtl w:val="true"/>
          <w:lang w:bidi="ar-SA"/>
        </w:rPr>
        <w:t>لم تتكمَّل المسافة بهما ما لو نوى المسافر إقامة عشرة أيّام في أثناء المسافة قبل الشروع في السفر، أو نوى إقاماتٍ متعدّدة كذلك، أو كان له موطن في أثنائها أو مواطن ونهاية مقصده بعد الموضع الذي نوى فيه الإقامة عشراً، أو بعد نهاية المواطن؛ فإنّهم ذكروا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تعتبر المسافة من موضع الخروج إلى أوّل المواطن، أو موضع الإقامة، فإن كان مسافة قصر،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تعتبر المسافة بين كلّ موطنٍ وآخر، وبين موضع الإقامة، فإن كان يبلغ المسافة أيضاً قصّر،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تُعتبر بين عامَّةِ المواطن وموضع الإقامة وبين مُنتهى المقصدِ، فإن كان يبلغ المسافة قصر أيضاً، وإلا فلا ولا يضمُّ ذلك الباقى إلى العود وإن كان في العودِ مقصراً، بأن لا ينوي فيه الإقامة إلى أن يصل إلى وطنه أوما في حكمه، أو بأن يرجع على غير طريق مواطنه، وهذا أيضاً كما نوى من المواضع التي صرَّحوا فيها بعدم ضمّ الذهاب ولا بعضه إلى العود، وأنّ لكلّ منهما حكم نفسه من أنّه لا يتكمَّل أحدهما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خالف في مسألتنا هذه وافق فيما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ضمّ العودِ إلى الذهاب ليس من مواضع الاشتباه، ولا أظنّ أنّ أحداً من علماء الإسلام خالف فيه وإن كان هذا التفريع الذي ذكروه في هذه المسألة مما قد ينتفي خلافُهُ، فإنّه تفريح فاسد قد أوضحنا عن فساده فيما حرّرناه على هذه المسألة في محلّ آخر</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إلزامه بإتمام من يكرّرُ قطعَ بعض الأمكنة في كونه مسافراً سفراً يوجب القصر بناءً على عدم ضم الذهاب إلى العودِ فيما لا تتكمَّلُ به المسافة فليس بلازم؛ وذلك لأنّ من قصد المسافة ذهاباً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الشروع في السفرِ ومُجاوزة حدودِ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القصر بالنصّ </w:t>
      </w:r>
      <w:r>
        <w:rPr>
          <w:rStyle w:val="FootnoteAnchor"/>
          <w:rtl w:val="true"/>
        </w:rPr>
        <w:footnoteReference w:id="1463"/>
      </w:r>
      <w:r>
        <w:rPr>
          <w:rFonts w:ascii="Amiri" w:hAnsi="Amiri" w:eastAsia="Amiri" w:cs="Amiri"/>
          <w:color w:val="111111"/>
          <w:sz w:val="28"/>
          <w:sz w:val="28"/>
          <w:szCs w:val="28"/>
          <w:rtl w:val="true"/>
          <w:lang w:bidi="ar-SA"/>
        </w:rPr>
        <w:t>والإجماع إلى أن يقطع سفره بأحد 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إقامة عشرة أيّام في بلده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ثلاثين يوماً،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الوصول إلى وطنه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عن السفر قبل بلوغ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لم يحصل أحد هذه الأمورِ ففرضُهُ القصرُ وإن أقام أيّاماً، فضلاً عن رجوعه إلى بعض الأماكن؛ فإنّ الإقامة أبعد عن صورة السفر وحقيقته من الرجوع إلى ذلك البعض والتردد، ومن ذلك فرضه القصر إلى أن يتحقّق أحد ما ذكر، فإذا تحقّق أحدها الذي من جملته إقامة العشرة، وحصل معه أيضاً صلاة التمام أو ما في حكمها انقطع سفره، وافتقر في عوده إلى القصر إلى مسافةٍ جديدةٍ في الذهاب خاصةً، فإذا لم يحصل ذلك فهو باقٍ على التمام وإن كان العود يوجب المسافة؛ وذلك لأنه حينئذٍ لما لزمه الإتمام بسبب الإقامة وجب استصحابه إلى أن يوجدَ المُزيل له، وهو السفر إلى المسافة، ولم يُوجَد في الصورة المفروضة، فالأمرُ فيها على الضد من حكم المتردّدِ إلى بعض الأمكنة بعد نيّة سفر يوجبُ القصر، فإنّ ذلك فرضُهُ القصرُ فيستصحبه إلى تحصيل الموجب للإتمام، وهذا فرضُهُ الإتمامُ فيستصحبه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الموجب للقصر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استدلاله</w:t>
      </w:r>
      <w:r>
        <w:rPr>
          <w:rStyle w:val="FootnoteAnchor"/>
          <w:rtl w:val="true"/>
        </w:rPr>
        <w:footnoteReference w:id="1464"/>
      </w:r>
      <w:r>
        <w:rPr>
          <w:rFonts w:ascii="Amiri" w:hAnsi="Amiri" w:eastAsia="Amiri" w:cs="Amiri"/>
          <w:color w:val="111111"/>
          <w:sz w:val="28"/>
          <w:sz w:val="28"/>
          <w:szCs w:val="28"/>
          <w:rtl w:val="true"/>
          <w:lang w:bidi="ar-SA"/>
        </w:rPr>
        <w:t>بالآية</w:t>
      </w:r>
      <w:r>
        <w:rPr>
          <w:rStyle w:val="FootnoteAnchor"/>
          <w:rtl w:val="true"/>
        </w:rPr>
        <w:footnoteReference w:id="1465"/>
      </w:r>
      <w:r>
        <w:rPr>
          <w:rFonts w:ascii="IRNazanin" w:hAnsi="IRNazanin" w:eastAsia="IRNazanin"/>
          <w:color w:val="111111"/>
          <w:sz w:val="28"/>
          <w:sz w:val="28"/>
          <w:szCs w:val="28"/>
          <w:rtl w:val="true"/>
          <w:lang w:bidi="fa-IR"/>
        </w:rPr>
        <w:t>والخبر</w:t>
      </w:r>
      <w:r>
        <w:rPr>
          <w:rStyle w:val="FootnoteAnchor"/>
          <w:rtl w:val="true"/>
        </w:rPr>
        <w:footnoteReference w:id="1466"/>
      </w:r>
      <w:r>
        <w:rPr>
          <w:rFonts w:ascii="Amiri" w:hAnsi="Amiri" w:eastAsia="Amiri" w:cs="Amiri"/>
          <w:color w:val="111111"/>
          <w:sz w:val="28"/>
          <w:sz w:val="28"/>
          <w:szCs w:val="28"/>
          <w:rtl w:val="true"/>
          <w:lang w:bidi="ar-SA"/>
        </w:rPr>
        <w:t>، فجوا بُه أنّ الحكم وإن كان مُعلّقاً على الضرب المطلق لكنّه مخصوص بقصد المسافة في الذهاب إلى غاية المقصدِ إجماعاً، ولا أثر بضمّ الرجوع في تحقّق المسافة فيما عدا المنصوص، فالكلام في قوّة هذا الاشتراط</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الإتمام بعد نيّة إقامة العشرة يقطع السفر السابق، ويوجب عدم العودِ إلى القصر إلّا بقصد المسافة، وجب الحكم بذلك هنا، وكانت الفتوى والأدلّهُ مُتطابقةً على ذلك في غير صورة النزاع، فيجب المصير إليهما فيه أيضاً؛ لأنّه بعض أفراد المسألة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ظهر بذلك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مسافر، وليس هذا من المواضع التي يجبُ فيها الإتمام بالنصّ 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المنع، 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المواضع التي يجب فيها الإتمام بالنصّ والفتوى؛ لعدم تحقّق موجب القصر هنا الذي هو قصد المسافة في الذهاب كما هو المعروفُ في كلِّ،سفر، فيجب الإتمام إلى أن يتحقّق قصد المسافةِ ولو بالرجوع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تبيّن ضعف قول الشيخ</w:t>
      </w:r>
      <w:r>
        <w:rPr>
          <w:rStyle w:val="FootnoteAnchor"/>
          <w:rtl w:val="true"/>
        </w:rPr>
        <w:footnoteReference w:id="1467"/>
      </w:r>
      <w:r>
        <w:rPr>
          <w:rFonts w:ascii="Amiri" w:hAnsi="Amiri" w:eastAsia="Amiri" w:cs="Amiri"/>
          <w:color w:val="111111"/>
          <w:sz w:val="28"/>
          <w:sz w:val="28"/>
          <w:szCs w:val="28"/>
          <w:rtl w:val="true"/>
          <w:lang w:bidi="ar-SA"/>
        </w:rPr>
        <w:t>والعلّامة في المسألة بالقصر في الذهاب هنا وفي صورة ما لو لم يعزم على العود، وما يتردَّدُ فيه</w:t>
      </w:r>
      <w:r>
        <w:rPr>
          <w:rStyle w:val="FootnoteAnchor"/>
          <w:rtl w:val="true"/>
        </w:rPr>
        <w:footnoteReference w:id="1468"/>
      </w:r>
      <w:r>
        <w:rPr>
          <w:rFonts w:ascii="Amiri" w:hAnsi="Amiri" w:eastAsia="Amiri" w:cs="Amiri"/>
          <w:color w:val="111111"/>
          <w:sz w:val="28"/>
          <w:sz w:val="28"/>
          <w:szCs w:val="28"/>
          <w:rtl w:val="true"/>
          <w:lang w:bidi="ar-SA"/>
        </w:rPr>
        <w:t>فإنّ المفروض في جميع هذه الصور أنّ الخروج إلى ما دون المسافة، فالإتمام فيه متعين إلى أن يشرع في سفر يقصد فيه مسافةً ولو بالعود إلى وطنه؛ لانقطاع السفر السابق بنيّة الإقامة مع الصلاة تماماً؛ لأنّه المفروض، فلا يعود إلى القصر في الجميع إلّا بسفرٍ جديدٍ إلى مسافة، أو بالعود إلى وطنه إن كان مسافة</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يظهرُ بهذا ضعفُ قول العلّامة بالقصر في الذهاب، يظهر منه أيضاً أنّ قولَ الشهيد </w:t>
      </w:r>
      <w:r>
        <w:rPr>
          <w:rStyle w:val="FootnoteAnchor"/>
          <w:rtl w:val="true"/>
        </w:rPr>
        <w:footnoteReference w:id="1469"/>
      </w:r>
      <w:r>
        <w:rPr>
          <w:rFonts w:ascii="Amiri" w:hAnsi="Amiri" w:eastAsia="Amiri" w:cs="Amiri"/>
          <w:color w:val="111111"/>
          <w:sz w:val="28"/>
          <w:sz w:val="28"/>
          <w:szCs w:val="28"/>
          <w:rtl w:val="true"/>
          <w:lang w:bidi="ar-SA"/>
        </w:rPr>
        <w:t xml:space="preserve">والشيخ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بالقصر في العودِ مطلقاً</w:t>
      </w:r>
      <w:r>
        <w:rPr>
          <w:rStyle w:val="FootnoteAnchor"/>
          <w:rtl w:val="true"/>
        </w:rPr>
        <w:footnoteReference w:id="1470"/>
      </w:r>
      <w:r>
        <w:rPr>
          <w:rFonts w:ascii="Amiri" w:hAnsi="Amiri" w:eastAsia="Amiri" w:cs="Amiri"/>
          <w:color w:val="111111"/>
          <w:sz w:val="28"/>
          <w:sz w:val="28"/>
          <w:szCs w:val="28"/>
          <w:rtl w:val="true"/>
          <w:lang w:bidi="ar-SA"/>
        </w:rPr>
        <w:t>، ليس على إطلاقه، فإنّ العود قد لا يتحقّق مع قصد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الذهاب الذي اتّفقوا فيه على القصر مع عدم عزم العود، وكون المفروض أنه إلى ما دون المسافة، وقد عرفت أنّه لا يصحّ العودُ إلى القصر إلّا بقصدها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يحصُلُ لقاصد ما دون المسافة من مقام العشرة مع عدم قصد العودِ إلى محل الإقامة قصد السفر إلى مسافة وقد لا يحصل، فإطلاق القصر ليس بجيّد، بل يجب تقييده بما استلزم قصد المسافة، فينبغي تدبُّر ذلك، واللّه الموفق</w:t>
      </w:r>
      <w:r>
        <w:rPr>
          <w:rFonts w:eastAsia="Amiri" w:cs="Amiri" w:ascii="Amiri" w:hAnsi="Amiri"/>
          <w:color w:val="111111"/>
          <w:sz w:val="28"/>
          <w:szCs w:val="28"/>
          <w:rtl w:val="true"/>
          <w:lang w:bidi="ar-SA"/>
        </w:rPr>
        <w:t xml:space="preserve">. </w:t>
      </w:r>
      <w:bookmarkStart w:id="902" w:name="pg10113_92463"/>
    </w:p>
    <w:p>
      <w:pPr>
        <w:pStyle w:val="Heading4"/>
        <w:numPr>
          <w:ilvl w:val="3"/>
          <w:numId w:val="1"/>
        </w:numPr>
        <w:rPr/>
      </w:pPr>
      <w:bookmarkStart w:id="903" w:name="__RefHeading___Toc375775_1067777946"/>
      <w:bookmarkStart w:id="904" w:name="_Toc296"/>
      <w:bookmarkEnd w:id="902"/>
      <w:bookmarkEnd w:id="903"/>
      <w:r>
        <w:rPr>
          <w:rtl w:val="true"/>
        </w:rPr>
        <w:t>المتيمم وجد الماء وتمكن من استعماله</w:t>
      </w:r>
      <w:bookmarkEnd w:id="904"/>
    </w:p>
    <w:p>
      <w:pPr>
        <w:pStyle w:val="BookText"/>
        <w:rPr/>
      </w:pPr>
      <w:r>
        <w:rPr>
          <w:rFonts w:ascii="Amiri" w:hAnsi="Amiri" w:eastAsia="Amiri" w:cs="Amiri"/>
          <w:color w:val="111111"/>
          <w:sz w:val="28"/>
          <w:sz w:val="28"/>
          <w:szCs w:val="28"/>
          <w:rtl w:val="true"/>
          <w:lang w:bidi="ar-SA"/>
        </w:rPr>
        <w:t>قوله في مسألة المتيمم إذا وجد الماء وتمكن من 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عدُّوا من موجبات التيمّم التمكن من فعل مبدله، أعني الوضوء والغُسل، ثمّ إيراده عليه بأنّه يمكن أن يكونَ المُوجِبُ للتيمُّمِ الثاني هو الحدث المستمرُّ مع تعذُّرِ المبدل لا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تتّبعنا عبارات الأصحاب فما وجدنا أحداً فيهم عد التمكن من الوضوء والغسل من موجبات التيمم، وإنّما ذكروا أنّ ذلك ناقضاً للتيتُم،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 التيتُم جميع نواقض الوضوء والغسل، ويزيد التيمم عليهما أنّه ينقضه أيضاً التمكن من الطهارة المائيّة</w:t>
      </w:r>
      <w:r>
        <w:rPr>
          <w:rStyle w:val="FootnoteAnchor"/>
          <w:rtl w:val="true"/>
        </w:rPr>
        <w:footnoteReference w:id="1471"/>
      </w:r>
      <w:r>
        <w:rPr>
          <w:rFonts w:ascii="Amiri" w:hAnsi="Amiri" w:eastAsia="Amiri" w:cs="Amiri"/>
          <w:color w:val="111111"/>
          <w:sz w:val="28"/>
          <w:sz w:val="28"/>
          <w:szCs w:val="28"/>
          <w:rtl w:val="true"/>
          <w:lang w:bidi="ar-SA"/>
        </w:rPr>
        <w:t>، هذا معنى عباراتهم، وألفاظهم مع اختلافها مشتركة في هذا المعنى، وهذا أمر لا شُبهة فيه؛ فإنّ التيمُّمَ يبطل قطعاً بالتمكن من الطهارة المائيّة، وهو معنى انتفاضه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فُرضَ بعد ذلك عدمُ الماء قبل الطهارة المائيّة وبعد التمكن من فعلها وأرادَ الصلاة مثلاً وجب عليهِ التَّيَمُّم لها لانتقاض التيمّم السابق بالتمكن من استعمال الماء، وكونه الآنَ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يقتضي كونَ التمكَّن من الطهارة المائيّة من موجبات التيمم، بل من نواقضه وموجِبُهُ إنّما هو الحدث السابق المستمرّ</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لو فُرِضَ أنّ أحداً عبَّر عن الناقض هنا بالمُوجِبِ فهو تَجوز شائع سبب اشتراك الناقض والموجبِ في الإطلاقِ على الأحداث المخصوصة؛ فإنّهُم تارةً يُطلِقُونَ عليها اسم الموجِبِ مع أنّها لا تكون موجبةً مطلقاً، بل في بعض الموارد، وهو ما لو وقعت في وقتٍ واجب مشروط بالطهارة؛ وتارةً يُطلِقُونَ عليها اسم الناقض وهي لا تكون ناقضةً مطلقاً، بل إذا وقعت عقيب طهارةٍ رافِعَةٍ ِللحَدثِ أو مُبيحَةٍ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استعمل الناقض في موضع الموجِبِ تارةً والمُوجِبُ في موضع الناقض تارةً جاز استعمال الناقض هنا، وهو وجود الماء الممكن من استعماله في 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تجوّزوا </w:t>
      </w:r>
    </w:p>
    <w:p>
      <w:pPr>
        <w:pStyle w:val="BookText"/>
        <w:rPr/>
      </w:pPr>
      <w:r>
        <w:rPr>
          <w:rFonts w:ascii="Amiri" w:hAnsi="Amiri" w:eastAsia="Amiri" w:cs="Amiri"/>
          <w:color w:val="111111"/>
          <w:sz w:val="28"/>
          <w:sz w:val="28"/>
          <w:szCs w:val="28"/>
          <w:rtl w:val="true"/>
          <w:lang w:bidi="ar-SA"/>
        </w:rPr>
        <w:t xml:space="preserve">في لفظ المُوجِبِ بما هو أبلغ من ذلك كما جعل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الرسالة الألفيّة من موجبات الوضوء الشكّ في الطهارة مع تيقُنِ الحَدَثِ والشك في السابق منهما مع تيقّنهما </w:t>
      </w:r>
      <w:r>
        <w:rPr>
          <w:rStyle w:val="FootnoteAnchor"/>
          <w:rtl w:val="true"/>
        </w:rPr>
        <w:footnoteReference w:id="1472"/>
      </w:r>
      <w:r>
        <w:rPr>
          <w:rFonts w:ascii="Amiri" w:hAnsi="Amiri" w:eastAsia="Amiri" w:cs="Amiri"/>
          <w:color w:val="111111"/>
          <w:sz w:val="28"/>
          <w:sz w:val="28"/>
          <w:szCs w:val="28"/>
          <w:rtl w:val="true"/>
          <w:lang w:bidi="ar-SA"/>
        </w:rPr>
        <w:t>فإنّ الشكَّ المذكور في الحقيقةِ ليس هو الموجِبَ، وإنّما المُوجِبُ الحَدَثُ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 في الطهارة مع تيقن ضدّها أوجب عدم البناء عليها، فجعلوه موجباً لها لذلك على وجه التجوز والتوسع وكيف كان، فتقرير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شرفه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 مسألة الوقف على مدرسةٍ فخربتْ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بطلان الوقفِ وعوده إلى الموقوفِ عليه أو بقائه 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هذان الاحتمالان من جهة البحثِ متوجّهانِ، ولكلّ منهما نظير في الشريعةِ، لكنّ الأصحاب </w:t>
      </w:r>
      <w:r>
        <w:rPr>
          <w:rStyle w:val="FootnoteAnchor"/>
          <w:rtl w:val="true"/>
        </w:rPr>
        <w:footnoteReference w:id="1473"/>
      </w:r>
      <w:r>
        <w:rPr>
          <w:rFonts w:ascii="Amiri" w:hAnsi="Amiri" w:eastAsia="Amiri" w:cs="Amiri"/>
          <w:color w:val="111111"/>
          <w:sz w:val="28"/>
          <w:sz w:val="28"/>
          <w:szCs w:val="28"/>
          <w:rtl w:val="true"/>
          <w:lang w:bidi="ar-SA"/>
        </w:rPr>
        <w:t>ذكرُوا مسألةً كُلّيّةً، هذه المسألة فرد من أفرادها واتّفقوا فيها على حكمٍ واحدٍ، وهى أنه لو وُقفَ على مصلحة فبطلتْ صُرِفَ الموقوف في وجوه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هذه المسألة مَنْ وَقفتُ على كُتُبه من المتقدّمين والمتأخّرين، وما ذكرَ أحدٌ منهم قولاً بخلاف ذلك، ولا جعلوها من المسائل الخلافية، بل جزموا بالحكم فيها 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أيضاً مساعد على ذلك؛ إذ لا شكّ في خروج الموقوف عن ملك الواقف بالصيغة الصحيحة والإقباض خروجاً غير مشروط العودِ لفظاً بوجه من الوجوه</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فالقولُ بعوده إلى ملكه أو ملك وارثه يحتاجُ إلى دليل شرعي يُعتمد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تعيَّن خروجه عن ملكه وصرفه في الوجه المعيَّن، فإذا تعذر ذلك الوجه صُرِفَ في وُجوهِ البرّ، إمّا لأنّهُ مناسبٌ لِمَقصُودِ الواقفِ؛ حيث أرادَ القُربةَ الخاصة، فإذا تعذَّرَتْ صُرِفَ في مطلق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لأنّ المال حينئذٍ يقعُ مجهول المصرفِ فيُصرَفُ إلى البرّ كالمالِ </w:t>
      </w:r>
      <w:bookmarkStart w:id="905" w:name="pg10113_92465"/>
    </w:p>
    <w:p>
      <w:pPr>
        <w:pStyle w:val="BookText"/>
        <w:rPr/>
      </w:pPr>
      <w:bookmarkEnd w:id="905"/>
      <w:r>
        <w:rPr>
          <w:rFonts w:ascii="Amiri" w:hAnsi="Amiri" w:eastAsia="Amiri" w:cs="Amiri"/>
          <w:color w:val="111111"/>
          <w:sz w:val="28"/>
          <w:sz w:val="28"/>
          <w:szCs w:val="28"/>
          <w:rtl w:val="true"/>
          <w:lang w:bidi="ar-SA"/>
        </w:rPr>
        <w:t>المجهول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والتصرّفُ في نفس العين الموقوفة ممتنع؛ لأنّ الوقف لم يبطل، وإنّما جهل مصرفُهُ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مثله في الوقفِ منقطع الآخر، وهو الوقفُ على من ينقرِضُ غالباً، حيث حكموا بعوده إلى الواقف مع خروجه عن ملكه في زمان وجودِ الموقوفِ عليه</w:t>
      </w:r>
      <w:r>
        <w:rPr>
          <w:rStyle w:val="FootnoteAnchor"/>
          <w:rtl w:val="true"/>
        </w:rPr>
        <w:footnoteReference w:id="1474"/>
      </w:r>
      <w:r>
        <w:rPr>
          <w:rFonts w:ascii="Amiri" w:hAnsi="Amiri" w:eastAsia="Amiri" w:cs="Amiri"/>
          <w:color w:val="111111"/>
          <w:sz w:val="28"/>
          <w:sz w:val="28"/>
          <w:szCs w:val="28"/>
          <w:rtl w:val="true"/>
          <w:lang w:bidi="ar-SA"/>
        </w:rPr>
        <w:t>لأنّا نمنعُ أوّلاً من خروجه عن ملكه وإنّما هو حبس إخرج المنفعة لا العين؛ ومن ثم عاد إلى وارثِ الواقف عند موت الواقفِ لا وارثه عند انقراض الموقوف عليه؛ ولأنّ رجوعَهُ إلى الواقف وورثته غير المتنازع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يصرفه في وجوه البر كمسألتنا </w:t>
      </w:r>
      <w:r>
        <w:rPr>
          <w:rStyle w:val="FootnoteAnchor"/>
          <w:rtl w:val="true"/>
        </w:rPr>
        <w:footnoteReference w:id="1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ورثة الموقوفِ عليه</w:t>
      </w:r>
      <w:r>
        <w:rPr>
          <w:rStyle w:val="FootnoteAnchor"/>
          <w:rtl w:val="true"/>
        </w:rPr>
        <w:footnoteReference w:id="1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الأجود هو الأوّل لما ذُكر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فالاحتمال فى المسألة قائم، وللبحث فيه مجال إلّا أنّه لا مجال للقول بخلاف ما ذكره الأصحاب فيها</w:t>
      </w:r>
      <w:r>
        <w:rPr>
          <w:rFonts w:eastAsia="Amiri" w:cs="Amiri" w:ascii="Amiri" w:hAnsi="Amiri"/>
          <w:color w:val="111111"/>
          <w:sz w:val="28"/>
          <w:szCs w:val="28"/>
          <w:rtl w:val="true"/>
          <w:lang w:bidi="ar-SA"/>
        </w:rPr>
        <w:t>.</w:t>
      </w:r>
    </w:p>
    <w:p>
      <w:pPr>
        <w:pStyle w:val="Heading4"/>
        <w:numPr>
          <w:ilvl w:val="3"/>
          <w:numId w:val="1"/>
        </w:numPr>
        <w:rPr/>
      </w:pPr>
      <w:bookmarkStart w:id="906" w:name="__RefHeading___Toc375777_1067777946"/>
      <w:bookmarkStart w:id="907" w:name="_Toc297"/>
      <w:bookmarkEnd w:id="906"/>
      <w:r>
        <w:rPr>
          <w:rtl w:val="true"/>
        </w:rPr>
        <w:t>في الوصيّة</w:t>
      </w:r>
      <w:bookmarkEnd w:id="907"/>
    </w:p>
    <w:p>
      <w:pPr>
        <w:pStyle w:val="BookText"/>
        <w:rPr/>
      </w:pPr>
      <w:r>
        <w:rPr>
          <w:rFonts w:ascii="Amiri" w:hAnsi="Amiri" w:eastAsia="Amiri" w:cs="Amiri"/>
          <w:color w:val="111111"/>
          <w:sz w:val="28"/>
          <w:sz w:val="28"/>
          <w:szCs w:val="28"/>
          <w:rtl w:val="true"/>
          <w:lang w:bidi="ar-SA"/>
        </w:rPr>
        <w:t>قوله في مسألة الشفعة حكايةً عن القواعد</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أوصى لإنسان بشقصٍ فباع الشريك بعد الموتِ قبل القبولِ استحق الشفعة الورثة، ويُحتَملُ المُوصى له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يَملكُ بالموتِ، فإذا قبل الوصيّة استحق المطالبة؛ لأنّا تبيّنّا أنّ الملك كان له ولا يستحق المطالبة قبل القبول، ولا الوارث؛ لأنّا لا نعلم أنّ الملك له قبل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مطالبة الوارثِ؛ لأنّ الأصلَ عدم القبول وبقاء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طالب الوارث ثمّ قبل الموصى له افتقر إلى الطلب ثانياً؛ لظهورِ عدم استحقاقِ المُطالب ويُحتَملُ أنّ المشفوع للوارث؛ لأنّ المُوصى به إنّما انتقل إلى الموصى له بعد أخذ 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يُطالب الوارِثُ حتّى قبل الموصى له فلا شُفعة للموصى له؛ لتأخُرِ مِلكه عن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الوارث وجهانِ مبنيان على مَن باع قبل علمه ببیع شریکه </w:t>
      </w:r>
      <w:r>
        <w:rPr>
          <w:rStyle w:val="FootnoteAnchor"/>
          <w:rtl w:val="true"/>
        </w:rPr>
        <w:footnoteReference w:id="147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الذي يظهرُ لي من هذه العبارةِ أنّ الاحتمال الأخير على نهج ما قبله متفرّعٌ على كون القبول كاشفاً كما فهمه الشيخ إبراهيم</w:t>
      </w:r>
      <w:r>
        <w:rPr>
          <w:rStyle w:val="FootnoteAnchor"/>
          <w:rtl w:val="true"/>
        </w:rPr>
        <w:footnoteReference w:id="1478"/>
      </w:r>
      <w:r>
        <w:rPr>
          <w:rFonts w:ascii="Amiri" w:hAnsi="Amiri" w:eastAsia="Amiri" w:cs="Amiri"/>
          <w:color w:val="111111"/>
          <w:sz w:val="28"/>
          <w:sz w:val="28"/>
          <w:szCs w:val="28"/>
          <w:rtl w:val="true"/>
          <w:lang w:bidi="ar-SA"/>
        </w:rPr>
        <w:t xml:space="preserve">، ولكن عبارة الشيخ المذكور في المسألة طويلة الذيل، قليله النيل، مشتملة على ارتكاب تمويهات لا يجوز ارتكابها لأهل الدين الذينَ حمَّلهمُ اللّه أعباء الأمانة في الشريعة المطهرة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أعاذنا اللّه من التقوُّل بغير الحقِّ، والمِراءِ في الدين والإغماض عمّن يستحقُّ 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وتلخيص القول في تقرير هذه العبارة مجرّداً عن ترجيح ما يترجّح، والإيراد على ما يضعُفُ أنّ المسألة أوّلاً مبنيّة على أنّ الموصى به هل ينتقل إلى الموصى له بالموتِ، والقبولُ كاشفٌ عنه، أم بالقبولِ المتأخّر عن الموتِ؟ وليس معنى الأوّل أنّ الملك بعد الموتِ حاصل للموصى له في نفس الأمر، أو في الظاهر، أو في غيرهما، بل المِلكُ إنّما يتحقّق له ظاهراً وفي نفس الأمر بالقبول، ولكنّ اللّه ينقل الملك بالقبولِ من حين الموتِ فالنماء المتجدِّدُ بعد الموتِ وقبل القبولِ يكون للموصى له، وإلّا فلا شبهة في أنّ الموصى له قبل القبول ليس بمالك للشيء المذكور بوجه من الوجوه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نقولُ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القبول في الوصيّة تمام السبب في نقل الملكِ، وإلّا لَزِمَ القولُ بأنّها ناقلة</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شرط في انتقالِ المِلكِ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الإجازة شرط فى انتقاله بالإيجاب والقبول في بيع الفضولي فالسببُ الناقِلُ يتمُّ على وجه التعريف، ولكن يتوقّف على شرطٍ متأخّر، وبحصول الشرط ينكشفُ الانتقال من الزمن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 الحكم الذي تمَّ سببه على شرطٍ متأخّرٍ وبحصول الشرط ينكشف الانتقال سابقاً أمر واقع شرعاً في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ويكشفُ لك عن ذلك أنّ الأمر الناقِل للعين مثلاً في </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البيع، وللمنفعة في الإجارة، والمُوجِبَ لإباحَةِ الوطء في النكاح، إنمّا هو العقد المشتَمِلُ على الإيجاب والقبول، ومِنْ ثَمَّ عُرِّفَ البيعُ بأنّهُ الإيجاب والقبول الدالان على نقل المِلكِ؛ أو اللفظ الدالّ على نقل الملك</w:t>
      </w:r>
      <w:r>
        <w:rPr>
          <w:rStyle w:val="FootnoteAnchor"/>
          <w:rtl w:val="true"/>
        </w:rPr>
        <w:footnoteReference w:id="1480"/>
      </w:r>
      <w:r>
        <w:rPr>
          <w:rFonts w:ascii="IRNazanin" w:hAnsi="IRNazanin" w:eastAsia="IRNazanin"/>
          <w:color w:val="111111"/>
          <w:sz w:val="28"/>
          <w:sz w:val="28"/>
          <w:szCs w:val="28"/>
          <w:rtl w:val="true"/>
          <w:lang w:bidi="fa-IR"/>
        </w:rPr>
        <w:t>، إلى آخره، ومثله</w:t>
      </w:r>
      <w:r>
        <w:rPr>
          <w:rFonts w:eastAsia="IRNazanin" w:cs="IRNazanin"/>
          <w:color w:val="111111"/>
          <w:sz w:val="28"/>
          <w:szCs w:val="28"/>
          <w:rtl w:val="true"/>
          <w:lang w:bidi="fa-IR"/>
        </w:rPr>
        <w:t xml:space="preserve">... </w:t>
      </w:r>
      <w:r>
        <w:rPr>
          <w:rStyle w:val="FootnoteAnchor"/>
          <w:rtl w:val="true"/>
        </w:rPr>
        <w:footnoteReference w:id="1481"/>
      </w:r>
      <w:r>
        <w:rPr>
          <w:rFonts w:ascii="Amiri" w:hAnsi="Amiri" w:eastAsia="Amiri" w:cs="Amiri"/>
          <w:color w:val="111111"/>
          <w:sz w:val="28"/>
          <w:sz w:val="28"/>
          <w:szCs w:val="28"/>
          <w:rtl w:val="true"/>
          <w:lang w:bidi="ar-SA"/>
        </w:rPr>
        <w:t>الإجارة وغيرها من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العلم وكونه مالكا أو وكيلاً أو وليّاً فهي شروط لذلك لاجزء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اجتمعت الشرائط قبل العقد تحقّقت ثمرة العقد بالصيغة، وإن تخلّف بعضها فقد يحصل منه بطلان العقدِ كما في فقد كلّ الشروط، ومنه وقوع العقد من غير المالكِ والوليّ على أحد الأقوال</w:t>
      </w:r>
      <w:r>
        <w:rPr>
          <w:rStyle w:val="FootnoteAnchor"/>
          <w:rtl w:val="true"/>
        </w:rPr>
        <w:footnoteReference w:id="1482"/>
      </w:r>
      <w:r>
        <w:rPr>
          <w:rFonts w:ascii="Amiri" w:hAnsi="Amiri" w:eastAsia="Amiri" w:cs="Amiri"/>
          <w:color w:val="111111"/>
          <w:sz w:val="28"/>
          <w:sz w:val="28"/>
          <w:szCs w:val="28"/>
          <w:rtl w:val="true"/>
          <w:lang w:bidi="ar-SA"/>
        </w:rPr>
        <w:t>وإن أجاز بعد ذلك؛ لأنّ قضيّة الشرط أن يكون متقدماً، وقد تبقى ثمرة العقدِ وهي انتقال العين ونحوها موقوفة على ذلك الشرط، فإذا حصل تحقّق تأثير ذلك السبب الناقل، وهو العقد، وذلك كإجازة المالك في عقد الفضولي على 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فالانتقالُ حصل بالعقد، ولكن انتقالاً مشروطاً برضى المالك، فرِضاهُ وإجازته ليس جزءاً من السبب الناقل، بل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معلوم من استبطان كلام الفقهاء وتحرير عباراتِهم وظواهر النُصوص</w:t>
      </w:r>
      <w:r>
        <w:rPr>
          <w:rStyle w:val="FootnoteAnchor"/>
          <w:rtl w:val="true"/>
        </w:rPr>
        <w:footnoteReference w:id="1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التحقيق يظهرُ قوّة القول بأنّ إجازة العقدِ كاشفة عن صحته من حين العقدِ لا ناقلة له</w:t>
      </w:r>
      <w:r>
        <w:rPr>
          <w:rStyle w:val="FootnoteAnchor"/>
          <w:rtl w:val="true"/>
        </w:rPr>
        <w:footnoteReference w:id="1484"/>
      </w:r>
      <w:r>
        <w:rPr>
          <w:rFonts w:ascii="Amiri" w:hAnsi="Amiri" w:eastAsia="Amiri" w:cs="Amiri"/>
          <w:color w:val="111111"/>
          <w:sz w:val="28"/>
          <w:sz w:val="28"/>
          <w:szCs w:val="28"/>
          <w:rtl w:val="true"/>
          <w:lang w:bidi="ar-SA"/>
        </w:rPr>
        <w:t>وضَعفُ القول بأنّ قبول الموصى له بعد الموتِ كاشفٌ عن سبق الملك بالموتِ؛ لأنّ الأمر الناقل للملك في الوصيّة هو الإيجاب والقبولُ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قبل الموت الذي لم يتحقّق المِلكُ إلّا به إجماعاً، ولا يكون كاشفاً عن </w:t>
      </w:r>
    </w:p>
    <w:p>
      <w:pPr>
        <w:pStyle w:val="BookText"/>
        <w:rPr/>
      </w:pPr>
      <w:r>
        <w:rPr>
          <w:rFonts w:ascii="Amiri" w:hAnsi="Amiri" w:eastAsia="Amiri" w:cs="Amiri"/>
          <w:color w:val="111111"/>
          <w:sz w:val="28"/>
          <w:sz w:val="28"/>
          <w:szCs w:val="28"/>
          <w:rtl w:val="true"/>
          <w:lang w:bidi="ar-SA"/>
        </w:rPr>
        <w:t>سبق الملك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تأخر القبولُ عن الموت كان هو تمام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شرطاً في الانتقال؛ لانّ الوصيّة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للملك ونحوه كغيرها من العقود، والقبول جزء العقدِ الناقل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الحكم على القول الثاني فظاهر؛ لأنّ الملك إنّما يتحقّق بالقبول ليكون القبولُ جزء السبب التامّ، وبتمامه يحصل الملك ويتحقّق الانتقال، فالنماء قبلَهُ للوارث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الإنسانُ بشقصٍ فباعَ الشريكُ بعد موتِ الموصي وقبل قبول الموصى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المُوصى له إنّما يَملِكُ بالقبولِ بمعنى كونِ القبولِ هو الناقلُ للملكِ من حين القبول فالشفعة للورثة؛ لانتقال التركة إليهم بالموتِ وإن كان انتقالاً متزلزلاً قابلاً للانتقال عنهم بعد ذلك بقبول الموصى له، وهذا هو الذي اختاره المصنّف هنا، وفي التذكرة </w:t>
      </w:r>
      <w:r>
        <w:rPr>
          <w:rStyle w:val="FootnoteAnchor"/>
          <w:rtl w:val="true"/>
        </w:rPr>
        <w:footnoteReference w:id="1485"/>
      </w:r>
      <w:r>
        <w:rPr>
          <w:rFonts w:ascii="Amiri" w:hAnsi="Amiri" w:eastAsia="Amiri" w:cs="Amiri"/>
          <w:color w:val="111111"/>
          <w:sz w:val="28"/>
          <w:sz w:val="28"/>
          <w:szCs w:val="28"/>
          <w:rtl w:val="true"/>
          <w:lang w:bidi="ar-SA"/>
        </w:rPr>
        <w:t xml:space="preserve">حاكياً فيها المسألة بلفظ القواعد </w:t>
      </w:r>
      <w:r>
        <w:rPr>
          <w:rStyle w:val="FootnoteAnchor"/>
          <w:rtl w:val="true"/>
        </w:rPr>
        <w:footnoteReference w:id="1486"/>
      </w:r>
      <w:r>
        <w:rPr>
          <w:rFonts w:ascii="Amiri" w:hAnsi="Amiri" w:eastAsia="Amiri" w:cs="Amiri"/>
          <w:color w:val="111111"/>
          <w:sz w:val="28"/>
          <w:sz w:val="28"/>
          <w:szCs w:val="28"/>
          <w:rtl w:val="true"/>
          <w:lang w:bidi="ar-SA"/>
        </w:rPr>
        <w:t>إلى آخر المسألة من غير زيادةٍ ولا نُقصانٍ ومثله في القبول عبارة التحرير</w:t>
      </w:r>
      <w:r>
        <w:rPr>
          <w:rStyle w:val="FootnoteAnchor"/>
          <w:rtl w:val="true"/>
        </w:rPr>
        <w:footnoteReference w:id="1487"/>
      </w:r>
      <w:r>
        <w:rPr>
          <w:rFonts w:ascii="Amiri" w:hAnsi="Amiri" w:eastAsia="Amiri" w:cs="Amiri"/>
          <w:color w:val="111111"/>
          <w:sz w:val="28"/>
          <w:sz w:val="28"/>
          <w:szCs w:val="28"/>
          <w:rtl w:val="true"/>
          <w:lang w:bidi="ar-SA"/>
        </w:rPr>
        <w:t>وإن خالفت هذه العبارة في تقرير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القبول المتأخّر عن الموتِ كاشف عن سبق الملكِ من حين الموتِ ففي مستحقِّ الشفعة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أنّهُ الموصى له خاصةً لكن قبل قبوله لا يستحقُّ المطالبة؛ لعدم تماميّة الملكِ، ولا الوارتُ؛ لأنّا الآن لا نعلم أنّ الملك له بناءً على ردّ الموصى له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قبل الموصى له استحقّ المطالبة بالشفعة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الاحتمالُ الذي حكاه المصنِّفُ أوّلاً</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المستحق لها أوّلاً هو الوارث؛ لما ذكره المصنّف</w:t>
      </w:r>
      <w:r>
        <w:rPr>
          <w:rStyle w:val="FootnoteAnchor"/>
          <w:rtl w:val="true"/>
        </w:rPr>
        <w:footnoteReference w:id="1489"/>
      </w:r>
      <w:r>
        <w:rPr>
          <w:rFonts w:ascii="Amiri" w:hAnsi="Amiri" w:eastAsia="Amiri" w:cs="Amiri"/>
          <w:color w:val="111111"/>
          <w:sz w:val="28"/>
          <w:sz w:val="28"/>
          <w:szCs w:val="28"/>
          <w:rtl w:val="true"/>
          <w:lang w:bidi="ar-SA"/>
        </w:rPr>
        <w:t xml:space="preserve">من أنّ الأصل عدمُ القبول وبقاءُ الحقّ على ما هو عليه، وهو كونه للوارث الآن ظاهراً غير منتقل إلى </w:t>
      </w:r>
    </w:p>
    <w:p>
      <w:pPr>
        <w:pStyle w:val="BookText"/>
        <w:rPr/>
      </w:pPr>
      <w:r>
        <w:rPr>
          <w:rFonts w:ascii="Amiri" w:hAnsi="Amiri" w:eastAsia="Amiri" w:cs="Amiri"/>
          <w:color w:val="111111"/>
          <w:sz w:val="28"/>
          <w:sz w:val="28"/>
          <w:szCs w:val="28"/>
          <w:rtl w:val="true"/>
          <w:lang w:bidi="ar-SA"/>
        </w:rPr>
        <w:t>الموصى له ؛ لأنّ الفرضَ كونه متروكاً عن مورثه ولم يحصل المزيل له عن ملكه؛ لأنّ مجرّد الوصيّة والموتِ غيرُ كافٍ في نقلِ المِلكِ، فإذا طالب الوارِث بها وأخذ الشقص ثبت له ظاهراً ثبوتاً مُراعى بعدم قبول الموصى له كالعين الموصى بها، فإذا قبل الموصى له بعد ذلك لم يكن له أخذُها من الوارث بناءً على أنّه في أخذها كالنائب له، بل يفتقر إلى الطلب بالشفعة ثانياً؛ لظهور عدم استحقاق الوارث المطالب أولاً، وإن لم يأخذ الوارث أوّلاً أخذ الموصى له بعد القبول من المشتري</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المستحق لها هو الوارِث ليس إلّا، وليس للموصى له فيها شيء، سواء قِبَل قَبلَ أخذِ الوارثِ أم لا؛ لما ذكره المصنّف</w:t>
      </w:r>
      <w:r>
        <w:rPr>
          <w:rStyle w:val="FootnoteAnchor"/>
          <w:rtl w:val="true"/>
        </w:rPr>
        <w:footnoteReference w:id="1490"/>
      </w:r>
      <w:r>
        <w:rPr>
          <w:rFonts w:ascii="Amiri" w:hAnsi="Amiri" w:eastAsia="Amiri" w:cs="Amiri"/>
          <w:color w:val="111111"/>
          <w:sz w:val="28"/>
          <w:sz w:val="28"/>
          <w:szCs w:val="28"/>
          <w:rtl w:val="true"/>
          <w:lang w:bidi="ar-SA"/>
        </w:rPr>
        <w:t>من التعليل، وهو تأخّرُ مِلكِ الموصى له عن البيع؛ لأنّ مِلكَهُ لم يتم إلّا بالقبول وإن كان القبولُ كاشفاً عن سبق ملكه من حينٍ الموتِ؛ فإنّ الكشف كما بيناه ليس معناه أنّهُ أبان عن كون الموصى له مالكاً حقيقةً في الزمن السابق قبل القبول، بل بالقبولِ لزِمَ للموصى له مِلكُ العَينِ من حين الموتِ، فالنماء ونحوُه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والشفعة ليست كذلك؛ لأنّها إنّما تثبت للشريك حين البيع، والموصى له حين البيع لم يكن شريكاً ظاهراً ولا في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لم يكن الوارث قد أخذ بالشفعة، وإن كان قد أخذ فوجهُهُ ما ذكره المصنّف آنفاً من أنّ الموصى به إنّما انتقل إلى الموصى له بعد أخذ الشفعة، وهذا الاحتمال وإن كان مخالفاً لما يقتضيه التحقيق في المسألة، لكنّه لا يخرُج بذلك عن مجرّد كونه احتمالاً في المسألة وإن ضعُفَ مأخذُهُ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يُوجَدُ في كتب الفقهِ قول قد قال به جماعةٌ من الفضلاء كلّ وجهه في غاية الضعفِ والسقوط، بل لا يكادُ في زماننا الفاضل يُكمِلُ تقرير وجهه حتّى ينتقض عليه، ومن ذلك لا يخرج عن القول، فكيف مجرّد الاحتمالِ الذي لا قائل به، وقد أخَّرَهُ المصنّف لضعفه عن جميع الاحتمالات، واطَّرَحُه في التحرير</w:t>
      </w:r>
      <w:r>
        <w:rPr>
          <w:rStyle w:val="FootnoteAnchor"/>
          <w:rtl w:val="true"/>
        </w:rPr>
        <w:footnoteReference w:id="1491"/>
      </w:r>
      <w:r>
        <w:rPr>
          <w:rFonts w:ascii="Amiri" w:hAnsi="Amiri" w:eastAsia="Amiri" w:cs="Amiri"/>
          <w:color w:val="111111"/>
          <w:sz w:val="28"/>
          <w:sz w:val="28"/>
          <w:szCs w:val="28"/>
          <w:rtl w:val="true"/>
          <w:lang w:bidi="ar-SA"/>
        </w:rPr>
        <w:t>فلم يجعله احتمالاً أصلاً</w:t>
      </w:r>
      <w:r>
        <w:rPr>
          <w:rFonts w:eastAsia="Amiri" w:cs="Amiri" w:ascii="Amiri" w:hAnsi="Amiri"/>
          <w:color w:val="111111"/>
          <w:sz w:val="28"/>
          <w:szCs w:val="28"/>
          <w:rtl w:val="true"/>
          <w:lang w:bidi="ar-SA"/>
        </w:rPr>
        <w:t xml:space="preserve">. </w:t>
      </w:r>
      <w:bookmarkStart w:id="908" w:name="pg10113_92470"/>
    </w:p>
    <w:p>
      <w:pPr>
        <w:pStyle w:val="BookText"/>
        <w:rPr/>
      </w:pPr>
      <w:bookmarkEnd w:id="908"/>
      <w:r>
        <w:rPr>
          <w:rFonts w:ascii="Amiri" w:hAnsi="Amiri" w:eastAsia="Amiri" w:cs="Amiri"/>
          <w:color w:val="111111"/>
          <w:sz w:val="28"/>
          <w:sz w:val="28"/>
          <w:szCs w:val="28"/>
          <w:rtl w:val="true"/>
          <w:lang w:bidi="ar-SA"/>
        </w:rPr>
        <w:t xml:space="preserve">الإنصافُ يقتضي أنّ هذا خيرٌ من جعله عين القولِ الأوّل الذي قد جزم به، ثمّ يجعلُهُ احتمالاً بعد مسافةٍ بعيدةٍ، وأدخل في تشييد طريق المصنّف وسَدادِ قوله وسلامته عن التهافتِ، وجميع ما ذكره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شرفه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 هذا الاحتمال، وأنّ حقيقة الكشف عن سبق المِلكِ يأباه، إنّما اقتضى ضعفه وضعف مأخذه، ولكنّه لم يدفع أصل الاحتمال، فإنّ إثباته في مثل هذا المحلّ ممّا يكفي فيه ما هو أقل من هذا التوجيه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أنّ المُطَّلِعَ على حقيقة الحال وتصرفات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 مثل هذه الاحتمالات ليست من استخراج المصنفِ، وإنّما هي تفريعات الشافعةِ أخذها في كتبه، واختار منها ما هو الحق، واطَّرح منها الباقي، وجعله احتمالاً أو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كتب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خاليةً من ذلك كله، وما هذا شأنه يكفي في توجيهه ما ذكرناه والكلام على باقي مقاصدِ المسألة وما في تضاعيف الكلام عليها من الطرفين خارج عن مطلبنا في هذه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الموفق</w:t>
      </w:r>
      <w:r>
        <w:rPr>
          <w:rFonts w:eastAsia="Amiri" w:cs="Amiri" w:ascii="Amiri" w:hAnsi="Amiri"/>
          <w:color w:val="111111"/>
          <w:sz w:val="28"/>
          <w:szCs w:val="28"/>
          <w:rtl w:val="true"/>
          <w:lang w:bidi="ar-SA"/>
        </w:rPr>
        <w:t>.</w:t>
      </w:r>
    </w:p>
    <w:p>
      <w:pPr>
        <w:pStyle w:val="Heading4"/>
        <w:numPr>
          <w:ilvl w:val="3"/>
          <w:numId w:val="1"/>
        </w:numPr>
        <w:rPr/>
      </w:pPr>
      <w:bookmarkStart w:id="909" w:name="__RefHeading___Toc375779_1067777946"/>
      <w:bookmarkStart w:id="910" w:name="_Toc298"/>
      <w:bookmarkEnd w:id="909"/>
      <w:r>
        <w:rPr>
          <w:rtl w:val="true"/>
        </w:rPr>
        <w:t>العقد على امرأتين لمن عنده ثلاث زوجات</w:t>
      </w:r>
      <w:bookmarkEnd w:id="910"/>
    </w:p>
    <w:p>
      <w:pPr>
        <w:pStyle w:val="BookText"/>
        <w:rPr/>
      </w:pPr>
      <w:r>
        <w:rPr>
          <w:rFonts w:ascii="Amiri" w:hAnsi="Amiri" w:eastAsia="Amiri" w:cs="Amiri"/>
          <w:color w:val="111111"/>
          <w:sz w:val="28"/>
          <w:sz w:val="28"/>
          <w:szCs w:val="28"/>
          <w:rtl w:val="true"/>
          <w:lang w:bidi="ar-SA"/>
        </w:rPr>
        <w:t>قوله في مسألة العقد على اثنتين لمن معه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الصور التي يتَّفق فيها ذلك كونَ عقد أحدهما فضوليّاً فيكون العقد على وقتٍ واحدٍ، وأحدُهُما أسبق من الآخرِ باعتبارِ تمام ما يُعتبرُ فيه، وتوقُّف عقد الفضولي على الإجازة المتأخّرة</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كلام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بناؤه على القول بأنّ الإجازة جزء السبب ليكُونَ أثرُ العقدِ متأخراً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قلنا بأنّ الإجازة كاشفةً عن سبق تمامية العقد من حينه لم يتحقّق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ذلك حكم لا شبهة فيه فغير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والإنصاف هنا أن كلام كلّ من الفريقينِ مُوجَّه، وله صورةً؛ فإن الكشف لما كان مُقيَّداً بسبق تمامِيَّةِ العقدِ وترتُّبِ أثره من حين العقد أفاد اقتران العقدين حين الإجازة في زمانِ العقد، وظاهر حقيقة الكشف كاشفُ عنه؛ بناءً على ما ذهب إليه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والالتفات إلى أن أحد العقدين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لم يتوقّف على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 قبل حصول الإجازة، وبه تمَّ العدد المعتبر قبل أن يتمّ السببُ المُصَرِّحُ لعقد الثانية، وأنّهُ إنّما تم ذلك العقد وكشف عن سبق تماميته بعد الحكم بصحة الأوّل وتمام العددين، فيكونِ الكشف الطارئ غير نافع يوجّه ما ذهب إليه المرحوم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أرحجُ؛ فإنّ الكشف كما ذكرناه سابقاً ما أبان لنا عن صحّة هذا العقد وتماميَّتِهِ سابقاً في نفس الأمر أو في حال من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دلّنا على أنّ اللّه تعالى نقل الملك وتمَّمَ العقد بعد الإجازة من حين العقد، وهذا غير نافع هنا؛ لأنّ الأوّل قد سبق الحكم بتماميته بالزمان، وتمّ به العدد قبل أن يتمّم المُوجِبُ للنقل أو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ذكرناه يظهر الفرق بين الكشف الواقع في هذه المسائل ونظائرها، وبين الكشف الواقع فيما مثل به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شرفه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ما لو شهد شاهدان بأنّ أبا زيدٍ مثلاً قد مات، فتصرف زيد في مال أبيه، ولا شكّ أنّ تصرُّفَهُ موافق لظاهر الشرع، فلو ظهر بعد ذلك كذبُ البيِّنة بطل تصرّفه جزماً؛ نظراً إلى أنّ الكشف أفاد تأثير ما كشف عنه من أوّلِ زمانِهِ الذي يُبحَثُ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هذا المثال سنداً لكون ملك الموصى له في مسألة الشفَعَةِ السابقة دلّ على بطلان ما وقع للوارث من التصرّفات</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الفرق بين المقامين أنّ ما ذكره من الحكم الظاهر غير واقع ولا مطابق النفس الأمر، والحكم في نفس الأمر واقع بخلاف ما حكم به ظاهراً، فمِنْ ثم تبين يُطلانُ ما خالفه ظاهراً، بخلاف الكشف في أمثال هذه المسائل؛ فإنّ الحكم لم يكن متحقّقا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توقف على الإجازة والقبول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الظاهر ولا في نفس الأمر، وإنّما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أحدث تأثير ما سبق من السبب من حين ابتداء السبب، فما وقع من الحكم قبل الحكم بالتماميَّةِ لم يكن مخالفاً لما في نفس الأمر، ومن ثمّ لو لم تحصل الإجازة بل </w:t>
      </w:r>
      <w:bookmarkStart w:id="911" w:name="pg10113_92472"/>
    </w:p>
    <w:p>
      <w:pPr>
        <w:pStyle w:val="BookText"/>
        <w:rPr/>
      </w:pPr>
      <w:bookmarkEnd w:id="911"/>
      <w:r>
        <w:rPr>
          <w:rFonts w:ascii="Amiri" w:hAnsi="Amiri" w:eastAsia="Amiri" w:cs="Amiri"/>
          <w:color w:val="111111"/>
          <w:sz w:val="28"/>
          <w:sz w:val="28"/>
          <w:szCs w:val="28"/>
          <w:rtl w:val="true"/>
          <w:lang w:bidi="ar-SA"/>
        </w:rPr>
        <w:t>حصل نقيضها تبين عدم المعارِضِ لما سبق، بخلاف ما مُثْلَ به فإنّهُ حكم فاسد في نفس الأمر، وإنّما بُني على الظاهر، ثم تبيّن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بذلك أنّ أخَذ الوارث بالشفعة قبل إجازة الوصيّة لم يكن مخالفاً للحكم ظاهراً، ولا فى نفس الأمر، وإنما طرأ بعد ذلك حكم آخَرُ يخالفه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وكذلك الحكم بتماميّة الأربع واستباحة بضع الرابعة، ولزوم عقدها، والمنع من تزویج الخامسة وقع قبل لزوم عقد الخامسة بالإجازة التي هي شرط حصول المسبب في الزمن السابق، فماذا نفعت ذلك إجازة عقدها ؟</w:t>
      </w:r>
    </w:p>
    <w:p>
      <w:pPr>
        <w:pStyle w:val="BookText"/>
        <w:rPr/>
      </w:pPr>
      <w:r>
        <w:rPr>
          <w:rFonts w:ascii="Amiri" w:hAnsi="Amiri" w:eastAsia="Amiri" w:cs="Amiri"/>
          <w:color w:val="111111"/>
          <w:sz w:val="28"/>
          <w:sz w:val="28"/>
          <w:szCs w:val="28"/>
          <w:rtl w:val="true"/>
          <w:lang w:bidi="ar-SA"/>
        </w:rPr>
        <w:t>وإن قيل بأنّه كاشف عن سبقه من حين العقد، لا يرفع ما حكم به من أحكام عقد السابقة وإن كان للقول الآخرِ وجه وجيه، واللّه أعلم بحقائق أحكامه</w:t>
      </w:r>
      <w:r>
        <w:rPr>
          <w:rFonts w:eastAsia="Amiri" w:cs="Amiri" w:ascii="Amiri" w:hAnsi="Amiri"/>
          <w:color w:val="111111"/>
          <w:sz w:val="28"/>
          <w:szCs w:val="28"/>
          <w:rtl w:val="true"/>
          <w:lang w:bidi="ar-SA"/>
        </w:rPr>
        <w:t>.</w:t>
      </w:r>
    </w:p>
    <w:p>
      <w:pPr>
        <w:pStyle w:val="Heading4"/>
        <w:numPr>
          <w:ilvl w:val="3"/>
          <w:numId w:val="1"/>
        </w:numPr>
        <w:rPr/>
      </w:pPr>
      <w:bookmarkStart w:id="912" w:name="__RefHeading___Toc375781_1067777946"/>
      <w:bookmarkStart w:id="913" w:name="_Toc299"/>
      <w:bookmarkEnd w:id="912"/>
      <w:r>
        <w:rPr>
          <w:rtl w:val="true"/>
        </w:rPr>
        <w:t>مسألة في القسمة، وشرح عبارة من الشرائع</w:t>
      </w:r>
      <w:bookmarkEnd w:id="913"/>
    </w:p>
    <w:p>
      <w:pPr>
        <w:pStyle w:val="BookText"/>
        <w:rPr/>
      </w:pPr>
      <w:r>
        <w:rPr>
          <w:rFonts w:ascii="Amiri" w:hAnsi="Amiri" w:eastAsia="Amiri" w:cs="Amiri"/>
          <w:color w:val="111111"/>
          <w:sz w:val="28"/>
          <w:sz w:val="28"/>
          <w:szCs w:val="28"/>
          <w:rtl w:val="true"/>
          <w:lang w:bidi="ar-SA"/>
        </w:rPr>
        <w:t>قوله في مسألة القسمة حكاية عن الشرائع ولا يخرج في هذه على السهام بل على الأسماء؛ إذ لا يؤمنُ من أن يُؤدّي إلى تفرُّقِ السهام وهو ضررٌ</w:t>
      </w:r>
      <w:r>
        <w:rPr>
          <w:rStyle w:val="FootnoteAnchor"/>
          <w:rtl w:val="true"/>
        </w:rPr>
        <w:footnoteReference w:id="1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يخرج في هذه على الأسماء بل على السهام؛ لأنّ تصوير المسألة صريح في إخراج الأسماء على السهام، ولا يصحّ في هذه الصورة إخراج السهام على الأسماء؛ لما ذكره المصنِّفُ</w:t>
      </w:r>
      <w:r>
        <w:rPr>
          <w:rStyle w:val="FootnoteAnchor"/>
          <w:rtl w:val="true"/>
        </w:rPr>
        <w:footnoteReference w:id="1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في القواعد </w:t>
      </w:r>
      <w:r>
        <w:rPr>
          <w:rStyle w:val="FootnoteAnchor"/>
          <w:rtl w:val="true"/>
        </w:rPr>
        <w:footnoteReference w:id="1495"/>
      </w:r>
      <w:r>
        <w:rPr>
          <w:rFonts w:ascii="Amiri" w:hAnsi="Amiri" w:eastAsia="Amiri" w:cs="Amiri"/>
          <w:color w:val="111111"/>
          <w:sz w:val="28"/>
          <w:sz w:val="28"/>
          <w:szCs w:val="28"/>
          <w:rtl w:val="true"/>
          <w:lang w:bidi="ar-SA"/>
        </w:rPr>
        <w:t>صّرح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الكلام جيّد، ولو عبّر بما ذكره العلّامة كان حسناً، وبذلك عبّر جماعة</w:t>
      </w:r>
      <w:r>
        <w:rPr>
          <w:rStyle w:val="FootnoteAnchor"/>
          <w:rtl w:val="true"/>
        </w:rPr>
        <w:footnoteReference w:id="1496"/>
      </w:r>
      <w:r>
        <w:rPr>
          <w:rFonts w:ascii="Amiri" w:hAnsi="Amiri" w:eastAsia="Amiri" w:cs="Amiri"/>
          <w:color w:val="111111"/>
          <w:sz w:val="28"/>
          <w:sz w:val="28"/>
          <w:szCs w:val="28"/>
          <w:rtl w:val="true"/>
          <w:lang w:bidi="ar-SA"/>
        </w:rPr>
        <w:t>، ولكن ما ذكره المحقّق لا يبلغ حدَّ الفسادِ، وقد وافقه على نظيرها العلّامة في الإرشاد</w:t>
      </w:r>
      <w:r>
        <w:rPr>
          <w:rStyle w:val="FootnoteAnchor"/>
          <w:rtl w:val="true"/>
        </w:rPr>
        <w:footnoteReference w:id="1497"/>
      </w:r>
      <w:r>
        <w:rPr>
          <w:rFonts w:ascii="Amiri" w:hAnsi="Amiri" w:eastAsia="Amiri" w:cs="Amiri"/>
          <w:color w:val="111111"/>
          <w:sz w:val="28"/>
          <w:sz w:val="28"/>
          <w:szCs w:val="28"/>
          <w:rtl w:val="true"/>
          <w:lang w:bidi="ar-SA"/>
        </w:rPr>
        <w:t>، وذكرها غيرهما</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يخرج على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تُكتب ابتداءً أسماءُ السهام، بأن </w:t>
      </w:r>
    </w:p>
    <w:p>
      <w:pPr>
        <w:pStyle w:val="BookText"/>
        <w:rPr/>
      </w:pPr>
      <w:r>
        <w:rPr>
          <w:rFonts w:ascii="Amiri" w:hAnsi="Amiri" w:eastAsia="Amiri" w:cs="Amiri"/>
          <w:color w:val="111111"/>
          <w:sz w:val="28"/>
          <w:sz w:val="28"/>
          <w:szCs w:val="28"/>
          <w:rtl w:val="true"/>
          <w:lang w:bidi="ar-SA"/>
        </w:rPr>
        <w:t>تُجعل الرقاع ستّةٌ على وفق السهام وتُخرَجُ على السهام، بأن يعيّن أحد الشركاء الثلاثة أولاً، وتُخرَجُ السهام، فأيُّ سهم خرج جُعِلَ له، فإن كان صاحبُ النصف أخذ السهم، ثمّ أُخرج له سهمان آخران وإن تفرّقت، ثمّ يخرج لصاحب الثلث مثلاً سهمان كذلك وهكذا، فإنّ في ذلك ضرراً بتفرق السهام كما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تخرج على الأسماء، بمعنى أنّهُ يُكتب ثلاث رقاع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كأسماء الشركاء، ويخرج فى ظهر اسمِهِ أخذَ السهم الذي جُعِلَ أوّل السهام؛ لأنّ المفروض كونها مرتبةً قَد جُعِلَ لها أوّل وثان إلى الآخر، وأكمل له ممّا يليه إن احتاج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والموجب لسماجة هذه العبارة أنّ المعروف في ذلك أنّهُ إِن كُتبتِ الرقاع باسم السهام أخرجت على الأسماء، وبالعكس فلمّا ذكر هنا أنّها تُكتَبُ على الأسماء ثمّ تُخرَجُ على الأسماء حصل التشويش وعذره، أنّ السهام لمّا رُتبت وجعل لها أوّل لم يحتج إلى ذكرها؛ لأنّ الخارج يتعيّن لأوّلها، فالمخرج على الأسماء بمعنى اعتبار الخارج من الأسماء، كما أنّ المخرج على السهام الذي قد نفاه بمعنى إخراج السهم المكتوب، فترتيب السهام وتعيّنُ الابتداء بأوّلها على الترتيب أوجب الاكتفاء باسمِ ما يخرجُ في الرفع، وهو في هذه الصورة اسم الشركاء، فيكون الإخراج على الأسماء، والمنفي وهو الإخراج على السهام أمر آخر، وكيفية أُخرى لا تفتقر إلى ترتيب السهام، ولا يُكتَبُ فيها أسماء الشركاء كما صُنع هنا، كما يرشد إليه التعليلُ</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فعبارة القواعد أوضح معنى وأقعد، لكن لكلِّ واحدة 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عبارة القواعدِ أيضاً لا تبلغ حدَّ الحسنِ؛ لأنّ الغرض من هذه القسمة إخراجُ الاسمِ المكتوب في الرقعة، وأن يُعطى ما يناسبه من السهام من الابتداء واحداً أو اثنين أو ثلاثة على حسب حقه، فالاسمُ لا يخرجُ على سهام معينة، بل يُنظَرُ بعد إخراجه فيما يناسبه من الحقِّ، ولا يُلتَفَتُ عند الإخراج إلى السهام أصلاً؛ لأنّ ترتيبها أولاً، وجعل </w:t>
      </w:r>
      <w:bookmarkStart w:id="914" w:name="pg10113_92474"/>
    </w:p>
    <w:p>
      <w:pPr>
        <w:pStyle w:val="BookText"/>
        <w:rPr/>
      </w:pPr>
      <w:bookmarkEnd w:id="914"/>
      <w:r>
        <w:rPr>
          <w:rFonts w:ascii="Amiri" w:hAnsi="Amiri" w:eastAsia="Amiri" w:cs="Amiri"/>
          <w:color w:val="111111"/>
          <w:sz w:val="28"/>
          <w:sz w:val="28"/>
          <w:szCs w:val="28"/>
          <w:rtl w:val="true"/>
          <w:lang w:bidi="ar-SA"/>
        </w:rPr>
        <w:t>مبدئها في سهم معيّن أغنى عن النظر إليها عند الإخراج، وإنما تعلّق الغرضُ بالاسم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ويكتب أسماء الشركاء لا أسماء السهام؛ حذراً من التفريق ثمّ تُخرَجُ، كما صنع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w:t>
      </w:r>
      <w:r>
        <w:rPr>
          <w:rStyle w:val="FootnoteAnchor"/>
          <w:rtl w:val="true"/>
        </w:rPr>
        <w:footnoteReference w:id="1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ويُترك الإخراج على الأسماء أو على السهام؛ لأنّ الغرض في الموضعينِ إخراج ما قد كُتِبَ لا تخصيصه بسهمٍ معيّنٍ ؛ لأنّ الترتيب يُفيده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تحتاجُ إلى الإخراج على السهام أو الأسماء باقي الصور المذكورة في القسمة</w:t>
      </w:r>
      <w:r>
        <w:rPr>
          <w:rFonts w:eastAsia="Amiri" w:cs="Amiri" w:ascii="Amiri" w:hAnsi="Amiri"/>
          <w:color w:val="111111"/>
          <w:sz w:val="28"/>
          <w:szCs w:val="28"/>
          <w:rtl w:val="true"/>
          <w:lang w:bidi="ar-SA"/>
        </w:rPr>
        <w:t>.</w:t>
      </w:r>
    </w:p>
    <w:p>
      <w:pPr>
        <w:pStyle w:val="Heading4"/>
        <w:numPr>
          <w:ilvl w:val="3"/>
          <w:numId w:val="1"/>
        </w:numPr>
        <w:rPr/>
      </w:pPr>
      <w:bookmarkStart w:id="915" w:name="__RefHeading___Toc375783_1067777946"/>
      <w:bookmarkStart w:id="916" w:name="_Toc300"/>
      <w:bookmarkEnd w:id="915"/>
      <w:r>
        <w:rPr>
          <w:rtl w:val="true"/>
        </w:rPr>
        <w:t>تقرير دليل حصّة الذكر حصّة أُنثيين</w:t>
      </w:r>
      <w:bookmarkEnd w:id="916"/>
    </w:p>
    <w:p>
      <w:pPr>
        <w:pStyle w:val="BookText"/>
        <w:rPr/>
      </w:pPr>
      <w:r>
        <w:rPr>
          <w:rFonts w:ascii="Amiri" w:hAnsi="Amiri" w:eastAsia="Amiri" w:cs="Amiri"/>
          <w:color w:val="111111"/>
          <w:sz w:val="28"/>
          <w:sz w:val="28"/>
          <w:szCs w:val="28"/>
          <w:rtl w:val="true"/>
          <w:lang w:bidi="ar-SA"/>
        </w:rPr>
        <w:t xml:space="preserve">قوله في الخاتمة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رزقنا اللّه تعالى صلاحها وبركتها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فِى أَوْلَادِكُمْ لِلذَّكَرِ مِثْلُ حَظِّ الْأُنثَيَيْنِ فَإِن كُنَّ نِسَاءٌ فَوْقَ اثْنَتَيْنِ فَلَهُنَّ ثُلُثَا مَا تَرَكَ وَإِن كَانَتْ وَاحِدَةٌ فَلَهَا النِّصْفُ</w:t>
      </w:r>
      <w:r>
        <w:rPr>
          <w:rFonts w:eastAsia="Amiri" w:cs="Amiri" w:ascii="Amiri" w:hAnsi="Amiri"/>
          <w:color w:val="111111"/>
          <w:sz w:val="28"/>
          <w:szCs w:val="28"/>
          <w:rtl w:val="true"/>
          <w:lang w:bidi="ar-SA"/>
        </w:rPr>
        <w:t xml:space="preserve">»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صاحبُ 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حكم البنتين في حال اجتماعهما مع الابن، وحكم البناتِ والبنتِ في حال الانفراد، ولم يذكر حكم البنتين في حال الانفراد، فما حكمُهما وما باله لم يَذْكُر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حكمهما فمختلف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تنزيلَهُما منزلةً الجماعة؛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 نِسَاءً فَوْقَ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فأعطاهما حكم الواحدة، وهو ظاهر مكشوفٌ، وأمّا سائر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أعطوهما حكم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يُعلَّلُ بِهِ قولُهم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 على أن حكم الأُنثيين حكم الذكر، وذلك أنّ الذكر كما يحوز الثلثين مع الواحدة فالأُنثيان كذلك تحوزان الثلثين</w:t>
      </w:r>
      <w:r>
        <w:rPr>
          <w:rFonts w:eastAsia="Amiri" w:cs="Amiri" w:ascii="Amiri" w:hAnsi="Amiri"/>
          <w:color w:val="111111"/>
          <w:sz w:val="28"/>
          <w:szCs w:val="28"/>
          <w:rtl w:val="true"/>
          <w:lang w:bidi="ar-SA"/>
        </w:rPr>
        <w:t>»</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التعليلُ الذي ذكره الزمخشري قد سبقه إليه جماعةٌ منَ الأكابر، منهم </w:t>
      </w:r>
    </w:p>
    <w:p>
      <w:pPr>
        <w:pStyle w:val="BookText"/>
        <w:rPr/>
      </w:pPr>
      <w:r>
        <w:rPr>
          <w:rFonts w:ascii="IRNazanin" w:hAnsi="IRNazanin" w:eastAsia="IRNazanin"/>
          <w:color w:val="111111"/>
          <w:sz w:val="28"/>
          <w:sz w:val="28"/>
          <w:szCs w:val="28"/>
          <w:rtl w:val="true"/>
          <w:lang w:bidi="fa-IR"/>
        </w:rPr>
        <w:t>أبو العباس المبرّد</w:t>
      </w:r>
      <w:r>
        <w:rPr>
          <w:rStyle w:val="FootnoteAnchor"/>
          <w:rtl w:val="true"/>
        </w:rPr>
        <w:footnoteReference w:id="1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شيخُنا المقدّمُ محمّد بن يعقوب الكليني في الكافي،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تكلّم الناسُ في أمر الابنتين من أينَ جُعِلَ لهما الثلثانِ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 الثلثين لما فوق اثنتين ؟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قياساً، كما أن كان للواحدةِ النصفُ، كان ذلك دليلاً على أنّ لما فوق الواحدةِ الثلثين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 بالتقليد والرواية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يُصِبْ واحد منهم 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حطّ الأُنثيين الثلثين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إذا ترك الرجلُ بنتاً وابناً فللذكر مثل حظ الأنثيين، وهو الثلثان، فحظ الأنثيين الثلثان، واكتفى بهذا البيان أن يكون ذكر الأنثيين بالثلثين، وهذا بيان قد جهلَهُ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كثيراً </w:t>
      </w:r>
      <w:r>
        <w:rPr>
          <w:rStyle w:val="FootnoteAnchor"/>
          <w:rtl w:val="true"/>
        </w:rPr>
        <w:footnoteReference w:id="1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وتقرير هذا الدليل أن اللّه سبحانه جعل للذكر مثل حظ الأنثيين إذا اجتمعَ معَ الإناث، وله فروض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يجتمع مع ابنتين، فيكون له بقدرِ حظّهما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يجتمع بأكثر من ابنتين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بقدر حظِّ اثنتين</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يجتمع مع أنثى، بل هذا أوّلُ الفروض؛ لأن أول الأعداد ذكر وأنثى كما نبه عليه المبرّد</w:t>
      </w:r>
      <w:r>
        <w:rPr>
          <w:rStyle w:val="FootnoteAnchor"/>
          <w:rtl w:val="true"/>
        </w:rPr>
        <w:footnoteReference w:id="1503"/>
      </w:r>
      <w:r>
        <w:rPr>
          <w:rFonts w:ascii="Amiri" w:hAnsi="Amiri" w:eastAsia="Amiri" w:cs="Amiri"/>
          <w:color w:val="111111"/>
          <w:sz w:val="28"/>
          <w:sz w:val="28"/>
          <w:szCs w:val="28"/>
          <w:rtl w:val="true"/>
          <w:lang w:bidi="ar-SA"/>
        </w:rPr>
        <w:t xml:space="preserve">، فله بمقتضى الآية أيضاً مثل حظ الأنثيين، والحال أنّ له الثلثين، وللواحدة الثلث، فلابدّ أن يكون الثلثان حظاً للأُنثيين في حال من الأحوال، وذلك في حالة الاجتماع مع الذكر غير واقع إجماعاً، بل غاية ما يكون لهما النصف، فلو لم يكن لهما </w:t>
      </w:r>
    </w:p>
    <w:p>
      <w:pPr>
        <w:pStyle w:val="BookText"/>
        <w:rPr/>
      </w:pPr>
      <w:r>
        <w:rPr>
          <w:rFonts w:ascii="Amiri" w:hAnsi="Amiri" w:eastAsia="Amiri" w:cs="Amiri"/>
          <w:color w:val="111111"/>
          <w:sz w:val="28"/>
          <w:sz w:val="28"/>
          <w:szCs w:val="28"/>
          <w:rtl w:val="true"/>
          <w:lang w:bidi="ar-SA"/>
        </w:rPr>
        <w:t xml:space="preserve">الثلثان في حالةِ الانفرادِ لزِمَ أنْ لا يصدق 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اجتماع الذكر معَ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مثل حظّ الأنثيين، فيكون للأنثيين الثلثان حالة الانفراد، وذلك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التقرير يندفع ما ذكره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شرفُه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الدليل من المنع، وعلم أن ما يثبت له من النصيب حالة الاجتماع لا بد أن يحصل لهما في حالةٍ من الأحوال، ولما لم يكن في حالة الاجتماع فليكن في حالة الانفراد؛ لأنّه جُعِلَ له مثل حظهما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في سندِ المنع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يجوز أن يكون شيء مع الاجتماع لا يكون ذلك الشيء مع الانفراد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اندفاعه بأن كون الثلثين نصيباً للأنثيين حالة الاجتماع ممّا لم يقع ولا بدّ لصحّةِ الإطلاقِ من فرضِ وقوعه، وذلك حالة 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النظر إلى أن الواحدة في الصورة المذكورة إذا كان لها الثلث، والبنت لا تفضل على البنتِ، فيكون الثلثان في قوّة نصيب أنثيين فيصح إطلاق حظّهما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تفضيل الأُنثى على مثلها لا يستلزم كونَ الثلثين حظاً لهما، بل لا يجامع، وإنّما يقتضي كونهما مع الاجتماع متساويتين في النصيب، وهو كذلك؛ فإنّ الواحدة حينئذٍ لا يكون لها ثلث، فلا يكون لهما ثلثان لامتناع ذلك حالة الاجتماع؛ إذ لا بد أن يفضل للذكر بقدر النصيبين</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يتعلق بتقرير التوجيه الذي ذكروه، ونقتصر في الكلام عليه؛ لأنّه المقصود بالذات، واللّه الموفق</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ه والعدد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رسالة وصيّة نافعة ورسالة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الاسطنبولية في الواجبات العينيّة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والرسائل التي حقّقناها ولم تكن منشورة من قبل هي المرقمة هنا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وكثير من الإجازات، وجميع القسم الرابع عشر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بعض القدماء وفقهاء حلب الشهيد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المقاصد العلية،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وجدنا لأصحابنا قولين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كثير من القدماء وفقهاء حلب كأبي الصلاح وابن حمزةَ بوجوب الاجتهاد عيناً، وعدم جواز التقليد لأحد البتَّةَ، وهو قول عجيب غريب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وثانيهما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المتأخّرين والمحقّقين من أصحابنا أنّه واجب على الكفاية، وأنّه متى قام به أحد وجب على من قصر عن مرتبة الاستدلال الرجوع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ما سيأتي في رسالة تقليد الميّت،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الحكم،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 بعضهم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 إلى ما قيل، ولا تنظر إلى من قال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الفاضل الميسي عليّ بن عبد العالي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عليهما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معارج الأُصول،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الوصول،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اشتعال كلّ الاشتعال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جَعَلَ عَلَيْكُمْ فِي الدِّينِ مِنْ حَرَجٍ</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جَعَلَ عَلَيْكُمْ فِي الدِّينِ مِنْ حَرَجٍ</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اللبيب،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جَعَلَ عَلَيْكُمْ فِي الدِّينِ مِنْ حَرَجٍ</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الأُصول،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المستر شدين،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الوصول،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الأُصول،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المخطوطه وهو ابن جمهور راجع كاشفة الحال،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الغاشية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الأُصول،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حسين بن أبي الحسن كما يظهر مما ذكره ابن العودي تلميذ الشهيد في ترجمته، حيث قال في عداد مصنّفاته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رسالة في عدم جواز تقليد الأموات من المجتهدين، ووجوب تقليد الأحياء منهم على المكلّفين، صنّفها برسم الصالح الفاضل المرحوم السيّد حسين بن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من رواه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ابن أبي الحديد في 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الصالحين؛ ونقله في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 وروي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باب من يجب مصادقته ومصاحبته،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أحب إخواني إليَّ من أهدى إلي عيوبي</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كالشياع، والمعاشرة الباطنة، وصلاة عدلين خلفه على اختلاف في الأخيرة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كصفوان بن يحيى، وأحمد بن محمد بن أبي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عدّة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المحقّق الكركي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المحقّق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الوصول،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تهذيب الوصول إلى علم الأُصول،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في الفقه،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الشهيد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المقاصد العلية،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مُشيراً إلى هذا القول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قول غريب عجيب مستلزم للمحنة الكبرى والطامة العظمى</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للشيء لا ينال إلا بمشقة عظيمة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البهيّة،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أفضل صلوات المصلِّين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أعْداءُ ما جَهِلُوا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مبادئ الوصول،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اِمَّحَى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أَثَرُهُ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رشد في بداية المجتهد،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واختلفوا في كونه من أهل الاجتهاد، فقال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أن يكون من أهل الاجتهاد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أبو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حكم العامّي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قدامة في المغني المطبوع مع الشرح الكبير،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من أهل 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قال مالك والشافعي وبعض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عاميّاً فيحكم بالتقليد ؛ لأن الغرض منه فصل الخصائم، فإذا أمكنه ذلك بالتقليد جاز</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الكركي في جامع المقاصد،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يصحّ التوكيل في القضاء والحكم بين الناس؛ وللمزيد راجع مسالك الأفهام،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الکلام،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نَقَمَ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أنكره وعابه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نَقَمْتُ عليه الأمر، ونَقَمْتُ منه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المعجم الوسيط، ص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غَمَزَ على فلانٍ، أي طَعَنَ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المعجم الوسيط، ص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غمز</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واحْتَسَبوها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الأردبيلي في مجمع الفائدة والبرهان،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في حاشية على الدروس ماهذا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لفظه للفقيه العدل الإمامي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لم يجمع شرائط الاجتهاد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بين الناس، ويجب العمل بما يقوله من صحّة أو إيطال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حكم البيّنة واليمين والتزام الحقّ وعدمه في حال الغيبة وعدم المجتهد، ابن فهد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منقولة هذه الحاشية من الشيخ حسين بن الحسام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فيحتمل أن يكون مراده في المجمع عليه، وفي المختلف فيه أيضاً، بفتوى الأعلم، الذي لو كان حيّاً لكان الحكم له، أو المتجزّئ الذي اجتهد في ذلك الحكم، فيعلم منه جواز الفتوى عنده بالطريق الأولى</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 الخبر إلى صاحبه أسنده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المشهور بالشُّنْعة والقُبح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يجوز العمل بالرواية عن الميّت ؟ ظاهر العلماء المنع منه محتجين بأنّه لا قول له ولهذا انعقد الإجماع مع خلافه ميتاً، وجوزه بعضهم؛ لإطباق الناس على النقل من العلماء الماضين ولوضع الكتب من المجتهدين؛ ولأنّ كثيراً من الأزمنة والأمكنة تخلو عن المجتهدين وعن التوصل إليهم فلو لم تقبل تلك الرواية لزم العسر المنفي</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الأُصول،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الوصول إلى علمي الكلام والأُصول ذكره العلّامة في إجازته للسيّد مهنّا بن سنان في عداد كتب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مقدّمة التحقيق</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الوصول إلى علم الأُصول،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مبادئ الوصول،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وإرشاد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الألفيّة،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شرائع الإسلام،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السواء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السَهْلَةُ المستوية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سوي</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طُبعَ مراراً، انظر الكلام حوله تفصيلاً في يادنامه علامه أميني،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مقالة فهرست منتجب الدين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الآيتين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المنسوب إلى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المنسوب إلى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حديث مرويّ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الشيخ الطوسي،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1/1162</w:t>
      </w:r>
      <w:r>
        <w:rPr>
          <w:rFonts w:ascii="IRNazanin" w:hAnsi="IRNazanin" w:eastAsia="IRNazanin"/>
          <w:b w:val="false"/>
          <w:b w:val="false"/>
          <w:bCs w:val="false"/>
          <w:i w:val="false"/>
          <w:i w:val="false"/>
          <w:iCs w:val="false"/>
          <w:color w:val="333333"/>
          <w:sz w:val="20"/>
          <w:sz w:val="20"/>
          <w:szCs w:val="20"/>
          <w:rtl w:val="true"/>
        </w:rPr>
        <w:t xml:space="preserve">؛ وتنبيه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1760</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المعاملات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العلامات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الأخلاق،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جماع كلّ شيءٍ مُجْتَمَعُ أصله، وما جَمَعَ عدداً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جماعُ الإثم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الباب جماع هذه الأبواب الجامع لها الشامل لما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الكلمات المشهورة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وبالعدل قامت السموات والأرض</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6621</w:t>
      </w:r>
      <w:r>
        <w:rPr>
          <w:rFonts w:ascii="IRNazanin" w:hAnsi="IRNazanin" w:eastAsia="IRNazanin"/>
          <w:b w:val="false"/>
          <w:b w:val="false"/>
          <w:bCs w:val="false"/>
          <w:i w:val="false"/>
          <w:i w:val="false"/>
          <w:iCs w:val="false"/>
          <w:color w:val="333333"/>
          <w:sz w:val="20"/>
          <w:sz w:val="20"/>
          <w:szCs w:val="20"/>
          <w:rtl w:val="true"/>
        </w:rPr>
        <w:t xml:space="preserve">؛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العرفان،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هذا التعريف وإن نسبه في مجمع الفائدة والبرهان،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الشهرة بين علماء الخاصة والعامّة إلّا أنّه حدث من زمن العلّامة، كما صرّح به العلّامة المجلسي في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أجدها في النصوص ولا في كلام من تقدّم على العلّامة من علمائنا، ولا وجه لاعتبارها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وصاحب الجواهر في جواهر الکلام،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مصابيح الظلام أنّه المشهور بين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المتأخّرون، وإلّا فقد عرفت أنّ المتقدّمين لم يأخذ أحد منهم ذلك في تعريفهم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وكأنّهم اقتفوا في ذلك أثر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فالصواب أنّه مشهور بين المتأخّرين من الفقهاء</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والعدل من كان معروفاً بالدين والورع عن محارم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فخر المحقّقين في 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فخر المحقّقين في 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فخر المحقّقين في 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وإلى هذا ذهب أصحابنا؛ فإنّهم قالوا المعاصي كلّها كبيرة من حيث كانت قبائح، لكن بعضها أكبر من بعض، وليس في الذنوب صغيرة وإنّما يكون صغيراً بالإضافة إلى ما هو أكبر منه ويستحق العقاب عليه أكثر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الجنيد والعلّامة ووالده وولده كما في 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والمحقّق في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الكركي في رسالة العدالة، ضمن رسائل المحقّق الكركي،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وذهب إليه أيضاً الشيخ في 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إن كان مجتنباً للكبائر مواقعاً للصغائر فإنّه يعتبر الأغلب من حاله، فإن كان الأغلب من حاله مجانبته للمعاصي وكان يواقع ذلك نادراً قبلت شهادته</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الشهيد في القواعد والفوائد،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الشهيد في القواعد والفوائد،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يسمّ قائله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الشهيد في القواعد والفوائد،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اليمين الغموس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الكاذبة تَغْمِسُ صاحبها في الإثم، وفي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اليمين الغموسُ تَذَرُ الديارَ بَلاقِعَ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غمس</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نقلاً عن تفسير العياشي</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التفسير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کنز العرفان،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ورواه الصدوق أيضاً في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قال، قلت لأبي جعفر محمد بن علي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حَدَّثْتَني بحديثٍ فأسْنِدُه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حَدَّثني أبي عن جدي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اللّه عزّ وجلّ، وكلّ ما أُحَدِّتُك بهذا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الاستصغار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الإصرار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فيهما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فيهما نقلاً عن ابن عباس لا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الإصرار الحكمي، كما ذكره المصنف في الروضة البهيّة،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الإصرار الفعلي، كما ذكره المصنف في الروضة البهيّة،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باب النوادر من كتاب الطهارة،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وراجع القواعد والفوائد،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تَجْتَنِبُوا كَبَابِرَ مَا تُنْهَوْنَ عَنْهُ نُكَفِّرْ عَنكُمْ سَيِّئَاتِكُمْ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والآية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وَأَقِمِ الصَّلَوَةَ طَرَفَيِ النَّهَارِ وَزُلَفًا مِّنَ الَّيْلِ إِنَّ الْحَسَنَاتِ يُذْهِبْنَ السَّيِّئَاتِ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أهبة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هنا لباس الجندي</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في الدروس الشرعيّة يسخر منه كما قاله 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مطلقاً كما توهّم؛ وقال الشهيد الثاني في الروضة البهيّة،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ولبسُ الفقيه لباس الجندي وغيره مما لا يعتاد لمثله بحيث يسخر منه، وبالعكس، ونحو ذلك يُسْقِطها، ويختلف الأمر فيها باختلاف الأحوال والأشخاص والأماكن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أضفناه من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باب الكحل،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أبواب آداب الحمّام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العمائم،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أبواب لباس المصلّي،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باب الخضاب،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باب الخضاب بالحنّاء،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أبواب آداب الحمّام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النهاية،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وعدّة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والقاضي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في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وانظر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الفاضل الآبي في كشف الرموز،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وولده فخر المحقّقين في 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والشهيد في 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وولده فخر المحقّقين في 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كتابه المفيد في التكليف الشهيد في 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وكتابه المفيد في التكليف فُقد ولم يصل إلينا ولمزيد التوضيح راجع 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الروايات بُعيد هذا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البئر وما يقع فيها،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يتّضح لك مراد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باب الوقت الذي يوجب التيمم ومن تيمم ثم وجد الماء،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وفي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ربَّ الماء وربّ الصعيد واحدٌ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البئر وما يقع فيها،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أُعيدت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أعاد الصلاة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الماء الذي لا يُنَجِّسه شيء،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الشيخ في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وانظر الكلام حول البُتريّة في منتهى المقال،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قدر كرّ لم ينجسّه شيء</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تخریجه آنفاً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الشهيد في 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وسنن النسائي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باب مماسّة الجنب ومجالسته، وفي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المسلم لا ينجس وإنّ المؤمن لا ينجس</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لا يفسده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لا يفسده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وتأمّل فيما يأتي من المصنّف في ردّ هذا الجواب</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الجواب من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في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مبادئ الوصول،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واستدل به الشهيد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باب كراهية أن يبيت 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المستدلّ هو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حسنة علي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يُصنَعُ لجمع الماء نحو البرْكَةِ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قولهم بإمكان أن يراد لابأس بنزح الخمسين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رواية حماد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رَسَنُ الدلو 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والشهيد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الشهيد في 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وما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الشهيد في 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وما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الشهيد في 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وما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المجيب هو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البئر وما يقع فيها،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النهاية،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والعلّامة في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إلى استدلالهم العلّامة في 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وسلّار في المراسم،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رواياته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باب الفقاع،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ولم نعثر على حديث بهذا اللفظ، نعم روى عليّ بن يقطين عن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كان عاقبته عاقبة الخمر فهو خمر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والاستدلال بهذه الرواية ضعيفٌ؛ فإنّ رواتها فطحيّة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عدّة من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الترديد أنّ عمرو بن سعيد بن هلال غير معلوم، وإن أريد به عمرو بن سعيد المدائني فهو فطحي والظاهر أنه ليس هو ؛ لأنّ هذا يروي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وذاك يروي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البئر وما يقع فيها،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يذكره النجاشي ولا الشيخ بل لم يَنصَّ أحدٌ على توثيقه كما في معجم رجال الحديث،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9722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في الخامس،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إذا كان فيها ماء كثير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أوائل الرسالة حيث عبر عنها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حسنة علي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البئر وما يقع فيها،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الوصيّة، والعتق، وانظر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البئر وما يقع فيها،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 سيبويه على أن جمع التصحيح للقلّة؛ وللمزيد راجع شرح الكافية،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أثبتناء موافق للمصدر، ولكن في النسخ كلّها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جُرَّدَتْ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خلاصة الأقوال،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عداوة للوالي من بعد أبي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البئر وما يقع فيها،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سعيد هاشم بن حيان المكاري أبو عبد اللّه كان هو وأبوه وجهين في الواقفة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 آنفاً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ابن مغيرة عن أبي مريم قال حدثنا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البئر وما يقع فيها،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النهاية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ويحيى بن سعيد في الجامع للشرائع،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والعلّامة في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كسلّار في المراسم،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البئر وما يقع فيها،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شيء صغير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المفيد في المقنعة،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في أوائل الرسالة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البئر وما يقع فيها،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كلمة في البئر في المصادر الثلاث الأوّل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العمل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 بها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معارج الأُصول،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كشف الرموز،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فالحكم وجوب الطهارة؛ لأنّ يقين الطهارة والحدث بتكافئهما تساقطا، فلم يكن الآن متطهّراً، وللاحتياط</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إلى حاله قبل تصادم الاحتمالين، فإن كان حدثاً بني على الطهارة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المقنعة،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الجامع للشرائع،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مدارك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ومدارك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المسألتين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الأوّل قد تقدّم في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الرسالة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لا يكون عند الزوال بحكم المتطهر، إن كان المتيقن سابقاً هو الطهارة، أو المحدث إن كان</w:t>
      </w:r>
      <w:r>
        <w:rPr>
          <w:rFonts w:eastAsia="IRNazanin" w:cs="IRNazanin"/>
          <w:b w:val="false"/>
          <w:bCs w:val="false"/>
          <w:i w:val="false"/>
          <w:iCs w:val="false"/>
          <w:color w:val="333333"/>
          <w:sz w:val="20"/>
          <w:szCs w:val="20"/>
          <w:rtl w:val="true"/>
        </w:rPr>
        <w:t>...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قيد بقوله ظاهراً للتنبيه على أن بعض الأصحاب ذكر أنّ بالإعادة رواية ذكرها الصدوق في كتاب عرض المجالس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نقف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رواها العاملي في 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 مدارك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بهذا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عرض المجالس،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بتبعيض الغُسل تغسل يدك وفرجك ورأسك، وتؤخر غسل جسدك إلى وقت الصلاة، ثم تغسل جسدك إذا أردت ذلك، فإن أحدثت حدثاً من بول أو غائط أو ريح أو مني بعدما غسلت رأسك من قبل أن تغسل جسدك فأعد الغُسل من أوّله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عليّ بن بابويه ولده في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وقال به في الهداية،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سعيد في الجامع للشرائع،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فهد في المقتصر،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والفاضل المقداد في 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الفقه،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الجعفرية، ضمن رسائل المحقّق الكركي،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شرح الألفيّة ضمن رسائل المحقّق الكركي،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المختصر النافع،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كالفاضل الآبي في كشف الرموز،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باب صفة الغسل والوضوء قبله وبعده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تخريجها آنفاً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1907/155</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4227</w:t>
      </w:r>
      <w:r>
        <w:rPr>
          <w:rFonts w:ascii="IRNazanin" w:hAnsi="IRNazanin" w:eastAsia="IRNazanin"/>
          <w:b w:val="false"/>
          <w:b w:val="false"/>
          <w:bCs w:val="false"/>
          <w:i w:val="false"/>
          <w:i w:val="false"/>
          <w:iCs w:val="false"/>
          <w:color w:val="333333"/>
          <w:sz w:val="20"/>
          <w:sz w:val="20"/>
          <w:szCs w:val="20"/>
          <w:rtl w:val="true"/>
        </w:rPr>
        <w:t xml:space="preserve">؛ سنن الدارقطني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1647</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3434</w:t>
      </w:r>
      <w:r>
        <w:rPr>
          <w:rFonts w:ascii="IRNazanin" w:hAnsi="IRNazanin" w:eastAsia="IRNazanin"/>
          <w:b w:val="false"/>
          <w:b w:val="false"/>
          <w:bCs w:val="false"/>
          <w:i w:val="false"/>
          <w:i w:val="false"/>
          <w:iCs w:val="false"/>
          <w:color w:val="333333"/>
          <w:sz w:val="20"/>
          <w:sz w:val="20"/>
          <w:szCs w:val="20"/>
          <w:rtl w:val="true"/>
        </w:rPr>
        <w:t xml:space="preserve">؛ وانظر 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قوله ومصدره في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الدليل الأوّل لأوّل الأقوال</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تخريجهما في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باب صفة الغسل والوضوء قبله وبعده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صفة الغُسل والوضوء قبله وبعده،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باب ما يُجزئ الغُسل منه إذا اجتمع،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الدليل الثاني لأوّل الأقوال</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المجيب هو 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الدليل الثالث لأوّل الأقوال</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الدليل الأوّل من أدلّة القول الثاني</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الدليل الثاني من أدلّة القول الثاني</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الناسية للعدد والوقت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والبيان،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العُكَن والأعْكان الأطواء في البطن من السمن 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باب صفة الغُسل والوضوء قبله وبعده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تهذیب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مسائل علي بن جعفر،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تفسير الاستبصار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کالشيخ في النهاية،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والمختصر النافع،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والعلّامة في 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المستحاضة والنُفساء</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حكاية قول ابن إدريس من أنّه إن قدّمت الوضوء نوتِ الاستباحة لا الرفع لبقاء حدثها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يعطي توزيع الغسل والوضوء على الأكبر والأصغر، وليس بذلك</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4227</w:t>
      </w:r>
      <w:r>
        <w:rPr>
          <w:rFonts w:ascii="IRNazanin" w:hAnsi="IRNazanin" w:eastAsia="IRNazanin"/>
          <w:b w:val="false"/>
          <w:b w:val="false"/>
          <w:bCs w:val="false"/>
          <w:i w:val="false"/>
          <w:i w:val="false"/>
          <w:iCs w:val="false"/>
          <w:color w:val="333333"/>
          <w:sz w:val="20"/>
          <w:sz w:val="20"/>
          <w:szCs w:val="20"/>
          <w:rtl w:val="true"/>
        </w:rPr>
        <w:t xml:space="preserve">؛ وانظر 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في 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ثُمَّ لم يذكرها قدماء الأصحاب في مصنّفاتهم كالصدوقين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النُجعة،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والأربعون حديثاً، الشيخ البهائي،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النوادر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باب افتتاح الصلاة والحد في التكبير وما يقال عند ذلك،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الشهيد الثاني في المقاصد العلية،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السيّد العاملي في مدارك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ولم نقف على قائله؛ وانظر 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والحدائق الناضرة،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في رَوْض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لغة مطلق العزم والإرادة؛ وفي 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الشيءَ مراساً وممارسة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عالجه وزاوَلَه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باب من شكّ في صلاته كلها ولم يدر زاد 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بهذا اللفظ، بل 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ما يكون العبد من ربّه وهو ساجد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 الظلم الكثير الطغيان، والتاء للمبالغة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طغى</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هذه الأقوال مشروحة مع تخريجها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الراوندي في 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بذكر اللّه الخطبة التي هي تتضمّن ذكر اللّه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بالذكر في الآية الصلاة التي فيها ذكر اللّه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قائله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واستدلّ له بهذا الدليل 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من لا تلزمه الجمعة؛ المستدرك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جماعة إلّا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باب وجوب الجمعة وعلى كم تجب،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باب وجوب الجمعة وعلى كم تجب،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يُصَلُّون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1613</w:t>
      </w:r>
      <w:r>
        <w:rPr>
          <w:rFonts w:ascii="IRNazanin" w:hAnsi="IRNazanin" w:eastAsia="IRNazanin"/>
          <w:b w:val="false"/>
          <w:b w:val="false"/>
          <w:bCs w:val="false"/>
          <w:i w:val="false"/>
          <w:i w:val="false"/>
          <w:iCs w:val="false"/>
          <w:color w:val="333333"/>
          <w:sz w:val="20"/>
          <w:sz w:val="20"/>
          <w:szCs w:val="20"/>
          <w:rtl w:val="true"/>
        </w:rPr>
        <w:t>، ما أثبتناه مطابق للنسخ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توجد في المصدرين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باب التشديد في التخلف عن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يوم الجمعة السيوطي،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21146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خصائص يوم الجمعة السيوطي،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الإجماع، وهو اتّفاق علماء الطائفة على أمرٍ في عصر واحدٍ لا مع تعيين المعصوم فإنّه يعلم به دخوله، والطريق إلى معرفة دخوله أن يعلم إطباق الإماميّة على مسألةٍ معينةٍ، أو قول جماعةٍ فيهم مَنْ لا يعلم نسبه بخلاف قول من يعلم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بعضُهم المشهور بالمجمع عليه فإن أراد في الإجماع فهو ممنوع، وإن أراد في الحجة فقريب لمثل ما قلناه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الكركي في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ورسالة صلاة الجمعة، ضمن رسائل المحقّق الكركي،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قائله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ورسالة صلاة الجمعة، ضمن رسائل المحقّق الكركي،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المثل دونه خرط القتاد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للأمر الشاق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 في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 في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 في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الضمير راجع إلى الوجه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الجليل العالم حسن بن عليّ المعروف بعماد الدين الطبري، كان معاصراً للمحقّق نصير الدين الطوسي وردت ترجمته في رياض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والأنوار الساطعة،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هذا الكتاب فُقِدَ ولم يصل إلينا، وذكره الطهراني في الذريعة،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كانوا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السرخسي،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بداية المجتهد،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وحكاه عنه الشيخ في الخلاف،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وحكاه عنه الشيخ في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المسأله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 في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 في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5570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تعثر عليه في مجاميعنا الروائية، إلا أن صاحب الوسائل نقله عن هذه الرسالة في 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المعترض هو المحقّق الكركى في رسالة الجمعة، ضمن رسائل المحقّق الكركي،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المدونة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السرخسي،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الهداية،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المسائل الميافارقيّات، ضمن 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والشهيد في 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رسالة صلاة الجمعة، ضمن رسائل المحقّق الكركي،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هذا الكتاب فُقِدَ ولم يصل إلينا، وذكره ابن شهر آشوب في معالم العلماء،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والطهراني في الذريعة،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الكلام على القول الثالث</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ذلك 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صلاة الجمعة، ضمن رسائل المحقّق الكركي،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وانظر 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الإشراف،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1613</w:t>
      </w:r>
      <w:r>
        <w:rPr>
          <w:rFonts w:ascii="IRNazanin" w:hAnsi="IRNazanin" w:eastAsia="IRNazanin"/>
          <w:b w:val="false"/>
          <w:b w:val="false"/>
          <w:bCs w:val="false"/>
          <w:i w:val="false"/>
          <w:i w:val="false"/>
          <w:iCs w:val="false"/>
          <w:color w:val="333333"/>
          <w:sz w:val="20"/>
          <w:sz w:val="20"/>
          <w:szCs w:val="20"/>
          <w:rtl w:val="true"/>
        </w:rPr>
        <w:t xml:space="preserve">، ما أثبتناه مطابق للنسخ، ولا توجد في المصدرين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الوصول،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صلاة الجمعة، ضمن رسائل المحقّق الكركي،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نسخةٍ، وفي أكثر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وسياق هذا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وسياقه، ولعلّ المراد سياق كلام العلّامة والمحقّق</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فإنّ عندنا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بين 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شرط انعقاد الجمعة الإمام، أو من نصبه الإمام للصلاة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نص كلام الشيخ في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نقل عبارة الخلاف في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اختلاف الحديث،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باب كراهية الارتفاع إلى قضاة الجور ح ؛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وقد تقدمت عبارته قبل عدّة صفحات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صلاة الجمعة، ضمن رسائل المحقّق الكركي،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والخطبتين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والخطبتان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ينعقد إلا بإمام أو نائبه ولو فقيهاً مع إمكان الاجتماع في الغيبة واجتماع خمسة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 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الجواز مطلقاً؛ وقال في 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لم يكن الإمام ظاهراً ولا نائب له سقط الوجوب إجماعاً، وهل يجوز الاجتماع حينئذٍ مع إمكان الخطبة ؟ قولان ؛ وقال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وهل يجوز في حال الغيبة والتمكن من الاجتماع بشرائط الجمعة ؟ فيه قولان؛ وقد أفتى بالمنع في منتهى المطلب كما يأتي في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شرائع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المختصر النافع،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يأتي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تقدّم ذكره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الإشراف،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والعلّامة في 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والشهيد في البيان،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الجنيد كلّ المسلمين على العدالة، إلى أن يظهر منه ما يزيلها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يشعر بجواز إمامة المجهول حاله إذا علم إسلامه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الإشراف،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تنتهي عبارة المقنع،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وما بعدها عبارة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الهداية،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الحديث 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 صلاة الجمعة مع الإمام ركعتان، فمن صلى من غير إمام وحده فهي أربع ركعات بمنزلة الظهر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جميع النسخ التي بأيدينا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تخريجها في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المدخول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الدخول فيها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العالم الثقة فقيه الأصحاب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كبار أصحاب السيّد المرتضى علم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سنة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انظر ترجمته وبعض مصادر ترجمته في النابس،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تهذيب المسترشدين فُقِدَ ولم يصل إلينا، قال الطهراني في الذريعة،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في ذكر العبادات الشرعيّة بتقسيم يقرب فهمه ويسهل حفظه، كثير الفوائد في سبعين ورقة للعلّامة الكراجكي الشيخ أبي الفتح محمد بن علي بن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جزء واحد متصل بكتابه التلقين لأولاد المؤمنين ذكره مؤلّف فهرس تصانيفه المنقول بعينه في خاتمة المستدرك، في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المسترشدين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فهرس تصانيفه كان من معاصريه، كما في خاتمة 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من المصدر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الشهيد والمحقّق الكركي انظر 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ورسالة صلاة الجمعة، ضمن رسائل المحقّق الكركي،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تعرفه في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الشهيد والمحقّق الكركي، كما سبق آنفاً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 قبيل هذا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اجتمعوا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موافق للمصدر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 في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المختصر النافع،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 في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ورسالة صلاة الجمعة، ضمن رسائل المحقّق الكركي،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للفقهاء المؤمنين حال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الجمعة ؟ أطبق علماؤنا على عدم 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واختلفوا في استحباب إقامة الجمعة، فالمشهور ذلك</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والاستحباب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في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2978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 في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المصدرين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فارضوا به حکماً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فارضوا به حاكماً</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باب رواية الكتب والحديث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وانظر أيضاً ما ذكرنا آنفاً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حكايته في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الأُصول،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ذَرْءٌ مِن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ذراً</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إشارة إلى قول الوصي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أفضل صلوات المصلّين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دين اللّه لا يُعرف بالرجال، بل بآية الحقّ، فاعرف الحقّ تعرف أهله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المرويّ في الأمالي الشيخ الطوسي،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5/1292</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ادّعى العلّامة الإجماع على ذلك في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فقط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الكعبين، وهما العظمان الناتئان في وسط القدم، وهما معقد الشراك أعني مجمع الساق والقدم، ذهب إليه علماؤنا أجمع؛ ولم يدع الإجماع عليه في سائر كتبه،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المبسوط السرخسي،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ابن العربي،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السرخسي،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بدائع الصنائع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رسالة مخالفة الشيخ الطوسي لإجماعات نفسه المطبوعة في الرسائل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الموسوعة،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الانتصار، صريحاً؛ نعم قال في الانتصار،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انفردت به الإماميّة القول بوجوب رفع اليدين في كلّ تكبيرات الصلاة، لأنّ أبا حنيفة وأصحابه والثوري لا يرون رفع اليدين بالتكبير إلا في الافتتاح للصلاة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والحجّة فيما ذهبنا إليه طريقة الإجماع وبراءة الذمّة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واستظهر منها العلّامة وجوب التكبير في الركوع والسجود، حيث قال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أوجب السيّد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اليدين في كلّ تكبيرات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يشعر بوجوب التكبير في الركوع والسجود</w:t>
      </w:r>
      <w:r>
        <w:rPr>
          <w:rFonts w:eastAsia="IRNazanin" w:cs="IRNazanin"/>
          <w:b w:val="false"/>
          <w:bCs w:val="false"/>
          <w:i w:val="false"/>
          <w:iCs w:val="false"/>
          <w:color w:val="333333"/>
          <w:sz w:val="20"/>
          <w:szCs w:val="20"/>
          <w:rtl w:val="true"/>
        </w:rPr>
        <w:t>...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هو الصحيح كما في المصدر، وفي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أقلّ</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شرح الألفيّة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كلامهم أنّ هذا الحكم إجماعي وإلا فهو مشكل من حيث الدليل لوجوب الاقتصار على المأذون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ماتا أو مات أحدهما انفسخت المساقاة كالإجارة عندنا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السيوطي في رسالته خصائص يوم الجمعة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الرسالة طبعت في هذه المجموعة بعنوان خصائص يوم الجمعة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على قوله إذا اعتبرت قبل عدة أسطر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الخصوصية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ذكرها السيوطي في خصائص يوم الجمعة،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المدَّخَرُ لهذه الأمّة، وروى في ذلك حديثين</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روي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3072</w:t>
      </w:r>
      <w:r>
        <w:rPr>
          <w:rFonts w:ascii="IRNazanin" w:hAnsi="IRNazanin" w:eastAsia="IRNazanin"/>
          <w:b w:val="false"/>
          <w:b w:val="false"/>
          <w:bCs w:val="false"/>
          <w:i w:val="false"/>
          <w:i w:val="false"/>
          <w:iCs w:val="false"/>
          <w:color w:val="333333"/>
          <w:sz w:val="20"/>
          <w:sz w:val="20"/>
          <w:szCs w:val="20"/>
          <w:rtl w:val="true"/>
        </w:rPr>
        <w:t>، من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أعددتُ لعبادي الصالحين ما لا عين رأتْ ولا أذن سمعت، ولا خطر على قلب بشر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لقوله إذا اعتبرت ونظرت في الصفحة السابقة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1087</w:t>
      </w:r>
      <w:r>
        <w:rPr>
          <w:rFonts w:ascii="IRNazanin" w:hAnsi="IRNazanin" w:eastAsia="IRNazanin"/>
          <w:b w:val="false"/>
          <w:b w:val="false"/>
          <w:bCs w:val="false"/>
          <w:i w:val="false"/>
          <w:i w:val="false"/>
          <w:iCs w:val="false"/>
          <w:color w:val="333333"/>
          <w:sz w:val="20"/>
          <w:sz w:val="20"/>
          <w:szCs w:val="20"/>
          <w:rtl w:val="true"/>
        </w:rPr>
        <w:t xml:space="preserve">؛ الترغيب والترهيب،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الترغيب والترغيب،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7691</w:t>
      </w:r>
      <w:r>
        <w:rPr>
          <w:rFonts w:ascii="IRNazanin" w:hAnsi="IRNazanin" w:eastAsia="IRNazanin"/>
          <w:b w:val="false"/>
          <w:b w:val="false"/>
          <w:bCs w:val="false"/>
          <w:i w:val="false"/>
          <w:i w:val="false"/>
          <w:iCs w:val="false"/>
          <w:color w:val="333333"/>
          <w:sz w:val="20"/>
          <w:sz w:val="20"/>
          <w:szCs w:val="20"/>
          <w:rtl w:val="true"/>
        </w:rPr>
        <w:t xml:space="preserve">؛ الترغيب والترهيب،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أخلاف بالخاء المعجمة، ولم ترد في المصدر هذه الكلمة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باب فضل يوم الجمعة وليلته،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باب فضل يوم الجمعة وليلته،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باب فضل يوم الجمعة وليلته،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باب فضل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والآية في سورة 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يأتي في رسالة الحثّ على صلاة الجمعة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رسالة السيوطي الموسومة بخصائص يوم الجمعة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الألفاظ</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باب فضل الصلاة،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إشارة إلى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الكلمة الحكمة ضالة المؤمن، حيثما وجدها فهو أحق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البابان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الطبرسي في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بعض أئمّة الزيدية أنّها الجمعة يوم الجمعة والظهر سائر الأيّام</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العربي في أحكام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يسم قائله؛ وحكاه القرطبي في الجامع لأحكام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حبيب ومكّي</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جماعة إلّا</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29/246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باب فضل يوم الجمعة وليلته،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مروي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باب فضل يوم الجمعة وليلته،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المصدرين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الملائكة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فلم أعثر عليه بلفظه في المصادر، نعم روي عن أبي جعفر اللّه في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باب فضل يوم الجمعة وليلته،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xml:space="preserve">، ما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من الكافي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كان يوم الجمعة نزل الملائكة المقربون معهم قراطيس من فضة وأقلام من ذهب فيجلسون على أبواب المسجد على كراسي من نور فيكتبون الناس على منازلهم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والثاني حتّى يخرج الإمام، فإذا خرج الإمام طَوَوْا صحفهم، ولا يهبطون في شيء من الأيّام إلا في يوم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الملائكة المقربين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باب وجوب الجمعة وعلى كم تجب،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في أجوبة المسائل الميافارقيات، ضمن 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وسلّار في المراسم،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السيوطي في رسالة خصائص يوم الجمعة، وقال في مقدّمتها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الدين بن القيم في كتاب الهدي ليوم الجمعة خصوصيات، بضعاً وعشرين خصوصية وفاته أضعاف ما ذكر، وقد رأيتُ استيفاءها في هذه الكرّاسة، منبهاً على أدلّتها على سبيل الإيجاز، وتتبعتها فتحصَّلْتُ منها على مائة خصوصيّة، واللّه الموفق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وكلَّما أرجعنا في تعاليق هذه الرسالة إلى خصائص يوم الجمعة فمرادنا رسالة خصائص يوم الجمعة للسيوطي</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854/18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وأهبط اللّه فيه آدم إلى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 أُهْبِطَ</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باب فضل يوم الجمعة وليلته،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باب فضل يوم الجمعة وليلته،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باب الأربعة، 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 في رسالة الحثّ على صلاة الجمعة</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5570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باب وجوب الجمعة وعلى كم تجب،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يوم الجمعة،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يوم الجمعة،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باب القراءة يوم الجمعة وليلتها في الصلوات،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باب القراءة يوم الجمعة وليلتها في الصلوات،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سبق في رسالة صلاة الجمعة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21133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3089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الأثير في معنى الحديث في النهاية في غريب الحديث والأثر،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عن تركهم إيّاها والتخلف عنها،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 الشيء يَدَعُه وَدْعاً، إذا تركه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والنحاة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العرب أماتوا ماضي يَدَعُ ومصدَرَهُ، وَاسْتَغْنَوْا عنه بِتَرَكَ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يُحْمَلُ قولهم على قلة استعماله فهو شاذ في الاستعمال صحيح في القياس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 في غير حديث حتّى قُرِئَ به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وَدَّعَكَ رَبُّكَ وَمَا قَلَى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بالتخفيف</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 سنن النسائی،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باب التشديد في التخلف عن الجمعة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يوم الجمعة،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يوم الجمعة،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19605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الجماعة كما في النهاية في غريب الحديث والأثر،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صبب</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العلّامة السيّد محسن الأمين طَبَعَ هذه الرسالة وعَلَّق على هذا 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يذهب إلى مكان أبعد منه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كفارة من ترك الجمعة من غير عذرٍ</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يوم الجمعة،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857/27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براءة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21213</w:t>
      </w:r>
      <w:r>
        <w:rPr>
          <w:rFonts w:ascii="IRNazanin" w:hAnsi="IRNazanin" w:eastAsia="IRNazanin"/>
          <w:b w:val="false"/>
          <w:b w:val="false"/>
          <w:bCs w:val="false"/>
          <w:i w:val="false"/>
          <w:i w:val="false"/>
          <w:iCs w:val="false"/>
          <w:color w:val="333333"/>
          <w:sz w:val="20"/>
          <w:sz w:val="20"/>
          <w:szCs w:val="20"/>
          <w:rtl w:val="true"/>
        </w:rPr>
        <w:t xml:space="preserve">؛ خصائص يوم الجمعة،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حقوق الجمعة؛ خصائص يوم الجمعة،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وجوب الغسل يوم الجمعة،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يوم الجمعة،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يوم الجمعة،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باب التزيّن يوم الجمعة،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سنّة محمّد و آل محمّد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يوم الجمعة،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5985</w:t>
      </w:r>
      <w:r>
        <w:rPr>
          <w:rFonts w:ascii="IRNazanin" w:hAnsi="IRNazanin" w:eastAsia="IRNazanin"/>
          <w:b w:val="false"/>
          <w:b w:val="false"/>
          <w:bCs w:val="false"/>
          <w:i w:val="false"/>
          <w:i w:val="false"/>
          <w:iCs w:val="false"/>
          <w:color w:val="333333"/>
          <w:sz w:val="20"/>
          <w:sz w:val="20"/>
          <w:szCs w:val="20"/>
          <w:rtl w:val="true"/>
        </w:rPr>
        <w:t xml:space="preserve">؛ وفي النهاية في غريب الحديث والأثر،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مهنته أي خدمته وبذلته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يوم الجمعة،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طويناهما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طواهما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باب اللباس للجمعة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باب التزين يوم الجمعة،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يوم الجمعة،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البيهقي، كما حكاه السيوطي في خصائص يوم الجمعة،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850/10</w:t>
      </w:r>
      <w:r>
        <w:rPr>
          <w:rFonts w:ascii="IRNazanin" w:hAnsi="IRNazanin" w:eastAsia="IRNazanin"/>
          <w:b w:val="false"/>
          <w:b w:val="false"/>
          <w:bCs w:val="false"/>
          <w:i w:val="false"/>
          <w:i w:val="false"/>
          <w:iCs w:val="false"/>
          <w:color w:val="333333"/>
          <w:sz w:val="20"/>
          <w:sz w:val="20"/>
          <w:szCs w:val="20"/>
          <w:rtl w:val="true"/>
        </w:rPr>
        <w:t>، وفي هامش المصدرين غسل الجنابة، أي غُسلاً كغُسل الجنابة</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باب فضل يوم الجمعة وليلته،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باب فضل يوم الجمعة وليلته،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باب فضل يوم الجمعة وليلته،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ليلة كلّ 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كلّ يوم جمعة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الجمعة،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في غريب الحديث والأثر،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كثير من الناس إلى أن غسِّل أراد به المجامعة قبل الخروج إلى الصلاة، لأن ذلك يَجْمَعُ غَضّ الطرف في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غَسَّلَ الرجل امرأته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بالتشديد وبالتخفيف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جامعها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رُوي مخففاً،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غَسَّلَ غيره واغتسل هو، لأنه إذا جامع زوجته أحْوَجَهَا إلى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بغسَّل غسل أعضائه للوضوء ثم يغتسل للجمعة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بمعنى واحدٍ وكَرَّرَه للتأكيد</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في غريب الحديث والأثر،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الصلاة في أول وقتها، وكلّ من أسرع إلى شيءٍ فقد بكّر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ابتكر فمعناه أدرك أوّلَ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 كلّ شيءٍ باكورته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وابتكر الرجل إذا أكل باكورة الفواكه وقيل معنى اللفظين واحد، فَعَلَ وافْتَعَلَ، وإنّما كُرر للمبالغة والتوكيد، كما قالوا جادٌّ مُجدُّ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يوم الجمعة،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باب التطوع يوم الجمعة،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يوم الجمعة،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يوم الجمعة،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صلّى الجمعة ثم قرأ بعد الجمعة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والمعوّذتين سبعاً سبعاً حفظ من مجلسه ذلك إلى مثله من قرأ فاتحة الكتاب والمعوذتين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مرّاتٍ يومَ الجمعة قبل أنْ يتكلَّمَ، كُفّر عنه ما بين الجمعتين كان معصوماً</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اللّهمَّ مَلِكَ الْمُلْكِ</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رَبَّكُمُ اللّه الَّذِى خَلَقَ السَّمَوَاتِ وَالْأَرْضَ</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حين ينصرف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ينصرف</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يوم الجمعة،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السيوطي في خصائص يوم الجمعة،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اختلف أهل العلم من الصحابة والتابعين فمن بعدهم في هذه الساعة على أكثر من ثلاثين قولاً</w:t>
      </w:r>
      <w:r>
        <w:rPr>
          <w:rFonts w:eastAsia="IRNazanin" w:cs="IRNazanin"/>
          <w:b w:val="false"/>
          <w:bCs w:val="false"/>
          <w:i w:val="false"/>
          <w:iCs w:val="false"/>
          <w:color w:val="333333"/>
          <w:sz w:val="20"/>
          <w:szCs w:val="20"/>
          <w:rtl w:val="true"/>
        </w:rPr>
        <w:t>...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مظانّه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يوم الجمعة،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يوم الجمعة،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يوم الجمعة،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يوم الجمعة،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يوم الجمعة،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يوم الجمعة،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يوم الجمعة،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يوم الجمعة،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يوم الجمعة،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يوم الجمعة،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يوم الجمعة،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باب فيمن مات يوم الجمعة</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يوم الجمعة،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نقيصة</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باب فضل يوم الجمعة وليلته،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يوم الجمعة،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باب فضل يوم الجمعة وليلتها،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الزيادة، ويظهر من خصائص يوم الجمعة،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يوم المزيد ويوم 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القيم الجوزية في زاد المعاد،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الخاصة الثالثة ليوم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وقُرب أهل الجنّة يوم القيامة وسبقهم إلى الزيارة يوم المزيد بحسب قربهم من الإمام يوم الجمعة وتبكيرهم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أيضاً ما قاله في الخاصة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البروج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خصائص يوم الجمعة،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باب في الجمعة وفضلها</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الموصلي،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3471</w:t>
      </w:r>
      <w:r>
        <w:rPr>
          <w:rFonts w:ascii="IRNazanin" w:hAnsi="IRNazanin" w:eastAsia="IRNazanin"/>
          <w:b w:val="false"/>
          <w:b w:val="false"/>
          <w:bCs w:val="false"/>
          <w:i w:val="false"/>
          <w:i w:val="false"/>
          <w:iCs w:val="false"/>
          <w:color w:val="333333"/>
          <w:sz w:val="20"/>
          <w:sz w:val="20"/>
          <w:szCs w:val="20"/>
          <w:rtl w:val="true"/>
        </w:rPr>
        <w:t>؛ خصائص يوم الجمعة،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يوم الجمعة،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بَخَرَ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طيَّبه بالبخور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بخر</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يَضُمَّ الإنسانُ رجليه إلى بطنه بثوب يجمعها به مع ظهره ويشده عليها، وقد يكون الاحتباء باليدين عوض الثوب، وإنّما نَهى عنه لأنه إذا لم يكن عليه إلا ثوب واحد، ربما تحرّك أوزال الثوبُ فتبدو عورته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يوم الجمعة،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الخطابي كما في خصائص يوم الجمعة، للسيوطى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ويمتنع من استماع الخطبة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باب فضل يوم الجمعة وليلته،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يوم الجمعة،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يوم الجمعة،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باب ما يفعل من الخير</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يوم الجمعة،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يوم الجمعة،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يوم الجمعة،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واسع، كما حكاه السيوطي في خصائص يوم الجمعة،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الدنيا والبيهقي</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خصائص يوم الجمعة،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إلى الآية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وَاخْتَارَ مُوسَى قَوْمَهُ سَبْعِينَ رَجُلاً لِمِيقَاتِنَا</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باب عدة من يحضر الجمعة</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يوم الجمعة،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الصدوق،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السكوني، عن جعفر بن محمد، عن آبائه قال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ثواب الأعمال،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 أبي الحسن الرضا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وذيل الحديث فيه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ثلاثون منها للدنيا، وثلاثون للآخرة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باب فضل يوم الجمعة وليلته،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العلّامة السيّد محسن الأمين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رسالة خصائص يوم الجمعة، وعلّق على هذا الموضع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إذا كان الشتاء وأراد الانتقال من البيت المعدّ للصيف انتقل منه ليلة الجمعة، وكذلك دخوله إلى البيت المعد للشتاء يكون في ليلة الجمعة، أو أن ذلك عام لمطلق الانتقال مِن بيتٍ إلى آخَرَ في الشتاء ولو كان كلّ منهما مُعدّاً للشتاء،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إذا خرج من البيت في دخول الصيف خَرَجَ يوم الخميس، وإذا أراد أن يدخل عند دخول الشتاء دخل يوم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يدخل ليلة الجمعة ويخرج ليلة الجمعة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باب فضل يوم الجمعة وليلته،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إشارة إلى ما روي عن الوصيّ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وسلامه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دين اللّه لا يعرف بالرجال، بل بآية الحق، فاعرف الحقّ تعرف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الطوسي،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لتوضيح العبارة راجع ما يأتي في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أكمل الأولى، أم أقام بعضها، أم مر على محل الإقامة لاغير</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الجعفرية، ضمن رسائل المحقّق الكركي،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خروج المقيم عن حدود البلد، ضمن رسائل المحقّق الكركي،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في الموجز الحاوي، ضمن الرسائل العشر،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والصيمري في كشف الالتباس الورقة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وحكاه العاملي في مفتاح الكرامة،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الميسيّة، وإرشاد الجعفريّة</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قول 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والبيان،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واحتمله العلّامة في 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قول العلّامة في 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والصيمري في كشف الالتباس، الورقة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 فلانٌ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هَيْماً وهَيْماناً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على وجهه في الأرض لا يدري أين يتوجّه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هیم</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الجعفريّة، ضمن رسائل المحقّق الكركي،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رسالة في خروج المقيم عن حدود البلد، ضمن رسائل المحقّق الكركي،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الشيهد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المصدرين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التقصير في الصلاة بريدان أو بريدٌ ذاهباً وجائياً</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البيان،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شرف الدين الأسترآبادي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الفوائد الغروية في شرح الرسالة الجعفريّة، على ما حكاه عنه السيّد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مفتاح الكرامة،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الفوائد الغروية، الورقة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قول الفاضل الأسترآبادي المتقدّم آنفاً</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الالتباس الورقة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رواها الصدوق في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تمهيد القواعد،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القاعدة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والبيان،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والصيمري في كشف الالتباس، الورقة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الصواب أن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أشدُّ إشكالاً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النحو الوافي،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الحاكي هو المحقّق الكركي في رسالة في خروج المقيم عن حدود البلد، ضمن رسائل المحقّق الكركي،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يأتي بعيد هذا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الحواشي المنسوبة إلى الإمام فخر الدين بن المطهّر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الحواشي على إرشاد الأذهان المنسوبة إلى فخر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وجواهر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ضَرَبْتُمْ فِي الْأَرْضِ فَلَيْسَ عَلَيْكُمْ جُنَاحٌ أَن تَقْصُرُوا مِنَ الصَّلَوَةِ</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جميع النسخ</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انصرف المعجم الوسيط، ص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فتل</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ولعلّ الصواب لوجوبهما كما في المنسك الكبير،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ومناسك الحجّ، ضمن رسائل المحقّق الكركي،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وهكذا في أمثالها من النيّات</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تقدّم في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تقدّم في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لعلّ الصواب لندبهما، وهكذا في أمثالها من النيات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تقدّم في الرسالة السابقة،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وما يأتي في الرسالة اللاحقة،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جميع النسخ، وأيضاً في المنسك الكبير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اللباب كما رواه عنه في 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8956</w:t>
      </w:r>
      <w:r>
        <w:rPr>
          <w:rFonts w:ascii="IRNazanin" w:hAnsi="IRNazanin" w:eastAsia="IRNazanin"/>
          <w:b w:val="false"/>
          <w:b w:val="false"/>
          <w:bCs w:val="false"/>
          <w:i w:val="false"/>
          <w:i w:val="false"/>
          <w:iCs w:val="false"/>
          <w:color w:val="333333"/>
          <w:sz w:val="20"/>
          <w:sz w:val="20"/>
          <w:szCs w:val="20"/>
          <w:rtl w:val="true"/>
        </w:rPr>
        <w:t xml:space="preserve">، باب ثبوت الكفر والارتداد بترك الحجّ وتسويفه استخفافاً أو جحوداً،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مع اختلافٍ</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أجر</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كتاب الحجّ، 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مع اختلاف في الألفاظ، والجملة الأخيرة في الفقيه،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ما مضى فقد غُفِرَ لك، فاستأنف العمل فيما بينك وبين عشرين ومائة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مطابق للنسخ</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tl w:val="true"/>
        </w:rPr>
        <w:t xml:space="preserve">، والقسم الأخير من الحديث الشريف اقتباس من 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أبواب وجوب الحجّ وشرائطه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باب وجوب الحجّ وفضله وعقاب تركه</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الجباعي، الورقة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ب؛ 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 أفضل من ألفي ألف درهم فيما سواه في سبيل اللّه، والحاج على نور الحجّ ما لم يلم بذنب، وهدية الحجّ من نفقة الحجّ</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باب القول عند الخروج من بيته وفضل الصدقة،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القول إذا خرج الرجل من بيته،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2416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تُحمل عليه الهدايا من 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القول إذا خرج الرجل من بيته،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سبيل اللّه جاهدت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سبيل اللّه توجهتُ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الفيض الكاشاني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الوافي،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توضيح الدعاء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الجار الذي يؤمن من أخافه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والمُريد المبالغ في العصيان والعتوّ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أي في السفر أو هذه العبادة خرجت أي من بيتي، أو مما كنت فيه، وفي سبيل اللّه أي توجّهت أو دخلت وخرجت وهو عطف على بسم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أقدم أي أقول هاتين الكلمتين في أول أمري وابتداء سفري لكلّ أمرٍ عَرَضَ لي في تمام هذا السفر مما ينبغي أن أقولهما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يدي نسياني وعجلتي أي قبل أن أنساهما أو أعجل عنهما، أو أنسى شيئاً أو أعجل عن شيء، أنت الصاحب في السفر والخليفة في الأهل هاتان الصفتان ممّا لا يجتمعان في واحد سوى اللّه جَلَّتْ كبرياؤه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واطو اقطع وقرب، ظهرنا ما نركبه من البعير وغيره، والظهر يقال لما غلظ من الأرض أيضاً، وعثاء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كآبة المنقلب الرجوع من السفر بالغم والحزن والانكسار، بك أحلُّ بضم الحاء من الحلول أي أحلُّ بالمنزل وهو في مقابلة أسير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والحملان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يُحْمَلُ عليه من 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والوجه وجهك أي الجهة التي أتوجه إليها إنما هي جهتك وفي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والسفر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العسر</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الآيتين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القول إذا خرج الرجل من بيته،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فلان رَثُّ الهيئة، وفي هيئته رثاثة، أي بذادة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رثث</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حديث مروي في 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وفي المعجم الوسيط،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تفثَ يَتْفَثُ تَفَثَّاً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الادّهان والحلق فَعَلاه الوَسَحُ والغُبار، فهو تفث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يُصيب المحرم بالحج من ترك الادّهان والغَسل والحَلْق؛ وإزالته من مناسك الحجّ</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وليس فيه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أُشهدكم أنّي قد غفرتُ لهم</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السماوات السبع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الأرضين السبع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البضاعة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يُتَّجَرُ فيه،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بضع</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يَصير وا لك عدوّاً</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يُسْتَتَرُ به ويُتَحَلّى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كسو</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لشاهد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بشهادة</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الإبْطُ باطن المَنْكِب 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أبط</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إطّلى بكذا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ادَّهَنَ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طلي</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نيّة الإحرام بالعمرة</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وجهه في 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نقلاً عن تفسير العياشي، ولم يوجد فيه وانظر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التلبية،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اختلاف یسیر</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الهلالين ليس في أكثر النسخ</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العاملي سبط المصنف رحمهما اللّه في مدارك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مبحث إحرام الحائض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جدي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مناسك الحجّ أنها تترك غُسل الإحرام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غير جيد؛ لورود الأمر به في الأخبار الكثيرة</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اسْتَثْفَرَ الحائض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اتَّخَذَتْ خِرْقَةٌ عريضة بينَ فَخِذَيْها تشُدُّها في حِزامها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أمَرَ المستحاضة أنْ تَسْتَنْفِرَ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ثفر</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باب دخول الحرم،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إسناد؛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المعقوفين أضفناه من المصدر</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باب دخول المسجد الحرام،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المصدرين</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باب دخول المسجد الحرام،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الخائف لعقوبتك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الخائف من عقوبتك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تهذيب الأحكام وبعض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يلد ولم يولد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لم تلد ولم تولد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المصدرين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يكن لك</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باب الدعاء عند استقبال الحجر واستلامه،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ولم ينقل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الدعاء</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لم تستطع أن تقول هذا كلّه فبعضه 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لم يقدر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الدعاء لا يوجد في أكثر النسخ</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الفيض في الوافي،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السُبْحَة تقال للذكر والصلاة النفل وهي من التسبيح كالسخرة من التسخير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مسيحتي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مسيري</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باب الدعاء عند استقبال الحجر واستلامه،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سلّار في المراسم،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وانظر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باب الملتزم والدعاء عنده،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باب الطواف واستلام الأركان،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والظاهر أن الصواب لوجوبهما لعود الضمير إلى ركعتي الطواف، وهكذا الكلام في أمثالها من النيات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توجيه تذكير الضمير وإفراده برجوعه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ما تقدّم في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إلى استحباب الطهارة المشهور من الأصحاب ومنهم 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وذهب إلى وجوبها ابن عقيل كما حكاه عنه العلّامة في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باب استلام الحجر بعد الركعتين وشرب ماء زمزم قبل الخروج إلى الصفا والمروة،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باب الوقوف على الصفا والدعاء،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وليست في المصدرين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بيده الخير</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باب الوقوف على الصفا والدعاء،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وللدعاء تتمة 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استعملني على كتابك وسنة نبيّك، وتَوَفَّنِي على ملته ثمّ أعذني من الفتنة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باب السعي بين الصفا والمروة وما يقال فيه،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جميع النسخ وأيضاً في المنسك الكبير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باب الخروج إلى منى،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نزول مني وحدودها،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الغُدُوّ إلى عرفات وحدودها،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السلطان في حاشية الوافي،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هو أفضل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بالأفضل الملائكة على ما ورد في بعض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المصدرين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صَمَدت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قصدت</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أبي الصلاح في الكافي في الفقه،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يوهم الوجوب،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ويلزم افتتاحه بالنيّة وقطع زمانه بالدعاء والتوبة والاستغفار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باب الوقوف بعرفة وحد الموقف،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3136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السخرة هي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رَبَّكُمُ اللّه الَّذِى خَلَقَ مُسَخَّرَات بِأمرون أَلَا لَهُ الْخَلْقُ وَالْأَمْرُ تَبَارَكَ اللّه رَبُّ الْعَالَمِينَ</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3139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باب ليلة المزدلفة والوقوف بالمشعر والإفاضة منه وحدوده،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وليكن من قولك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ربَّ المشعر الحرام فكّ رقبتي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باب ليلة المزدلفة والوقوف بالمشعر والإفاضة منه وحدوده،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3139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الإجزاء صريح الصدوق في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وظاهره في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ظاهر ابن الجنيد كما حكاه عنه العلّامة في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وولده في 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الانتصار،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باب ليلة المزدلفة والوقوف بالمشعر والإفاضة منه وحدوده،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باب ليلة المزدلفة والوقوف بالمشعر والإفاضة منه وحدوده،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يستحبّ الدعاء</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باب السعي في وادي محسر،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حال الهرولة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باب السعي في وادي محسر،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3139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واخلفني بخير فيمن</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أوجبه السيّد المرتضى في الانتصار،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باب يوم النحر ومبتدأ الرمي وفضله،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الآيتين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باب الذبح،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إلى عدم الجواز الشيخ المفيد في المقنعة،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والمرتضى في جمل العلم والعمل،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وسلّار في المراسم،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وإلى الجواز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وانظر مدارك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باب إتيان مكّة بعد الزيارة للطواف،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أضاف المصنّف في الروضة البهيّة،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وخلفها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وكذلك المرويّ في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باب الصلاة في مسجد منّى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باب الصلاة في مسجد منّى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باب زيارة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وليست في المصادر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جفاني ومَنْ جفاني</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باب زيارة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باب فضل الرجوع إلى المدينة،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باب بدون العنوان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أبواب المزار وما يناسبه،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سَدَنَ يَسْدُنُ سَدْنا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 الكعبة السادن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خادم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سَدَنة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سدن</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أضفناه من المصدر</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بعض النسخ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في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قضى حجَّه</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مع الاختلاف وانظر 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أبواب الطواف،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وبذل الأمن</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التشمير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السُرعَةُ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 في العبادة إذا اجْتَهَدَ وبالغ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التشمير</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بعض العبارات بالمعنى، ولا يوجد بعض الجمل والتعبيرات في المطبوع من إحياء علوم الدين، ويحتمل أنها كانت موجودة في نسخة الشهيد، أو في كتاب نَقَلَها مؤلّفه عن الغزالي ونقل الشهيد عن ذلك الكتاب</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الشيءُ الشيء، وبه نَشِبَ فيه واستمسك به،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الشوك الثوبَ 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باب فضل الحجّ والعمرة وثوابهما،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2266</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عليكم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عليكم</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الخميس</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أكثر النسخ، وفي نسخةٍ واتفق الفراغ من تأليفه في عصر يوم السبتِ ثالث عشر شهر ذي القعدة الحرام سنة اثنتين وخمسين وتسعمائة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أقا بزرگ الطهراني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الذريعة،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فَرَغَ منه نهار الأربعاء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ذكر فراغ المصنِّف في ضحى 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آخر العبارة إنما وردت في نسخةٍ واحدةٍ من النسخ الثمان التي قابلنا بها هذه الرسالة</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المقنعة،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وسلّار في المراسم،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وابن أبي عقيل كما 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4769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باب طلاق الغائب،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النساء اللاتي يطلّقن على كلّ حال،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4811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النساء اللاتي يطلقن على كلّ حال،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ولده في المقنع،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والغائبة؛ لتعذّر العلم به فيهنّ</w:t>
      </w:r>
      <w:r>
        <w:rPr>
          <w:rFonts w:eastAsia="IRNazanin" w:cs="IRNazanin"/>
          <w:b w:val="false"/>
          <w:bCs w:val="false"/>
          <w:i w:val="false"/>
          <w:iCs w:val="false"/>
          <w:color w:val="333333"/>
          <w:sz w:val="20"/>
          <w:szCs w:val="20"/>
          <w:rtl w:val="true"/>
        </w:rPr>
        <w:t>...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كسلّار في المراسم،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باب طلاق الغائب،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4770</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على كلام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جمع عادة</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المفيد في المقنعة،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وسلّار في المراسم،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وابن أبي عقيل كما 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وغيرهم كما تقدّم في أوائل الرسالة</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رسالة طلاق الغائب، ضمن رسائل المحقّق الكركي،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طلاق الغائب، ضمن رسائل المحقّق الكركي،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طلاق الغائب، ضمن رسائل المحقّق الكركي،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الجمع بين الأخبار بوجه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الدالّة على التربّص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مردودٌ لوجوهٍ</w:t>
      </w:r>
      <w:r>
        <w:rPr>
          <w:rFonts w:eastAsia="IRNazanin" w:cs="IRNazanin"/>
          <w:b w:val="false"/>
          <w:bCs w:val="false"/>
          <w:i w:val="false"/>
          <w:iCs w:val="false"/>
          <w:color w:val="333333"/>
          <w:sz w:val="20"/>
          <w:szCs w:val="20"/>
          <w:rtl w:val="true"/>
        </w:rPr>
        <w:t>....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الأصل، وفي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أهله</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باب في التي يخفى حيضها،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باب أنّ الطلاق لا يقع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باب من طلق لغير الكتاب والسنّة،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باب طلاق السنّة والعدّة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المحقّق الكركي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الصواب ولكن في نسخة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تنتقل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تنتقل</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خطأ كما لا يخفى</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كالحسن بن أبي عقيل وابن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حكاه عنهما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وحكاه عن علي بن بابويه ابنه في المقنع،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وأبي الصلاح في الكافي في الفقه،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وسلّار في المراسم،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طلاق الغائب، ضمن رسائل المحقّق الكركي،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العلّامة في قواعد الأحكام</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باب طلاق الغائب،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هذه الأخبار وتخريجها في أوائل الرسالة فراجع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أوائل الرسالة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طلاق الغائب، ضمن رسائل المحقّق الكركي،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رسالة الحبوة التي طبعت في هذه المجموعة بعد رسالتنا هذه</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تحرير الأحكام الشرعيّة،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6326</w:t>
      </w:r>
      <w:r>
        <w:rPr>
          <w:rFonts w:ascii="IRNazanin" w:hAnsi="IRNazanin" w:eastAsia="IRNazanin"/>
          <w:b w:val="false"/>
          <w:b w:val="false"/>
          <w:bCs w:val="false"/>
          <w:i w:val="false"/>
          <w:i w:val="false"/>
          <w:iCs w:val="false"/>
          <w:color w:val="333333"/>
          <w:sz w:val="20"/>
          <w:sz w:val="20"/>
          <w:szCs w:val="20"/>
          <w:rtl w:val="true"/>
        </w:rPr>
        <w:t xml:space="preserve">؛ وولده فخر المحقّقين في 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والشهيد في 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والفاضل المقداد في التنقيح الرائع،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المتعلمين،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جوابات المسائل الموصليات الثالثة، ضمن 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أن النساء لا يرثن من العقار شيئاً،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الاستبصار،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أن النساء لا يرثن من العقار شيئاً،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أصحابنا يقولون أوّل من نشر حديث الكوفيّين بقم هو</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فخر المحقّقين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عقر</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تاج العروس،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جيل من الناس، كما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واختلف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السبايجة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من السند بالبصرة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الأزهري عن الليث أنّهم جيل من الهند إليهم تنسب الثياب الزُطّية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الصحاح الواحد زُطّي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الوافي،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باب أنّ النساء لا يرثن من العقار شيئاً،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الغريبين،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عقر</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المسائل الموصليّات الثالثة، ضمن 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أن النساء لا يرثن من العقار شيئاً،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أن النساء لا يرثن من العقار شيئاً،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أن النساء لا يرثن من العقار شيئاً،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أن النساء لا يرثن من العقار شيئاً،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رسالتي مخالفة الشيخ الطوسي لإجماعات نفسه، وصلاة الجمعة المطبوعتين في هذا الجزء والجزء الآتي</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النجاشي،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زياد أبو سعيد الآدمي الرازي كان ضعيفاً في الحديث غير معتمد فيه، وكان أحمد بن محمد بن عيسى يشهد عليه بالغلو والكذب وأخرجه من قم إلى الري، وكان يسكنها</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وذكر الفضل في بعض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الكذابون المشهورون أبو الخطاب ويونس بن ظبيان ويزيد الصائغ ومحمد بن سنان، وأبو سمينة أشهرهم</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المعجم الوسيط،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يُنزَلُ فيه زمن الربيع، والدار، وما حول الدار والمنزل</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التنقيح الرائع،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عقر</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وترث من قيمة الآلات والأبنية، ومنهم من طرد الحكم في أرض المزارع والقرى وعلم الهدى يمنعها العين دون القيمة</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ص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المسائل الموصليات الثالثة، ضمن 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5756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التنقيح الرائع،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الأصل والاستبصار، ولكن في تهذيب الأحكام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الصحيح</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5756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بروايات</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وذيلها ؛ وانظر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5757</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الأصل، ولكن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أولى</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والطريقة في نصرة ما قويناه هي الطريقة في نصرة المسألة الأولى، وقد تقدّم بيان ذلك؛ جوابات المسائل الموصليات الثالثة، ضمن 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 لا يرثن من الأرض ولا من العقار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سبق تخريجها في أوائل الرسالة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أن النساء لا يرثن من العقار شيئاً،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رسالة الحبوة، التي طبعت في هذه المجموعة بعد هذه الرسالة</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والمحقّق في المختصر النافع،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والفاضل الآبي في كشف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الكتاب فُقِدَ ولم يصل إلينا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وصفه ووصف مؤلّفه في رجال النجاشي،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 xml:space="preserve">؛ فهرست الطوسي،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 ما أثبتناه مطابق لنسخة الأصل، ولكن جاء اسم الكتاب في رجال النجاشي وفهرست الطوسي هكذا الأحمدي للفقه المحمّدي</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أن النساء لا يرثن من العقار شيئاً،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أنّ النساء لا يرثن من العقار شيئاً،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باب أن النساء لا يرثن من العقار شيئاً،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5751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الأصل، ولكن في الفقيه، وتهذيب الأحكام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الاستبصار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بينهما</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قول المفيد ومن تبعه، وهو ثاني الأقوال التي قد تقدمت في أوائل الرسالة،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الرحا التي لا تطحن الحبوب، ولكنّها تدقّها دقّاً</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مَصْبَنَةٍ، وهي ما يُعمل فيها الصابون</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المسائل الموصليات الثالثة، ضمن 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تلك الرواية</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اقْتُصِلَ مِنَ الزرع أخْضَرَ 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الأصل،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أنسب مع السياق</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بخطّ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المسائل الموصليّات الثالثة، ضمن 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أنعم النظر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أطال الفكرة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2308</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المفيد في الإعلام،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والشيخ في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زهرة في غنية النزوع،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الإعلام،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5749</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باب ما يرث الكبير من الولد دون غيره،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باب ما يرث الكبير من الولد دون غيره،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5479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يرث الكبير من الولد دون غيره،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ما يرث الكبير من الولد دون غيره،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9095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5750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اختلاف الحديث،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3236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تمهيد القواعد،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المعجم الوسيط، ص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جلود بعض الحيوان كالدِبَبَةِ والثعالب، تُدبَغُ ويُتَّخذ منها ملابس للدفء وللزينة</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ويُفتَحُ الصاد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الإصبع الصغرى أو الوسطى</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بأمر</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ص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المسائل التبانيات، ضمن 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رسالة مخالفة الشيخ الطوسي لإجماعات نفسه في الجزء الثاني من هذه 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وصلاة الجمعة في هذا الجزء</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 في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وأنّهُ خَلَقَ الزوجين الذكر والأنثى</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ميراث الخنثى،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في الانتصار،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والشيخ المفيد في الإعلام،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العاملي عن تعليق الإرشاد، للمحقق الكركي في مفتاح الكرامة،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إيضاح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تحرير الأحكام الشرعيّة،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في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حمزة في الوسيلة،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المختصر النافع،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وشرط ابن إدريس أن لا يكون سفيهاً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فاسد الرأي، وأنْ يخلف الميّت غيرها، وشرط ابن حمزة ثبات العقل، وسداد الرأي، وفقد آخر في سنّه، وحصول تركة غيرها</w:t>
      </w:r>
      <w:r>
        <w:rPr>
          <w:rFonts w:eastAsia="IRNazanin" w:cs="IRNazanin"/>
          <w:b w:val="false"/>
          <w:bCs w:val="false"/>
          <w:i w:val="false"/>
          <w:iCs w:val="false"/>
          <w:color w:val="333333"/>
          <w:sz w:val="20"/>
          <w:szCs w:val="20"/>
          <w:rtl w:val="true"/>
        </w:rPr>
        <w:t>... .</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المعجم الوسيط،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شَطَرَ الشيءَ شطراً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قسمه وجعله نصفين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وشَطَّرَ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نَصَّفَه</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أضفناء من أجوبة المسائل المهنائيّة،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فإن كثيراً من مسائل السائل هي نفس مسائل السيّد مهنّا بن سنان</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باب التوبة،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والمقيم على الذنب وهو مستغفر منه كالمستهزئ</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الفصول المختارة،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والإرشاد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الشيخ المفيد،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ولمزيد الاطّلاع راجع قاموس الرجال،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6671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باب ما يُفْصَلُ به بين المحقّ والمبطل في أمر الإمامة،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أجوبة المسائل المهنائية،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المعجم الوسيط،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عقص</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للشيخ في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فإنّه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للرجل أن يصلّي معقوص الشعر</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باب الحمام،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ويغتسل فيه ولد الزنى والناصب لنا أهل البيت وهو شرّهم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يسيل فيها ما يغتسل به الجنب و ولدالزنى والناصب لنا أهل البيت وهو شرّهم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الحمام،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وإيّاك أن تغتسل من غسالة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ففيها يجتمع غسالة اليهودي والنصراني والمجوسي والناصب لنا أهل البيت و هو شرّهم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الزنى</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الاطلاع راجع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 والخلاف،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ومختلف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جمل العلم والعمل،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ماء الحمام والماء الذي تسخنه الشمس،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تغتسل من البئر التي تجتمع فيها غسالة الحمام فإنّ فيها غسالة ولد الزنى وهو لا يطهر إلى سبعة آباء</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عموم الآيات الدالّة على فلاح مَنْ عمل صالحاً مع الإيمان في سُور 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وللأخبار الواردة في معنى الإيمان، راجع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باب أنّ الإيمان يشرك الإسلام، والإسلام لا يشرك الإيمان</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العلّامة الحلّي، راجع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وأجوبة المسائل المهنائية،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إرشاد الأذهان،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الأقوى أنهما قُبَّتا القدمين وهما الناتئان في وسطه عند معقد الشراك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تعرّض للمسألة مفصلاً مع ذكر الأقوال في روض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ولمزيد الاطلاع حول المسألة وبيان وجوه الاختلاف راجع الحبل المتين،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رضي الدين هبة اللّه بن حامد بن أحمد بن أيوب بن علي بن أيوب، الملقب بعميد الرؤساء، والمكنّى بأبي منصور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أديباً فاضلاً نحوياً لُغَويّاً شاعراً، من صلحاء المتعبدين وأخيار علماء الإماميّة، ومن تأليفه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 الشهيد عنه في 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اللغوي عميد الرؤساء في كتاب الكعب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هاتان العقدتان في أسفل الساقين اللتان تسمّيان كعبين عند العامّة، فهما عند العرب الفصحاء وغيرهم جاهليّيهم وإسلامييهم تسمّيان المَنجَمَين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الجيم والميم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والرُهْرُهَتَيْنِ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الراءين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وأكثرَ في الشواهد على أنّ الكعب هو الناشز في سواء ظهر القدم أمام الساق حيث يقع معقد الشراك من النعل ولمزيد الاطلاع راجع معجم الأدباء،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والذريعة،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الانتقال يعيد البسملة، وكذا لو سمّى بعد الحمد من غير قصد سورة معينة؛ أجوبة المسائل المهنائية،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رسالة النيّة المطبوعة في القسم الثاني من هذه المجموعة</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26253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تردّدت عن شيءٍ أنا فاعله تردّدي عن نفس المؤمن يكره الموت وأنا أكره مساءته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الأمالي، الشيخ الطوسي،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عليّ بن الحسين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شيء أتردد فيه مثل تردّدي عند قبض روح المؤمن يكره الموت وأنا أكره مساءته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مَنْ أذى المسلمين،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ترددت عن شيءٍ أنا فاعله كتردّدي عن وفاة المؤمن يكره الموت وأكره مساءته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مصابيح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 ولم نفهم منها معنىً محصلاً</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 ولم نفهم منها معنىً محصلاً</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هذا الذيل إلّا في التوحيد،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ذيل الآيات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وللمزيد راجع 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وجوامع الجامع،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ذيل الآيات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أن أهل النار لا يعذّبون بالنار وحدها، بل يعذّبون بأنواع من العذاب وبما هو أشدّ من النار</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عائدٌ إلى الجنّة، أي على دخولها</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 استحب التكبير للقيام وأسقطه من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المقنعة،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حاجة، ويريد هنا ما يُتبَّلُ به القدر</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أجوبة المسائل المهنّائيّة،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يستبيح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يستبيحه المتطهّر بالماء</w:t>
      </w:r>
      <w:r>
        <w:rPr>
          <w:rFonts w:eastAsia="IRNazanin" w:cs="IRNazanin"/>
          <w:b w:val="false"/>
          <w:bCs w:val="false"/>
          <w:i w:val="false"/>
          <w:iCs w:val="false"/>
          <w:color w:val="333333"/>
          <w:sz w:val="20"/>
          <w:szCs w:val="20"/>
          <w:rtl w:val="true"/>
        </w:rPr>
        <w:t>... .</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هذا السؤال سقط من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وأجاب عنه العلّامة في أجوبة المسائل المهنّائيّة،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والدي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يُفتي بالمنع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جيّد؛ لأنّه يكتسب في المسح ماءً جديداً، وهو ممنوع منه</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السؤال سقط من النسخة، وإنما أضفناه من أجوبة المسائل المهنائية،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نسيج صفيق من الصوف المعجم الوسيط،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جوخ</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أغْفَلَ لُمْعَةٌ في الأُولى فانغسلت في الثانية على قصد الندب فالأقوى البطلان</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رواية خاصة، وإنّما ورد هذا التعبير في سؤال السيّد المهنّا للعلّامة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أجوبة المسائل المهنّائيّة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أجاب عنه العلّامة في أجوبة المسائل المهنائية،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يحسن بشرط أن يكون للمتألم من الأعواض ما يزيد على المستحق له بحيث لو خُيّر لاختار الألم، ولا يحسن بدون ذلك لما فيه من اشتماله على نوع من الظلم وانظر كشف المراد،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المصادر الحديثية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ورد أيضاً في أسئلة السيّد المهنّا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أجوبة المسائل المهنائية،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وللتوضيح راجع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وأجوبة المسائل المهنائية،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أنّه وردت في كلام السائل في هذه الرسالة عبارات غير فصيحة ولغات عاميّة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وبما أننا لم نجد بالرغم من الفحص الكثير نسخة أُخرى لهذه الرسالة لم نتمكّن من تحقيقها بوجه أحسن من هذا الذي تراه</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 الشيءُ نوفا علا وارتفع المعجم الوسيط، ص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أبواب صلاة الجماعة،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مهدوم الطوب والخشب</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جواب السؤال السابع</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الإحنة الحقد والضغن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الإحن تَجُرُّ المحن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أحن</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السداد وأصابه سدّد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العمل به المعجم الوسيط،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فعلى هذا يمكن أن يكون 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يُسَدّد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يُسِد</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حرّج عليه ضيِّق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الوسط،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حرج</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المخطوطة، ولا يخفى تشويش الكلام واضطرابه</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وسطه بمنطقةٍ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نطق</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الشهيد الأوّل، حيث قال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النيّة مقارنة لما بعد الزوال، ولا يجوز تأخيرها عنه، فيأثم لو تعمّده ويُجزئ</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من الشيخ المتأخّر هو الشهيد الأوّل، حيث قال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المستحقّ الفقير المؤمن، فالقانع السائل والمعترّ غير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وراجع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في حاشية إرشاد الأذهان،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يُشترط في المهدى إليه الإيمان وفي المتصدق عليه الإيمان والفقر، ويكفي الواحد الجامع للوصفين</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الدهليز المدخل بين الباب والدار المعجم الوسيط،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دهل</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تأخم الموضع 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جاوره ولاصقه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تخم</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والأصح شرعيّة قضاء فريضةٍ فُعِلَت على غير الوجه الأكمل إذا تخيل فيها قوات شرط أو عروض مانعٍ</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آنفاً</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العلّامة الحلي أعلى اللّه مقامه</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عليها بهذا العنوان، ولعلّ المستند إطلاق الأوامر الواردة بالاحتياط في الدين وتوقي الشبهات، كما صرّح به في مدارك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قبله على الوارث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الوارث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خطأ؛ وللمزيد راجع 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يوثَقُ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البُنُّ حَبُّ شجر أصله من الحبشة، يُقلى ثمّ يُطحَنُ، ويُتَّخَذُ منه شراب منبِّه، يُسمّى مجازاً بالقهوة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بنن</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النصيب والعطاء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نول</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السوابغ جمع السابغة التامة الكاملة،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سابغ، أي كامل 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سبغ</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صلة الرحم؛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باب صلة الرحم</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نقلاً عن بعض آثار الحسين بن سعيد</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النوادر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كتاب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 الخالي من الكتابة</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باب النوادر من كتاب الوصايا،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5540</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المفيد في المقنعة،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وأبو الصلاح في الكافي في الفقه،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والقاضي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رواه الشيخ في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رواه الشيخ في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ذكرهم آنفاً في المسألة بداية</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الصلاة الثانية من الظهرين أو العشاءين</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لرُغوة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يعلو السوائل عند غليانها أو رجّها، أو ذوبان شيء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رغو</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التلاد والتليد والتالد كلّ مال قديم وخلافه الطارف والطريف، المصباح المنير،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تلد</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الشهيد في القواعد والفوائد،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أعدم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افتقر، فهو معدم المعجم الوسيط،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اللبن عند الولادة قبل أن يرقّ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المراد،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ورواه عنه في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أبواب صوم المندوب،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مصباح المتهجد، 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الفروق،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الطرطوشي، قال بعض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تجب صلة الرحم إذا كان هناك محرميّة، وهما كلّ شخصين لو كان أحدهما ذكراً والآخر أنثى لم يتناكحا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القواعد والفوائد،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 السكّين ونحوه 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أجّج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أجج</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السادة المتّقين،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وفي التبيان،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تجوّز لهذه الأمّة عن نسيانها وما حدّثت به أنفسها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وقريب منه في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2040</w:t>
      </w:r>
      <w:r>
        <w:rPr>
          <w:rFonts w:ascii="IRNazanin" w:hAnsi="IRNazanin" w:eastAsia="IRNazanin"/>
          <w:b w:val="false"/>
          <w:b w:val="false"/>
          <w:bCs w:val="false"/>
          <w:i w:val="false"/>
          <w:i w:val="false"/>
          <w:iCs w:val="false"/>
          <w:color w:val="333333"/>
          <w:sz w:val="20"/>
          <w:sz w:val="20"/>
          <w:szCs w:val="20"/>
          <w:rtl w:val="true"/>
        </w:rPr>
        <w:t xml:space="preserve">؛ وسنن النسائي،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باب من طلّق في نفسه</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والمختصر النافع،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والعلّامة في 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وتحرير الأحكام الشرعيّة،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والشهيد في اللمعة الدمشقية،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فهد في المهذّب البارع،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والكيذري في إصباح الشيعة،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وابن سعيد في الجامع للشرائع،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مفتاح الكرامة،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مَعَكَ الأديم ونحوه في 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دلكه ذلكاً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878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معك</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باب المني والمذي يُصيبان الثوب والجسد</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باب الأواني يكون فيها الخمر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انتقعا في الماء النجس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نقعا في النجس</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واعلم أنّه يظهر من كلام الشيخ في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أنّ هذه المسألة ليست بإجماعيّة،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الميّت نجس، وللشافعي فيه 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مثل ما قلناه وبه قال الأوزاعي وأبو العبّاس من أصحابه وهو مذهب أبي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طاهر، وبه قال أبو إسحاق وأبو بكر الصيرفي من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 الفرقة</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باب غسل من غسل الميّت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باب الكلب يصيب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باب أكيل السبع والطير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وحكاه عنه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رواية أيوب بن نوح</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جَعَلَ عَلَيْكُمْ فِي الدِّينِ مِنْ 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وبالنبوي المعروف المروي في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الشفعة،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الضرار،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 xml:space="preserve">؛ وللمزيد راجع 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الشيهد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الالتباس الورقة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خبري الحلبي وإبراهيم بن ميمون</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تمهيد القواعد،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تتعدى النجاسة مع اليبوسة وهو منصوص في الكلب والخنزير والكافر؛ والنصّ ورد في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باب الكلب يُصيب الثوب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قول السيّد شرف الدين السمّاكي العالم المعاصر للشهيد الثاني الذي يعبّر عنه الشهيد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دام شرفه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ونحوهما، والظاهر أنّ هذه الرسالة أجوبة وحواش ونقودٌ وتوضيحاتٌ لمكتوب كتبه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ويُعبّر الشهيد عن هذه الرسالة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والكلام على باقي مقاصد المسألة وتضاعيف الكلام عليها من الطرفين خارج عن مطلبنا في هذه الحاشية، واللّه الموفّق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وسمّاها الشهيد نفسه في نسخة الأصل بخطه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جواب المسائل النجفيّة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والسيّد السائل هو شرف الدين السمّاكي سائل المسائل الثلاث في الرسالة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العودي تلميذ الشهيد مشيراً إلى سفر الشهيد إلى العراق لزيارة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 وزار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مستعجلاً ورجع، واجتمع عليه فضلاء العراق، وكان منهم السيّد شرف الدين السماك العجمي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تلامذة المرحوم الشيخ عليّ بن عبد العالي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بعد رجوعه إلى البلاد جاء منه سؤالات ومباحث وإيرادات، فأجابه عنها بما تقتضيه الحال، وحقّق فيها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انظر ترجمته في إحياء الدائر من القرن العاشر،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ورياض العلماء،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6412</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والعلّامة في 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3148</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رسالة الخيار، ضمن رسائل المحقّق الكركي،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6412</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6412</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أُضيف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عدة أسطر</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أبواب الخيار،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الخيار، ضمن رسائل المحقّق الكركي،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أيد القول بانتظار ثلاثة أشهر</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باب طلاق الغائب،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طلاق الغائب،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4770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كلمة لم تقرأ</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أبواب مقدمات الطلاق،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بالخبرين صحيحة محمد بن مسلم المروي في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باب طلاق الغائب،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1038</w:t>
      </w:r>
      <w:r>
        <w:rPr>
          <w:rFonts w:ascii="IRNazanin" w:hAnsi="IRNazanin" w:eastAsia="IRNazanin"/>
          <w:b w:val="false"/>
          <w:b w:val="false"/>
          <w:bCs w:val="false"/>
          <w:i w:val="false"/>
          <w:i w:val="false"/>
          <w:iCs w:val="false"/>
          <w:color w:val="333333"/>
          <w:sz w:val="20"/>
          <w:sz w:val="20"/>
          <w:szCs w:val="20"/>
          <w:rtl w:val="true"/>
        </w:rPr>
        <w:t xml:space="preserve">؛ وصحيحة إسماعيل الجعفي المروي في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16115</w:t>
      </w:r>
      <w:r>
        <w:rPr>
          <w:rFonts w:ascii="IRNazanin" w:hAnsi="IRNazanin" w:eastAsia="IRNazanin"/>
          <w:b w:val="false"/>
          <w:b w:val="false"/>
          <w:bCs w:val="false"/>
          <w:i w:val="false"/>
          <w:i w:val="false"/>
          <w:iCs w:val="false"/>
          <w:color w:val="333333"/>
          <w:sz w:val="20"/>
          <w:sz w:val="20"/>
          <w:szCs w:val="20"/>
          <w:rtl w:val="true"/>
        </w:rPr>
        <w:t xml:space="preserve">؛ وفي هذا المعني أخبار أخر راجع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أبواب مقدمات الطلاق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أبواب مقدمات الطلاق،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باب إذا سلّم واحد من الجماعة أجزأهم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باب إذا سلّم واحد من الجماعة أجزأهم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أبواب قواطع الصلاة،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باب حقّ المؤمن على أخيه وأداء حقّه،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صدر المسألة</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عنه في 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أبواب قواطع الصلاة،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العلّامة في 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باب من سها في الأربع ولم يدر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رسالة نتائج الأفكار في بيان حكم المقيمين في الأسفار المطبوعة في هذا الجزء</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أبواب صلاة المسافر،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يُورد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والخبر في نقله لكلام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قوله تعالى في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ضَرَبْتُمْ فِي الْأَرْضِ فَلَيْسَ عَلَيْكُمْ جُنَاحٌ أَن تَقْصُرُوا مِنَ الصَّلَوَاةِ</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من الخبر خبر غياث بن إبراهيم المرويّ في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أبواب صلاة المسافر،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الرسالة الجعفرية، ضمن رسائل المحقّق الكركي،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رسالة في خروج المقيم عن حدود البلد، ضمن رسائل المحقّق الكركي،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الألفيّة،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وفيها أو تيقّنهما والشكّ في اللاحق</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المفيد في المقنعة،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الوسيلة،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المفيد في المقنعة، ص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الشيخ إبراهيم بن سليمان القطيفي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روضات الجنات،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الدائر من القرن العاشر،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ولعلّ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بأنه ناقل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بأنها ناقلة</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تقرأ</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القائلين ببطلان البيع في ما لو باع مالاً لغيره من غير ولاية 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وفخر المحقّقين في 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كخبر عروة البارقي المرويّ في مستدرك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أبواب عقد البيع وشروطه،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3384</w:t>
      </w:r>
      <w:r>
        <w:rPr>
          <w:rFonts w:ascii="IRNazanin" w:hAnsi="IRNazanin" w:eastAsia="IRNazanin"/>
          <w:b w:val="false"/>
          <w:b w:val="false"/>
          <w:bCs w:val="false"/>
          <w:i w:val="false"/>
          <w:i w:val="false"/>
          <w:iCs w:val="false"/>
          <w:color w:val="333333"/>
          <w:sz w:val="20"/>
          <w:sz w:val="20"/>
          <w:szCs w:val="20"/>
          <w:rtl w:val="true"/>
        </w:rPr>
        <w:t xml:space="preserve">؛ وللمزيد راجع جواهر الکلام،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القائلين بأنّ الإجازة كاشفة الشهيد في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والفاضل المقداد في التنقيح الرائع،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صدر المسألة،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6195</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صدر المسألة،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العلّامة في كلامه الذي تقدّم في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العلّامة في كلامه الذي تقدّم في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6195</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المحقّق في شرائع الإسلام</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غوامض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وانظر أيضاً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الشيخ في التبيان،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والقرطبي في الجامع لأحكام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الشيخ في التبيان،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العبّاس المبرّد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واختاره إسماعيل بن إسحاق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 الآية دليلاً على أن للبنيتن الثلثين؛ لأنه إذا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للذكر مثل حظ الأُنثيين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أوّل العدد ذكراً وأُنثى، للذكر الثلثان وللأنثى الثلث، علم من ذلك أن للبنتين الثلثين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image" Target="media/image3.jpeg"/><Relationship Id="rId31" Type="http://schemas.openxmlformats.org/officeDocument/2006/relationships/image" Target="media/image3.jpeg"/><Relationship Id="rId32" Type="http://schemas.openxmlformats.org/officeDocument/2006/relationships/footer" Target="footer25.xml"/><Relationship Id="rId33" Type="http://schemas.openxmlformats.org/officeDocument/2006/relationships/image" Target="media/image4.jpeg"/><Relationship Id="rId34" Type="http://schemas.openxmlformats.org/officeDocument/2006/relationships/image" Target="media/image4.jpeg"/><Relationship Id="rId35" Type="http://schemas.openxmlformats.org/officeDocument/2006/relationships/footer" Target="footer26.xml"/><Relationship Id="rId36" Type="http://schemas.openxmlformats.org/officeDocument/2006/relationships/image" Target="media/image5.jpeg"/><Relationship Id="rId37" Type="http://schemas.openxmlformats.org/officeDocument/2006/relationships/image" Target="media/image5.jpeg"/><Relationship Id="rId38" Type="http://schemas.openxmlformats.org/officeDocument/2006/relationships/footer" Target="footer27.xml"/><Relationship Id="rId39" Type="http://schemas.openxmlformats.org/officeDocument/2006/relationships/image" Target="media/image6.jpeg"/><Relationship Id="rId40" Type="http://schemas.openxmlformats.org/officeDocument/2006/relationships/image" Target="media/image6.jpeg"/><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footer" Target="footer241.xml"/><Relationship Id="rId255" Type="http://schemas.openxmlformats.org/officeDocument/2006/relationships/footer" Target="footer242.xml"/><Relationship Id="rId256" Type="http://schemas.openxmlformats.org/officeDocument/2006/relationships/footer" Target="footer243.xml"/><Relationship Id="rId257" Type="http://schemas.openxmlformats.org/officeDocument/2006/relationships/footer" Target="footer244.xml"/><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footer" Target="footer247.xml"/><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footer" Target="footer253.xml"/><Relationship Id="rId267" Type="http://schemas.openxmlformats.org/officeDocument/2006/relationships/footer" Target="footer254.xml"/><Relationship Id="rId268" Type="http://schemas.openxmlformats.org/officeDocument/2006/relationships/footer" Target="footer255.xml"/><Relationship Id="rId269" Type="http://schemas.openxmlformats.org/officeDocument/2006/relationships/footer" Target="footer256.xml"/><Relationship Id="rId270" Type="http://schemas.openxmlformats.org/officeDocument/2006/relationships/footer" Target="footer257.xml"/><Relationship Id="rId271" Type="http://schemas.openxmlformats.org/officeDocument/2006/relationships/footer" Target="footer258.xml"/><Relationship Id="rId272" Type="http://schemas.openxmlformats.org/officeDocument/2006/relationships/footer" Target="footer259.xml"/><Relationship Id="rId273" Type="http://schemas.openxmlformats.org/officeDocument/2006/relationships/footer" Target="footer260.xml"/><Relationship Id="rId274" Type="http://schemas.openxmlformats.org/officeDocument/2006/relationships/footer" Target="footer261.xml"/><Relationship Id="rId275" Type="http://schemas.openxmlformats.org/officeDocument/2006/relationships/footer" Target="footer262.xml"/><Relationship Id="rId276" Type="http://schemas.openxmlformats.org/officeDocument/2006/relationships/footer" Target="footer263.xml"/><Relationship Id="rId277" Type="http://schemas.openxmlformats.org/officeDocument/2006/relationships/footer" Target="footer264.xml"/><Relationship Id="rId278" Type="http://schemas.openxmlformats.org/officeDocument/2006/relationships/footer" Target="footer265.xml"/><Relationship Id="rId279" Type="http://schemas.openxmlformats.org/officeDocument/2006/relationships/footer" Target="footer266.xml"/><Relationship Id="rId280" Type="http://schemas.openxmlformats.org/officeDocument/2006/relationships/footer" Target="footer267.xml"/><Relationship Id="rId281" Type="http://schemas.openxmlformats.org/officeDocument/2006/relationships/footer" Target="footer268.xml"/><Relationship Id="rId282" Type="http://schemas.openxmlformats.org/officeDocument/2006/relationships/footer" Target="footer269.xml"/><Relationship Id="rId283" Type="http://schemas.openxmlformats.org/officeDocument/2006/relationships/footer" Target="footer270.xml"/><Relationship Id="rId284" Type="http://schemas.openxmlformats.org/officeDocument/2006/relationships/footer" Target="footer271.xml"/><Relationship Id="rId285" Type="http://schemas.openxmlformats.org/officeDocument/2006/relationships/footer" Target="footer272.xml"/><Relationship Id="rId286" Type="http://schemas.openxmlformats.org/officeDocument/2006/relationships/footer" Target="footer273.xml"/><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footer" Target="footer279.xml"/><Relationship Id="rId293" Type="http://schemas.openxmlformats.org/officeDocument/2006/relationships/footer" Target="footer280.xml"/><Relationship Id="rId294" Type="http://schemas.openxmlformats.org/officeDocument/2006/relationships/footer" Target="footer281.xml"/><Relationship Id="rId295" Type="http://schemas.openxmlformats.org/officeDocument/2006/relationships/footer" Target="footer282.xml"/><Relationship Id="rId296" Type="http://schemas.openxmlformats.org/officeDocument/2006/relationships/footer" Target="footer283.xml"/><Relationship Id="rId297" Type="http://schemas.openxmlformats.org/officeDocument/2006/relationships/footer" Target="footer284.xml"/><Relationship Id="rId298" Type="http://schemas.openxmlformats.org/officeDocument/2006/relationships/footer" Target="footer285.xml"/><Relationship Id="rId299" Type="http://schemas.openxmlformats.org/officeDocument/2006/relationships/footer" Target="footer286.xml"/><Relationship Id="rId300" Type="http://schemas.openxmlformats.org/officeDocument/2006/relationships/footer" Target="footer287.xml"/><Relationship Id="rId301" Type="http://schemas.openxmlformats.org/officeDocument/2006/relationships/footer" Target="footer288.xml"/><Relationship Id="rId302" Type="http://schemas.openxmlformats.org/officeDocument/2006/relationships/footer" Target="footer289.xml"/><Relationship Id="rId303" Type="http://schemas.openxmlformats.org/officeDocument/2006/relationships/footer" Target="footer290.xml"/><Relationship Id="rId304" Type="http://schemas.openxmlformats.org/officeDocument/2006/relationships/footer" Target="footer291.xml"/><Relationship Id="rId305" Type="http://schemas.openxmlformats.org/officeDocument/2006/relationships/footer" Target="footer292.xml"/><Relationship Id="rId306" Type="http://schemas.openxmlformats.org/officeDocument/2006/relationships/footer" Target="footer293.xml"/><Relationship Id="rId307" Type="http://schemas.openxmlformats.org/officeDocument/2006/relationships/footer" Target="footer294.xml"/><Relationship Id="rId308" Type="http://schemas.openxmlformats.org/officeDocument/2006/relationships/footer" Target="footer295.xml"/><Relationship Id="rId309" Type="http://schemas.openxmlformats.org/officeDocument/2006/relationships/footer" Target="footer296.xml"/><Relationship Id="rId310" Type="http://schemas.openxmlformats.org/officeDocument/2006/relationships/footer" Target="footer297.xml"/><Relationship Id="rId311" Type="http://schemas.openxmlformats.org/officeDocument/2006/relationships/footer" Target="footer298.xml"/><Relationship Id="rId312" Type="http://schemas.openxmlformats.org/officeDocument/2006/relationships/footer" Target="footer299.xml"/><Relationship Id="rId313" Type="http://schemas.openxmlformats.org/officeDocument/2006/relationships/footer" Target="footer300.xml"/><Relationship Id="rId314" Type="http://schemas.openxmlformats.org/officeDocument/2006/relationships/footer" Target="footer301.xml"/><Relationship Id="rId315" Type="http://schemas.openxmlformats.org/officeDocument/2006/relationships/footer" Target="footer302.xml"/><Relationship Id="rId316" Type="http://schemas.openxmlformats.org/officeDocument/2006/relationships/footer" Target="footer303.xml"/><Relationship Id="rId317" Type="http://schemas.openxmlformats.org/officeDocument/2006/relationships/footer" Target="footer304.xml"/><Relationship Id="rId318" Type="http://schemas.openxmlformats.org/officeDocument/2006/relationships/footer" Target="footer305.xml"/><Relationship Id="rId319" Type="http://schemas.openxmlformats.org/officeDocument/2006/relationships/footer" Target="footer306.xml"/><Relationship Id="rId320" Type="http://schemas.openxmlformats.org/officeDocument/2006/relationships/footer" Target="footer307.xml"/><Relationship Id="rId321" Type="http://schemas.openxmlformats.org/officeDocument/2006/relationships/footer" Target="footer308.xml"/><Relationship Id="rId322" Type="http://schemas.openxmlformats.org/officeDocument/2006/relationships/footer" Target="footer309.xml"/><Relationship Id="rId323" Type="http://schemas.openxmlformats.org/officeDocument/2006/relationships/footer" Target="footer310.xml"/><Relationship Id="rId324" Type="http://schemas.openxmlformats.org/officeDocument/2006/relationships/footer" Target="footer311.xml"/><Relationship Id="rId325" Type="http://schemas.openxmlformats.org/officeDocument/2006/relationships/footer" Target="footer312.xml"/><Relationship Id="rId326" Type="http://schemas.openxmlformats.org/officeDocument/2006/relationships/footer" Target="footer313.xml"/><Relationship Id="rId327" Type="http://schemas.openxmlformats.org/officeDocument/2006/relationships/footer" Target="footer314.xml"/><Relationship Id="rId328" Type="http://schemas.openxmlformats.org/officeDocument/2006/relationships/footer" Target="footer315.xml"/><Relationship Id="rId329" Type="http://schemas.openxmlformats.org/officeDocument/2006/relationships/footer" Target="footer316.xml"/><Relationship Id="rId330" Type="http://schemas.openxmlformats.org/officeDocument/2006/relationships/footer" Target="footer317.xml"/><Relationship Id="rId331" Type="http://schemas.openxmlformats.org/officeDocument/2006/relationships/footer" Target="footer318.xml"/><Relationship Id="rId332" Type="http://schemas.openxmlformats.org/officeDocument/2006/relationships/footer" Target="footer319.xml"/><Relationship Id="rId333" Type="http://schemas.openxmlformats.org/officeDocument/2006/relationships/footer" Target="footer320.xml"/><Relationship Id="rId334" Type="http://schemas.openxmlformats.org/officeDocument/2006/relationships/footer" Target="footer321.xml"/><Relationship Id="rId335" Type="http://schemas.openxmlformats.org/officeDocument/2006/relationships/footer" Target="footer322.xml"/><Relationship Id="rId336" Type="http://schemas.openxmlformats.org/officeDocument/2006/relationships/footer" Target="footer323.xml"/><Relationship Id="rId337" Type="http://schemas.openxmlformats.org/officeDocument/2006/relationships/footer" Target="footer324.xml"/><Relationship Id="rId338" Type="http://schemas.openxmlformats.org/officeDocument/2006/relationships/footer" Target="footer325.xml"/><Relationship Id="rId339" Type="http://schemas.openxmlformats.org/officeDocument/2006/relationships/footer" Target="footer326.xml"/><Relationship Id="rId340" Type="http://schemas.openxmlformats.org/officeDocument/2006/relationships/footer" Target="footer327.xml"/><Relationship Id="rId341" Type="http://schemas.openxmlformats.org/officeDocument/2006/relationships/footer" Target="footer328.xml"/><Relationship Id="rId342" Type="http://schemas.openxmlformats.org/officeDocument/2006/relationships/footer" Target="footer329.xml"/><Relationship Id="rId343" Type="http://schemas.openxmlformats.org/officeDocument/2006/relationships/footer" Target="footer330.xml"/><Relationship Id="rId344" Type="http://schemas.openxmlformats.org/officeDocument/2006/relationships/footer" Target="footer331.xml"/><Relationship Id="rId345" Type="http://schemas.openxmlformats.org/officeDocument/2006/relationships/footer" Target="footer332.xml"/><Relationship Id="rId346" Type="http://schemas.openxmlformats.org/officeDocument/2006/relationships/footer" Target="footer333.xml"/><Relationship Id="rId347" Type="http://schemas.openxmlformats.org/officeDocument/2006/relationships/footer" Target="footer334.xml"/><Relationship Id="rId348" Type="http://schemas.openxmlformats.org/officeDocument/2006/relationships/footer" Target="footer335.xml"/><Relationship Id="rId349" Type="http://schemas.openxmlformats.org/officeDocument/2006/relationships/footer" Target="footer336.xml"/><Relationship Id="rId350" Type="http://schemas.openxmlformats.org/officeDocument/2006/relationships/footer" Target="footer337.xml"/><Relationship Id="rId351" Type="http://schemas.openxmlformats.org/officeDocument/2006/relationships/footer" Target="footer338.xml"/><Relationship Id="rId352" Type="http://schemas.openxmlformats.org/officeDocument/2006/relationships/footer" Target="footer339.xml"/><Relationship Id="rId353" Type="http://schemas.openxmlformats.org/officeDocument/2006/relationships/footer" Target="footer340.xml"/><Relationship Id="rId354" Type="http://schemas.openxmlformats.org/officeDocument/2006/relationships/footer" Target="footer341.xml"/><Relationship Id="rId355" Type="http://schemas.openxmlformats.org/officeDocument/2006/relationships/footer" Target="footer342.xml"/><Relationship Id="rId356" Type="http://schemas.openxmlformats.org/officeDocument/2006/relationships/footer" Target="footer343.xml"/><Relationship Id="rId357" Type="http://schemas.openxmlformats.org/officeDocument/2006/relationships/footer" Target="footer344.xml"/><Relationship Id="rId358" Type="http://schemas.openxmlformats.org/officeDocument/2006/relationships/footer" Target="footer345.xml"/><Relationship Id="rId359" Type="http://schemas.openxmlformats.org/officeDocument/2006/relationships/footer" Target="footer346.xml"/><Relationship Id="rId360" Type="http://schemas.openxmlformats.org/officeDocument/2006/relationships/footer" Target="footer347.xml"/><Relationship Id="rId361" Type="http://schemas.openxmlformats.org/officeDocument/2006/relationships/footer" Target="footer348.xml"/><Relationship Id="rId362" Type="http://schemas.openxmlformats.org/officeDocument/2006/relationships/footer" Target="footer349.xml"/><Relationship Id="rId363" Type="http://schemas.openxmlformats.org/officeDocument/2006/relationships/footer" Target="footer350.xml"/><Relationship Id="rId364" Type="http://schemas.openxmlformats.org/officeDocument/2006/relationships/footer" Target="footer351.xml"/><Relationship Id="rId365" Type="http://schemas.openxmlformats.org/officeDocument/2006/relationships/footer" Target="footer352.xml"/><Relationship Id="rId366" Type="http://schemas.openxmlformats.org/officeDocument/2006/relationships/footer" Target="footer353.xml"/><Relationship Id="rId367" Type="http://schemas.openxmlformats.org/officeDocument/2006/relationships/footer" Target="footer354.xml"/><Relationship Id="rId368" Type="http://schemas.openxmlformats.org/officeDocument/2006/relationships/footer" Target="footer355.xml"/><Relationship Id="rId369" Type="http://schemas.openxmlformats.org/officeDocument/2006/relationships/footer" Target="footer356.xml"/><Relationship Id="rId370" Type="http://schemas.openxmlformats.org/officeDocument/2006/relationships/footer" Target="footer357.xml"/><Relationship Id="rId371" Type="http://schemas.openxmlformats.org/officeDocument/2006/relationships/footer" Target="footer358.xml"/><Relationship Id="rId372" Type="http://schemas.openxmlformats.org/officeDocument/2006/relationships/footer" Target="footer359.xml"/><Relationship Id="rId373" Type="http://schemas.openxmlformats.org/officeDocument/2006/relationships/footer" Target="footer360.xml"/><Relationship Id="rId374" Type="http://schemas.openxmlformats.org/officeDocument/2006/relationships/footer" Target="footer361.xml"/><Relationship Id="rId375" Type="http://schemas.openxmlformats.org/officeDocument/2006/relationships/footer" Target="footer362.xml"/><Relationship Id="rId376" Type="http://schemas.openxmlformats.org/officeDocument/2006/relationships/footer" Target="footer363.xml"/><Relationship Id="rId377" Type="http://schemas.openxmlformats.org/officeDocument/2006/relationships/footer" Target="footer364.xml"/><Relationship Id="rId378" Type="http://schemas.openxmlformats.org/officeDocument/2006/relationships/footer" Target="footer365.xml"/><Relationship Id="rId379" Type="http://schemas.openxmlformats.org/officeDocument/2006/relationships/footer" Target="footer366.xml"/><Relationship Id="rId380" Type="http://schemas.openxmlformats.org/officeDocument/2006/relationships/footer" Target="footer367.xml"/><Relationship Id="rId381" Type="http://schemas.openxmlformats.org/officeDocument/2006/relationships/footer" Target="footer368.xml"/><Relationship Id="rId382" Type="http://schemas.openxmlformats.org/officeDocument/2006/relationships/footer" Target="footer369.xml"/><Relationship Id="rId383" Type="http://schemas.openxmlformats.org/officeDocument/2006/relationships/footer" Target="footer370.xml"/><Relationship Id="rId384" Type="http://schemas.openxmlformats.org/officeDocument/2006/relationships/footer" Target="footer371.xml"/><Relationship Id="rId385" Type="http://schemas.openxmlformats.org/officeDocument/2006/relationships/footer" Target="footer372.xml"/><Relationship Id="rId386" Type="http://schemas.openxmlformats.org/officeDocument/2006/relationships/footer" Target="footer373.xml"/><Relationship Id="rId387" Type="http://schemas.openxmlformats.org/officeDocument/2006/relationships/footer" Target="footer374.xml"/><Relationship Id="rId388" Type="http://schemas.openxmlformats.org/officeDocument/2006/relationships/footer" Target="footer375.xml"/><Relationship Id="rId389" Type="http://schemas.openxmlformats.org/officeDocument/2006/relationships/footer" Target="footer376.xml"/><Relationship Id="rId390" Type="http://schemas.openxmlformats.org/officeDocument/2006/relationships/footer" Target="footer377.xml"/><Relationship Id="rId391" Type="http://schemas.openxmlformats.org/officeDocument/2006/relationships/footer" Target="footer378.xml"/><Relationship Id="rId392" Type="http://schemas.openxmlformats.org/officeDocument/2006/relationships/footer" Target="footer379.xml"/><Relationship Id="rId393" Type="http://schemas.openxmlformats.org/officeDocument/2006/relationships/footer" Target="footer380.xml"/><Relationship Id="rId394" Type="http://schemas.openxmlformats.org/officeDocument/2006/relationships/footer" Target="footer381.xml"/><Relationship Id="rId395" Type="http://schemas.openxmlformats.org/officeDocument/2006/relationships/footer" Target="footer382.xml"/><Relationship Id="rId396" Type="http://schemas.openxmlformats.org/officeDocument/2006/relationships/footer" Target="footer383.xml"/><Relationship Id="rId397" Type="http://schemas.openxmlformats.org/officeDocument/2006/relationships/footer" Target="footer384.xml"/><Relationship Id="rId398" Type="http://schemas.openxmlformats.org/officeDocument/2006/relationships/footer" Target="footer385.xml"/><Relationship Id="rId399" Type="http://schemas.openxmlformats.org/officeDocument/2006/relationships/footer" Target="footer386.xml"/><Relationship Id="rId400" Type="http://schemas.openxmlformats.org/officeDocument/2006/relationships/footer" Target="footer387.xml"/><Relationship Id="rId401" Type="http://schemas.openxmlformats.org/officeDocument/2006/relationships/footer" Target="footer388.xml"/><Relationship Id="rId402" Type="http://schemas.openxmlformats.org/officeDocument/2006/relationships/footer" Target="footer389.xml"/><Relationship Id="rId403" Type="http://schemas.openxmlformats.org/officeDocument/2006/relationships/footer" Target="footer390.xml"/><Relationship Id="rId404" Type="http://schemas.openxmlformats.org/officeDocument/2006/relationships/footer" Target="footer391.xml"/><Relationship Id="rId405" Type="http://schemas.openxmlformats.org/officeDocument/2006/relationships/footer" Target="footer392.xml"/><Relationship Id="rId406" Type="http://schemas.openxmlformats.org/officeDocument/2006/relationships/footer" Target="footer393.xml"/><Relationship Id="rId407" Type="http://schemas.openxmlformats.org/officeDocument/2006/relationships/footer" Target="footer394.xml"/><Relationship Id="rId408" Type="http://schemas.openxmlformats.org/officeDocument/2006/relationships/footer" Target="footer395.xml"/><Relationship Id="rId409" Type="http://schemas.openxmlformats.org/officeDocument/2006/relationships/footer" Target="footer396.xml"/><Relationship Id="rId410" Type="http://schemas.openxmlformats.org/officeDocument/2006/relationships/footer" Target="footer397.xml"/><Relationship Id="rId411" Type="http://schemas.openxmlformats.org/officeDocument/2006/relationships/footer" Target="footer398.xml"/><Relationship Id="rId412" Type="http://schemas.openxmlformats.org/officeDocument/2006/relationships/footer" Target="footer399.xml"/><Relationship Id="rId413" Type="http://schemas.openxmlformats.org/officeDocument/2006/relationships/footer" Target="footer400.xml"/><Relationship Id="rId414" Type="http://schemas.openxmlformats.org/officeDocument/2006/relationships/footer" Target="footer401.xml"/><Relationship Id="rId415" Type="http://schemas.openxmlformats.org/officeDocument/2006/relationships/footer" Target="footer402.xml"/><Relationship Id="rId416" Type="http://schemas.openxmlformats.org/officeDocument/2006/relationships/footer" Target="footer403.xml"/><Relationship Id="rId417" Type="http://schemas.openxmlformats.org/officeDocument/2006/relationships/footer" Target="footer404.xml"/><Relationship Id="rId418" Type="http://schemas.openxmlformats.org/officeDocument/2006/relationships/footer" Target="footer405.xml"/><Relationship Id="rId419" Type="http://schemas.openxmlformats.org/officeDocument/2006/relationships/footer" Target="footer406.xml"/><Relationship Id="rId420" Type="http://schemas.openxmlformats.org/officeDocument/2006/relationships/footer" Target="footer407.xml"/><Relationship Id="rId421" Type="http://schemas.openxmlformats.org/officeDocument/2006/relationships/footer" Target="footer408.xml"/><Relationship Id="rId422" Type="http://schemas.openxmlformats.org/officeDocument/2006/relationships/footer" Target="footer409.xml"/><Relationship Id="rId423" Type="http://schemas.openxmlformats.org/officeDocument/2006/relationships/footer" Target="footer410.xml"/><Relationship Id="rId424" Type="http://schemas.openxmlformats.org/officeDocument/2006/relationships/footer" Target="footer411.xml"/><Relationship Id="rId425" Type="http://schemas.openxmlformats.org/officeDocument/2006/relationships/footer" Target="footer412.xml"/><Relationship Id="rId426" Type="http://schemas.openxmlformats.org/officeDocument/2006/relationships/footer" Target="footer413.xml"/><Relationship Id="rId427" Type="http://schemas.openxmlformats.org/officeDocument/2006/relationships/footer" Target="footer414.xml"/><Relationship Id="rId428" Type="http://schemas.openxmlformats.org/officeDocument/2006/relationships/footer" Target="footer415.xml"/><Relationship Id="rId429" Type="http://schemas.openxmlformats.org/officeDocument/2006/relationships/footer" Target="footer416.xml"/><Relationship Id="rId430" Type="http://schemas.openxmlformats.org/officeDocument/2006/relationships/footer" Target="footer417.xml"/><Relationship Id="rId431" Type="http://schemas.openxmlformats.org/officeDocument/2006/relationships/footer" Target="footer418.xml"/><Relationship Id="rId432" Type="http://schemas.openxmlformats.org/officeDocument/2006/relationships/footer" Target="footer419.xml"/><Relationship Id="rId433" Type="http://schemas.openxmlformats.org/officeDocument/2006/relationships/footer" Target="footer420.xml"/><Relationship Id="rId434" Type="http://schemas.openxmlformats.org/officeDocument/2006/relationships/footer" Target="footer421.xml"/><Relationship Id="rId435" Type="http://schemas.openxmlformats.org/officeDocument/2006/relationships/footer" Target="footer422.xml"/><Relationship Id="rId436" Type="http://schemas.openxmlformats.org/officeDocument/2006/relationships/footer" Target="footer423.xml"/><Relationship Id="rId437" Type="http://schemas.openxmlformats.org/officeDocument/2006/relationships/footer" Target="footer424.xml"/><Relationship Id="rId438" Type="http://schemas.openxmlformats.org/officeDocument/2006/relationships/footer" Target="footer425.xml"/><Relationship Id="rId439" Type="http://schemas.openxmlformats.org/officeDocument/2006/relationships/footer" Target="footer426.xml"/><Relationship Id="rId440" Type="http://schemas.openxmlformats.org/officeDocument/2006/relationships/footer" Target="footer427.xml"/><Relationship Id="rId441" Type="http://schemas.openxmlformats.org/officeDocument/2006/relationships/footer" Target="footer428.xml"/><Relationship Id="rId442" Type="http://schemas.openxmlformats.org/officeDocument/2006/relationships/footer" Target="footer429.xml"/><Relationship Id="rId443" Type="http://schemas.openxmlformats.org/officeDocument/2006/relationships/footer" Target="footer430.xml"/><Relationship Id="rId444" Type="http://schemas.openxmlformats.org/officeDocument/2006/relationships/footer" Target="footer431.xml"/><Relationship Id="rId445" Type="http://schemas.openxmlformats.org/officeDocument/2006/relationships/footer" Target="footer432.xml"/><Relationship Id="rId446" Type="http://schemas.openxmlformats.org/officeDocument/2006/relationships/footer" Target="footer433.xml"/><Relationship Id="rId447" Type="http://schemas.openxmlformats.org/officeDocument/2006/relationships/footer" Target="footer434.xml"/><Relationship Id="rId448" Type="http://schemas.openxmlformats.org/officeDocument/2006/relationships/footer" Target="footer435.xml"/><Relationship Id="rId449" Type="http://schemas.openxmlformats.org/officeDocument/2006/relationships/footer" Target="footer436.xml"/><Relationship Id="rId450" Type="http://schemas.openxmlformats.org/officeDocument/2006/relationships/footer" Target="footer437.xml"/><Relationship Id="rId451" Type="http://schemas.openxmlformats.org/officeDocument/2006/relationships/footer" Target="footer438.xml"/><Relationship Id="rId452" Type="http://schemas.openxmlformats.org/officeDocument/2006/relationships/footer" Target="footer439.xml"/><Relationship Id="rId453" Type="http://schemas.openxmlformats.org/officeDocument/2006/relationships/footer" Target="footer440.xml"/><Relationship Id="rId454" Type="http://schemas.openxmlformats.org/officeDocument/2006/relationships/footer" Target="footer441.xml"/><Relationship Id="rId455" Type="http://schemas.openxmlformats.org/officeDocument/2006/relationships/footer" Target="footer442.xml"/><Relationship Id="rId456" Type="http://schemas.openxmlformats.org/officeDocument/2006/relationships/footer" Target="footer443.xml"/><Relationship Id="rId457" Type="http://schemas.openxmlformats.org/officeDocument/2006/relationships/footer" Target="footer444.xml"/><Relationship Id="rId458" Type="http://schemas.openxmlformats.org/officeDocument/2006/relationships/footer" Target="footer445.xml"/><Relationship Id="rId459" Type="http://schemas.openxmlformats.org/officeDocument/2006/relationships/footer" Target="footer446.xml"/><Relationship Id="rId460" Type="http://schemas.openxmlformats.org/officeDocument/2006/relationships/footer" Target="footer447.xml"/><Relationship Id="rId461" Type="http://schemas.openxmlformats.org/officeDocument/2006/relationships/footer" Target="footer448.xml"/><Relationship Id="rId462" Type="http://schemas.openxmlformats.org/officeDocument/2006/relationships/footer" Target="footer449.xml"/><Relationship Id="rId463" Type="http://schemas.openxmlformats.org/officeDocument/2006/relationships/footer" Target="footer450.xml"/><Relationship Id="rId464" Type="http://schemas.openxmlformats.org/officeDocument/2006/relationships/footer" Target="footer451.xml"/><Relationship Id="rId465" Type="http://schemas.openxmlformats.org/officeDocument/2006/relationships/footer" Target="footer452.xml"/><Relationship Id="rId466" Type="http://schemas.openxmlformats.org/officeDocument/2006/relationships/footer" Target="footer453.xml"/><Relationship Id="rId467" Type="http://schemas.openxmlformats.org/officeDocument/2006/relationships/footer" Target="footer454.xml"/><Relationship Id="rId468" Type="http://schemas.openxmlformats.org/officeDocument/2006/relationships/footer" Target="footer455.xml"/><Relationship Id="rId469" Type="http://schemas.openxmlformats.org/officeDocument/2006/relationships/footer" Target="footer456.xml"/><Relationship Id="rId470" Type="http://schemas.openxmlformats.org/officeDocument/2006/relationships/footer" Target="footer457.xml"/><Relationship Id="rId471" Type="http://schemas.openxmlformats.org/officeDocument/2006/relationships/footer" Target="footer458.xml"/><Relationship Id="rId472" Type="http://schemas.openxmlformats.org/officeDocument/2006/relationships/footer" Target="footer459.xml"/><Relationship Id="rId473" Type="http://schemas.openxmlformats.org/officeDocument/2006/relationships/footer" Target="footer460.xml"/><Relationship Id="rId474" Type="http://schemas.openxmlformats.org/officeDocument/2006/relationships/footer" Target="footer461.xml"/><Relationship Id="rId475" Type="http://schemas.openxmlformats.org/officeDocument/2006/relationships/footer" Target="footer462.xml"/><Relationship Id="rId476" Type="http://schemas.openxmlformats.org/officeDocument/2006/relationships/footer" Target="footer463.xml"/><Relationship Id="rId477" Type="http://schemas.openxmlformats.org/officeDocument/2006/relationships/footer" Target="footer464.xml"/><Relationship Id="rId478" Type="http://schemas.openxmlformats.org/officeDocument/2006/relationships/footer" Target="footer465.xml"/><Relationship Id="rId479" Type="http://schemas.openxmlformats.org/officeDocument/2006/relationships/footer" Target="footer466.xml"/><Relationship Id="rId480" Type="http://schemas.openxmlformats.org/officeDocument/2006/relationships/footer" Target="footer467.xml"/><Relationship Id="rId481" Type="http://schemas.openxmlformats.org/officeDocument/2006/relationships/footer" Target="footer468.xml"/><Relationship Id="rId482" Type="http://schemas.openxmlformats.org/officeDocument/2006/relationships/footer" Target="footer469.xml"/><Relationship Id="rId483" Type="http://schemas.openxmlformats.org/officeDocument/2006/relationships/footer" Target="footer470.xml"/><Relationship Id="rId484" Type="http://schemas.openxmlformats.org/officeDocument/2006/relationships/footer" Target="footer471.xml"/><Relationship Id="rId485" Type="http://schemas.openxmlformats.org/officeDocument/2006/relationships/footer" Target="footer472.xml"/><Relationship Id="rId486" Type="http://schemas.openxmlformats.org/officeDocument/2006/relationships/footer" Target="footer473.xml"/><Relationship Id="rId487" Type="http://schemas.openxmlformats.org/officeDocument/2006/relationships/footer" Target="footer474.xml"/><Relationship Id="rId488" Type="http://schemas.openxmlformats.org/officeDocument/2006/relationships/footer" Target="footer475.xml"/><Relationship Id="rId489" Type="http://schemas.openxmlformats.org/officeDocument/2006/relationships/footer" Target="footer476.xml"/><Relationship Id="rId490" Type="http://schemas.openxmlformats.org/officeDocument/2006/relationships/footer" Target="footer477.xml"/><Relationship Id="rId491" Type="http://schemas.openxmlformats.org/officeDocument/2006/relationships/footer" Target="footer478.xml"/><Relationship Id="rId492" Type="http://schemas.openxmlformats.org/officeDocument/2006/relationships/footer" Target="footer479.xml"/><Relationship Id="rId493" Type="http://schemas.openxmlformats.org/officeDocument/2006/relationships/footer" Target="footer480.xml"/><Relationship Id="rId494" Type="http://schemas.openxmlformats.org/officeDocument/2006/relationships/footer" Target="footer481.xml"/><Relationship Id="rId495" Type="http://schemas.openxmlformats.org/officeDocument/2006/relationships/footer" Target="footer482.xml"/><Relationship Id="rId496" Type="http://schemas.openxmlformats.org/officeDocument/2006/relationships/footer" Target="footer483.xml"/><Relationship Id="rId497" Type="http://schemas.openxmlformats.org/officeDocument/2006/relationships/footer" Target="footer484.xml"/><Relationship Id="rId498" Type="http://schemas.openxmlformats.org/officeDocument/2006/relationships/footer" Target="footer485.xml"/><Relationship Id="rId499" Type="http://schemas.openxmlformats.org/officeDocument/2006/relationships/footer" Target="footer486.xml"/><Relationship Id="rId500" Type="http://schemas.openxmlformats.org/officeDocument/2006/relationships/footer" Target="footer487.xml"/><Relationship Id="rId501" Type="http://schemas.openxmlformats.org/officeDocument/2006/relationships/footer" Target="footer488.xml"/><Relationship Id="rId502" Type="http://schemas.openxmlformats.org/officeDocument/2006/relationships/footer" Target="footer489.xml"/><Relationship Id="rId503" Type="http://schemas.openxmlformats.org/officeDocument/2006/relationships/footer" Target="footer490.xml"/><Relationship Id="rId504" Type="http://schemas.openxmlformats.org/officeDocument/2006/relationships/footer" Target="footer491.xml"/><Relationship Id="rId505" Type="http://schemas.openxmlformats.org/officeDocument/2006/relationships/footer" Target="footer492.xml"/><Relationship Id="rId506" Type="http://schemas.openxmlformats.org/officeDocument/2006/relationships/footer" Target="footer493.xml"/><Relationship Id="rId507" Type="http://schemas.openxmlformats.org/officeDocument/2006/relationships/footer" Target="footer494.xml"/><Relationship Id="rId508" Type="http://schemas.openxmlformats.org/officeDocument/2006/relationships/footer" Target="footer495.xml"/><Relationship Id="rId509" Type="http://schemas.openxmlformats.org/officeDocument/2006/relationships/footer" Target="footer496.xml"/><Relationship Id="rId510" Type="http://schemas.openxmlformats.org/officeDocument/2006/relationships/footer" Target="footer497.xml"/><Relationship Id="rId511" Type="http://schemas.openxmlformats.org/officeDocument/2006/relationships/footer" Target="footer498.xml"/><Relationship Id="rId512" Type="http://schemas.openxmlformats.org/officeDocument/2006/relationships/footer" Target="footer499.xml"/><Relationship Id="rId513" Type="http://schemas.openxmlformats.org/officeDocument/2006/relationships/footer" Target="footer500.xml"/><Relationship Id="rId514" Type="http://schemas.openxmlformats.org/officeDocument/2006/relationships/footer" Target="footer501.xml"/><Relationship Id="rId515" Type="http://schemas.openxmlformats.org/officeDocument/2006/relationships/footer" Target="footer502.xml"/><Relationship Id="rId516" Type="http://schemas.openxmlformats.org/officeDocument/2006/relationships/footer" Target="footer503.xml"/><Relationship Id="rId517" Type="http://schemas.openxmlformats.org/officeDocument/2006/relationships/footer" Target="footer504.xml"/><Relationship Id="rId518" Type="http://schemas.openxmlformats.org/officeDocument/2006/relationships/footer" Target="footer505.xml"/><Relationship Id="rId519" Type="http://schemas.openxmlformats.org/officeDocument/2006/relationships/footer" Target="footer506.xml"/><Relationship Id="rId520" Type="http://schemas.openxmlformats.org/officeDocument/2006/relationships/footer" Target="footer507.xml"/><Relationship Id="rId521" Type="http://schemas.openxmlformats.org/officeDocument/2006/relationships/footer" Target="footer508.xml"/><Relationship Id="rId522" Type="http://schemas.openxmlformats.org/officeDocument/2006/relationships/footer" Target="footer509.xml"/><Relationship Id="rId523" Type="http://schemas.openxmlformats.org/officeDocument/2006/relationships/footer" Target="footer510.xml"/><Relationship Id="rId524" Type="http://schemas.openxmlformats.org/officeDocument/2006/relationships/footer" Target="footer511.xml"/><Relationship Id="rId525" Type="http://schemas.openxmlformats.org/officeDocument/2006/relationships/footer" Target="footer512.xml"/><Relationship Id="rId526" Type="http://schemas.openxmlformats.org/officeDocument/2006/relationships/footer" Target="footer513.xml"/><Relationship Id="rId527" Type="http://schemas.openxmlformats.org/officeDocument/2006/relationships/footer" Target="footer514.xml"/><Relationship Id="rId528" Type="http://schemas.openxmlformats.org/officeDocument/2006/relationships/footer" Target="footer515.xml"/><Relationship Id="rId529" Type="http://schemas.openxmlformats.org/officeDocument/2006/relationships/footer" Target="footer516.xml"/><Relationship Id="rId530" Type="http://schemas.openxmlformats.org/officeDocument/2006/relationships/footer" Target="footer517.xml"/><Relationship Id="rId531" Type="http://schemas.openxmlformats.org/officeDocument/2006/relationships/footer" Target="footer518.xml"/><Relationship Id="rId532" Type="http://schemas.openxmlformats.org/officeDocument/2006/relationships/footer" Target="footer519.xml"/><Relationship Id="rId533" Type="http://schemas.openxmlformats.org/officeDocument/2006/relationships/footer" Target="footer520.xml"/><Relationship Id="rId534" Type="http://schemas.openxmlformats.org/officeDocument/2006/relationships/footer" Target="footer521.xml"/><Relationship Id="rId535" Type="http://schemas.openxmlformats.org/officeDocument/2006/relationships/footer" Target="footer522.xml"/><Relationship Id="rId536" Type="http://schemas.openxmlformats.org/officeDocument/2006/relationships/footer" Target="footer523.xml"/><Relationship Id="rId537" Type="http://schemas.openxmlformats.org/officeDocument/2006/relationships/footer" Target="footer524.xml"/><Relationship Id="rId538" Type="http://schemas.openxmlformats.org/officeDocument/2006/relationships/footer" Target="footer525.xml"/><Relationship Id="rId539" Type="http://schemas.openxmlformats.org/officeDocument/2006/relationships/footer" Target="footer526.xml"/><Relationship Id="rId540" Type="http://schemas.openxmlformats.org/officeDocument/2006/relationships/footer" Target="footer527.xml"/><Relationship Id="rId541" Type="http://schemas.openxmlformats.org/officeDocument/2006/relationships/footer" Target="footer528.xml"/><Relationship Id="rId542" Type="http://schemas.openxmlformats.org/officeDocument/2006/relationships/footer" Target="footer529.xml"/><Relationship Id="rId543" Type="http://schemas.openxmlformats.org/officeDocument/2006/relationships/footer" Target="footer530.xml"/><Relationship Id="rId544" Type="http://schemas.openxmlformats.org/officeDocument/2006/relationships/footer" Target="footer531.xml"/><Relationship Id="rId545" Type="http://schemas.openxmlformats.org/officeDocument/2006/relationships/footer" Target="footer532.xml"/><Relationship Id="rId546" Type="http://schemas.openxmlformats.org/officeDocument/2006/relationships/footer" Target="footer533.xml"/><Relationship Id="rId547" Type="http://schemas.openxmlformats.org/officeDocument/2006/relationships/footer" Target="footer534.xml"/><Relationship Id="rId548" Type="http://schemas.openxmlformats.org/officeDocument/2006/relationships/footer" Target="footer535.xml"/><Relationship Id="rId549" Type="http://schemas.openxmlformats.org/officeDocument/2006/relationships/footer" Target="footer536.xml"/><Relationship Id="rId550" Type="http://schemas.openxmlformats.org/officeDocument/2006/relationships/footer" Target="footer537.xml"/><Relationship Id="rId551" Type="http://schemas.openxmlformats.org/officeDocument/2006/relationships/footer" Target="footer538.xml"/><Relationship Id="rId552" Type="http://schemas.openxmlformats.org/officeDocument/2006/relationships/footer" Target="footer539.xml"/><Relationship Id="rId553" Type="http://schemas.openxmlformats.org/officeDocument/2006/relationships/footer" Target="footer540.xml"/><Relationship Id="rId554" Type="http://schemas.openxmlformats.org/officeDocument/2006/relationships/footer" Target="footer541.xml"/><Relationship Id="rId555" Type="http://schemas.openxmlformats.org/officeDocument/2006/relationships/footer" Target="footer542.xml"/><Relationship Id="rId556" Type="http://schemas.openxmlformats.org/officeDocument/2006/relationships/footer" Target="footer543.xml"/><Relationship Id="rId557" Type="http://schemas.openxmlformats.org/officeDocument/2006/relationships/footer" Target="footer544.xml"/><Relationship Id="rId558" Type="http://schemas.openxmlformats.org/officeDocument/2006/relationships/footer" Target="footer545.xml"/><Relationship Id="rId559" Type="http://schemas.openxmlformats.org/officeDocument/2006/relationships/footer" Target="footer546.xml"/><Relationship Id="rId560" Type="http://schemas.openxmlformats.org/officeDocument/2006/relationships/footer" Target="footer547.xml"/><Relationship Id="rId561" Type="http://schemas.openxmlformats.org/officeDocument/2006/relationships/footer" Target="footer548.xml"/><Relationship Id="rId562" Type="http://schemas.openxmlformats.org/officeDocument/2006/relationships/footer" Target="footer549.xml"/><Relationship Id="rId563" Type="http://schemas.openxmlformats.org/officeDocument/2006/relationships/footer" Target="footer550.xml"/><Relationship Id="rId564" Type="http://schemas.openxmlformats.org/officeDocument/2006/relationships/footer" Target="footer551.xml"/><Relationship Id="rId565" Type="http://schemas.openxmlformats.org/officeDocument/2006/relationships/footer" Target="footer552.xml"/><Relationship Id="rId566" Type="http://schemas.openxmlformats.org/officeDocument/2006/relationships/footer" Target="footer553.xml"/><Relationship Id="rId567" Type="http://schemas.openxmlformats.org/officeDocument/2006/relationships/footer" Target="footer554.xml"/><Relationship Id="rId568" Type="http://schemas.openxmlformats.org/officeDocument/2006/relationships/footer" Target="footer555.xml"/><Relationship Id="rId569" Type="http://schemas.openxmlformats.org/officeDocument/2006/relationships/footer" Target="footer556.xml"/><Relationship Id="rId570" Type="http://schemas.openxmlformats.org/officeDocument/2006/relationships/footer" Target="footer557.xml"/><Relationship Id="rId571" Type="http://schemas.openxmlformats.org/officeDocument/2006/relationships/footer" Target="footer558.xml"/><Relationship Id="rId572" Type="http://schemas.openxmlformats.org/officeDocument/2006/relationships/footer" Target="footer559.xml"/><Relationship Id="rId573" Type="http://schemas.openxmlformats.org/officeDocument/2006/relationships/footer" Target="footer560.xml"/><Relationship Id="rId574" Type="http://schemas.openxmlformats.org/officeDocument/2006/relationships/footer" Target="footer561.xml"/><Relationship Id="rId575" Type="http://schemas.openxmlformats.org/officeDocument/2006/relationships/footer" Target="footer562.xml"/><Relationship Id="rId576" Type="http://schemas.openxmlformats.org/officeDocument/2006/relationships/footer" Target="footer563.xml"/><Relationship Id="rId577" Type="http://schemas.openxmlformats.org/officeDocument/2006/relationships/footer" Target="footer564.xml"/><Relationship Id="rId578" Type="http://schemas.openxmlformats.org/officeDocument/2006/relationships/footer" Target="footer565.xml"/><Relationship Id="rId579" Type="http://schemas.openxmlformats.org/officeDocument/2006/relationships/footer" Target="footer566.xml"/><Relationship Id="rId580" Type="http://schemas.openxmlformats.org/officeDocument/2006/relationships/footer" Target="footer567.xml"/><Relationship Id="rId581" Type="http://schemas.openxmlformats.org/officeDocument/2006/relationships/footer" Target="footer568.xml"/><Relationship Id="rId582" Type="http://schemas.openxmlformats.org/officeDocument/2006/relationships/footer" Target="footer569.xml"/><Relationship Id="rId583" Type="http://schemas.openxmlformats.org/officeDocument/2006/relationships/footer" Target="footer570.xml"/><Relationship Id="rId584" Type="http://schemas.openxmlformats.org/officeDocument/2006/relationships/footer" Target="footer571.xml"/><Relationship Id="rId585" Type="http://schemas.openxmlformats.org/officeDocument/2006/relationships/footer" Target="footer572.xml"/><Relationship Id="rId586" Type="http://schemas.openxmlformats.org/officeDocument/2006/relationships/footer" Target="footer573.xml"/><Relationship Id="rId587" Type="http://schemas.openxmlformats.org/officeDocument/2006/relationships/footer" Target="footer574.xml"/><Relationship Id="rId588" Type="http://schemas.openxmlformats.org/officeDocument/2006/relationships/footer" Target="footer575.xml"/><Relationship Id="rId589" Type="http://schemas.openxmlformats.org/officeDocument/2006/relationships/footer" Target="footer576.xml"/><Relationship Id="rId590" Type="http://schemas.openxmlformats.org/officeDocument/2006/relationships/footer" Target="footer577.xml"/><Relationship Id="rId591" Type="http://schemas.openxmlformats.org/officeDocument/2006/relationships/footer" Target="footer578.xml"/><Relationship Id="rId592" Type="http://schemas.openxmlformats.org/officeDocument/2006/relationships/footer" Target="footer579.xml"/><Relationship Id="rId593" Type="http://schemas.openxmlformats.org/officeDocument/2006/relationships/footer" Target="footer580.xml"/><Relationship Id="rId594" Type="http://schemas.openxmlformats.org/officeDocument/2006/relationships/footer" Target="footer581.xml"/><Relationship Id="rId595" Type="http://schemas.openxmlformats.org/officeDocument/2006/relationships/footer" Target="footer582.xml"/><Relationship Id="rId596" Type="http://schemas.openxmlformats.org/officeDocument/2006/relationships/footer" Target="footer583.xml"/><Relationship Id="rId597" Type="http://schemas.openxmlformats.org/officeDocument/2006/relationships/footer" Target="footer584.xml"/><Relationship Id="rId598" Type="http://schemas.openxmlformats.org/officeDocument/2006/relationships/footer" Target="footer585.xml"/><Relationship Id="rId599" Type="http://schemas.openxmlformats.org/officeDocument/2006/relationships/footer" Target="footer586.xml"/><Relationship Id="rId600" Type="http://schemas.openxmlformats.org/officeDocument/2006/relationships/footer" Target="footer587.xml"/><Relationship Id="rId601" Type="http://schemas.openxmlformats.org/officeDocument/2006/relationships/footer" Target="footer588.xml"/><Relationship Id="rId602" Type="http://schemas.openxmlformats.org/officeDocument/2006/relationships/footer" Target="footer589.xml"/><Relationship Id="rId603" Type="http://schemas.openxmlformats.org/officeDocument/2006/relationships/footer" Target="footer590.xml"/><Relationship Id="rId604" Type="http://schemas.openxmlformats.org/officeDocument/2006/relationships/footer" Target="footer591.xml"/><Relationship Id="rId605" Type="http://schemas.openxmlformats.org/officeDocument/2006/relationships/footer" Target="footer592.xml"/><Relationship Id="rId606" Type="http://schemas.openxmlformats.org/officeDocument/2006/relationships/footer" Target="footer593.xml"/><Relationship Id="rId607" Type="http://schemas.openxmlformats.org/officeDocument/2006/relationships/footer" Target="footer594.xml"/><Relationship Id="rId608" Type="http://schemas.openxmlformats.org/officeDocument/2006/relationships/footer" Target="footer595.xml"/><Relationship Id="rId609" Type="http://schemas.openxmlformats.org/officeDocument/2006/relationships/footer" Target="footer596.xml"/><Relationship Id="rId610" Type="http://schemas.openxmlformats.org/officeDocument/2006/relationships/footer" Target="footer597.xml"/><Relationship Id="rId611" Type="http://schemas.openxmlformats.org/officeDocument/2006/relationships/footer" Target="footer598.xml"/><Relationship Id="rId612" Type="http://schemas.openxmlformats.org/officeDocument/2006/relationships/footer" Target="footer599.xml"/><Relationship Id="rId613" Type="http://schemas.openxmlformats.org/officeDocument/2006/relationships/footer" Target="footer600.xml"/><Relationship Id="rId614" Type="http://schemas.openxmlformats.org/officeDocument/2006/relationships/footer" Target="footer601.xml"/><Relationship Id="rId615" Type="http://schemas.openxmlformats.org/officeDocument/2006/relationships/footer" Target="footer602.xml"/><Relationship Id="rId616" Type="http://schemas.openxmlformats.org/officeDocument/2006/relationships/footer" Target="footer603.xml"/><Relationship Id="rId617" Type="http://schemas.openxmlformats.org/officeDocument/2006/relationships/footer" Target="footer604.xml"/><Relationship Id="rId618" Type="http://schemas.openxmlformats.org/officeDocument/2006/relationships/footer" Target="footer605.xml"/><Relationship Id="rId619" Type="http://schemas.openxmlformats.org/officeDocument/2006/relationships/footer" Target="footer606.xml"/><Relationship Id="rId620" Type="http://schemas.openxmlformats.org/officeDocument/2006/relationships/footer" Target="footer607.xml"/><Relationship Id="rId621" Type="http://schemas.openxmlformats.org/officeDocument/2006/relationships/footer" Target="footer608.xml"/><Relationship Id="rId622" Type="http://schemas.openxmlformats.org/officeDocument/2006/relationships/footer" Target="footer609.xml"/><Relationship Id="rId623" Type="http://schemas.openxmlformats.org/officeDocument/2006/relationships/footer" Target="footer610.xml"/><Relationship Id="rId624" Type="http://schemas.openxmlformats.org/officeDocument/2006/relationships/footer" Target="footer611.xml"/><Relationship Id="rId625" Type="http://schemas.openxmlformats.org/officeDocument/2006/relationships/footer" Target="footer612.xml"/><Relationship Id="rId626" Type="http://schemas.openxmlformats.org/officeDocument/2006/relationships/footer" Target="footer613.xml"/><Relationship Id="rId627" Type="http://schemas.openxmlformats.org/officeDocument/2006/relationships/footer" Target="footer614.xml"/><Relationship Id="rId628" Type="http://schemas.openxmlformats.org/officeDocument/2006/relationships/footer" Target="footer615.xml"/><Relationship Id="rId629" Type="http://schemas.openxmlformats.org/officeDocument/2006/relationships/footer" Target="footer616.xml"/><Relationship Id="rId630" Type="http://schemas.openxmlformats.org/officeDocument/2006/relationships/footer" Target="footer617.xml"/><Relationship Id="rId631" Type="http://schemas.openxmlformats.org/officeDocument/2006/relationships/footer" Target="footer618.xml"/><Relationship Id="rId632" Type="http://schemas.openxmlformats.org/officeDocument/2006/relationships/footer" Target="footer619.xml"/><Relationship Id="rId633" Type="http://schemas.openxmlformats.org/officeDocument/2006/relationships/footer" Target="footer620.xml"/><Relationship Id="rId634" Type="http://schemas.openxmlformats.org/officeDocument/2006/relationships/footer" Target="footer621.xml"/><Relationship Id="rId635" Type="http://schemas.openxmlformats.org/officeDocument/2006/relationships/footer" Target="footer622.xml"/><Relationship Id="rId636" Type="http://schemas.openxmlformats.org/officeDocument/2006/relationships/footer" Target="footer623.xml"/><Relationship Id="rId637" Type="http://schemas.openxmlformats.org/officeDocument/2006/relationships/footer" Target="footer624.xml"/><Relationship Id="rId638" Type="http://schemas.openxmlformats.org/officeDocument/2006/relationships/footer" Target="footer625.xml"/><Relationship Id="rId639" Type="http://schemas.openxmlformats.org/officeDocument/2006/relationships/footer" Target="footer626.xml"/><Relationship Id="rId640" Type="http://schemas.openxmlformats.org/officeDocument/2006/relationships/footer" Target="footer627.xml"/><Relationship Id="rId641" Type="http://schemas.openxmlformats.org/officeDocument/2006/relationships/footer" Target="footer628.xml"/><Relationship Id="rId642" Type="http://schemas.openxmlformats.org/officeDocument/2006/relationships/footer" Target="footer629.xml"/><Relationship Id="rId643" Type="http://schemas.openxmlformats.org/officeDocument/2006/relationships/footer" Target="footer630.xml"/><Relationship Id="rId644" Type="http://schemas.openxmlformats.org/officeDocument/2006/relationships/footer" Target="footer631.xml"/><Relationship Id="rId645" Type="http://schemas.openxmlformats.org/officeDocument/2006/relationships/footer" Target="footer632.xml"/><Relationship Id="rId646" Type="http://schemas.openxmlformats.org/officeDocument/2006/relationships/footer" Target="footer633.xml"/><Relationship Id="rId647" Type="http://schemas.openxmlformats.org/officeDocument/2006/relationships/footer" Target="footer634.xml"/><Relationship Id="rId648" Type="http://schemas.openxmlformats.org/officeDocument/2006/relationships/footer" Target="footer635.xml"/><Relationship Id="rId649" Type="http://schemas.openxmlformats.org/officeDocument/2006/relationships/footer" Target="footer636.xml"/><Relationship Id="rId650" Type="http://schemas.openxmlformats.org/officeDocument/2006/relationships/footer" Target="footer637.xml"/><Relationship Id="rId651" Type="http://schemas.openxmlformats.org/officeDocument/2006/relationships/footer" Target="footer638.xml"/><Relationship Id="rId652" Type="http://schemas.openxmlformats.org/officeDocument/2006/relationships/footer" Target="footer639.xml"/><Relationship Id="rId653" Type="http://schemas.openxmlformats.org/officeDocument/2006/relationships/footer" Target="footer640.xml"/><Relationship Id="rId654" Type="http://schemas.openxmlformats.org/officeDocument/2006/relationships/footer" Target="footer641.xml"/><Relationship Id="rId655" Type="http://schemas.openxmlformats.org/officeDocument/2006/relationships/footer" Target="footer642.xml"/><Relationship Id="rId656" Type="http://schemas.openxmlformats.org/officeDocument/2006/relationships/footer" Target="footer643.xml"/><Relationship Id="rId657" Type="http://schemas.openxmlformats.org/officeDocument/2006/relationships/footer" Target="footer644.xml"/><Relationship Id="rId658" Type="http://schemas.openxmlformats.org/officeDocument/2006/relationships/image" Target="media/image2.jpeg"/><Relationship Id="rId659" Type="http://schemas.openxmlformats.org/officeDocument/2006/relationships/image" Target="media/image2.jpeg"/><Relationship Id="rId660" Type="http://schemas.openxmlformats.org/officeDocument/2006/relationships/footer" Target="footer645.xml"/><Relationship Id="rId661" Type="http://schemas.openxmlformats.org/officeDocument/2006/relationships/footnotes" Target="footnotes.xml"/><Relationship Id="rId662" Type="http://schemas.openxmlformats.org/officeDocument/2006/relationships/numbering" Target="numbering.xml"/><Relationship Id="rId663" Type="http://schemas.openxmlformats.org/officeDocument/2006/relationships/fontTable" Target="fontTable.xml"/><Relationship Id="rId664" Type="http://schemas.openxmlformats.org/officeDocument/2006/relationships/settings" Target="settings.xml"/><Relationship Id="rId6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654</Pages>
  <Words>71997</Words>
  <Characters>314950</Characters>
  <CharactersWithSpaces>385255</CharactersWithSpaces>
  <Paragraphs>2097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2026-08-20T23:13:22Z</dcterms:created>
  <dc:creator>ghaemiyeh.com</dc:creator>
  <dc:description/>
  <dc:language>en-US</dc:language>
  <cp:lastModifiedBy/>
  <dcterms:modified xsi:type="dcterms:W3CDTF">2026-08-21T02:43:43Z</dcterms:modified>
  <cp:revision>1</cp:revision>
  <dc:subject/>
  <dc:title>موسوعة الشهید الثانی جلد 3</dc:title>
</cp:coreProperties>
</file>

<file path=docProps/custom.xml><?xml version="1.0" encoding="utf-8"?>
<Properties xmlns="http://schemas.openxmlformats.org/officeDocument/2006/custom-properties" xmlns:vt="http://schemas.openxmlformats.org/officeDocument/2006/docPropsVTypes"/>
</file>