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truth as it is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28559_237004111">
            <w:r>
              <w:rPr>
                <w:webHidden/>
                <w:rStyle w:val="IndexLink"/>
              </w:rPr>
              <w:t>Book ID</w:t>
              <w:tab/>
              <w:t>4</w:t>
            </w:r>
          </w:hyperlink>
        </w:p>
        <w:p>
          <w:pPr>
            <w:pStyle w:val="Contents2"/>
            <w:tabs>
              <w:tab w:val="clear" w:pos="8743"/>
              <w:tab w:val="right" w:pos="9026" w:leader="dot"/>
            </w:tabs>
            <w:bidi w:val="0"/>
            <w:rPr/>
          </w:pPr>
          <w:hyperlink w:anchor="__RefHeading___Toc428561_237004111">
            <w:r>
              <w:rPr>
                <w:webHidden/>
                <w:rStyle w:val="IndexLink"/>
              </w:rPr>
              <w:t>Point</w:t>
              <w:tab/>
              <w:t>4</w:t>
            </w:r>
          </w:hyperlink>
        </w:p>
        <w:p>
          <w:pPr>
            <w:pStyle w:val="Contents2"/>
            <w:tabs>
              <w:tab w:val="clear" w:pos="8743"/>
              <w:tab w:val="right" w:pos="9026" w:leader="dot"/>
            </w:tabs>
            <w:bidi w:val="0"/>
            <w:rPr/>
          </w:pPr>
          <w:hyperlink w:anchor="__RefHeading___Toc428563_237004111">
            <w:r>
              <w:rPr>
                <w:webHidden/>
                <w:rStyle w:val="IndexLink"/>
              </w:rPr>
              <w:t>Publisher’s FOREWORD</w:t>
              <w:tab/>
              <w:t>8</w:t>
            </w:r>
          </w:hyperlink>
        </w:p>
        <w:p>
          <w:pPr>
            <w:pStyle w:val="Contents2"/>
            <w:tabs>
              <w:tab w:val="clear" w:pos="8743"/>
              <w:tab w:val="right" w:pos="9026" w:leader="dot"/>
            </w:tabs>
            <w:bidi w:val="0"/>
            <w:rPr/>
          </w:pPr>
          <w:hyperlink w:anchor="__RefHeading___Toc428565_237004111">
            <w:r>
              <w:rPr>
                <w:webHidden/>
                <w:rStyle w:val="IndexLink"/>
              </w:rPr>
              <w:t>The NEED for MUTUAL ACQUAINTANCE</w:t>
              <w:tab/>
              <w:t>10</w:t>
            </w:r>
          </w:hyperlink>
        </w:p>
        <w:p>
          <w:pPr>
            <w:pStyle w:val="Contents2"/>
            <w:tabs>
              <w:tab w:val="clear" w:pos="8743"/>
              <w:tab w:val="right" w:pos="9026" w:leader="dot"/>
            </w:tabs>
            <w:bidi w:val="0"/>
            <w:rPr/>
          </w:pPr>
          <w:hyperlink w:anchor="__RefHeading___Toc428567_237004111">
            <w:r>
              <w:rPr>
                <w:webHidden/>
                <w:rStyle w:val="IndexLink"/>
              </w:rPr>
              <w:t>THE IMªMITE JAFARIYYAH SH«AH</w:t>
              <w:tab/>
              <w:t>15</w:t>
            </w:r>
          </w:hyperlink>
        </w:p>
        <w:p>
          <w:pPr>
            <w:pStyle w:val="Contents3"/>
            <w:tabs>
              <w:tab w:val="clear" w:pos="8459"/>
              <w:tab w:val="right" w:pos="9026" w:leader="dot"/>
            </w:tabs>
            <w:bidi w:val="0"/>
            <w:rPr/>
          </w:pPr>
          <w:hyperlink w:anchor="__RefHeading___Toc428569_237004111">
            <w:r>
              <w:rPr>
                <w:webHidden/>
                <w:rStyle w:val="IndexLink"/>
              </w:rPr>
              <w:t>(1)</w:t>
              <w:tab/>
              <w:t>15</w:t>
            </w:r>
          </w:hyperlink>
        </w:p>
        <w:p>
          <w:pPr>
            <w:pStyle w:val="Contents3"/>
            <w:tabs>
              <w:tab w:val="clear" w:pos="8459"/>
              <w:tab w:val="right" w:pos="9026" w:leader="dot"/>
            </w:tabs>
            <w:bidi w:val="0"/>
            <w:rPr/>
          </w:pPr>
          <w:hyperlink w:anchor="__RefHeading___Toc428571_237004111">
            <w:r>
              <w:rPr>
                <w:webHidden/>
                <w:rStyle w:val="IndexLink"/>
              </w:rPr>
              <w:t>(2)</w:t>
              <w:tab/>
              <w:t>16</w:t>
            </w:r>
          </w:hyperlink>
        </w:p>
        <w:p>
          <w:pPr>
            <w:pStyle w:val="Contents3"/>
            <w:tabs>
              <w:tab w:val="clear" w:pos="8459"/>
              <w:tab w:val="right" w:pos="9026" w:leader="dot"/>
            </w:tabs>
            <w:bidi w:val="0"/>
            <w:rPr/>
          </w:pPr>
          <w:hyperlink w:anchor="__RefHeading___Toc428573_237004111">
            <w:r>
              <w:rPr>
                <w:webHidden/>
                <w:rStyle w:val="IndexLink"/>
              </w:rPr>
              <w:t>(3)</w:t>
              <w:tab/>
              <w:t>16</w:t>
            </w:r>
          </w:hyperlink>
        </w:p>
        <w:p>
          <w:pPr>
            <w:pStyle w:val="Contents3"/>
            <w:tabs>
              <w:tab w:val="clear" w:pos="8459"/>
              <w:tab w:val="right" w:pos="9026" w:leader="dot"/>
            </w:tabs>
            <w:bidi w:val="0"/>
            <w:rPr/>
          </w:pPr>
          <w:hyperlink w:anchor="__RefHeading___Toc428575_237004111">
            <w:r>
              <w:rPr>
                <w:webHidden/>
                <w:rStyle w:val="IndexLink"/>
              </w:rPr>
              <w:t>(4)</w:t>
              <w:tab/>
              <w:t>17</w:t>
            </w:r>
          </w:hyperlink>
        </w:p>
        <w:p>
          <w:pPr>
            <w:pStyle w:val="Contents3"/>
            <w:tabs>
              <w:tab w:val="clear" w:pos="8459"/>
              <w:tab w:val="right" w:pos="9026" w:leader="dot"/>
            </w:tabs>
            <w:bidi w:val="0"/>
            <w:rPr/>
          </w:pPr>
          <w:hyperlink w:anchor="__RefHeading___Toc428577_237004111">
            <w:r>
              <w:rPr>
                <w:webHidden/>
                <w:rStyle w:val="IndexLink"/>
              </w:rPr>
              <w:t>(5)</w:t>
              <w:tab/>
              <w:t>17</w:t>
            </w:r>
          </w:hyperlink>
        </w:p>
        <w:p>
          <w:pPr>
            <w:pStyle w:val="Contents3"/>
            <w:tabs>
              <w:tab w:val="clear" w:pos="8459"/>
              <w:tab w:val="right" w:pos="9026" w:leader="dot"/>
            </w:tabs>
            <w:bidi w:val="0"/>
            <w:rPr/>
          </w:pPr>
          <w:hyperlink w:anchor="__RefHeading___Toc428579_237004111">
            <w:r>
              <w:rPr>
                <w:webHidden/>
                <w:rStyle w:val="IndexLink"/>
              </w:rPr>
              <w:t>(6)</w:t>
              <w:tab/>
              <w:t>18</w:t>
            </w:r>
          </w:hyperlink>
        </w:p>
        <w:p>
          <w:pPr>
            <w:pStyle w:val="Contents3"/>
            <w:tabs>
              <w:tab w:val="clear" w:pos="8459"/>
              <w:tab w:val="right" w:pos="9026" w:leader="dot"/>
            </w:tabs>
            <w:bidi w:val="0"/>
            <w:rPr/>
          </w:pPr>
          <w:hyperlink w:anchor="__RefHeading___Toc428581_237004111">
            <w:r>
              <w:rPr>
                <w:webHidden/>
                <w:rStyle w:val="IndexLink"/>
              </w:rPr>
              <w:t>(7)</w:t>
              <w:tab/>
              <w:t>18</w:t>
            </w:r>
          </w:hyperlink>
        </w:p>
        <w:p>
          <w:pPr>
            <w:pStyle w:val="Contents3"/>
            <w:tabs>
              <w:tab w:val="clear" w:pos="8459"/>
              <w:tab w:val="right" w:pos="9026" w:leader="dot"/>
            </w:tabs>
            <w:bidi w:val="0"/>
            <w:rPr/>
          </w:pPr>
          <w:hyperlink w:anchor="__RefHeading___Toc428583_237004111">
            <w:r>
              <w:rPr>
                <w:webHidden/>
                <w:rStyle w:val="IndexLink"/>
              </w:rPr>
              <w:t>(8)</w:t>
              <w:tab/>
              <w:t>19</w:t>
            </w:r>
          </w:hyperlink>
        </w:p>
        <w:p>
          <w:pPr>
            <w:pStyle w:val="Contents3"/>
            <w:tabs>
              <w:tab w:val="clear" w:pos="8459"/>
              <w:tab w:val="right" w:pos="9026" w:leader="dot"/>
            </w:tabs>
            <w:bidi w:val="0"/>
            <w:rPr/>
          </w:pPr>
          <w:hyperlink w:anchor="__RefHeading___Toc428585_237004111">
            <w:r>
              <w:rPr>
                <w:webHidden/>
                <w:rStyle w:val="IndexLink"/>
              </w:rPr>
              <w:t>(9)</w:t>
              <w:tab/>
              <w:t>20</w:t>
            </w:r>
          </w:hyperlink>
        </w:p>
        <w:p>
          <w:pPr>
            <w:pStyle w:val="Contents3"/>
            <w:tabs>
              <w:tab w:val="clear" w:pos="8459"/>
              <w:tab w:val="right" w:pos="9026" w:leader="dot"/>
            </w:tabs>
            <w:bidi w:val="0"/>
            <w:rPr/>
          </w:pPr>
          <w:hyperlink w:anchor="__RefHeading___Toc428587_237004111">
            <w:r>
              <w:rPr>
                <w:webHidden/>
                <w:rStyle w:val="IndexLink"/>
              </w:rPr>
              <w:t>(10)</w:t>
              <w:tab/>
              <w:t>20</w:t>
            </w:r>
          </w:hyperlink>
        </w:p>
        <w:p>
          <w:pPr>
            <w:pStyle w:val="Contents3"/>
            <w:tabs>
              <w:tab w:val="clear" w:pos="8459"/>
              <w:tab w:val="right" w:pos="9026" w:leader="dot"/>
            </w:tabs>
            <w:bidi w:val="0"/>
            <w:rPr/>
          </w:pPr>
          <w:hyperlink w:anchor="__RefHeading___Toc428589_237004111">
            <w:r>
              <w:rPr>
                <w:webHidden/>
                <w:rStyle w:val="IndexLink"/>
              </w:rPr>
              <w:t>(11)</w:t>
              <w:tab/>
              <w:t>21</w:t>
            </w:r>
          </w:hyperlink>
        </w:p>
        <w:p>
          <w:pPr>
            <w:pStyle w:val="Contents3"/>
            <w:tabs>
              <w:tab w:val="clear" w:pos="8459"/>
              <w:tab w:val="right" w:pos="9026" w:leader="dot"/>
            </w:tabs>
            <w:bidi w:val="0"/>
            <w:rPr/>
          </w:pPr>
          <w:hyperlink w:anchor="__RefHeading___Toc428591_237004111">
            <w:r>
              <w:rPr>
                <w:webHidden/>
                <w:rStyle w:val="IndexLink"/>
              </w:rPr>
              <w:t>(12)</w:t>
              <w:tab/>
              <w:t>22</w:t>
            </w:r>
          </w:hyperlink>
        </w:p>
        <w:p>
          <w:pPr>
            <w:pStyle w:val="Contents3"/>
            <w:tabs>
              <w:tab w:val="clear" w:pos="8459"/>
              <w:tab w:val="right" w:pos="9026" w:leader="dot"/>
            </w:tabs>
            <w:bidi w:val="0"/>
            <w:rPr/>
          </w:pPr>
          <w:hyperlink w:anchor="__RefHeading___Toc428593_237004111">
            <w:r>
              <w:rPr>
                <w:webHidden/>
                <w:rStyle w:val="IndexLink"/>
              </w:rPr>
              <w:t>(13)</w:t>
              <w:tab/>
              <w:t>23</w:t>
            </w:r>
          </w:hyperlink>
        </w:p>
        <w:p>
          <w:pPr>
            <w:pStyle w:val="Contents3"/>
            <w:tabs>
              <w:tab w:val="clear" w:pos="8459"/>
              <w:tab w:val="right" w:pos="9026" w:leader="dot"/>
            </w:tabs>
            <w:bidi w:val="0"/>
            <w:rPr/>
          </w:pPr>
          <w:hyperlink w:anchor="__RefHeading___Toc428595_237004111">
            <w:r>
              <w:rPr>
                <w:webHidden/>
                <w:rStyle w:val="IndexLink"/>
              </w:rPr>
              <w:t>(14)</w:t>
              <w:tab/>
              <w:t>23</w:t>
            </w:r>
          </w:hyperlink>
        </w:p>
        <w:p>
          <w:pPr>
            <w:pStyle w:val="Contents3"/>
            <w:tabs>
              <w:tab w:val="clear" w:pos="8459"/>
              <w:tab w:val="right" w:pos="9026" w:leader="dot"/>
            </w:tabs>
            <w:bidi w:val="0"/>
            <w:rPr/>
          </w:pPr>
          <w:hyperlink w:anchor="__RefHeading___Toc428597_237004111">
            <w:r>
              <w:rPr>
                <w:webHidden/>
                <w:rStyle w:val="IndexLink"/>
              </w:rPr>
              <w:t>(15)</w:t>
              <w:tab/>
              <w:t>25</w:t>
            </w:r>
          </w:hyperlink>
        </w:p>
        <w:p>
          <w:pPr>
            <w:pStyle w:val="Contents3"/>
            <w:tabs>
              <w:tab w:val="clear" w:pos="8459"/>
              <w:tab w:val="right" w:pos="9026" w:leader="dot"/>
            </w:tabs>
            <w:bidi w:val="0"/>
            <w:rPr/>
          </w:pPr>
          <w:hyperlink w:anchor="__RefHeading___Toc428599_237004111">
            <w:r>
              <w:rPr>
                <w:webHidden/>
                <w:rStyle w:val="IndexLink"/>
              </w:rPr>
              <w:t>(16)</w:t>
              <w:tab/>
              <w:t>26</w:t>
            </w:r>
          </w:hyperlink>
        </w:p>
        <w:p>
          <w:pPr>
            <w:pStyle w:val="Contents3"/>
            <w:tabs>
              <w:tab w:val="clear" w:pos="8459"/>
              <w:tab w:val="right" w:pos="9026" w:leader="dot"/>
            </w:tabs>
            <w:bidi w:val="0"/>
            <w:rPr/>
          </w:pPr>
          <w:hyperlink w:anchor="__RefHeading___Toc428601_237004111">
            <w:r>
              <w:rPr>
                <w:webHidden/>
                <w:rStyle w:val="IndexLink"/>
              </w:rPr>
              <w:t>(17)</w:t>
              <w:tab/>
              <w:t>27</w:t>
            </w:r>
          </w:hyperlink>
        </w:p>
        <w:p>
          <w:pPr>
            <w:pStyle w:val="Contents3"/>
            <w:tabs>
              <w:tab w:val="clear" w:pos="8459"/>
              <w:tab w:val="right" w:pos="9026" w:leader="dot"/>
            </w:tabs>
            <w:bidi w:val="0"/>
            <w:rPr/>
          </w:pPr>
          <w:hyperlink w:anchor="__RefHeading___Toc428603_237004111">
            <w:r>
              <w:rPr>
                <w:webHidden/>
                <w:rStyle w:val="IndexLink"/>
              </w:rPr>
              <w:t>(18)</w:t>
              <w:tab/>
              <w:t>28</w:t>
            </w:r>
          </w:hyperlink>
        </w:p>
        <w:p>
          <w:pPr>
            <w:pStyle w:val="Contents3"/>
            <w:tabs>
              <w:tab w:val="clear" w:pos="8459"/>
              <w:tab w:val="right" w:pos="9026" w:leader="dot"/>
            </w:tabs>
            <w:bidi w:val="0"/>
            <w:rPr/>
          </w:pPr>
          <w:hyperlink w:anchor="__RefHeading___Toc428605_237004111">
            <w:r>
              <w:rPr>
                <w:webHidden/>
                <w:rStyle w:val="IndexLink"/>
              </w:rPr>
              <w:t>(19)</w:t>
              <w:tab/>
              <w:t>28</w:t>
            </w:r>
          </w:hyperlink>
        </w:p>
        <w:p>
          <w:pPr>
            <w:pStyle w:val="Contents3"/>
            <w:tabs>
              <w:tab w:val="clear" w:pos="8459"/>
              <w:tab w:val="right" w:pos="9026" w:leader="dot"/>
            </w:tabs>
            <w:bidi w:val="0"/>
            <w:rPr/>
          </w:pPr>
          <w:hyperlink w:anchor="__RefHeading___Toc428607_237004111">
            <w:r>
              <w:rPr>
                <w:webHidden/>
                <w:rStyle w:val="IndexLink"/>
              </w:rPr>
              <w:t>(20)</w:t>
              <w:tab/>
              <w:t>30</w:t>
            </w:r>
          </w:hyperlink>
        </w:p>
        <w:p>
          <w:pPr>
            <w:pStyle w:val="Contents3"/>
            <w:tabs>
              <w:tab w:val="clear" w:pos="8459"/>
              <w:tab w:val="right" w:pos="9026" w:leader="dot"/>
            </w:tabs>
            <w:bidi w:val="0"/>
            <w:rPr/>
          </w:pPr>
          <w:hyperlink w:anchor="__RefHeading___Toc428609_237004111">
            <w:r>
              <w:rPr>
                <w:webHidden/>
                <w:rStyle w:val="IndexLink"/>
              </w:rPr>
              <w:t>(21)</w:t>
              <w:tab/>
              <w:t>32</w:t>
            </w:r>
          </w:hyperlink>
        </w:p>
        <w:p>
          <w:pPr>
            <w:pStyle w:val="Contents3"/>
            <w:tabs>
              <w:tab w:val="clear" w:pos="8459"/>
              <w:tab w:val="right" w:pos="9026" w:leader="dot"/>
            </w:tabs>
            <w:bidi w:val="0"/>
            <w:rPr/>
          </w:pPr>
          <w:hyperlink w:anchor="__RefHeading___Toc428611_237004111">
            <w:r>
              <w:rPr>
                <w:webHidden/>
                <w:rStyle w:val="IndexLink"/>
              </w:rPr>
              <w:t>(22)</w:t>
              <w:tab/>
              <w:t>33</w:t>
            </w:r>
          </w:hyperlink>
        </w:p>
        <w:p>
          <w:pPr>
            <w:pStyle w:val="Contents3"/>
            <w:tabs>
              <w:tab w:val="clear" w:pos="8459"/>
              <w:tab w:val="right" w:pos="9026" w:leader="dot"/>
            </w:tabs>
            <w:bidi w:val="0"/>
            <w:rPr/>
          </w:pPr>
          <w:hyperlink w:anchor="__RefHeading___Toc428613_237004111">
            <w:r>
              <w:rPr>
                <w:webHidden/>
                <w:rStyle w:val="IndexLink"/>
              </w:rPr>
              <w:t>(23)</w:t>
              <w:tab/>
              <w:t>34</w:t>
            </w:r>
          </w:hyperlink>
        </w:p>
        <w:p>
          <w:pPr>
            <w:pStyle w:val="Contents3"/>
            <w:tabs>
              <w:tab w:val="clear" w:pos="8459"/>
              <w:tab w:val="right" w:pos="9026" w:leader="dot"/>
            </w:tabs>
            <w:bidi w:val="0"/>
            <w:rPr/>
          </w:pPr>
          <w:hyperlink w:anchor="__RefHeading___Toc428615_237004111">
            <w:r>
              <w:rPr>
                <w:webHidden/>
                <w:rStyle w:val="IndexLink"/>
              </w:rPr>
              <w:t>(24)</w:t>
              <w:tab/>
              <w:t>35</w:t>
            </w:r>
          </w:hyperlink>
        </w:p>
        <w:p>
          <w:pPr>
            <w:pStyle w:val="Contents3"/>
            <w:tabs>
              <w:tab w:val="clear" w:pos="8459"/>
              <w:tab w:val="right" w:pos="9026" w:leader="dot"/>
            </w:tabs>
            <w:bidi w:val="0"/>
            <w:rPr/>
          </w:pPr>
          <w:hyperlink w:anchor="__RefHeading___Toc428617_237004111">
            <w:r>
              <w:rPr>
                <w:webHidden/>
                <w:rStyle w:val="IndexLink"/>
              </w:rPr>
              <w:t>(25)</w:t>
              <w:tab/>
              <w:t>38</w:t>
            </w:r>
          </w:hyperlink>
        </w:p>
        <w:p>
          <w:pPr>
            <w:pStyle w:val="Contents3"/>
            <w:tabs>
              <w:tab w:val="clear" w:pos="8459"/>
              <w:tab w:val="right" w:pos="9026" w:leader="dot"/>
            </w:tabs>
            <w:bidi w:val="0"/>
            <w:rPr/>
          </w:pPr>
          <w:hyperlink w:anchor="__RefHeading___Toc428619_237004111">
            <w:r>
              <w:rPr>
                <w:webHidden/>
                <w:rStyle w:val="IndexLink"/>
              </w:rPr>
              <w:t>(26)</w:t>
              <w:tab/>
              <w:t>39</w:t>
            </w:r>
          </w:hyperlink>
        </w:p>
        <w:p>
          <w:pPr>
            <w:pStyle w:val="Contents3"/>
            <w:tabs>
              <w:tab w:val="clear" w:pos="8459"/>
              <w:tab w:val="right" w:pos="9026" w:leader="dot"/>
            </w:tabs>
            <w:bidi w:val="0"/>
            <w:rPr/>
          </w:pPr>
          <w:hyperlink w:anchor="__RefHeading___Toc428621_237004111">
            <w:r>
              <w:rPr>
                <w:webHidden/>
                <w:rStyle w:val="IndexLink"/>
              </w:rPr>
              <w:t>(27)</w:t>
              <w:tab/>
              <w:t>42</w:t>
            </w:r>
          </w:hyperlink>
        </w:p>
        <w:p>
          <w:pPr>
            <w:pStyle w:val="Contents3"/>
            <w:tabs>
              <w:tab w:val="clear" w:pos="8459"/>
              <w:tab w:val="right" w:pos="9026" w:leader="dot"/>
            </w:tabs>
            <w:bidi w:val="0"/>
            <w:rPr/>
          </w:pPr>
          <w:hyperlink w:anchor="__RefHeading___Toc428623_237004111">
            <w:r>
              <w:rPr>
                <w:webHidden/>
                <w:rStyle w:val="IndexLink"/>
              </w:rPr>
              <w:t>(28)</w:t>
              <w:tab/>
              <w:t>42</w:t>
            </w:r>
          </w:hyperlink>
        </w:p>
        <w:p>
          <w:pPr>
            <w:pStyle w:val="Contents3"/>
            <w:tabs>
              <w:tab w:val="clear" w:pos="8459"/>
              <w:tab w:val="right" w:pos="9026" w:leader="dot"/>
            </w:tabs>
            <w:bidi w:val="0"/>
            <w:rPr/>
          </w:pPr>
          <w:hyperlink w:anchor="__RefHeading___Toc428625_237004111">
            <w:r>
              <w:rPr>
                <w:webHidden/>
                <w:rStyle w:val="IndexLink"/>
              </w:rPr>
              <w:t>(29)</w:t>
              <w:tab/>
              <w:t>43</w:t>
            </w:r>
          </w:hyperlink>
        </w:p>
        <w:p>
          <w:pPr>
            <w:pStyle w:val="Contents3"/>
            <w:tabs>
              <w:tab w:val="clear" w:pos="8459"/>
              <w:tab w:val="right" w:pos="9026" w:leader="dot"/>
            </w:tabs>
            <w:bidi w:val="0"/>
            <w:rPr/>
          </w:pPr>
          <w:hyperlink w:anchor="__RefHeading___Toc428627_237004111">
            <w:r>
              <w:rPr>
                <w:webHidden/>
                <w:rStyle w:val="IndexLink"/>
              </w:rPr>
              <w:t>(30)</w:t>
              <w:tab/>
              <w:t>45</w:t>
            </w:r>
          </w:hyperlink>
        </w:p>
        <w:p>
          <w:pPr>
            <w:pStyle w:val="Contents3"/>
            <w:tabs>
              <w:tab w:val="clear" w:pos="8459"/>
              <w:tab w:val="right" w:pos="9026" w:leader="dot"/>
            </w:tabs>
            <w:bidi w:val="0"/>
            <w:rPr/>
          </w:pPr>
          <w:hyperlink w:anchor="__RefHeading___Toc428629_237004111">
            <w:r>
              <w:rPr>
                <w:webHidden/>
                <w:rStyle w:val="IndexLink"/>
              </w:rPr>
              <w:t>(31)</w:t>
              <w:tab/>
              <w:t>47</w:t>
            </w:r>
          </w:hyperlink>
        </w:p>
        <w:p>
          <w:pPr>
            <w:pStyle w:val="Contents3"/>
            <w:tabs>
              <w:tab w:val="clear" w:pos="8459"/>
              <w:tab w:val="right" w:pos="9026" w:leader="dot"/>
            </w:tabs>
            <w:bidi w:val="0"/>
            <w:rPr/>
          </w:pPr>
          <w:hyperlink w:anchor="__RefHeading___Toc428631_237004111">
            <w:r>
              <w:rPr>
                <w:webHidden/>
                <w:rStyle w:val="IndexLink"/>
              </w:rPr>
              <w:t>(32)</w:t>
              <w:tab/>
              <w:t>49</w:t>
            </w:r>
          </w:hyperlink>
        </w:p>
        <w:p>
          <w:pPr>
            <w:pStyle w:val="Contents3"/>
            <w:tabs>
              <w:tab w:val="clear" w:pos="8459"/>
              <w:tab w:val="right" w:pos="9026" w:leader="dot"/>
            </w:tabs>
            <w:bidi w:val="0"/>
            <w:rPr/>
          </w:pPr>
          <w:hyperlink w:anchor="__RefHeading___Toc428633_237004111">
            <w:r>
              <w:rPr>
                <w:webHidden/>
                <w:rStyle w:val="IndexLink"/>
              </w:rPr>
              <w:t>(33)</w:t>
              <w:tab/>
              <w:t>49</w:t>
            </w:r>
          </w:hyperlink>
        </w:p>
        <w:p>
          <w:pPr>
            <w:pStyle w:val="Contents3"/>
            <w:tabs>
              <w:tab w:val="clear" w:pos="8459"/>
              <w:tab w:val="right" w:pos="9026" w:leader="dot"/>
            </w:tabs>
            <w:bidi w:val="0"/>
            <w:rPr/>
          </w:pPr>
          <w:hyperlink w:anchor="__RefHeading___Toc428635_237004111">
            <w:r>
              <w:rPr>
                <w:webHidden/>
                <w:rStyle w:val="IndexLink"/>
              </w:rPr>
              <w:t>(34)</w:t>
              <w:tab/>
              <w:t>50</w:t>
            </w:r>
          </w:hyperlink>
        </w:p>
        <w:p>
          <w:pPr>
            <w:pStyle w:val="Contents3"/>
            <w:tabs>
              <w:tab w:val="clear" w:pos="8459"/>
              <w:tab w:val="right" w:pos="9026" w:leader="dot"/>
            </w:tabs>
            <w:bidi w:val="0"/>
            <w:rPr/>
          </w:pPr>
          <w:hyperlink w:anchor="__RefHeading___Toc428637_237004111">
            <w:r>
              <w:rPr>
                <w:webHidden/>
                <w:rStyle w:val="IndexLink"/>
              </w:rPr>
              <w:t>(35)</w:t>
              <w:tab/>
              <w:t>50</w:t>
            </w:r>
          </w:hyperlink>
        </w:p>
        <w:p>
          <w:pPr>
            <w:pStyle w:val="Contents3"/>
            <w:tabs>
              <w:tab w:val="clear" w:pos="8459"/>
              <w:tab w:val="right" w:pos="9026" w:leader="dot"/>
            </w:tabs>
            <w:bidi w:val="0"/>
            <w:rPr/>
          </w:pPr>
          <w:hyperlink w:anchor="__RefHeading___Toc428639_237004111">
            <w:r>
              <w:rPr>
                <w:webHidden/>
                <w:rStyle w:val="IndexLink"/>
              </w:rPr>
              <w:t>(36)</w:t>
              <w:tab/>
              <w:t>51</w:t>
            </w:r>
          </w:hyperlink>
        </w:p>
        <w:p>
          <w:pPr>
            <w:pStyle w:val="Contents3"/>
            <w:tabs>
              <w:tab w:val="clear" w:pos="8459"/>
              <w:tab w:val="right" w:pos="9026" w:leader="dot"/>
            </w:tabs>
            <w:bidi w:val="0"/>
            <w:rPr/>
          </w:pPr>
          <w:hyperlink w:anchor="__RefHeading___Toc428641_237004111">
            <w:r>
              <w:rPr>
                <w:webHidden/>
                <w:rStyle w:val="IndexLink"/>
              </w:rPr>
              <w:t>(37)</w:t>
              <w:tab/>
              <w:t>52</w:t>
            </w:r>
          </w:hyperlink>
        </w:p>
        <w:p>
          <w:pPr>
            <w:pStyle w:val="Contents3"/>
            <w:tabs>
              <w:tab w:val="clear" w:pos="8459"/>
              <w:tab w:val="right" w:pos="9026" w:leader="dot"/>
            </w:tabs>
            <w:bidi w:val="0"/>
            <w:rPr/>
          </w:pPr>
          <w:hyperlink w:anchor="__RefHeading___Toc428643_237004111">
            <w:r>
              <w:rPr>
                <w:webHidden/>
                <w:rStyle w:val="IndexLink"/>
              </w:rPr>
              <w:t>(38)</w:t>
              <w:tab/>
              <w:t>53</w:t>
            </w:r>
          </w:hyperlink>
        </w:p>
        <w:p>
          <w:pPr>
            <w:pStyle w:val="Contents3"/>
            <w:tabs>
              <w:tab w:val="clear" w:pos="8459"/>
              <w:tab w:val="right" w:pos="9026" w:leader="dot"/>
            </w:tabs>
            <w:bidi w:val="0"/>
            <w:rPr/>
          </w:pPr>
          <w:hyperlink w:anchor="__RefHeading___Toc428645_237004111">
            <w:r>
              <w:rPr>
                <w:webHidden/>
                <w:rStyle w:val="IndexLink"/>
              </w:rPr>
              <w:t>(39)</w:t>
              <w:tab/>
              <w:t>54</w:t>
            </w:r>
          </w:hyperlink>
        </w:p>
        <w:p>
          <w:pPr>
            <w:pStyle w:val="Contents3"/>
            <w:tabs>
              <w:tab w:val="clear" w:pos="8459"/>
              <w:tab w:val="right" w:pos="9026" w:leader="dot"/>
            </w:tabs>
            <w:bidi w:val="0"/>
            <w:rPr/>
          </w:pPr>
          <w:hyperlink w:anchor="__RefHeading___Toc428647_237004111">
            <w:r>
              <w:rPr>
                <w:webHidden/>
                <w:rStyle w:val="IndexLink"/>
              </w:rPr>
              <w:t>(40)</w:t>
              <w:tab/>
              <w:t>55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6161_73787"/>
      <w:bookmarkStart w:id="1" w:name="pg6161_73787"/>
      <w:bookmarkEnd w:id="1"/>
    </w:p>
    <w:p>
      <w:pPr>
        <w:pStyle w:val="Heading2"/>
        <w:numPr>
          <w:ilvl w:val="1"/>
          <w:numId w:val="1"/>
        </w:numPr>
        <w:bidi w:val="0"/>
        <w:jc w:val="left"/>
        <w:rPr/>
      </w:pPr>
      <w:bookmarkStart w:id="2" w:name="pg6161_73787"/>
      <w:bookmarkStart w:id="3" w:name="__RefHeading___Toc428559_237004111"/>
      <w:bookmarkStart w:id="4" w:name="_Toc1"/>
      <w:bookmarkEnd w:id="2"/>
      <w:bookmarkEnd w:id="3"/>
      <w:r>
        <w:rPr/>
        <w:t>Book ID</w:t>
      </w:r>
      <w:bookmarkEnd w:id="4"/>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Most Gracious, Most Merciful</w:t>
      </w:r>
    </w:p>
    <w:p>
      <w:pPr>
        <w:pStyle w:val="BookText"/>
        <w:bidi w:val="0"/>
        <w:jc w:val="both"/>
        <w:rPr/>
      </w:pPr>
      <w:r>
        <w:rPr>
          <w:rFonts w:eastAsia="Times New Roman" w:cs="Times New Roman" w:ascii="Times New Roman" w:hAnsi="Times New Roman"/>
          <w:color w:val="111111"/>
          <w:sz w:val="28"/>
          <w:szCs w:val="28"/>
          <w:lang w:val="en-US"/>
        </w:rPr>
        <w:t>THE TRUTH AS IT IS</w:t>
      </w:r>
    </w:p>
    <w:p>
      <w:pPr>
        <w:pStyle w:val="BookText"/>
        <w:bidi w:val="0"/>
        <w:jc w:val="both"/>
        <w:rPr/>
      </w:pPr>
      <w:r>
        <w:rPr>
          <w:rFonts w:eastAsia="Times New Roman" w:cs="Times New Roman" w:ascii="Times New Roman" w:hAnsi="Times New Roman"/>
          <w:color w:val="111111"/>
          <w:sz w:val="28"/>
          <w:szCs w:val="28"/>
          <w:lang w:val="en-US"/>
        </w:rPr>
        <w:t>By JA‘FAR AL-HADI</w:t>
      </w:r>
    </w:p>
    <w:p>
      <w:pPr>
        <w:pStyle w:val="BookText"/>
        <w:bidi w:val="0"/>
        <w:jc w:val="both"/>
        <w:rPr/>
      </w:pPr>
      <w:r>
        <w:rPr>
          <w:rFonts w:eastAsia="Times New Roman" w:cs="Times New Roman" w:ascii="Times New Roman" w:hAnsi="Times New Roman"/>
          <w:color w:val="111111"/>
          <w:sz w:val="28"/>
          <w:szCs w:val="28"/>
          <w:lang w:val="en-US"/>
        </w:rPr>
        <w:t>Translated by Badr Shahin</w:t>
      </w:r>
    </w:p>
    <w:p>
      <w:pPr>
        <w:pStyle w:val="BookText"/>
        <w:bidi w:val="0"/>
        <w:jc w:val="both"/>
        <w:rPr/>
      </w:pPr>
      <w:r>
        <w:rPr>
          <w:rFonts w:eastAsia="Times New Roman" w:cs="Times New Roman" w:ascii="Times New Roman" w:hAnsi="Times New Roman"/>
          <w:color w:val="111111"/>
          <w:sz w:val="28"/>
          <w:szCs w:val="28"/>
          <w:lang w:val="en-US"/>
        </w:rPr>
        <w:t>The Ahl Al-Bayt (‘a) World Assembly</w:t>
      </w:r>
    </w:p>
    <w:p>
      <w:pPr>
        <w:pStyle w:val="BookText"/>
        <w:bidi w:val="0"/>
        <w:jc w:val="both"/>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کما هی</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الهادی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شاهین</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The Truth As It Is</w:t>
      </w:r>
    </w:p>
    <w:p>
      <w:pPr>
        <w:pStyle w:val="BookText"/>
        <w:bidi w:val="0"/>
        <w:jc w:val="both"/>
        <w:rPr/>
      </w:pPr>
      <w:r>
        <w:rPr>
          <w:rFonts w:eastAsia="Times New Roman" w:cs="Times New Roman" w:ascii="Times New Roman" w:hAnsi="Times New Roman"/>
          <w:color w:val="111111"/>
          <w:sz w:val="28"/>
          <w:szCs w:val="28"/>
          <w:lang w:val="en-US"/>
        </w:rPr>
        <w:t>Author: Ja‘far al-Hadi</w:t>
      </w:r>
    </w:p>
    <w:p>
      <w:pPr>
        <w:pStyle w:val="BookText"/>
        <w:bidi w:val="0"/>
        <w:jc w:val="both"/>
        <w:rPr/>
      </w:pPr>
      <w:r>
        <w:rPr>
          <w:rFonts w:eastAsia="Times New Roman" w:cs="Times New Roman" w:ascii="Times New Roman" w:hAnsi="Times New Roman"/>
          <w:color w:val="111111"/>
          <w:sz w:val="28"/>
          <w:szCs w:val="28"/>
          <w:lang w:val="en-US"/>
        </w:rPr>
        <w:t>Translator: Badr Shahin</w:t>
      </w:r>
    </w:p>
    <w:p>
      <w:pPr>
        <w:pStyle w:val="BookText"/>
        <w:bidi w:val="0"/>
        <w:jc w:val="both"/>
        <w:rPr/>
      </w:pPr>
      <w:r>
        <w:rPr>
          <w:rFonts w:eastAsia="Times New Roman" w:cs="Times New Roman" w:ascii="Times New Roman" w:hAnsi="Times New Roman"/>
          <w:color w:val="111111"/>
          <w:sz w:val="28"/>
          <w:szCs w:val="28"/>
          <w:lang w:val="en-US"/>
        </w:rPr>
        <w:t>Prepared</w:t>
      </w:r>
    </w:p>
    <w:p>
      <w:pPr>
        <w:pStyle w:val="BookText"/>
        <w:bidi w:val="0"/>
        <w:jc w:val="both"/>
        <w:rPr/>
      </w:pPr>
      <w:r>
        <w:rPr>
          <w:rFonts w:eastAsia="Times New Roman" w:cs="Times New Roman" w:ascii="Times New Roman" w:hAnsi="Times New Roman"/>
          <w:color w:val="111111"/>
          <w:sz w:val="28"/>
          <w:szCs w:val="28"/>
          <w:lang w:val="en-US"/>
        </w:rPr>
        <w:t>by Translation Unit, Cultural Affairs</w:t>
      </w:r>
    </w:p>
    <w:p>
      <w:pPr>
        <w:pStyle w:val="BookText"/>
        <w:bidi w:val="0"/>
        <w:jc w:val="both"/>
        <w:rPr/>
      </w:pPr>
      <w:r>
        <w:rPr>
          <w:rFonts w:eastAsia="Times New Roman" w:cs="Times New Roman" w:ascii="Times New Roman" w:hAnsi="Times New Roman"/>
          <w:color w:val="111111"/>
          <w:sz w:val="28"/>
          <w:szCs w:val="28"/>
          <w:lang w:val="en-US"/>
        </w:rPr>
        <w:t>Department,</w:t>
      </w:r>
    </w:p>
    <w:p>
      <w:pPr>
        <w:pStyle w:val="BookText"/>
        <w:bidi w:val="0"/>
        <w:jc w:val="both"/>
        <w:rPr/>
      </w:pPr>
      <w:r>
        <w:rPr>
          <w:rFonts w:eastAsia="Times New Roman" w:cs="Times New Roman" w:ascii="Times New Roman" w:hAnsi="Times New Roman"/>
          <w:color w:val="111111"/>
          <w:sz w:val="28"/>
          <w:szCs w:val="28"/>
          <w:lang w:val="en-US"/>
        </w:rPr>
        <w:t>The Ahl al-Bayt (‘a) World</w:t>
      </w:r>
    </w:p>
    <w:p>
      <w:pPr>
        <w:pStyle w:val="BookText"/>
        <w:bidi w:val="0"/>
        <w:jc w:val="both"/>
        <w:rPr/>
      </w:pPr>
      <w:r>
        <w:rPr>
          <w:rFonts w:eastAsia="Times New Roman" w:cs="Times New Roman" w:ascii="Times New Roman" w:hAnsi="Times New Roman"/>
          <w:color w:val="111111"/>
          <w:sz w:val="28"/>
          <w:szCs w:val="28"/>
          <w:lang w:val="en-US"/>
        </w:rPr>
        <w:t>Assembly</w:t>
      </w:r>
    </w:p>
    <w:p>
      <w:pPr>
        <w:pStyle w:val="BookText"/>
        <w:bidi w:val="0"/>
        <w:jc w:val="both"/>
        <w:rPr/>
      </w:pPr>
      <w:r>
        <w:rPr>
          <w:rFonts w:eastAsia="Times New Roman" w:cs="Times New Roman" w:ascii="Times New Roman" w:hAnsi="Times New Roman"/>
          <w:color w:val="111111"/>
          <w:sz w:val="28"/>
          <w:szCs w:val="28"/>
          <w:lang w:val="en-US"/>
        </w:rPr>
        <w:t>Editor:</w:t>
      </w:r>
    </w:p>
    <w:p>
      <w:pPr>
        <w:pStyle w:val="BookText"/>
        <w:bidi w:val="0"/>
        <w:jc w:val="both"/>
        <w:rPr/>
      </w:pPr>
      <w:r>
        <w:rPr>
          <w:rFonts w:eastAsia="Times New Roman" w:cs="Times New Roman" w:ascii="Times New Roman" w:hAnsi="Times New Roman"/>
          <w:color w:val="111111"/>
          <w:sz w:val="28"/>
          <w:szCs w:val="28"/>
          <w:lang w:val="en-US"/>
        </w:rPr>
        <w:t>Abbas al-Husayni</w:t>
      </w:r>
    </w:p>
    <w:p>
      <w:pPr>
        <w:pStyle w:val="BookText"/>
        <w:bidi w:val="0"/>
        <w:jc w:val="both"/>
        <w:rPr/>
      </w:pPr>
      <w:r>
        <w:rPr>
          <w:rFonts w:eastAsia="Times New Roman" w:cs="Times New Roman" w:ascii="Times New Roman" w:hAnsi="Times New Roman"/>
          <w:color w:val="111111"/>
          <w:sz w:val="28"/>
          <w:szCs w:val="28"/>
          <w:lang w:val="en-US"/>
        </w:rPr>
        <w:t>Publisher:</w:t>
      </w:r>
    </w:p>
    <w:p>
      <w:pPr>
        <w:pStyle w:val="BookText"/>
        <w:bidi w:val="0"/>
        <w:jc w:val="both"/>
        <w:rPr/>
      </w:pPr>
      <w:r>
        <w:rPr>
          <w:rFonts w:eastAsia="Times New Roman" w:cs="Times New Roman" w:ascii="Times New Roman" w:hAnsi="Times New Roman"/>
          <w:color w:val="111111"/>
          <w:sz w:val="28"/>
          <w:szCs w:val="28"/>
          <w:lang w:val="en-US"/>
        </w:rPr>
        <w:t>the Ahl al-Bayt(‘a) World Assembly</w:t>
      </w:r>
    </w:p>
    <w:p>
      <w:pPr>
        <w:pStyle w:val="BookText"/>
        <w:bidi w:val="0"/>
        <w:jc w:val="both"/>
        <w:rPr/>
      </w:pPr>
      <w:r>
        <w:rPr>
          <w:rFonts w:eastAsia="Times New Roman" w:cs="Times New Roman" w:ascii="Times New Roman" w:hAnsi="Times New Roman"/>
          <w:color w:val="111111"/>
          <w:sz w:val="28"/>
          <w:szCs w:val="28"/>
          <w:lang w:val="en-US"/>
        </w:rPr>
        <w:t>First Edition 2006 / 1427</w:t>
      </w:r>
    </w:p>
    <w:p>
      <w:pPr>
        <w:pStyle w:val="BookText"/>
        <w:bidi w:val="0"/>
        <w:jc w:val="both"/>
        <w:rPr/>
      </w:pP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Number of Pages: 53</w:t>
      </w:r>
    </w:p>
    <w:p>
      <w:pPr>
        <w:pStyle w:val="BookText"/>
        <w:bidi w:val="0"/>
        <w:jc w:val="both"/>
        <w:rPr/>
      </w:pPr>
      <w:r>
        <w:rPr>
          <w:rFonts w:eastAsia="Times New Roman" w:cs="Times New Roman" w:ascii="Times New Roman" w:hAnsi="Times New Roman"/>
          <w:color w:val="111111"/>
          <w:sz w:val="28"/>
          <w:szCs w:val="28"/>
          <w:lang w:val="en-US"/>
        </w:rPr>
        <w:t>Book Size: A5 (14.8 X 21</w:t>
      </w:r>
    </w:p>
    <w:p>
      <w:pPr>
        <w:pStyle w:val="BookText"/>
        <w:bidi w:val="0"/>
        <w:jc w:val="both"/>
        <w:rPr/>
      </w:pPr>
      <w:r>
        <w:rPr>
          <w:rFonts w:eastAsia="Times New Roman" w:cs="Times New Roman" w:ascii="Times New Roman" w:hAnsi="Times New Roman"/>
          <w:color w:val="111111"/>
          <w:sz w:val="28"/>
          <w:szCs w:val="28"/>
          <w:lang w:val="en-US"/>
        </w:rPr>
        <w:t>cm)</w:t>
      </w:r>
    </w:p>
    <w:p>
      <w:pPr>
        <w:pStyle w:val="BookText"/>
        <w:bidi w:val="0"/>
        <w:jc w:val="both"/>
        <w:rPr/>
      </w:pPr>
      <w:r>
        <w:rPr>
          <w:rFonts w:eastAsia="Times New Roman" w:cs="Times New Roman" w:ascii="Times New Roman" w:hAnsi="Times New Roman"/>
          <w:color w:val="111111"/>
          <w:sz w:val="28"/>
          <w:szCs w:val="28"/>
          <w:lang w:val="en-US"/>
        </w:rPr>
        <w:t>Copies</w:t>
      </w:r>
    </w:p>
    <w:p>
      <w:pPr>
        <w:pStyle w:val="BookText"/>
        <w:bidi w:val="0"/>
        <w:jc w:val="both"/>
        <w:rPr/>
      </w:pPr>
      <w:r>
        <w:rPr>
          <w:rFonts w:eastAsia="Times New Roman" w:cs="Times New Roman" w:ascii="Times New Roman" w:hAnsi="Times New Roman"/>
          <w:color w:val="111111"/>
          <w:sz w:val="28"/>
          <w:szCs w:val="28"/>
          <w:lang w:val="en-US"/>
        </w:rPr>
        <w:t>Printed: 5000</w:t>
      </w:r>
    </w:p>
    <w:p>
      <w:pPr>
        <w:pStyle w:val="BookText"/>
        <w:bidi w:val="0"/>
        <w:jc w:val="both"/>
        <w:rPr/>
      </w:pPr>
      <w:r>
        <w:rPr>
          <w:rFonts w:eastAsia="Times New Roman" w:cs="Times New Roman" w:ascii="Times New Roman" w:hAnsi="Times New Roman"/>
          <w:color w:val="111111"/>
          <w:sz w:val="28"/>
          <w:szCs w:val="28"/>
          <w:lang w:val="en-US"/>
        </w:rPr>
        <w:t>Printed by I'timad Press</w:t>
      </w:r>
    </w:p>
    <w:p>
      <w:pPr>
        <w:pStyle w:val="BookText"/>
        <w:bidi w:val="0"/>
        <w:jc w:val="both"/>
        <w:rPr/>
      </w:pPr>
      <w:r>
        <w:rPr>
          <w:rFonts w:eastAsia="Times New Roman" w:cs="Times New Roman" w:ascii="Times New Roman" w:hAnsi="Times New Roman"/>
          <w:color w:val="111111"/>
          <w:sz w:val="28"/>
          <w:szCs w:val="28"/>
          <w:lang w:val="en-US"/>
        </w:rPr>
        <w:t>ISBN: 964-592-092-9</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Rights Reserved For The Ahl al-Bayt (‘a) World Assembly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28561_237004111"/>
      <w:bookmarkStart w:id="6" w:name="_Toc2"/>
      <w:bookmarkEnd w:id="5"/>
      <w:r>
        <w:rPr/>
        <w:t>Point</w:t>
      </w:r>
      <w:bookmarkEnd w:id="6"/>
    </w:p>
    <w:p>
      <w:pPr>
        <w:pStyle w:val="BookText"/>
        <w:bidi w:val="0"/>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اَهْلَ بَیْتِی، مَا اِنْ تَمَسَّکْتُمْ بِهِمَا لَنْ تَضِلُّوا اَبَدًا، وَانَّهُمَا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(ṣ)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 The Book of Allah and my progeny [‘itrah], the members of my Household [Ahl al-Bayt]. If you hold fast to them, you shall never go astray. These two will never separate from each other until they meet me at the Pond [ḥawḍ] (of Kawthar).”</w:t>
      </w:r>
    </w:p>
    <w:p>
      <w:pPr>
        <w:pStyle w:val="BookText"/>
        <w:bidi w:val="0"/>
        <w:jc w:val="both"/>
        <w:rPr/>
      </w:pPr>
      <w:r>
        <w:rPr>
          <w:rFonts w:eastAsia="Times New Roman" w:cs="Times New Roman" w:ascii="Times New Roman" w:hAnsi="Times New Roman"/>
          <w:color w:val="111111"/>
          <w:sz w:val="28"/>
          <w:szCs w:val="28"/>
          <w:lang w:val="en-US"/>
        </w:rPr>
        <w:t>Some of its references: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softHyphen/>
        <w:t>Ḥakim an</w:t>
        <w:softHyphen/>
        <w:t>Nayshaburi, Al</w:t>
        <w:softHyphen/>
        <w:t>Mustadrak ‘ala’ṣ-Ṣaḥiḥayn (Beirut), vol. 3, pp. 109-110, 148, 533 ; Muslim, Aṣ-Ṣaḥiḥ, (English translation), book 31, hadiths 5920-3; At</w:t>
        <w:softHyphen/>
        <w:t>Tirmidhi, Aṣ-Ṣaḥiḥ, vol. 5, pp. 621-2, hadiths 3786, 3788; vol. 2, p. 219; An-Nasa’i, Khaṣa’iṣ ‘Ali ibn Abi Ṭalib, hadith 79; Aḥmad ibn Ḥanbal, Al-Musnad, vol. 3, pp. 14, 17, 26; vol. 3, pp. 26, 59; vol. 4, p. 371; vol. 5, pp. 181-182, 189-190; Ibn al</w:t>
        <w:softHyphen/>
        <w:t>‘Athir, Jami‘ al</w:t>
        <w:softHyphen/>
        <w:t>Uṣul, vol. 1, p. 277; Ibn Kathir, Al</w:t>
        <w:softHyphen/>
        <w:t>Bidayah wa’n</w:t>
        <w:softHyphen/>
        <w:t xml:space="preserve">Nihayah, vol. 5, p. 209; Ibn Kathir, Tafsir al-Qur’in al-‘Aẓim , vol. 6, p. 199; Naṣir ad-Din al-Albani, Silsilat al-Aḥadith aṣ-Ṣaḥiḥah (Kuwait: Ad-Dar aṣ-Ṣalafiyyah), vol. 4, pp. 355-358 </w:t>
      </w:r>
    </w:p>
    <w:p>
      <w:pPr>
        <w:pStyle w:val="BookText"/>
        <w:bidi w:val="0"/>
        <w:rPr/>
      </w:pPr>
      <w:r>
        <w:rPr>
          <w:rFonts w:eastAsia="Times New Roman" w:cs="Times New Roman" w:ascii="Times New Roman" w:hAnsi="Times New Roman"/>
          <w:color w:val="111111"/>
          <w:sz w:val="28"/>
          <w:szCs w:val="28"/>
          <w:lang w:val="en-US"/>
        </w:rPr>
        <w:t>THE TRUTH AS IT IS</w:t>
      </w:r>
    </w:p>
    <w:p>
      <w:pPr>
        <w:pStyle w:val="BookText"/>
        <w:bidi w:val="0"/>
        <w:jc w:val="both"/>
        <w:rPr/>
      </w:pPr>
      <w:r>
        <w:rPr>
          <w:rFonts w:eastAsia="Times New Roman" w:cs="Times New Roman" w:ascii="Times New Roman" w:hAnsi="Times New Roman"/>
          <w:color w:val="111111"/>
          <w:sz w:val="28"/>
          <w:szCs w:val="28"/>
          <w:lang w:val="en-US"/>
        </w:rPr>
        <w:t>By JA‘FAR AL-HADI</w:t>
      </w:r>
    </w:p>
    <w:p>
      <w:pPr>
        <w:pStyle w:val="BookText"/>
        <w:bidi w:val="0"/>
        <w:jc w:val="both"/>
        <w:rPr/>
      </w:pPr>
      <w:r>
        <w:rPr>
          <w:rFonts w:eastAsia="Times New Roman" w:cs="Times New Roman" w:ascii="Times New Roman" w:hAnsi="Times New Roman"/>
          <w:color w:val="111111"/>
          <w:sz w:val="28"/>
          <w:szCs w:val="28"/>
          <w:lang w:val="en-US"/>
        </w:rPr>
        <w:t>Translated by Badr Shahin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کما هی</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الهادی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شاهین</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The Truth As It Is</w:t>
      </w:r>
    </w:p>
    <w:p>
      <w:pPr>
        <w:pStyle w:val="BookText"/>
        <w:bidi w:val="0"/>
        <w:jc w:val="both"/>
        <w:rPr/>
      </w:pPr>
      <w:r>
        <w:rPr>
          <w:rFonts w:eastAsia="Times New Roman" w:cs="Times New Roman" w:ascii="Times New Roman" w:hAnsi="Times New Roman"/>
          <w:color w:val="111111"/>
          <w:sz w:val="28"/>
          <w:szCs w:val="28"/>
          <w:lang w:val="en-US"/>
        </w:rPr>
        <w:t>Author: Ja‘far al-Hadi</w:t>
      </w:r>
    </w:p>
    <w:p>
      <w:pPr>
        <w:pStyle w:val="BookText"/>
        <w:bidi w:val="0"/>
        <w:jc w:val="both"/>
        <w:rPr/>
      </w:pPr>
      <w:r>
        <w:rPr>
          <w:rFonts w:eastAsia="Times New Roman" w:cs="Times New Roman" w:ascii="Times New Roman" w:hAnsi="Times New Roman"/>
          <w:color w:val="111111"/>
          <w:sz w:val="28"/>
          <w:szCs w:val="28"/>
          <w:lang w:val="en-US"/>
        </w:rPr>
        <w:t>Translator: Badr Shahin</w:t>
      </w:r>
    </w:p>
    <w:p>
      <w:pPr>
        <w:pStyle w:val="BookText"/>
        <w:bidi w:val="0"/>
        <w:jc w:val="both"/>
        <w:rPr/>
      </w:pPr>
      <w:r>
        <w:rPr>
          <w:rFonts w:eastAsia="Times New Roman" w:cs="Times New Roman" w:ascii="Times New Roman" w:hAnsi="Times New Roman"/>
          <w:color w:val="111111"/>
          <w:sz w:val="28"/>
          <w:szCs w:val="28"/>
          <w:lang w:val="en-US"/>
        </w:rPr>
        <w:t>Prepared</w:t>
      </w:r>
    </w:p>
    <w:p>
      <w:pPr>
        <w:pStyle w:val="BookText"/>
        <w:bidi w:val="0"/>
        <w:jc w:val="both"/>
        <w:rPr/>
      </w:pPr>
      <w:r>
        <w:rPr>
          <w:rFonts w:eastAsia="Times New Roman" w:cs="Times New Roman" w:ascii="Times New Roman" w:hAnsi="Times New Roman"/>
          <w:color w:val="111111"/>
          <w:sz w:val="28"/>
          <w:szCs w:val="28"/>
          <w:lang w:val="en-US"/>
        </w:rPr>
        <w:t>by Translation Unit, Cultural Affairs</w:t>
      </w:r>
    </w:p>
    <w:p>
      <w:pPr>
        <w:pStyle w:val="BookText"/>
        <w:bidi w:val="0"/>
        <w:jc w:val="both"/>
        <w:rPr/>
      </w:pPr>
      <w:r>
        <w:rPr>
          <w:rFonts w:eastAsia="Times New Roman" w:cs="Times New Roman" w:ascii="Times New Roman" w:hAnsi="Times New Roman"/>
          <w:color w:val="111111"/>
          <w:sz w:val="28"/>
          <w:szCs w:val="28"/>
          <w:lang w:val="en-US"/>
        </w:rPr>
        <w:t>Department,</w:t>
      </w:r>
    </w:p>
    <w:p>
      <w:pPr>
        <w:pStyle w:val="BookText"/>
        <w:bidi w:val="0"/>
        <w:jc w:val="both"/>
        <w:rPr/>
      </w:pPr>
      <w:r>
        <w:rPr>
          <w:rFonts w:eastAsia="Times New Roman" w:cs="Times New Roman" w:ascii="Times New Roman" w:hAnsi="Times New Roman"/>
          <w:color w:val="111111"/>
          <w:sz w:val="28"/>
          <w:szCs w:val="28"/>
          <w:lang w:val="en-US"/>
        </w:rPr>
        <w:t>The Ahl al-Bayt (‘a) World</w:t>
      </w:r>
    </w:p>
    <w:p>
      <w:pPr>
        <w:pStyle w:val="BookText"/>
        <w:bidi w:val="0"/>
        <w:jc w:val="both"/>
        <w:rPr/>
      </w:pPr>
      <w:r>
        <w:rPr>
          <w:rFonts w:eastAsia="Times New Roman" w:cs="Times New Roman" w:ascii="Times New Roman" w:hAnsi="Times New Roman"/>
          <w:color w:val="111111"/>
          <w:sz w:val="28"/>
          <w:szCs w:val="28"/>
          <w:lang w:val="en-US"/>
        </w:rPr>
        <w:t>Assembly</w:t>
      </w:r>
    </w:p>
    <w:p>
      <w:pPr>
        <w:pStyle w:val="BookText"/>
        <w:bidi w:val="0"/>
        <w:jc w:val="both"/>
        <w:rPr/>
      </w:pPr>
      <w:r>
        <w:rPr>
          <w:rFonts w:eastAsia="Times New Roman" w:cs="Times New Roman" w:ascii="Times New Roman" w:hAnsi="Times New Roman"/>
          <w:color w:val="111111"/>
          <w:sz w:val="28"/>
          <w:szCs w:val="28"/>
          <w:lang w:val="en-US"/>
        </w:rPr>
        <w:t>Editor:</w:t>
      </w:r>
    </w:p>
    <w:p>
      <w:pPr>
        <w:pStyle w:val="BookText"/>
        <w:bidi w:val="0"/>
        <w:jc w:val="both"/>
        <w:rPr/>
      </w:pPr>
      <w:r>
        <w:rPr>
          <w:rFonts w:eastAsia="Times New Roman" w:cs="Times New Roman" w:ascii="Times New Roman" w:hAnsi="Times New Roman"/>
          <w:color w:val="111111"/>
          <w:sz w:val="28"/>
          <w:szCs w:val="28"/>
          <w:lang w:val="en-US"/>
        </w:rPr>
        <w:t>Abbas al-Husayni</w:t>
      </w:r>
    </w:p>
    <w:p>
      <w:pPr>
        <w:pStyle w:val="BookText"/>
        <w:bidi w:val="0"/>
        <w:jc w:val="both"/>
        <w:rPr/>
      </w:pPr>
      <w:r>
        <w:rPr>
          <w:rFonts w:eastAsia="Times New Roman" w:cs="Times New Roman" w:ascii="Times New Roman" w:hAnsi="Times New Roman"/>
          <w:color w:val="111111"/>
          <w:sz w:val="28"/>
          <w:szCs w:val="28"/>
          <w:lang w:val="en-US"/>
        </w:rPr>
        <w:t>Publisher:</w:t>
      </w:r>
    </w:p>
    <w:p>
      <w:pPr>
        <w:pStyle w:val="BookText"/>
        <w:bidi w:val="0"/>
        <w:jc w:val="both"/>
        <w:rPr/>
      </w:pPr>
      <w:r>
        <w:rPr>
          <w:rFonts w:eastAsia="Times New Roman" w:cs="Times New Roman" w:ascii="Times New Roman" w:hAnsi="Times New Roman"/>
          <w:color w:val="111111"/>
          <w:sz w:val="28"/>
          <w:szCs w:val="28"/>
          <w:lang w:val="en-US"/>
        </w:rPr>
        <w:t>the Ahl al-Bayt(‘a) World Assembly</w:t>
      </w:r>
    </w:p>
    <w:p>
      <w:pPr>
        <w:pStyle w:val="BookText"/>
        <w:bidi w:val="0"/>
        <w:jc w:val="both"/>
        <w:rPr/>
      </w:pPr>
      <w:r>
        <w:rPr>
          <w:rFonts w:eastAsia="Times New Roman" w:cs="Times New Roman" w:ascii="Times New Roman" w:hAnsi="Times New Roman"/>
          <w:color w:val="111111"/>
          <w:sz w:val="28"/>
          <w:szCs w:val="28"/>
          <w:lang w:val="en-US"/>
        </w:rPr>
        <w:t>First Edition 2006 / 1427</w:t>
      </w:r>
    </w:p>
    <w:p>
      <w:pPr>
        <w:pStyle w:val="BookText"/>
        <w:bidi w:val="0"/>
        <w:jc w:val="both"/>
        <w:rPr/>
      </w:pP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Number of Pages: 53</w:t>
      </w:r>
    </w:p>
    <w:p>
      <w:pPr>
        <w:pStyle w:val="BookText"/>
        <w:bidi w:val="0"/>
        <w:jc w:val="both"/>
        <w:rPr/>
      </w:pPr>
      <w:r>
        <w:rPr>
          <w:rFonts w:eastAsia="Times New Roman" w:cs="Times New Roman" w:ascii="Times New Roman" w:hAnsi="Times New Roman"/>
          <w:color w:val="111111"/>
          <w:sz w:val="28"/>
          <w:szCs w:val="28"/>
          <w:lang w:val="en-US"/>
        </w:rPr>
        <w:t>Book Size: A5 (14.8 X 21</w:t>
      </w:r>
    </w:p>
    <w:p>
      <w:pPr>
        <w:pStyle w:val="BookText"/>
        <w:bidi w:val="0"/>
        <w:jc w:val="both"/>
        <w:rPr/>
      </w:pPr>
      <w:r>
        <w:rPr>
          <w:rFonts w:eastAsia="Times New Roman" w:cs="Times New Roman" w:ascii="Times New Roman" w:hAnsi="Times New Roman"/>
          <w:color w:val="111111"/>
          <w:sz w:val="28"/>
          <w:szCs w:val="28"/>
          <w:lang w:val="en-US"/>
        </w:rPr>
        <w:t>cm)</w:t>
      </w:r>
    </w:p>
    <w:p>
      <w:pPr>
        <w:pStyle w:val="BookText"/>
        <w:bidi w:val="0"/>
        <w:jc w:val="both"/>
        <w:rPr/>
      </w:pPr>
      <w:r>
        <w:rPr>
          <w:rFonts w:eastAsia="Times New Roman" w:cs="Times New Roman" w:ascii="Times New Roman" w:hAnsi="Times New Roman"/>
          <w:color w:val="111111"/>
          <w:sz w:val="28"/>
          <w:szCs w:val="28"/>
          <w:lang w:val="en-US"/>
        </w:rPr>
        <w:t>Copies</w:t>
      </w:r>
    </w:p>
    <w:p>
      <w:pPr>
        <w:pStyle w:val="BookText"/>
        <w:bidi w:val="0"/>
        <w:jc w:val="both"/>
        <w:rPr/>
      </w:pPr>
      <w:r>
        <w:rPr>
          <w:rFonts w:eastAsia="Times New Roman" w:cs="Times New Roman" w:ascii="Times New Roman" w:hAnsi="Times New Roman"/>
          <w:color w:val="111111"/>
          <w:sz w:val="28"/>
          <w:szCs w:val="28"/>
          <w:lang w:val="en-US"/>
        </w:rPr>
        <w:t>Printed: 5000</w:t>
      </w:r>
    </w:p>
    <w:p>
      <w:pPr>
        <w:pStyle w:val="BookText"/>
        <w:bidi w:val="0"/>
        <w:jc w:val="both"/>
        <w:rPr/>
      </w:pPr>
      <w:r>
        <w:rPr>
          <w:rFonts w:eastAsia="Times New Roman" w:cs="Times New Roman" w:ascii="Times New Roman" w:hAnsi="Times New Roman"/>
          <w:color w:val="111111"/>
          <w:sz w:val="28"/>
          <w:szCs w:val="28"/>
          <w:lang w:val="en-US"/>
        </w:rPr>
        <w:t>Printed by I'timad Press</w:t>
      </w:r>
    </w:p>
    <w:p>
      <w:pPr>
        <w:pStyle w:val="BookText"/>
        <w:bidi w:val="0"/>
        <w:jc w:val="both"/>
        <w:rPr/>
      </w:pPr>
      <w:r>
        <w:rPr>
          <w:rFonts w:eastAsia="Times New Roman" w:cs="Times New Roman" w:ascii="Times New Roman" w:hAnsi="Times New Roman"/>
          <w:color w:val="111111"/>
          <w:sz w:val="28"/>
          <w:szCs w:val="28"/>
          <w:lang w:val="en-US"/>
        </w:rPr>
        <w:t>ISBN: 964-592-092-9</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Rights Reserved For The Ahl al-Bayt (‘a) World Assembly </w:t>
      </w:r>
      <w:bookmarkStart w:id="7" w:name="pg6161_73795"/>
    </w:p>
    <w:p>
      <w:pPr>
        <w:pStyle w:val="Heading2"/>
        <w:numPr>
          <w:ilvl w:val="1"/>
          <w:numId w:val="1"/>
        </w:numPr>
        <w:bidi w:val="0"/>
        <w:jc w:val="left"/>
        <w:rPr/>
      </w:pPr>
      <w:bookmarkStart w:id="8" w:name="__RefHeading___Toc428563_237004111"/>
      <w:bookmarkStart w:id="9" w:name="_Toc3"/>
      <w:bookmarkEnd w:id="7"/>
      <w:bookmarkEnd w:id="8"/>
      <w:r>
        <w:rPr/>
        <w:t>Publisher’s FOREWORD</w:t>
      </w:r>
      <w:bookmarkEnd w:id="9"/>
    </w:p>
    <w:p>
      <w:pPr>
        <w:pStyle w:val="BookText"/>
        <w:bidi w:val="0"/>
        <w:jc w:val="both"/>
        <w:rPr/>
      </w:pPr>
      <w:r>
        <w:rPr>
          <w:rFonts w:eastAsia="Times New Roman" w:cs="Times New Roman" w:ascii="Times New Roman" w:hAnsi="Times New Roman"/>
          <w:color w:val="111111"/>
          <w:sz w:val="28"/>
          <w:szCs w:val="28"/>
          <w:lang w:val="en-US"/>
        </w:rPr>
        <w:t>The Ahl al-Bayt’s heritage, which has been kept in reserve by their school and saved from waste by their followers, represents an all-inclusive school comprising the various fields of Islamic knowledge. This school has succeeded in raising minds that were initially ready to take along provisions from this source and presenting to the Muslim nation eminent scholars who, following the unshakable steps of the Ahl al-Bayt, are well-acquainted with the arguments and questions of the various sects and intellectual trends, inside and outside the Muslim community and are capable of providing excellent, irrefutable answers and solutions over successive ages.</w:t>
      </w:r>
    </w:p>
    <w:p>
      <w:pPr>
        <w:pStyle w:val="BookText"/>
        <w:bidi w:val="0"/>
        <w:jc w:val="both"/>
        <w:rPr/>
      </w:pPr>
      <w:r>
        <w:rPr>
          <w:rFonts w:eastAsia="Times New Roman" w:cs="Times New Roman" w:ascii="Times New Roman" w:hAnsi="Times New Roman"/>
          <w:color w:val="111111"/>
          <w:sz w:val="28"/>
          <w:szCs w:val="28"/>
          <w:lang w:val="en-US"/>
        </w:rPr>
        <w:t>On account of the responsibilities that it has undertaken, the Ahl al-Bayt (a.s)</w:t>
      </w:r>
      <w:r>
        <w:rPr>
          <w:rStyle w:val="FootnoteAnchor"/>
        </w:rPr>
        <w:footnoteReference w:id="2"/>
      </w:r>
      <w:r>
        <w:rPr>
          <w:rFonts w:eastAsia="Times New Roman" w:cs="Times New Roman" w:ascii="Times New Roman" w:hAnsi="Times New Roman"/>
          <w:color w:val="111111"/>
          <w:sz w:val="28"/>
          <w:szCs w:val="28"/>
          <w:lang w:val="en-US"/>
        </w:rPr>
        <w:t>World Assembly has taken the initiative to defend the sacredness of the Divine Mission and its realities, which the contrivers of misleading factions and the inventors of anti-Islam trends have tried to confuse. It has also patterned after the steps of the Ahl al-Bayt (a.s) and the followers of their orthodox school that has always abided by refuting such ceaseless challenges and attempted to keep itself in confrontation with these enemies at the required level for all time and in all ages.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experiments comprised by the writings of the scholars of the Ahl al-Bayt School in this respect are really unique, because they hold a scientific amount of knowledge based </w:t>
      </w:r>
    </w:p>
    <w:p>
      <w:pPr>
        <w:pStyle w:val="BookText"/>
        <w:bidi w:val="0"/>
        <w:rPr/>
      </w:pPr>
      <w:r>
        <w:rPr>
          <w:rFonts w:eastAsia="Times New Roman" w:cs="Times New Roman" w:ascii="Times New Roman" w:hAnsi="Times New Roman"/>
          <w:color w:val="111111"/>
          <w:sz w:val="28"/>
          <w:szCs w:val="28"/>
          <w:lang w:val="en-US"/>
        </w:rPr>
        <w:t>upon reason and clear evidence, evading personal desires and discommended fanaticism, and conversing with versed scholars and thinkers through a speech accepted by reason and approved by sound nature.</w:t>
      </w:r>
    </w:p>
    <w:p>
      <w:pPr>
        <w:pStyle w:val="BookText"/>
        <w:bidi w:val="0"/>
        <w:jc w:val="both"/>
        <w:rPr/>
      </w:pPr>
      <w:r>
        <w:rPr>
          <w:rFonts w:eastAsia="Times New Roman" w:cs="Times New Roman" w:ascii="Times New Roman" w:hAnsi="Times New Roman"/>
          <w:color w:val="111111"/>
          <w:sz w:val="28"/>
          <w:szCs w:val="28"/>
          <w:lang w:val="en-US"/>
        </w:rPr>
        <w:t>The Ahl al-Bayt (a.s) World Assembly has been attempting to provide for the seekers after truth a new stage of such abounding experiments, through a set of researches and writings compiled by contemporary authors belonging to the Ahl al-Bayt (a.s) School, and other authors upon whom Almighty Allah has bestowed the boon of joining this honorable school. Besides, the Assembly has published and revised a number of books of ancient brilliant Shi`ite scholars, in the hope that these books will be pleasant resources for truth-seeking souls and enable them to perceive the facts presented by the genuine school of the Ahl al-Bayt (a.s) to the entire world in an age when intellects are attaining perfection and souls and spirits are swiftly and inimitably interconnected.</w:t>
      </w:r>
    </w:p>
    <w:p>
      <w:pPr>
        <w:pStyle w:val="BookText"/>
        <w:bidi w:val="0"/>
        <w:jc w:val="both"/>
        <w:rPr/>
      </w:pPr>
      <w:r>
        <w:rPr>
          <w:rFonts w:eastAsia="Times New Roman" w:cs="Times New Roman" w:ascii="Times New Roman" w:hAnsi="Times New Roman"/>
          <w:color w:val="111111"/>
          <w:sz w:val="28"/>
          <w:szCs w:val="28"/>
          <w:lang w:val="en-US"/>
        </w:rPr>
        <w:t>The Ahl al-Bayt (a.s) World Assembly would like to express special gratitude to His Eminence Shaykh Ja`far al-Hadi, the author of this book, and thank all the people who have contributed to this project.</w:t>
      </w:r>
    </w:p>
    <w:p>
      <w:pPr>
        <w:pStyle w:val="BookText"/>
        <w:bidi w:val="0"/>
        <w:jc w:val="both"/>
        <w:rPr/>
      </w:pPr>
      <w:r>
        <w:rPr>
          <w:rFonts w:eastAsia="Times New Roman" w:cs="Times New Roman" w:ascii="Times New Roman" w:hAnsi="Times New Roman"/>
          <w:color w:val="111111"/>
          <w:sz w:val="28"/>
          <w:szCs w:val="28"/>
          <w:lang w:val="en-US"/>
        </w:rPr>
        <w:t>Finally, we hope that we have fulfilled a part of our duty towards the Mission of our Great Lord Who “sent His Messenger with the guidance and the true religion that He may make it prevail over all the religions; and Allah is enough for a witness. (48/28)”</w:t>
      </w:r>
    </w:p>
    <w:p>
      <w:pPr>
        <w:pStyle w:val="BookText"/>
        <w:bidi w:val="0"/>
        <w:jc w:val="both"/>
        <w:rPr/>
      </w:pPr>
      <w:r>
        <w:rPr>
          <w:rFonts w:eastAsia="Times New Roman" w:cs="Times New Roman" w:ascii="Times New Roman" w:hAnsi="Times New Roman"/>
          <w:color w:val="111111"/>
          <w:sz w:val="28"/>
          <w:szCs w:val="28"/>
          <w:lang w:val="en-US"/>
        </w:rPr>
        <w:t>The Ahl al-Bayt (a.s) World Assembly</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Cultural Affairs Department </w:t>
      </w:r>
      <w:bookmarkStart w:id="10" w:name="pg6161_73799"/>
    </w:p>
    <w:p>
      <w:pPr>
        <w:pStyle w:val="Heading2"/>
        <w:numPr>
          <w:ilvl w:val="1"/>
          <w:numId w:val="1"/>
        </w:numPr>
        <w:bidi w:val="0"/>
        <w:jc w:val="left"/>
        <w:rPr/>
      </w:pPr>
      <w:bookmarkStart w:id="11" w:name="__RefHeading___Toc428565_237004111"/>
      <w:bookmarkStart w:id="12" w:name="_Toc4"/>
      <w:bookmarkEnd w:id="10"/>
      <w:bookmarkEnd w:id="11"/>
      <w:r>
        <w:rPr/>
        <w:t>The NEED for MUTUAL ACQUAINTANCE</w:t>
      </w:r>
      <w:bookmarkEnd w:id="12"/>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Holy Qur'an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made you tribes and families that you may know each other. 49/13”</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Islam dawned, peoples were so disunited that they ignored each other. Furthermore, they were involved in conflicting and wrangling against each other. With the spread of Islam among these peoples, ignorance of each other turned into mutual acquaintance, rivalry into cooperation, and dissociation into reciprocal relations. This change is one of the blessings of the monotheistic precepts of Islam, which was the prime motive of the emergence of a great, united nation that introduced to the world a magnificent culture and protected its individuals from the evils of oppressors and tyrants and succeeded to win the world’s respect and become object of veneration in the eyes of all despots and arrogant rulers. </w:t>
      </w:r>
    </w:p>
    <w:p>
      <w:pPr>
        <w:pStyle w:val="BookText"/>
        <w:bidi w:val="0"/>
        <w:rPr/>
      </w:pPr>
      <w:r>
        <w:rPr>
          <w:rFonts w:eastAsia="Times New Roman" w:cs="Times New Roman" w:ascii="Times New Roman" w:hAnsi="Times New Roman"/>
          <w:color w:val="111111"/>
          <w:sz w:val="28"/>
          <w:szCs w:val="28"/>
          <w:lang w:val="en-US"/>
        </w:rPr>
        <w:t>What happened is attributed to the unity and intimate relationship of this nation which discarded ethnic differences and differences in opinions, cultures, and customs or traditions. Reaching consensus on principles, fundaments, obligatory acts, and duties contributed to achieving the unity. Unquestionably, unity is power while separation is weakness.</w:t>
      </w:r>
    </w:p>
    <w:p>
      <w:pPr>
        <w:pStyle w:val="BookText"/>
        <w:bidi w:val="0"/>
        <w:jc w:val="both"/>
        <w:rPr/>
      </w:pPr>
      <w:r>
        <w:rPr>
          <w:rFonts w:eastAsia="Times New Roman" w:cs="Times New Roman" w:ascii="Times New Roman" w:hAnsi="Times New Roman"/>
          <w:color w:val="111111"/>
          <w:sz w:val="28"/>
          <w:szCs w:val="28"/>
          <w:lang w:val="en-US"/>
        </w:rPr>
        <w:t>The new situation prevailed for a period of time. Then, the unity and acquaintance turned into disunity so that people began to ignore one another, the understanding turned into enmity so that some groups began to accuse each other of atheism, and sects began to wage campaigns against some other sects. As a result, the nation lost its might, its strength petered out, and tyrants belittled this nation, which once enjoyed a pioneering and leading status. This condition paved the way for foxes and wolves to move freely across the lands of this nation; and the strangers who are accursed by Almighty Allah and rejected by humanity gained control over its various parts. So, the fortunes of this nation were plundered, its sanctity was violated, and its honor became at the mercy of the immoral ones. The consequence was incessant collapses and defeats and relapses that afflicted Andalusia, Bukhara, Samarkand, Tashkent, and Baghdad in the past, and Palestine and Afghanistan in the present time.</w:t>
      </w:r>
    </w:p>
    <w:p>
      <w:pPr>
        <w:pStyle w:val="BookText"/>
        <w:bidi w:val="0"/>
        <w:jc w:val="both"/>
        <w:rPr/>
      </w:pPr>
      <w:r>
        <w:rPr>
          <w:rFonts w:eastAsia="Times New Roman" w:cs="Times New Roman" w:ascii="Times New Roman" w:hAnsi="Times New Roman"/>
          <w:color w:val="111111"/>
          <w:sz w:val="28"/>
          <w:szCs w:val="28"/>
          <w:lang w:val="en-US"/>
        </w:rPr>
        <w:t>Consequently, the calls of the nation are no longer responded to, and its appeals for aid are no longer answered. The reason is because the malady is something else. So is the remedy. Almighty Allah has decreed that nothing can go into effect without natural causes; and “the last affair of this nation can be set aright by setting right its first affair.”</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that the Muslim nation is facing the most hideous and vehement campaigns which target its entity, doctrines and unity as well as the devices intended to harm its </w:t>
      </w:r>
    </w:p>
    <w:p>
      <w:pPr>
        <w:pStyle w:val="BookText"/>
        <w:bidi w:val="0"/>
        <w:rPr/>
      </w:pPr>
      <w:r>
        <w:rPr>
          <w:rFonts w:eastAsia="Times New Roman" w:cs="Times New Roman" w:ascii="Times New Roman" w:hAnsi="Times New Roman"/>
          <w:color w:val="111111"/>
          <w:sz w:val="28"/>
          <w:szCs w:val="28"/>
          <w:lang w:val="en-US"/>
        </w:rPr>
        <w:t>sectarian and intellectual coexistence; is it not appropriate in this stage that Muslims in the world unite and strengthen their relations? The various Muslim sects share principles and consider the Holy Qur'an and the Holy Sunnah</w:t>
      </w:r>
      <w:r>
        <w:rPr>
          <w:rStyle w:val="FootnoteAnchor"/>
        </w:rPr>
        <w:footnoteReference w:id="3"/>
      </w:r>
      <w:r>
        <w:rPr>
          <w:rFonts w:eastAsia="Times New Roman" w:cs="Times New Roman" w:ascii="Times New Roman" w:hAnsi="Times New Roman"/>
          <w:color w:val="111111"/>
          <w:sz w:val="28"/>
          <w:szCs w:val="28"/>
          <w:lang w:val="en-US"/>
        </w:rPr>
        <w:t>as the source of law and believe that Almighty Allah is the One and Only Lord, Muhammad (s)</w:t>
      </w:r>
      <w:r>
        <w:rPr>
          <w:rStyle w:val="FootnoteAnchor"/>
        </w:rPr>
        <w:footnoteReference w:id="4"/>
      </w:r>
      <w:r>
        <w:rPr>
          <w:rFonts w:eastAsia="Times New Roman" w:cs="Times New Roman" w:ascii="Times New Roman" w:hAnsi="Times New Roman"/>
          <w:color w:val="111111"/>
          <w:sz w:val="28"/>
          <w:szCs w:val="28"/>
          <w:lang w:val="en-US"/>
        </w:rPr>
        <w:t>is their Prophet, and that the Hereafter is the final return. Besides, all Muslims perform the same religious duties; i.e. prayer, fasting, pilgrimage to the Holy House of God at Mecca, defraying the poor-rate, struggling against the enemies of Islam, and abiding by that which is deemed lawful and abandoning that which is deemed unlawful by Islam and they all love the Holy Prophet and his Household—peace be upon them all—and all acquit themselves from their enemies, though the intensity of their feelings may differ in this concern.</w:t>
      </w:r>
    </w:p>
    <w:p>
      <w:pPr>
        <w:pStyle w:val="BookText"/>
        <w:bidi w:val="0"/>
        <w:jc w:val="both"/>
        <w:rPr/>
      </w:pPr>
      <w:r>
        <w:rPr>
          <w:rFonts w:eastAsia="Times New Roman" w:cs="Times New Roman" w:ascii="Times New Roman" w:hAnsi="Times New Roman"/>
          <w:color w:val="111111"/>
          <w:sz w:val="28"/>
          <w:szCs w:val="28"/>
          <w:lang w:val="en-US"/>
        </w:rPr>
        <w:t>Thus, Muslim sects are just like fingers of one hand all of which come together, though they slightly vary in length, width and shape or perhaps they are like a body, which has many parts of different shapes and forms and these parts all cooperate to stimulate a person’s physical activity.</w:t>
      </w:r>
    </w:p>
    <w:p>
      <w:pPr>
        <w:pStyle w:val="BookText"/>
        <w:bidi w:val="0"/>
        <w:jc w:val="both"/>
        <w:rPr/>
      </w:pPr>
      <w:r>
        <w:rPr>
          <w:rFonts w:eastAsia="Times New Roman" w:cs="Times New Roman" w:ascii="Times New Roman" w:hAnsi="Times New Roman"/>
          <w:color w:val="111111"/>
          <w:sz w:val="28"/>
          <w:szCs w:val="28"/>
          <w:lang w:val="en-US"/>
        </w:rPr>
        <w:t>The comparison between the Islamic nation and the hand or the body can be an indication of the aforementioned fact.</w:t>
      </w:r>
      <w:r>
        <w:rPr>
          <w:rStyle w:val="FootnoteAnchor"/>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He—peace be upon him and his Household—is also reported to have said, “Verily the Muslims are one hand against their enemies.” (Bihar al-Anwar, 28:104)</w:t>
      </w:r>
    </w:p>
    <w:p>
      <w:pPr>
        <w:pStyle w:val="BookText"/>
        <w:bidi w:val="0"/>
        <w:rPr/>
      </w:pPr>
      <w:r>
        <w:rPr>
          <w:rFonts w:eastAsia="Times New Roman" w:cs="Times New Roman" w:ascii="Times New Roman" w:hAnsi="Times New Roman"/>
          <w:color w:val="111111"/>
          <w:sz w:val="28"/>
          <w:szCs w:val="28"/>
          <w:lang w:val="en-US"/>
        </w:rPr>
        <w:t>In the past, the scholars of the various Muslim sects and trends used to live side by side without any dispute. On many occasions, they used to cooperate with each other; they would explain theological or jurisprudential books of each other; attend the lessons of each other; applaud each other; support each other; license each other to narrate their reports; ask permission from each other to quote narrations from their books; follow each other in prayers; lead each other in prayers; declare the piety of each other; and approve of each others’ sects. Moreover, the followers of the various sects used to live together amicably as if there were no disagreement and variance in opinions between them and when scholars from one sect criticized one from the other sect, they would often behave with utter decorum and observe the rules of scientific and objective discussion.</w:t>
      </w:r>
    </w:p>
    <w:p>
      <w:pPr>
        <w:pStyle w:val="BookText"/>
        <w:bidi w:val="0"/>
        <w:jc w:val="both"/>
        <w:rPr/>
      </w:pPr>
      <w:r>
        <w:rPr>
          <w:rFonts w:eastAsia="Times New Roman" w:cs="Times New Roman" w:ascii="Times New Roman" w:hAnsi="Times New Roman"/>
          <w:color w:val="111111"/>
          <w:sz w:val="28"/>
          <w:szCs w:val="28"/>
          <w:lang w:val="en-US"/>
        </w:rPr>
        <w:t>There are numerous irrefutable historical proofs of such profound cooperation through which the Muslim scholars were able to enrich Islamic culture, cite excellent example of sectarian freedom and attract the attention of the whole world and win their respect.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matter of fact, it is not impossible for the scholars of the Muslim nation to hold meetings and exchange views calmly with objectivity, sincerity, and good intention and discuss the disagreements between Muslim sects and have good acquaintance with the proofs and evidences of each sect in this respect. </w:t>
      </w:r>
    </w:p>
    <w:p>
      <w:pPr>
        <w:pStyle w:val="BookText"/>
        <w:bidi w:val="0"/>
        <w:rPr/>
      </w:pPr>
      <w:r>
        <w:rPr>
          <w:rFonts w:eastAsia="Times New Roman" w:cs="Times New Roman" w:ascii="Times New Roman" w:hAnsi="Times New Roman"/>
          <w:color w:val="111111"/>
          <w:sz w:val="28"/>
          <w:szCs w:val="28"/>
          <w:lang w:val="en-US"/>
        </w:rPr>
        <w:t>It is also good and reasonable that each sect or group will present its beliefs and ideas and thoughts freely and openly so that the spurious accusations and arguments aroused against any sect may be known to all and everyone realizes the areas of similarity and difference and then apprehend that they have a lot in common and that the points of disagreement cannot affect their unity or prevent them from getting closer and closer.</w:t>
      </w:r>
    </w:p>
    <w:p>
      <w:pPr>
        <w:pStyle w:val="BookText"/>
        <w:bidi w:val="0"/>
        <w:jc w:val="both"/>
        <w:rPr/>
      </w:pPr>
      <w:r>
        <w:rPr>
          <w:rFonts w:eastAsia="Times New Roman" w:cs="Times New Roman" w:ascii="Times New Roman" w:hAnsi="Times New Roman"/>
          <w:color w:val="111111"/>
          <w:sz w:val="28"/>
          <w:szCs w:val="28"/>
          <w:lang w:val="en-US"/>
        </w:rPr>
        <w:t>The current work is a step on this way. It is hoped that it will be a good manifestation of the truth in its real sense so that everybody may know the truth as it is.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Almighty Allah is the patron of all success. </w:t>
      </w:r>
      <w:bookmarkStart w:id="13" w:name="pg6161_73808"/>
    </w:p>
    <w:p>
      <w:pPr>
        <w:pStyle w:val="Heading2"/>
        <w:numPr>
          <w:ilvl w:val="1"/>
          <w:numId w:val="1"/>
        </w:numPr>
        <w:bidi w:val="0"/>
        <w:jc w:val="left"/>
        <w:rPr/>
      </w:pPr>
      <w:bookmarkStart w:id="14" w:name="__RefHeading___Toc428567_237004111"/>
      <w:bookmarkStart w:id="15" w:name="_Toc5"/>
      <w:bookmarkEnd w:id="13"/>
      <w:bookmarkEnd w:id="14"/>
      <w:r>
        <w:rPr/>
        <w:t>THE IMªMITE JAFARIYYAH SH«AH</w:t>
      </w:r>
      <w:bookmarkEnd w:id="15"/>
    </w:p>
    <w:p>
      <w:pPr>
        <w:pStyle w:val="Heading3"/>
        <w:numPr>
          <w:ilvl w:val="2"/>
          <w:numId w:val="1"/>
        </w:numPr>
        <w:bidi w:val="0"/>
        <w:jc w:val="left"/>
        <w:rPr/>
      </w:pPr>
      <w:bookmarkStart w:id="16" w:name="__RefHeading___Toc428569_237004111"/>
      <w:bookmarkStart w:id="17" w:name="_Toc6"/>
      <w:bookmarkEnd w:id="16"/>
      <w:r>
        <w:rPr/>
        <w:t>(1)</w:t>
      </w:r>
      <w:bookmarkEnd w:id="17"/>
    </w:p>
    <w:p>
      <w:pPr>
        <w:pStyle w:val="BookText"/>
        <w:bidi w:val="0"/>
        <w:jc w:val="both"/>
        <w:rPr/>
      </w:pPr>
      <w:r>
        <w:rPr>
          <w:rFonts w:eastAsia="Times New Roman" w:cs="Times New Roman" w:ascii="Times New Roman" w:hAnsi="Times New Roman"/>
          <w:color w:val="111111"/>
          <w:sz w:val="28"/>
          <w:szCs w:val="28"/>
          <w:lang w:val="en-US"/>
        </w:rPr>
        <w:t>(1) The Imamite Ja`fariyyah form a large group of Muslims in the present age, which amounts to about one fourth of the total number of the Muslims. Their historical roots extend to early Islam when Almighty Allah revealed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have faith and do righteous deeds; they are the best of creatures. (98/7)”</w:t>
      </w:r>
    </w:p>
    <w:p>
      <w:pPr>
        <w:pStyle w:val="BookText"/>
        <w:bidi w:val="0"/>
        <w:jc w:val="both"/>
        <w:rPr/>
      </w:pPr>
      <w:r>
        <w:rPr>
          <w:rFonts w:eastAsia="Times New Roman" w:cs="Times New Roman" w:ascii="Times New Roman" w:hAnsi="Times New Roman"/>
          <w:color w:val="111111"/>
          <w:sz w:val="28"/>
          <w:szCs w:val="28"/>
          <w:lang w:val="en-US"/>
        </w:rPr>
        <w:t>On that day, the Holy Prophet, in the presence of his companions, put his hand on `Ali ibn Abi-Talib’s shoulder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w:t>
      </w:r>
      <w:r>
        <w:rPr>
          <w:rFonts w:eastAsia="Consolas" w:cs="Consolas" w:ascii="Consolas" w:hAnsi="Consolas"/>
          <w:color w:val="111111"/>
          <w:sz w:val="28"/>
          <w:szCs w:val="28"/>
          <w:lang w:val="en-US"/>
        </w:rPr>
        <w:t>Ali: It is you and your Shi</w:t>
      </w:r>
      <w:r>
        <w:rPr>
          <w:rFonts w:eastAsia="Times New Roman" w:cs="Times New Roman" w:ascii="Times New Roman" w:hAnsi="Times New Roman"/>
          <w:color w:val="111111"/>
          <w:sz w:val="28"/>
          <w:szCs w:val="28"/>
          <w:lang w:val="en-US"/>
        </w:rPr>
        <w:t>ah (followers) who are ‘the best of creatures.’”</w:t>
      </w:r>
      <w:r>
        <w:rPr>
          <w:rStyle w:val="FootnoteAnchor"/>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followers of this sect, who are ascribed to Imam Ja</w:t>
      </w:r>
      <w:r>
        <w:rPr>
          <w:rFonts w:eastAsia="Consolas" w:cs="Consolas" w:ascii="Consolas" w:hAnsi="Consolas"/>
          <w:color w:val="111111"/>
          <w:sz w:val="28"/>
          <w:szCs w:val="28"/>
          <w:lang w:val="en-US"/>
        </w:rPr>
        <w:t>far al-Sadiq because of their adherence to his jurisprudential teachings, are also called Shi</w:t>
      </w:r>
      <w:r>
        <w:rPr>
          <w:rFonts w:eastAsia="Times New Roman" w:cs="Times New Roman" w:ascii="Times New Roman" w:hAnsi="Times New Roman"/>
          <w:color w:val="111111"/>
          <w:sz w:val="28"/>
          <w:szCs w:val="28"/>
          <w:lang w:val="en-US"/>
        </w:rPr>
        <w:t xml:space="preserve">ah. </w:t>
      </w:r>
      <w:bookmarkStart w:id="18" w:name="pg6161_73810"/>
    </w:p>
    <w:p>
      <w:pPr>
        <w:pStyle w:val="Heading3"/>
        <w:numPr>
          <w:ilvl w:val="2"/>
          <w:numId w:val="1"/>
        </w:numPr>
        <w:bidi w:val="0"/>
        <w:jc w:val="left"/>
        <w:rPr/>
      </w:pPr>
      <w:bookmarkStart w:id="19" w:name="__RefHeading___Toc428571_237004111"/>
      <w:bookmarkStart w:id="20" w:name="_Toc7"/>
      <w:bookmarkEnd w:id="18"/>
      <w:bookmarkEnd w:id="19"/>
      <w:r>
        <w:rPr/>
        <w:t>(2)</w:t>
      </w:r>
      <w:bookmarkEnd w:id="20"/>
    </w:p>
    <w:p>
      <w:pPr>
        <w:pStyle w:val="BookText"/>
        <w:bidi w:val="0"/>
        <w:jc w:val="both"/>
        <w:rPr/>
      </w:pPr>
      <w:r>
        <w:rPr>
          <w:rFonts w:eastAsia="Times New Roman" w:cs="Times New Roman" w:ascii="Times New Roman" w:hAnsi="Times New Roman"/>
          <w:color w:val="111111"/>
          <w:sz w:val="28"/>
          <w:szCs w:val="28"/>
          <w:lang w:val="en-US"/>
        </w:rPr>
        <w:t>The followers of this sect live densely in Iran, Iraq, Pakistan, Afghanistan, and India. They also spread in big numbers in the countries of the Persian Gulf, Turkey, Syria,</w:t>
      </w:r>
    </w:p>
    <w:p>
      <w:pPr>
        <w:pStyle w:val="BookText"/>
        <w:bidi w:val="0"/>
        <w:jc w:val="both"/>
        <w:rPr/>
      </w:pPr>
      <w:r>
        <w:rPr>
          <w:rFonts w:eastAsia="Times New Roman" w:cs="Times New Roman" w:ascii="Times New Roman" w:hAnsi="Times New Roman"/>
          <w:color w:val="111111"/>
          <w:sz w:val="28"/>
          <w:szCs w:val="28"/>
          <w:lang w:val="en-US"/>
        </w:rPr>
        <w:t>Lebanon, Russia, and the former Soviet Republics, as well as some European countries, such as England, Germany, France, and in American, African and South Asian countries. In these countries, they have their own mosques and scientific, cultural, and social centers.</w:t>
      </w:r>
    </w:p>
    <w:p>
      <w:pPr>
        <w:pStyle w:val="Heading3"/>
        <w:numPr>
          <w:ilvl w:val="2"/>
          <w:numId w:val="1"/>
        </w:numPr>
        <w:bidi w:val="0"/>
        <w:jc w:val="left"/>
        <w:rPr/>
      </w:pPr>
      <w:bookmarkStart w:id="21" w:name="__RefHeading___Toc428573_237004111"/>
      <w:bookmarkStart w:id="22" w:name="_Toc8"/>
      <w:bookmarkEnd w:id="21"/>
      <w:r>
        <w:rPr/>
        <w:t>(3)</w:t>
      </w:r>
      <w:bookmarkEnd w:id="22"/>
    </w:p>
    <w:p>
      <w:pPr>
        <w:pStyle w:val="BookText"/>
        <w:bidi w:val="0"/>
        <w:jc w:val="both"/>
        <w:rPr/>
      </w:pPr>
      <w:r>
        <w:rPr>
          <w:rFonts w:eastAsia="Times New Roman" w:cs="Times New Roman" w:ascii="Times New Roman" w:hAnsi="Times New Roman"/>
          <w:color w:val="111111"/>
          <w:sz w:val="28"/>
          <w:szCs w:val="28"/>
          <w:lang w:val="en-US"/>
        </w:rPr>
        <w:t>The followers of Shi</w:t>
      </w:r>
      <w:r>
        <w:rPr>
          <w:rFonts w:eastAsia="Consolas" w:cs="Consolas" w:ascii="Consolas" w:hAnsi="Consolas"/>
          <w:color w:val="111111"/>
          <w:sz w:val="28"/>
          <w:szCs w:val="28"/>
          <w:lang w:val="en-US"/>
        </w:rPr>
        <w:t>ism belong to various nationalities and ethnic groups and they vary in language and color. The Shi</w:t>
      </w:r>
      <w:r>
        <w:rPr>
          <w:rFonts w:eastAsia="Times New Roman" w:cs="Times New Roman" w:ascii="Times New Roman" w:hAnsi="Times New Roman"/>
          <w:color w:val="111111"/>
          <w:sz w:val="28"/>
          <w:szCs w:val="28"/>
          <w:lang w:val="en-US"/>
        </w:rPr>
        <w:t>ah live side by side with their Muslim brethren from the other sects peacefully and amicably and cooperate with them honestly and sincerely in all aspects and at all levels. In this regard, they act according to the following holy texts:</w:t>
      </w:r>
    </w:p>
    <w:p>
      <w:pPr>
        <w:pStyle w:val="BookText"/>
        <w:bidi w:val="0"/>
        <w:jc w:val="both"/>
        <w:rPr/>
      </w:pPr>
      <w:r>
        <w:rPr>
          <w:rFonts w:eastAsia="Times New Roman" w:cs="Times New Roman" w:ascii="Times New Roman" w:hAnsi="Times New Roman"/>
          <w:color w:val="111111"/>
          <w:sz w:val="28"/>
          <w:szCs w:val="28"/>
          <w:lang w:val="en-US"/>
        </w:rPr>
        <w:t>The Holy Qur'an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believers are but a single brotherhood, (49/10)”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help one another in goodness and piety, (5:2)”</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Muslims must act as one hand against the others.”</w:t>
      </w:r>
      <w:r>
        <w:rPr>
          <w:rStyle w:val="FootnoteAnchor"/>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believers are like a single body.”</w:t>
      </w:r>
      <w:r>
        <w:rPr>
          <w:rStyle w:val="FootnoteAnchor"/>
        </w:rPr>
        <w:footnoteReference w:id="8"/>
      </w:r>
      <w:bookmarkStart w:id="23" w:name="pg6161_73812"/>
    </w:p>
    <w:p>
      <w:pPr>
        <w:pStyle w:val="Heading3"/>
        <w:numPr>
          <w:ilvl w:val="2"/>
          <w:numId w:val="1"/>
        </w:numPr>
        <w:bidi w:val="0"/>
        <w:jc w:val="left"/>
        <w:rPr/>
      </w:pPr>
      <w:bookmarkStart w:id="24" w:name="__RefHeading___Toc428575_237004111"/>
      <w:bookmarkStart w:id="25" w:name="_Toc9"/>
      <w:bookmarkEnd w:id="23"/>
      <w:bookmarkEnd w:id="24"/>
      <w:r>
        <w:rPr/>
        <w:t>(4)</w:t>
      </w:r>
      <w:bookmarkEnd w:id="25"/>
    </w:p>
    <w:p>
      <w:pPr>
        <w:pStyle w:val="BookText"/>
        <w:bidi w:val="0"/>
        <w:jc w:val="both"/>
        <w:rPr/>
      </w:pPr>
      <w:r>
        <w:rPr>
          <w:rFonts w:eastAsia="Times New Roman" w:cs="Times New Roman" w:ascii="Times New Roman" w:hAnsi="Times New Roman"/>
          <w:color w:val="111111"/>
          <w:sz w:val="28"/>
          <w:szCs w:val="28"/>
          <w:lang w:val="en-US"/>
        </w:rPr>
        <w:t>Throughout the history of Islam, the Shi</w:t>
      </w:r>
      <w:r>
        <w:rPr>
          <w:rFonts w:eastAsia="Consolas" w:cs="Consolas" w:ascii="Consolas" w:hAnsi="Consolas"/>
          <w:color w:val="111111"/>
          <w:sz w:val="28"/>
          <w:szCs w:val="28"/>
          <w:lang w:val="en-US"/>
        </w:rPr>
        <w:t>ah have played an estimable and remarkable role in defending Islam and the honorable Muslim community. They led many governments and set up many states that contributed enormously to the Islamic civilization. They have had many scholars and thinkers who contributed to the enhancement of the Islamic heritage by compiling hundreds of thousands of writings and books, small and big, in various fields including exegesis of the Holy Qur'an (tafsir), traditions of the Holy Prophet (hadith), doctrines, jurisprudence, principles of Islamic jurisprudence (</w:t>
      </w:r>
      <w:r>
        <w:rPr>
          <w:rFonts w:eastAsia="Times New Roman" w:cs="Times New Roman" w:ascii="Times New Roman" w:hAnsi="Times New Roman"/>
          <w:color w:val="111111"/>
          <w:sz w:val="28"/>
          <w:szCs w:val="28"/>
          <w:lang w:val="en-US"/>
        </w:rPr>
        <w:t>ilm al-usul), ethics, investigation of reported traditions (</w:t>
      </w:r>
      <w:r>
        <w:rPr>
          <w:rFonts w:eastAsia="Consolas" w:cs="Consolas" w:ascii="Consolas" w:hAnsi="Consolas"/>
          <w:color w:val="111111"/>
          <w:sz w:val="28"/>
          <w:szCs w:val="28"/>
          <w:lang w:val="en-US"/>
        </w:rPr>
        <w:t>ilm al-dirayah), biography of narrators (</w:t>
      </w:r>
      <w:r>
        <w:rPr>
          <w:rFonts w:eastAsia="Times New Roman" w:cs="Times New Roman" w:ascii="Times New Roman" w:hAnsi="Times New Roman"/>
          <w:color w:val="111111"/>
          <w:sz w:val="28"/>
          <w:szCs w:val="28"/>
          <w:lang w:val="en-US"/>
        </w:rPr>
        <w:t>ilm al-rijal), philosophy, sermons, politics, sociology, linguistics, and arts. They also wrote books on medicine, physics, chemistry, mathematics, astrology, and other physical sciences. Furthermore, they played a major role in founding many sciences.</w:t>
      </w:r>
      <w:r>
        <w:rPr>
          <w:rStyle w:val="FootnoteAnchor"/>
        </w:rPr>
        <w:footnoteReference w:id="9"/>
      </w:r>
    </w:p>
    <w:p>
      <w:pPr>
        <w:pStyle w:val="Heading3"/>
        <w:numPr>
          <w:ilvl w:val="2"/>
          <w:numId w:val="1"/>
        </w:numPr>
        <w:bidi w:val="0"/>
        <w:jc w:val="left"/>
        <w:rPr/>
      </w:pPr>
      <w:bookmarkStart w:id="26" w:name="__RefHeading___Toc428577_237004111"/>
      <w:bookmarkStart w:id="27" w:name="_Toc10"/>
      <w:bookmarkEnd w:id="26"/>
      <w:r>
        <w:rPr/>
        <w:t>(5)</w:t>
      </w:r>
      <w:bookmarkEnd w:id="27"/>
    </w:p>
    <w:p>
      <w:pPr>
        <w:pStyle w:val="BookText"/>
        <w:bidi w:val="0"/>
        <w:jc w:val="both"/>
        <w:rPr/>
      </w:pPr>
      <w:r>
        <w:rPr>
          <w:rFonts w:eastAsia="Times New Roman" w:cs="Times New Roman" w:ascii="Times New Roman" w:hAnsi="Times New Roman"/>
          <w:color w:val="111111"/>
          <w:sz w:val="28"/>
          <w:szCs w:val="28"/>
          <w:lang w:val="en-US"/>
        </w:rPr>
        <w:t>The Shi`ah believe in Allah: the One, the Single, the Unique, ‘the eternally Besought of all; Who begets not, nor is He begotten.’ They thus deem Him too Exalted to be corporeal or have direction, space, time, alteration, movement, ascension, descent, or any other quality that does not befit His matchless majesty, holiness, perfection, and excellence.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believe that there is no object of worship save Almighty Allah, and that all decisions and legislation belong </w:t>
      </w:r>
      <w:bookmarkStart w:id="28" w:name="pg6161_73814"/>
    </w:p>
    <w:p>
      <w:pPr>
        <w:pStyle w:val="BookText"/>
        <w:bidi w:val="0"/>
        <w:rPr/>
      </w:pPr>
      <w:bookmarkEnd w:id="28"/>
      <w:r>
        <w:rPr>
          <w:rFonts w:eastAsia="Times New Roman" w:cs="Times New Roman" w:ascii="Times New Roman" w:hAnsi="Times New Roman"/>
          <w:color w:val="111111"/>
          <w:sz w:val="28"/>
          <w:szCs w:val="28"/>
          <w:lang w:val="en-US"/>
        </w:rPr>
        <w:t>to Him, and all kinds of polytheism, overt and covert, are considered grave injustices and unforgivable sins.</w:t>
      </w:r>
    </w:p>
    <w:p>
      <w:pPr>
        <w:pStyle w:val="BookText"/>
        <w:bidi w:val="0"/>
        <w:jc w:val="both"/>
        <w:rPr/>
      </w:pPr>
      <w:r>
        <w:rPr>
          <w:rFonts w:eastAsia="Times New Roman" w:cs="Times New Roman" w:ascii="Times New Roman" w:hAnsi="Times New Roman"/>
          <w:color w:val="111111"/>
          <w:sz w:val="28"/>
          <w:szCs w:val="28"/>
          <w:lang w:val="en-US"/>
        </w:rPr>
        <w:t>They draw these beliefs from judicious reasoning supported by the Holy Qur'an and authentic Sunnah, regardless of the source.</w:t>
      </w:r>
    </w:p>
    <w:p>
      <w:pPr>
        <w:pStyle w:val="BookText"/>
        <w:bidi w:val="0"/>
        <w:jc w:val="both"/>
        <w:rPr/>
      </w:pPr>
      <w:r>
        <w:rPr>
          <w:rFonts w:eastAsia="Times New Roman" w:cs="Times New Roman" w:ascii="Times New Roman" w:hAnsi="Times New Roman"/>
          <w:color w:val="111111"/>
          <w:sz w:val="28"/>
          <w:szCs w:val="28"/>
          <w:lang w:val="en-US"/>
        </w:rPr>
        <w:t>With respect to beliefs, the Shi`ah rest neither on Israelite traditions (i.e. those quoted from the Torah and the Gospel) nor on Magian traditions that anthropomorphize Almighty Allah, ascribe to Him unfairness, injustice, nonsense, and vainness—Exalted and Great be He—or indict the Divinely purified Prophets, who are completely protected against sinning, of dreadful sins and unbecoming evil deeds.</w:t>
      </w:r>
    </w:p>
    <w:p>
      <w:pPr>
        <w:pStyle w:val="Heading3"/>
        <w:numPr>
          <w:ilvl w:val="2"/>
          <w:numId w:val="1"/>
        </w:numPr>
        <w:bidi w:val="0"/>
        <w:jc w:val="left"/>
        <w:rPr/>
      </w:pPr>
      <w:bookmarkStart w:id="29" w:name="__RefHeading___Toc428579_237004111"/>
      <w:bookmarkStart w:id="30" w:name="_Toc11"/>
      <w:bookmarkEnd w:id="29"/>
      <w:r>
        <w:rPr/>
        <w:t>(6)</w:t>
      </w:r>
      <w:bookmarkEnd w:id="30"/>
    </w:p>
    <w:p>
      <w:pPr>
        <w:pStyle w:val="BookText"/>
        <w:bidi w:val="0"/>
        <w:jc w:val="both"/>
        <w:rPr/>
      </w:pPr>
      <w:r>
        <w:rPr>
          <w:rFonts w:eastAsia="Times New Roman" w:cs="Times New Roman" w:ascii="Times New Roman" w:hAnsi="Times New Roman"/>
          <w:color w:val="111111"/>
          <w:sz w:val="28"/>
          <w:szCs w:val="28"/>
          <w:lang w:val="en-US"/>
        </w:rPr>
        <w:t>The Shi`ah believe that Almighty Allah is Just and Wise; He has created all things through justice and wisdom; therefore, there is no futility in the creation, including inanimate, plant, animal, humankind, sky, or land, because absurdism is in violation of justice and wisdom; and the absence of justice and wisdom negates the existence of Godhead because the idea of the divinity of Almighty Allah necessitates that He is the source of all perfect excellencies and ideal attributes and that He, the Glorified, is free from any defect.</w:t>
      </w:r>
    </w:p>
    <w:p>
      <w:pPr>
        <w:pStyle w:val="Heading3"/>
        <w:numPr>
          <w:ilvl w:val="2"/>
          <w:numId w:val="1"/>
        </w:numPr>
        <w:bidi w:val="0"/>
        <w:jc w:val="left"/>
        <w:rPr/>
      </w:pPr>
      <w:bookmarkStart w:id="31" w:name="__RefHeading___Toc428581_237004111"/>
      <w:bookmarkStart w:id="32" w:name="_Toc12"/>
      <w:bookmarkEnd w:id="31"/>
      <w:r>
        <w:rPr/>
        <w:t>(7)</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Shi`ah believe that Almighty Allah, out of wisdom and justice, has sent Prophets and Messengers, granted them infallibility and expansive knowledge through Divine Revelation, and sent them to the human beings since the first day of man's existence on this earth, in order to show them the right path, help them attain the desired perfection, and guide them to the obedience to Almighty Allah, for this </w:t>
      </w:r>
      <w:bookmarkStart w:id="33" w:name="pg6161_73816"/>
    </w:p>
    <w:p>
      <w:pPr>
        <w:pStyle w:val="BookText"/>
        <w:bidi w:val="0"/>
        <w:rPr/>
      </w:pPr>
      <w:bookmarkEnd w:id="33"/>
      <w:r>
        <w:rPr>
          <w:rFonts w:eastAsia="Times New Roman" w:cs="Times New Roman" w:ascii="Times New Roman" w:hAnsi="Times New Roman"/>
          <w:color w:val="111111"/>
          <w:sz w:val="28"/>
          <w:szCs w:val="28"/>
          <w:lang w:val="en-US"/>
        </w:rPr>
        <w:t>obedience is their means that takes them to Paradise and makes them win His mercy and pleasure.</w:t>
      </w:r>
    </w:p>
    <w:p>
      <w:pPr>
        <w:pStyle w:val="BookText"/>
        <w:bidi w:val="0"/>
        <w:jc w:val="both"/>
        <w:rPr/>
      </w:pPr>
      <w:r>
        <w:rPr>
          <w:rFonts w:eastAsia="Times New Roman" w:cs="Times New Roman" w:ascii="Times New Roman" w:hAnsi="Times New Roman"/>
          <w:color w:val="111111"/>
          <w:sz w:val="28"/>
          <w:szCs w:val="28"/>
          <w:lang w:val="en-US"/>
        </w:rPr>
        <w:t>The most eminent of these Prophets and Messengers are Adam, Noah, Abraham, Moses, and Jesus, as well as those to whom the Holy Qur'an and the Holy Sunnah have referred—peace be upon them all.</w:t>
      </w:r>
    </w:p>
    <w:p>
      <w:pPr>
        <w:pStyle w:val="Heading3"/>
        <w:numPr>
          <w:ilvl w:val="2"/>
          <w:numId w:val="1"/>
        </w:numPr>
        <w:bidi w:val="0"/>
        <w:jc w:val="left"/>
        <w:rPr/>
      </w:pPr>
      <w:bookmarkStart w:id="34" w:name="__RefHeading___Toc428583_237004111"/>
      <w:bookmarkStart w:id="35" w:name="_Toc13"/>
      <w:bookmarkEnd w:id="34"/>
      <w:r>
        <w:rPr/>
        <w:t>(8)</w:t>
      </w:r>
      <w:bookmarkEnd w:id="35"/>
    </w:p>
    <w:p>
      <w:pPr>
        <w:pStyle w:val="BookText"/>
        <w:bidi w:val="0"/>
        <w:jc w:val="both"/>
        <w:rPr/>
      </w:pPr>
      <w:r>
        <w:rPr>
          <w:rFonts w:eastAsia="Times New Roman" w:cs="Times New Roman" w:ascii="Times New Roman" w:hAnsi="Times New Roman"/>
          <w:color w:val="111111"/>
          <w:sz w:val="28"/>
          <w:szCs w:val="28"/>
          <w:lang w:val="en-US"/>
        </w:rPr>
        <w:t>The Shi`ah believe that whoever obeys Almighty Allah, carries out His orders, and abides by His laws in all aspects of life will be granted security (from the Divine chastisement), win (the Divine reward) and deserve praise and incentive even if he or she be ‘an Abyssinian slave’. On the other hand, whoever disobeys Almighty Allah, disregards His commandments, and obeys the orders decided by other than Almighty Allah, will certainly lose, perish, and deserve condemnation and punishment, even if he or she be ‘a Qurayshite chief’, as is mentioned in a Prophetic tradition.</w:t>
      </w:r>
    </w:p>
    <w:p>
      <w:pPr>
        <w:pStyle w:val="BookText"/>
        <w:bidi w:val="0"/>
        <w:jc w:val="both"/>
        <w:rPr/>
      </w:pPr>
      <w:r>
        <w:rPr>
          <w:rFonts w:eastAsia="Times New Roman" w:cs="Times New Roman" w:ascii="Times New Roman" w:hAnsi="Times New Roman"/>
          <w:color w:val="111111"/>
          <w:sz w:val="28"/>
          <w:szCs w:val="28"/>
          <w:lang w:val="en-US"/>
        </w:rPr>
        <w:t>They also believe that Divine rewarding and punishment will be decided on the Resurrection Day when everyone will be called to account and be interrogated, the Scale of Justice (al-mizan) will be set up, and Paradise and Hellfire will be witnessed. All this follows the stages of the Grave Interrogation (musa’alat al-qabr) and the Intermediate World (`alam al-barzakh).</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they reject transmigration of the souls claimed by those who deny the promised Day of Resurrection, because it contradicts the principles of the Holy Qur'an and the Holy Sunnah. </w:t>
      </w:r>
      <w:bookmarkStart w:id="36" w:name="pg6161_73818"/>
    </w:p>
    <w:p>
      <w:pPr>
        <w:pStyle w:val="Heading3"/>
        <w:numPr>
          <w:ilvl w:val="2"/>
          <w:numId w:val="1"/>
        </w:numPr>
        <w:bidi w:val="0"/>
        <w:jc w:val="left"/>
        <w:rPr/>
      </w:pPr>
      <w:bookmarkStart w:id="37" w:name="__RefHeading___Toc428585_237004111"/>
      <w:bookmarkStart w:id="38" w:name="_Toc14"/>
      <w:bookmarkEnd w:id="36"/>
      <w:bookmarkEnd w:id="37"/>
      <w:r>
        <w:rPr/>
        <w:t>(9)</w:t>
      </w:r>
      <w:bookmarkEnd w:id="38"/>
    </w:p>
    <w:p>
      <w:pPr>
        <w:pStyle w:val="BookText"/>
        <w:bidi w:val="0"/>
        <w:jc w:val="both"/>
        <w:rPr/>
      </w:pPr>
      <w:r>
        <w:rPr>
          <w:rFonts w:eastAsia="Times New Roman" w:cs="Times New Roman" w:ascii="Times New Roman" w:hAnsi="Times New Roman"/>
          <w:color w:val="111111"/>
          <w:sz w:val="28"/>
          <w:szCs w:val="28"/>
          <w:lang w:val="en-US"/>
        </w:rPr>
        <w:t>The Shi</w:t>
      </w:r>
      <w:r>
        <w:rPr>
          <w:rFonts w:eastAsia="Consolas" w:cs="Consolas" w:ascii="Consolas" w:hAnsi="Consolas"/>
          <w:color w:val="111111"/>
          <w:sz w:val="28"/>
          <w:szCs w:val="28"/>
          <w:lang w:val="en-US"/>
        </w:rPr>
        <w:t xml:space="preserve">ah believe that Muhammad ibn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Abd al-Muttalib—peace of Allah be upon him and his Household—&lt;a href="#ref-footnote1-page17" id="footnote1-page17" style="display:inline-block"&gt;&lt;sup&gt;(1)&lt;/sup&gt;&lt;/a&gt;&lt;p class="footnote"&gt;&lt;a href="#footnote1-page17" style="color:#3b82f6;" id="ref-footnote1-page17"&gt; 1) &lt;/a&gt;Whenever they pray to Almighty Allah for sending blessings upon the Holy Prophet Muhammad (s), the Imamite Shi</w:t>
      </w:r>
      <w:r>
        <w:rPr>
          <w:rFonts w:eastAsia="Times New Roman" w:cs="Times New Roman" w:ascii="Times New Roman" w:hAnsi="Times New Roman"/>
          <w:color w:val="111111"/>
          <w:sz w:val="28"/>
          <w:szCs w:val="28"/>
          <w:lang w:val="en-US"/>
        </w:rPr>
        <w:t>ah abide by attaching his Household to him, because according to some of the most reliable Sunnite reference books of traditions, and many other books, the Prophet himself ordered the Muslims to do so.</w:t>
      </w:r>
    </w:p>
    <w:p>
      <w:pPr>
        <w:pStyle w:val="BookText"/>
        <w:bidi w:val="0"/>
        <w:jc w:val="both"/>
        <w:rPr/>
      </w:pPr>
      <w:r>
        <w:rPr>
          <w:rFonts w:eastAsia="Times New Roman" w:cs="Times New Roman" w:ascii="Times New Roman" w:hAnsi="Times New Roman"/>
          <w:color w:val="111111"/>
          <w:sz w:val="28"/>
          <w:szCs w:val="28"/>
          <w:lang w:val="en-US"/>
        </w:rPr>
        <w:t>is the last, the seal, and the most preferred of all the Prophets and Messengers. Almighty Allah has safeguarded him against flaws and slips and protected him from committing any act of disobedience to Him, be it grave or insignificant, whether before or after his prophethood, while disseminating the Divine Mission or on other occasions.</w:t>
      </w:r>
    </w:p>
    <w:p>
      <w:pPr>
        <w:pStyle w:val="BookText"/>
        <w:bidi w:val="0"/>
        <w:jc w:val="both"/>
        <w:rPr/>
      </w:pPr>
      <w:r>
        <w:rPr>
          <w:rFonts w:eastAsia="Times New Roman" w:cs="Times New Roman" w:ascii="Times New Roman" w:hAnsi="Times New Roman"/>
          <w:color w:val="111111"/>
          <w:sz w:val="28"/>
          <w:szCs w:val="28"/>
          <w:lang w:val="en-US"/>
        </w:rPr>
        <w:t>Almighty Allah revealed the Holy Qur'an to the Prophet Muhammad (s) as an eternal constitution for man. Hence, the Holy Prophet (s) delivered the whole message and fulfilled this duty honestly and sincerely, sacrificing everything for it, no matter how precious it would be.</w:t>
      </w:r>
    </w:p>
    <w:p>
      <w:pPr>
        <w:pStyle w:val="BookText"/>
        <w:bidi w:val="0"/>
        <w:jc w:val="both"/>
        <w:rPr/>
      </w:pPr>
      <w:r>
        <w:rPr>
          <w:rFonts w:eastAsia="Times New Roman" w:cs="Times New Roman" w:ascii="Times New Roman" w:hAnsi="Times New Roman"/>
          <w:color w:val="111111"/>
          <w:sz w:val="28"/>
          <w:szCs w:val="28"/>
          <w:lang w:val="en-US"/>
        </w:rPr>
        <w:t>Shi</w:t>
      </w:r>
      <w:r>
        <w:rPr>
          <w:rFonts w:eastAsia="Consolas" w:cs="Consolas" w:ascii="Consolas" w:hAnsi="Consolas"/>
          <w:color w:val="111111"/>
          <w:sz w:val="28"/>
          <w:szCs w:val="28"/>
          <w:lang w:val="en-US"/>
        </w:rPr>
        <w:t>ite writers have compiled scores of books and researches on the Holy Prophet’s life, personality, manners, characteristics and miracles.&lt;a href="#ref-footnote2-page17" id="footnote2-page17" style="display:inline-block"&gt;&lt;sup&gt;(2)&lt;/sup&gt;&lt;/a&gt;&lt;p class="footnote"&gt;&lt;a href="#footnote2-page17" style="color:#3b82f6;" id="ref-footnote2-page17"&gt; 2) &lt;/a&gt;Refer to the following books: Shaykh al-Mufid: Kitab al-Irshad, al-Tabrisi: I</w:t>
      </w:r>
      <w:r>
        <w:rPr>
          <w:rFonts w:eastAsia="Times New Roman" w:cs="Times New Roman" w:ascii="Times New Roman" w:hAnsi="Times New Roman"/>
          <w:color w:val="111111"/>
          <w:sz w:val="28"/>
          <w:szCs w:val="28"/>
          <w:lang w:val="en-US"/>
        </w:rPr>
        <w:t>lam al-Wara bi-A`lam al-Huda, al-Majlisi: Bihar al-Anwar (a 110-volume encyclopedic book), Sayyid Muhsin al-Khatami: al-Rasul al-Mustafa (a currently published encyclopedia).</w:t>
      </w:r>
    </w:p>
    <w:p>
      <w:pPr>
        <w:pStyle w:val="Heading3"/>
        <w:numPr>
          <w:ilvl w:val="2"/>
          <w:numId w:val="1"/>
        </w:numPr>
        <w:bidi w:val="0"/>
        <w:jc w:val="left"/>
        <w:rPr/>
      </w:pPr>
      <w:bookmarkStart w:id="39" w:name="__RefHeading___Toc428587_237004111"/>
      <w:bookmarkStart w:id="40" w:name="_Toc15"/>
      <w:bookmarkEnd w:id="39"/>
      <w:r>
        <w:rPr/>
        <w:t>(10)</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Shi`ah believe that the Holy Qur'an was revealed to Muhammad (s), the Prophet of Islam, through Archangel </w:t>
      </w:r>
      <w:bookmarkStart w:id="41" w:name="pg6161_73820"/>
    </w:p>
    <w:p>
      <w:pPr>
        <w:pStyle w:val="BookText"/>
        <w:bidi w:val="0"/>
        <w:rPr/>
      </w:pPr>
      <w:bookmarkEnd w:id="41"/>
      <w:r>
        <w:rPr>
          <w:rFonts w:eastAsia="Times New Roman" w:cs="Times New Roman" w:ascii="Times New Roman" w:hAnsi="Times New Roman"/>
          <w:color w:val="111111"/>
          <w:sz w:val="28"/>
          <w:szCs w:val="28"/>
          <w:lang w:val="en-US"/>
        </w:rPr>
        <w:t>Gabriel the Honest and was recorded by a group of major Sahabah,</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On this subject, Shi</w:t>
      </w:r>
      <w:r>
        <w:rPr>
          <w:rFonts w:eastAsia="Consolas" w:cs="Consolas" w:ascii="Consolas" w:hAnsi="Consolas"/>
          <w:color w:val="111111"/>
          <w:sz w:val="28"/>
          <w:szCs w:val="28"/>
          <w:lang w:val="en-US"/>
        </w:rPr>
        <w:t>ite scholars have written both voluminous and short books.&lt;a href="#ref-footnote2-page18" id="footnote2-page18" style="display:inline-block"&gt;&lt;sup&gt;(2)&lt;/sup&gt;&lt;/a&gt;&lt;p class="footnote"&gt;&lt;a href="#footnote2-page18" style="color:#3b82f6;" id="ref-footnote2-page18"&gt; 2) &lt;/a&gt;Refer to the following books: al-Zanjani: Tarikh al-Qur’an, Muhammad Hadi Ma</w:t>
      </w:r>
      <w:r>
        <w:rPr>
          <w:rFonts w:eastAsia="Times New Roman" w:cs="Times New Roman" w:ascii="Times New Roman" w:hAnsi="Times New Roman"/>
          <w:color w:val="111111"/>
          <w:sz w:val="28"/>
          <w:szCs w:val="28"/>
          <w:lang w:val="en-US"/>
        </w:rPr>
        <w:t>rifat: al-Tamhid fi `Ulum al-Qur'an.</w:t>
      </w:r>
    </w:p>
    <w:p>
      <w:pPr>
        <w:pStyle w:val="Heading3"/>
        <w:numPr>
          <w:ilvl w:val="2"/>
          <w:numId w:val="1"/>
        </w:numPr>
        <w:bidi w:val="0"/>
        <w:jc w:val="left"/>
        <w:rPr/>
      </w:pPr>
      <w:bookmarkStart w:id="42" w:name="__RefHeading___Toc428589_237004111"/>
      <w:bookmarkStart w:id="43" w:name="_Toc16"/>
      <w:bookmarkEnd w:id="42"/>
      <w:r>
        <w:rPr/>
        <w:t>(11)</w:t>
      </w:r>
      <w:bookmarkEnd w:id="43"/>
    </w:p>
    <w:p>
      <w:pPr>
        <w:pStyle w:val="BookText"/>
        <w:bidi w:val="0"/>
        <w:jc w:val="both"/>
        <w:rPr/>
      </w:pPr>
      <w:r>
        <w:rPr>
          <w:rFonts w:eastAsia="Times New Roman" w:cs="Times New Roman" w:ascii="Times New Roman" w:hAnsi="Times New Roman"/>
          <w:color w:val="111111"/>
          <w:sz w:val="28"/>
          <w:szCs w:val="28"/>
          <w:lang w:val="en-US"/>
        </w:rPr>
        <w:t>The Shi</w:t>
      </w:r>
      <w:r>
        <w:rPr>
          <w:rFonts w:eastAsia="Consolas" w:cs="Consolas" w:ascii="Consolas" w:hAnsi="Consolas"/>
          <w:color w:val="111111"/>
          <w:sz w:val="28"/>
          <w:szCs w:val="28"/>
          <w:lang w:val="en-US"/>
        </w:rPr>
        <w:t xml:space="preserve">ah believe that before the Messenger of Allah (s) died, he had appointed </w:t>
      </w:r>
      <w:r>
        <w:rPr>
          <w:rFonts w:eastAsia="Times New Roman" w:cs="Times New Roman" w:ascii="Times New Roman" w:hAnsi="Times New Roman"/>
          <w:color w:val="111111"/>
          <w:sz w:val="28"/>
          <w:szCs w:val="28"/>
          <w:lang w:val="en-US"/>
        </w:rPr>
        <w:t>Ali ibn Abi-Talib as his vicegerent and Muslims’ leader (imam) after him so that `Ali might lead the Muslims politically, guide them intellectually and solve their problems.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last year of his blessed lifetime and immediately after his last ritual pilgrimage (hajj), the Holy Prophet (s), by a Divine command, gathered the crowds of the Muslims who had just completed the rites of hajj and who were, according </w:t>
      </w:r>
      <w:bookmarkStart w:id="44" w:name="pg6161_73822"/>
    </w:p>
    <w:p>
      <w:pPr>
        <w:pStyle w:val="BookText"/>
        <w:bidi w:val="0"/>
        <w:rPr/>
      </w:pPr>
      <w:bookmarkEnd w:id="44"/>
      <w:r>
        <w:rPr>
          <w:rFonts w:eastAsia="Times New Roman" w:cs="Times New Roman" w:ascii="Times New Roman" w:hAnsi="Times New Roman"/>
          <w:color w:val="111111"/>
          <w:sz w:val="28"/>
          <w:szCs w:val="28"/>
          <w:lang w:val="en-US"/>
        </w:rPr>
        <w:t>to some narrations, more than one hundred thousand in a place called ‘Ghadir Khumm’ and declared `Ali to be his successor. Several Qur'anic verses were revealed concerning this important event.</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Make known that which has been revealed to you from your Lord, for if you do it not, you will not have conveyed His message. Allah will protect your from mankind. Lo! Allah guides not the disbelieving folk. (5/67)”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have I perfected your religion for you and completed My favor to you, and have chosen for you as religion al-Islam. (5/3)”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questioner questioned concerning the doom about to fall upon the disbelievers, which none can repel. (70/1-2)</w:t>
      </w:r>
    </w:p>
    <w:p>
      <w:pPr>
        <w:pStyle w:val="BookText"/>
        <w:bidi w:val="0"/>
        <w:jc w:val="both"/>
        <w:rPr/>
      </w:pPr>
      <w:r>
        <w:rPr>
          <w:rFonts w:eastAsia="Times New Roman" w:cs="Times New Roman" w:ascii="Times New Roman" w:hAnsi="Times New Roman"/>
          <w:color w:val="111111"/>
          <w:sz w:val="28"/>
          <w:szCs w:val="28"/>
          <w:lang w:val="en-US"/>
        </w:rPr>
        <w:t xml:space="preserve">The Holy Prophet (s) also ordered people to swear allegiance to Imam </w:t>
      </w:r>
      <w:r>
        <w:rPr>
          <w:rFonts w:eastAsia="Consolas" w:cs="Consolas" w:ascii="Consolas" w:hAnsi="Consolas"/>
          <w:color w:val="111111"/>
          <w:sz w:val="28"/>
          <w:szCs w:val="28"/>
          <w:lang w:val="en-US"/>
        </w:rPr>
        <w:t xml:space="preserve">Ali (a.s) by shaking hands with him. The grand personalities from the Muhajirun (emigrants of Mecca), the Ansar (people of al-Madinah), and eminent Sahabah were the first to pay homage and congratulate Imam </w:t>
      </w:r>
      <w:r>
        <w:rPr>
          <w:rFonts w:eastAsia="Times New Roman" w:cs="Times New Roman" w:ascii="Times New Roman" w:hAnsi="Times New Roman"/>
          <w:color w:val="111111"/>
          <w:sz w:val="28"/>
          <w:szCs w:val="28"/>
          <w:lang w:val="en-US"/>
        </w:rPr>
        <w:t>Ali on this position.</w:t>
      </w:r>
      <w:r>
        <w:rPr>
          <w:rStyle w:val="FootnoteAnchor"/>
        </w:rPr>
        <w:footnoteReference w:id="12"/>
      </w:r>
    </w:p>
    <w:p>
      <w:pPr>
        <w:pStyle w:val="Heading3"/>
        <w:numPr>
          <w:ilvl w:val="2"/>
          <w:numId w:val="1"/>
        </w:numPr>
        <w:bidi w:val="0"/>
        <w:jc w:val="left"/>
        <w:rPr/>
      </w:pPr>
      <w:bookmarkStart w:id="45" w:name="__RefHeading___Toc428591_237004111"/>
      <w:bookmarkStart w:id="46" w:name="_Toc17"/>
      <w:bookmarkEnd w:id="45"/>
      <w:r>
        <w:rPr/>
        <w:t>(12)</w:t>
      </w:r>
      <w:bookmarkEnd w:id="4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w:t>
      </w:r>
      <w:r>
        <w:rPr>
          <w:rFonts w:eastAsia="Consolas" w:cs="Consolas" w:ascii="Consolas" w:hAnsi="Consolas"/>
          <w:color w:val="111111"/>
          <w:sz w:val="28"/>
          <w:szCs w:val="28"/>
          <w:lang w:val="en-US"/>
        </w:rPr>
        <w:t xml:space="preserve">ah believe that Imam </w:t>
      </w:r>
      <w:r>
        <w:rPr>
          <w:rFonts w:eastAsia="Times New Roman" w:cs="Times New Roman" w:ascii="Times New Roman" w:hAnsi="Times New Roman"/>
          <w:color w:val="111111"/>
          <w:sz w:val="28"/>
          <w:szCs w:val="28"/>
          <w:lang w:val="en-US"/>
        </w:rPr>
        <w:t xml:space="preserve">Ali was appointed by a Divine Command to lead Muslims after the Holy Prophet Muhammad (s) and to take charge of all the responsibilities of the Holy Prophet (s) which he had in his lifetime—including the leadership of the Muslim community, guidance to rightness, educating, teaching, elucidating religious laws, solving complicated intellectual problems, and taking care of </w:t>
      </w:r>
      <w:bookmarkStart w:id="47" w:name="pg6161_73824"/>
    </w:p>
    <w:p>
      <w:pPr>
        <w:pStyle w:val="BookText"/>
        <w:bidi w:val="0"/>
        <w:rPr/>
      </w:pPr>
      <w:bookmarkEnd w:id="47"/>
      <w:r>
        <w:rPr>
          <w:rFonts w:eastAsia="Times New Roman" w:cs="Times New Roman" w:ascii="Times New Roman" w:hAnsi="Times New Roman"/>
          <w:color w:val="111111"/>
          <w:sz w:val="28"/>
          <w:szCs w:val="28"/>
          <w:lang w:val="en-US"/>
        </w:rPr>
        <w:t xml:space="preserve">major social affairs. This means that he enjoys the qualifications that make the public have confidence in him just as they trusted the Prophet (s) so that he can lead the nation to redemption. Accordingly, the Imam has the same responsibilities of the Holy Prophet excluding the reception of Divine Revelation and prophethood, because prophethood was sealed by Muhammad ibn </w:t>
      </w:r>
      <w:r>
        <w:rPr>
          <w:rFonts w:eastAsia="Consolas" w:cs="Consolas" w:ascii="Consolas" w:hAnsi="Consolas"/>
          <w:color w:val="111111"/>
          <w:sz w:val="28"/>
          <w:szCs w:val="28"/>
          <w:lang w:val="en-US"/>
        </w:rPr>
        <w:t>Abdullah (s), the seal of the Prophets and Messengers whose religion is the seal of religions, whose law is the seal of the Divine laws, and whose Book is the seal of the Divine Books.&lt;a href="#ref-footnote1-page20" id="footnote1-page20" style="display:inline-block"&gt;&lt;sup&gt;(1)&lt;/sup&gt;&lt;/a&gt;&lt;p class="footnote"&gt;&lt;a href="#footnote1-page20" style="color:#3b82f6;" id="ref-footnote1-page20"&gt; 1) &lt;/a&gt;In this respect, Shi</w:t>
      </w:r>
      <w:r>
        <w:rPr>
          <w:rFonts w:eastAsia="Times New Roman" w:cs="Times New Roman" w:ascii="Times New Roman" w:hAnsi="Times New Roman"/>
          <w:color w:val="111111"/>
          <w:sz w:val="28"/>
          <w:szCs w:val="28"/>
          <w:lang w:val="en-US"/>
        </w:rPr>
        <w:t>ite authors have written many books of various sizes and styles.</w:t>
      </w:r>
    </w:p>
    <w:p>
      <w:pPr>
        <w:pStyle w:val="Heading3"/>
        <w:numPr>
          <w:ilvl w:val="2"/>
          <w:numId w:val="1"/>
        </w:numPr>
        <w:bidi w:val="0"/>
        <w:jc w:val="left"/>
        <w:rPr/>
      </w:pPr>
      <w:bookmarkStart w:id="48" w:name="__RefHeading___Toc428593_237004111"/>
      <w:bookmarkStart w:id="49" w:name="_Toc18"/>
      <w:bookmarkEnd w:id="48"/>
      <w:r>
        <w:rPr/>
        <w:t>(13)</w:t>
      </w:r>
      <w:bookmarkEnd w:id="49"/>
    </w:p>
    <w:p>
      <w:pPr>
        <w:pStyle w:val="BookText"/>
        <w:bidi w:val="0"/>
        <w:jc w:val="both"/>
        <w:rPr/>
      </w:pPr>
      <w:r>
        <w:rPr>
          <w:rFonts w:eastAsia="Times New Roman" w:cs="Times New Roman" w:ascii="Times New Roman" w:hAnsi="Times New Roman"/>
          <w:color w:val="111111"/>
          <w:sz w:val="28"/>
          <w:szCs w:val="28"/>
          <w:lang w:val="en-US"/>
        </w:rPr>
        <w:t>The Shi</w:t>
      </w:r>
      <w:r>
        <w:rPr>
          <w:rFonts w:eastAsia="Consolas" w:cs="Consolas" w:ascii="Consolas" w:hAnsi="Consolas"/>
          <w:color w:val="111111"/>
          <w:sz w:val="28"/>
          <w:szCs w:val="28"/>
          <w:lang w:val="en-US"/>
        </w:rPr>
        <w:t xml:space="preserve">ah believe that as long as Muslims were in need of an orthodox leader and an infallible guardian, appointing other Imams to succeed </w:t>
      </w:r>
      <w:r>
        <w:rPr>
          <w:rFonts w:eastAsia="Times New Roman" w:cs="Times New Roman" w:ascii="Times New Roman" w:hAnsi="Times New Roman"/>
          <w:color w:val="111111"/>
          <w:sz w:val="28"/>
          <w:szCs w:val="28"/>
          <w:lang w:val="en-US"/>
        </w:rPr>
        <w:t>Ali (a.s) as successor to and Imam after the Holy Prophet (s) was indispensable. This succession of leadership is necessary for establishing the roots of Islamic doctrines and precepts, preserving the principles of the religious law, and protecting the fundamentals of Islam against the dangers that threaten and have been threatening all Divine faiths and godly systems, and so the Holy Imams (a.s) who are commissioned to play various roles and undertake various responsibilities in various circumstances, present practical patterns and programs befitting all the conditions which the Muslim nation may face in the future.</w:t>
      </w:r>
    </w:p>
    <w:p>
      <w:pPr>
        <w:pStyle w:val="Heading3"/>
        <w:numPr>
          <w:ilvl w:val="2"/>
          <w:numId w:val="1"/>
        </w:numPr>
        <w:bidi w:val="0"/>
        <w:jc w:val="left"/>
        <w:rPr/>
      </w:pPr>
      <w:bookmarkStart w:id="50" w:name="__RefHeading___Toc428595_237004111"/>
      <w:bookmarkStart w:id="51" w:name="_Toc19"/>
      <w:bookmarkEnd w:id="50"/>
      <w:r>
        <w:rPr/>
        <w:t>(14)</w:t>
      </w:r>
      <w:bookmarkEnd w:id="5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this fact and due to the Divine philosophy, the Shi</w:t>
      </w:r>
      <w:r>
        <w:rPr>
          <w:rFonts w:eastAsia="Consolas" w:cs="Consolas" w:ascii="Consolas" w:hAnsi="Consolas"/>
          <w:color w:val="111111"/>
          <w:sz w:val="28"/>
          <w:szCs w:val="28"/>
          <w:lang w:val="en-US"/>
        </w:rPr>
        <w:t xml:space="preserve">ah believe that the Holy Prophet Muhammad (s) has nominated eleven Imams to lead the Muslim nation after Imam </w:t>
      </w:r>
      <w:r>
        <w:rPr>
          <w:rFonts w:eastAsia="Times New Roman" w:cs="Times New Roman" w:ascii="Times New Roman" w:hAnsi="Times New Roman"/>
          <w:color w:val="111111"/>
          <w:sz w:val="28"/>
          <w:szCs w:val="28"/>
          <w:lang w:val="en-US"/>
        </w:rPr>
        <w:t xml:space="preserve">Ali (a.s). Hence, these Imams, along with Imam `Ali, </w:t>
      </w:r>
    </w:p>
    <w:p>
      <w:pPr>
        <w:pStyle w:val="BookText"/>
        <w:bidi w:val="0"/>
        <w:rPr/>
      </w:pPr>
      <w:r>
        <w:rPr>
          <w:rFonts w:eastAsia="Times New Roman" w:cs="Times New Roman" w:ascii="Times New Roman" w:hAnsi="Times New Roman"/>
          <w:color w:val="111111"/>
          <w:sz w:val="28"/>
          <w:szCs w:val="28"/>
          <w:lang w:val="en-US"/>
        </w:rPr>
        <w:t>are called the Twelve Imams.</w:t>
      </w:r>
      <w:r>
        <w:rPr>
          <w:rStyle w:val="FootnoteAnchor"/>
        </w:rPr>
        <w:footnoteReference w:id="13"/>
      </w:r>
      <w:r>
        <w:rPr>
          <w:rFonts w:eastAsia="Times New Roman" w:cs="Times New Roman" w:ascii="Times New Roman" w:hAnsi="Times New Roman"/>
          <w:color w:val="111111"/>
          <w:sz w:val="28"/>
          <w:szCs w:val="28"/>
          <w:lang w:val="en-US"/>
        </w:rPr>
        <w:t>On various occasions, prophetic traditions and predictions refer to the number and tribe (namely, Quraysh) of these Imams though their names and peculiarities are not mentioned in some traditions.</w:t>
      </w:r>
    </w:p>
    <w:p>
      <w:pPr>
        <w:pStyle w:val="BookText"/>
        <w:bidi w:val="0"/>
        <w:jc w:val="both"/>
        <w:rPr/>
      </w:pPr>
      <w:r>
        <w:rPr>
          <w:rFonts w:eastAsia="Times New Roman" w:cs="Times New Roman" w:ascii="Times New Roman" w:hAnsi="Times New Roman"/>
          <w:color w:val="111111"/>
          <w:sz w:val="28"/>
          <w:szCs w:val="28"/>
          <w:lang w:val="en-US"/>
        </w:rPr>
        <w:t>Some of these traditions are mentioned in different forms in such sources like Sahih al-Bukhari and Sahih Muslim, two reference books of Prophetic traditions which the Sunnites regard most authentic. These two reference books narrate that the Holy Prophet (s)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religion will continue to exist (and on other occasions, in constancy, might, or invulnerability) as long as there are twelve princes (or vicegerents) all of whom belong to the tribe of Quraysh (or according to other books to the family of Hashim).”</w:t>
      </w:r>
    </w:p>
    <w:p>
      <w:pPr>
        <w:pStyle w:val="BookText"/>
        <w:bidi w:val="0"/>
        <w:jc w:val="both"/>
        <w:rPr/>
      </w:pPr>
      <w:r>
        <w:rPr>
          <w:rFonts w:eastAsia="Times New Roman" w:cs="Times New Roman" w:ascii="Times New Roman" w:hAnsi="Times New Roman"/>
          <w:color w:val="111111"/>
          <w:sz w:val="28"/>
          <w:szCs w:val="28"/>
          <w:lang w:val="en-US"/>
        </w:rPr>
        <w:t>In other reference books of merits, virtues, poetry, and literature, these Twelve Imams are mentioned by names.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Albeit the Prophetic traditions have not mentioned by name </w:t>
      </w:r>
      <w:r>
        <w:rPr>
          <w:rFonts w:eastAsia="Consolas" w:cs="Consolas" w:ascii="Consolas" w:hAnsi="Consolas"/>
          <w:color w:val="111111"/>
          <w:sz w:val="28"/>
          <w:szCs w:val="28"/>
          <w:lang w:val="en-US"/>
        </w:rPr>
        <w:t>Ali ibn Abi-Talib and the eleven Imams (a.s) from his offspring, these traditions are in accord with no school of thought except that of the (Twelver) Ja</w:t>
      </w:r>
      <w:r>
        <w:rPr>
          <w:rFonts w:eastAsia="Times New Roman" w:cs="Times New Roman" w:ascii="Times New Roman" w:hAnsi="Times New Roman"/>
          <w:color w:val="111111"/>
          <w:sz w:val="28"/>
          <w:szCs w:val="28"/>
          <w:lang w:val="en-US"/>
        </w:rPr>
        <w:t>fariyyah Shi</w:t>
      </w:r>
      <w:r>
        <w:rPr>
          <w:rFonts w:eastAsia="Consolas" w:cs="Consolas" w:ascii="Consolas" w:hAnsi="Consolas"/>
          <w:color w:val="111111"/>
          <w:sz w:val="28"/>
          <w:szCs w:val="28"/>
          <w:lang w:val="en-US"/>
        </w:rPr>
        <w:t>ah. Furthermore, there is no logical explanation for these traditions except that of the Shi</w:t>
      </w:r>
      <w:r>
        <w:rPr>
          <w:rFonts w:eastAsia="Times New Roman" w:cs="Times New Roman" w:ascii="Times New Roman" w:hAnsi="Times New Roman"/>
          <w:color w:val="111111"/>
          <w:sz w:val="28"/>
          <w:szCs w:val="28"/>
          <w:lang w:val="en-US"/>
        </w:rPr>
        <w:t>ah.</w:t>
      </w:r>
      <w:r>
        <w:rPr>
          <w:rStyle w:val="FootnoteAnchor"/>
        </w:rPr>
        <w:footnoteReference w:id="14"/>
      </w:r>
      <w:bookmarkStart w:id="52" w:name="pg6161_73827"/>
    </w:p>
    <w:p>
      <w:pPr>
        <w:pStyle w:val="Heading3"/>
        <w:numPr>
          <w:ilvl w:val="2"/>
          <w:numId w:val="1"/>
        </w:numPr>
        <w:bidi w:val="0"/>
        <w:jc w:val="left"/>
        <w:rPr/>
      </w:pPr>
      <w:bookmarkStart w:id="53" w:name="__RefHeading___Toc428597_237004111"/>
      <w:bookmarkStart w:id="54" w:name="_Toc20"/>
      <w:bookmarkEnd w:id="52"/>
      <w:bookmarkEnd w:id="53"/>
      <w:r>
        <w:rPr/>
        <w:t>(15)</w:t>
      </w:r>
      <w:bookmarkEnd w:id="54"/>
    </w:p>
    <w:p>
      <w:pPr>
        <w:pStyle w:val="BookText"/>
        <w:bidi w:val="0"/>
        <w:jc w:val="both"/>
        <w:rPr/>
      </w:pPr>
      <w:r>
        <w:rPr>
          <w:rFonts w:eastAsia="Times New Roman" w:cs="Times New Roman" w:ascii="Times New Roman" w:hAnsi="Times New Roman"/>
          <w:color w:val="111111"/>
          <w:sz w:val="28"/>
          <w:szCs w:val="28"/>
          <w:lang w:val="en-US"/>
        </w:rPr>
        <w:t>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ah believe that the Twelve Imams are as follows:</w:t>
      </w:r>
    </w:p>
    <w:p>
      <w:pPr>
        <w:pStyle w:val="BookText"/>
        <w:bidi w:val="0"/>
        <w:jc w:val="both"/>
        <w:rPr/>
      </w:pPr>
      <w:r>
        <w:rPr>
          <w:rFonts w:eastAsia="Times New Roman" w:cs="Times New Roman" w:ascii="Times New Roman" w:hAnsi="Times New Roman"/>
          <w:color w:val="111111"/>
          <w:sz w:val="28"/>
          <w:szCs w:val="28"/>
          <w:lang w:val="en-US"/>
        </w:rPr>
        <w:t>Imam `Ali ibn Abi-Talib , the Holy Prophet’s cousin and son-in-law; i.e. the husband of Lady Fatimah al-Zahra', the Holy Prophet’s daughter.</w:t>
      </w:r>
    </w:p>
    <w:p>
      <w:pPr>
        <w:pStyle w:val="BookText"/>
        <w:bidi w:val="0"/>
        <w:jc w:val="both"/>
        <w:rPr/>
      </w:pPr>
      <w:r>
        <w:rPr>
          <w:rFonts w:eastAsia="Times New Roman" w:cs="Times New Roman" w:ascii="Times New Roman" w:hAnsi="Times New Roman"/>
          <w:color w:val="111111"/>
          <w:sz w:val="28"/>
          <w:szCs w:val="28"/>
          <w:lang w:val="en-US"/>
        </w:rPr>
        <w:t>Imam al-Hasan and Imam al-Husayn; sons of Imam `Ali and Lady Fatimah, and grandsons of the Holy Prophet.</w:t>
      </w:r>
    </w:p>
    <w:p>
      <w:pPr>
        <w:pStyle w:val="BookText"/>
        <w:bidi w:val="0"/>
        <w:jc w:val="both"/>
        <w:rPr/>
      </w:pPr>
      <w:r>
        <w:rPr>
          <w:rFonts w:eastAsia="Times New Roman" w:cs="Times New Roman" w:ascii="Times New Roman" w:hAnsi="Times New Roman"/>
          <w:color w:val="111111"/>
          <w:sz w:val="28"/>
          <w:szCs w:val="28"/>
          <w:lang w:val="en-US"/>
        </w:rPr>
        <w:t>Imam Zayn al-</w:t>
      </w:r>
      <w:r>
        <w:rPr>
          <w:rFonts w:eastAsia="Consolas" w:cs="Consolas" w:ascii="Consolas" w:hAnsi="Consolas"/>
          <w:color w:val="111111"/>
          <w:sz w:val="28"/>
          <w:szCs w:val="28"/>
          <w:lang w:val="en-US"/>
        </w:rPr>
        <w:t xml:space="preserve">ªbidin, </w:t>
      </w:r>
      <w:r>
        <w:rPr>
          <w:rFonts w:eastAsia="Times New Roman" w:cs="Times New Roman" w:ascii="Times New Roman" w:hAnsi="Times New Roman"/>
          <w:color w:val="111111"/>
          <w:sz w:val="28"/>
          <w:szCs w:val="28"/>
          <w:lang w:val="en-US"/>
        </w:rPr>
        <w:t>Ali ibn al-Husayn al-Sajjad.</w:t>
      </w:r>
    </w:p>
    <w:p>
      <w:pPr>
        <w:pStyle w:val="BookText"/>
        <w:bidi w:val="0"/>
        <w:jc w:val="both"/>
        <w:rPr/>
      </w:pPr>
      <w:r>
        <w:rPr>
          <w:rFonts w:eastAsia="Times New Roman" w:cs="Times New Roman" w:ascii="Times New Roman" w:hAnsi="Times New Roman"/>
          <w:color w:val="111111"/>
          <w:sz w:val="28"/>
          <w:szCs w:val="28"/>
          <w:lang w:val="en-US"/>
        </w:rPr>
        <w:t>Imam Muhammad ibn `Ali al-Baqir.</w:t>
      </w:r>
    </w:p>
    <w:p>
      <w:pPr>
        <w:pStyle w:val="BookText"/>
        <w:bidi w:val="0"/>
        <w:jc w:val="both"/>
        <w:rPr/>
      </w:pPr>
      <w:r>
        <w:rPr>
          <w:rFonts w:eastAsia="Times New Roman" w:cs="Times New Roman" w:ascii="Times New Roman" w:hAnsi="Times New Roman"/>
          <w:color w:val="111111"/>
          <w:sz w:val="28"/>
          <w:szCs w:val="28"/>
          <w:lang w:val="en-US"/>
        </w:rPr>
        <w:t>Imam Ja`far ibn Muhammad al-Sadiq.</w:t>
      </w:r>
    </w:p>
    <w:p>
      <w:pPr>
        <w:pStyle w:val="BookText"/>
        <w:bidi w:val="0"/>
        <w:jc w:val="both"/>
        <w:rPr/>
      </w:pPr>
      <w:r>
        <w:rPr>
          <w:rFonts w:eastAsia="Times New Roman" w:cs="Times New Roman" w:ascii="Times New Roman" w:hAnsi="Times New Roman"/>
          <w:color w:val="111111"/>
          <w:sz w:val="28"/>
          <w:szCs w:val="28"/>
          <w:lang w:val="en-US"/>
        </w:rPr>
        <w:t>Imam Musa ibn Ja`far al-Ka¨im.</w:t>
      </w:r>
    </w:p>
    <w:p>
      <w:pPr>
        <w:pStyle w:val="BookText"/>
        <w:bidi w:val="0"/>
        <w:jc w:val="both"/>
        <w:rPr/>
      </w:pPr>
      <w:r>
        <w:rPr>
          <w:rFonts w:eastAsia="Times New Roman" w:cs="Times New Roman" w:ascii="Times New Roman" w:hAnsi="Times New Roman"/>
          <w:color w:val="111111"/>
          <w:sz w:val="28"/>
          <w:szCs w:val="28"/>
          <w:lang w:val="en-US"/>
        </w:rPr>
        <w:t>Imam `Ali ibn Musa al-Riza.</w:t>
      </w:r>
    </w:p>
    <w:p>
      <w:pPr>
        <w:pStyle w:val="BookText"/>
        <w:bidi w:val="0"/>
        <w:jc w:val="both"/>
        <w:rPr/>
      </w:pPr>
      <w:r>
        <w:rPr>
          <w:rFonts w:eastAsia="Times New Roman" w:cs="Times New Roman" w:ascii="Times New Roman" w:hAnsi="Times New Roman"/>
          <w:color w:val="111111"/>
          <w:sz w:val="28"/>
          <w:szCs w:val="28"/>
          <w:lang w:val="en-US"/>
        </w:rPr>
        <w:t>Imam Muhammad ibn `Ali al-Jawad al-Taqi.</w:t>
      </w:r>
    </w:p>
    <w:p>
      <w:pPr>
        <w:pStyle w:val="BookText"/>
        <w:bidi w:val="0"/>
        <w:jc w:val="both"/>
        <w:rPr/>
      </w:pPr>
      <w:r>
        <w:rPr>
          <w:rFonts w:eastAsia="Times New Roman" w:cs="Times New Roman" w:ascii="Times New Roman" w:hAnsi="Times New Roman"/>
          <w:color w:val="111111"/>
          <w:sz w:val="28"/>
          <w:szCs w:val="28"/>
          <w:lang w:val="en-US"/>
        </w:rPr>
        <w:t>Imam `Ali ibn Muhammad al-Hadi al-Naqi.</w:t>
      </w:r>
    </w:p>
    <w:p>
      <w:pPr>
        <w:pStyle w:val="BookText"/>
        <w:bidi w:val="0"/>
        <w:jc w:val="both"/>
        <w:rPr/>
      </w:pPr>
      <w:r>
        <w:rPr>
          <w:rFonts w:eastAsia="Times New Roman" w:cs="Times New Roman" w:ascii="Times New Roman" w:hAnsi="Times New Roman"/>
          <w:color w:val="111111"/>
          <w:sz w:val="28"/>
          <w:szCs w:val="28"/>
          <w:lang w:val="en-US"/>
        </w:rPr>
        <w:t xml:space="preserve">Imam al-Hasan ibn </w:t>
      </w:r>
      <w:r>
        <w:rPr>
          <w:rFonts w:eastAsia="Consolas" w:cs="Consolas" w:ascii="Consolas" w:hAnsi="Consolas"/>
          <w:color w:val="111111"/>
          <w:sz w:val="28"/>
          <w:szCs w:val="28"/>
          <w:lang w:val="en-US"/>
        </w:rPr>
        <w:t>Ali al-</w:t>
      </w:r>
      <w:r>
        <w:rPr>
          <w:rFonts w:eastAsia="Times New Roman" w:cs="Times New Roman" w:ascii="Times New Roman" w:hAnsi="Times New Roman"/>
          <w:color w:val="111111"/>
          <w:sz w:val="28"/>
          <w:szCs w:val="28"/>
          <w:lang w:val="en-US"/>
        </w:rPr>
        <w:t>Askari.</w:t>
      </w:r>
    </w:p>
    <w:p>
      <w:pPr>
        <w:pStyle w:val="BookText"/>
        <w:bidi w:val="0"/>
        <w:jc w:val="both"/>
        <w:rPr/>
      </w:pPr>
      <w:r>
        <w:rPr>
          <w:rFonts w:eastAsia="Times New Roman" w:cs="Times New Roman" w:ascii="Times New Roman" w:hAnsi="Times New Roman"/>
          <w:color w:val="111111"/>
          <w:sz w:val="28"/>
          <w:szCs w:val="28"/>
          <w:lang w:val="en-US"/>
        </w:rPr>
        <w:t>Imam Muhammad ibn al-Hasan al-Mahdi, the Awaited Savior.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(peace of Allah be upon them all) are the Ahl al-Bayt (i.e. the Prophet’s Household) whom the Holy Prophet Muhammad (s) appointed by a Divine Command as leaders of the Muslim community on account of their infallibility, purity from faults and sins, and the boundless knowledge they inherited from their grandfather, the Holy Prophet (s), who ordered people to love the Ahl al-Bayt and obey them. In this respect, Almighty Allah addresses the Prophet in these words: </w:t>
      </w:r>
      <w:bookmarkStart w:id="55" w:name="pg6161_73829"/>
    </w:p>
    <w:p>
      <w:pPr>
        <w:pStyle w:val="BookText"/>
        <w:bidi w:val="0"/>
        <w:rPr/>
      </w:pPr>
      <w:bookmarkEnd w:id="5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No reward do I ask of you for this except the love for my near relatives. (42/23)”</w:t>
      </w:r>
    </w:p>
    <w:p>
      <w:pPr>
        <w:pStyle w:val="BookText"/>
        <w:bidi w:val="0"/>
        <w:jc w:val="both"/>
        <w:rPr/>
      </w:pPr>
      <w:r>
        <w:rPr>
          <w:rFonts w:eastAsia="Times New Roman" w:cs="Times New Roman" w:ascii="Times New Roman" w:hAnsi="Times New Roman"/>
          <w:color w:val="111111"/>
          <w:sz w:val="28"/>
          <w:szCs w:val="28"/>
          <w:lang w:val="en-US"/>
        </w:rPr>
        <w:t>Also,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Be careful of your duty to Allah, and be with the true ones. (9/119)”</w:t>
      </w:r>
      <w:r>
        <w:rPr>
          <w:rStyle w:val="FootnoteAnchor"/>
        </w:rPr>
        <w:footnoteReference w:id="15"/>
      </w:r>
    </w:p>
    <w:p>
      <w:pPr>
        <w:pStyle w:val="Heading3"/>
        <w:numPr>
          <w:ilvl w:val="2"/>
          <w:numId w:val="1"/>
        </w:numPr>
        <w:bidi w:val="0"/>
        <w:jc w:val="left"/>
        <w:rPr/>
      </w:pPr>
      <w:bookmarkStart w:id="56" w:name="__RefHeading___Toc428599_237004111"/>
      <w:bookmarkStart w:id="57" w:name="_Toc21"/>
      <w:bookmarkEnd w:id="56"/>
      <w:r>
        <w:rPr/>
        <w:t>(16)</w:t>
      </w:r>
      <w:bookmarkEnd w:id="57"/>
    </w:p>
    <w:p>
      <w:pPr>
        <w:pStyle w:val="BookText"/>
        <w:bidi w:val="0"/>
        <w:jc w:val="both"/>
        <w:rPr/>
      </w:pPr>
      <w:r>
        <w:rPr>
          <w:rFonts w:eastAsia="Times New Roman" w:cs="Times New Roman" w:ascii="Times New Roman" w:hAnsi="Times New Roman"/>
          <w:color w:val="111111"/>
          <w:sz w:val="28"/>
          <w:szCs w:val="28"/>
          <w:lang w:val="en-US"/>
        </w:rPr>
        <w:t>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ah believe that these Immaculate Imams, against whom history has never recorded any slip or act of disobedience to Almighty Allah, in actions or words, have served the Islamic nation very much through their magnificent knowledge, and enriched Islamic culture with profound erudition and sound stances in the fields of doctrines, Islamic laws, ethics, arts, exegesis of the Holy Qur'an, history, and future insights. Through their words and actions, the Holy Imams educated a group of men and women who, as a result, became pious figures whose precedence, knowledge, and good manners are recognized by everybody.</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Shi`ah also believe that though the Holy Imams were deprived of holding their position of the political leadership of the Muslim nation to which they were appointed, they were able to achieve their intellectual and social missions perfectly by safeguarding the principles of Islamic belief and fundamentals of Islamic laws. </w:t>
      </w:r>
      <w:bookmarkStart w:id="58" w:name="pg6161_73831"/>
    </w:p>
    <w:p>
      <w:pPr>
        <w:pStyle w:val="BookText"/>
        <w:bidi w:val="0"/>
        <w:rPr/>
      </w:pPr>
      <w:bookmarkEnd w:id="58"/>
      <w:r>
        <w:rPr>
          <w:rFonts w:eastAsia="Times New Roman" w:cs="Times New Roman" w:ascii="Times New Roman" w:hAnsi="Times New Roman"/>
          <w:color w:val="111111"/>
          <w:sz w:val="28"/>
          <w:szCs w:val="28"/>
          <w:lang w:val="en-US"/>
        </w:rPr>
        <w:t>Had the Holy Imams been allowed to play their political role that was assigned to them by the Holy Prophet (s) according to a Divine decree, the Muslim nation would have certainly attained inclusive happiness, dignity, and glory, and Muslims would have preserved their unity and integrity and there would have been no division, mutual dispute, clashes, massacres, annihilation, humility, or subservience…</w:t>
      </w:r>
      <w:r>
        <w:rPr>
          <w:rStyle w:val="FootnoteAnchor"/>
        </w:rPr>
        <w:footnoteReference w:id="16"/>
      </w:r>
    </w:p>
    <w:p>
      <w:pPr>
        <w:pStyle w:val="Heading3"/>
        <w:numPr>
          <w:ilvl w:val="2"/>
          <w:numId w:val="1"/>
        </w:numPr>
        <w:bidi w:val="0"/>
        <w:jc w:val="left"/>
        <w:rPr/>
      </w:pPr>
      <w:bookmarkStart w:id="59" w:name="__RefHeading___Toc428601_237004111"/>
      <w:bookmarkStart w:id="60" w:name="_Toc22"/>
      <w:bookmarkEnd w:id="59"/>
      <w:r>
        <w:rPr/>
        <w:t>(17)</w:t>
      </w:r>
      <w:bookmarkEnd w:id="60"/>
    </w:p>
    <w:p>
      <w:pPr>
        <w:pStyle w:val="BookText"/>
        <w:bidi w:val="0"/>
        <w:jc w:val="both"/>
        <w:rPr/>
      </w:pPr>
      <w:r>
        <w:rPr>
          <w:rFonts w:eastAsia="Times New Roman" w:cs="Times New Roman" w:ascii="Times New Roman" w:hAnsi="Times New Roman"/>
          <w:color w:val="111111"/>
          <w:sz w:val="28"/>
          <w:szCs w:val="28"/>
          <w:lang w:val="en-US"/>
        </w:rPr>
        <w:t>For this reason and on account of the numerous narration-based and reason-based evidences in the books of Islamic doctrines, the Shi`ah believe that it is obligatory to follow the Ahl al-Bayt (a.s) school of thought and comply with their approach, because it is the very approach that the Holy Prophet (s) had prescribed for the Muslim nation and it is the approach by which he ordered people to abide.</w:t>
      </w:r>
    </w:p>
    <w:p>
      <w:pPr>
        <w:pStyle w:val="BookText"/>
        <w:bidi w:val="0"/>
        <w:jc w:val="both"/>
        <w:rPr/>
      </w:pPr>
      <w:r>
        <w:rPr>
          <w:rFonts w:eastAsia="Times New Roman" w:cs="Times New Roman" w:ascii="Times New Roman" w:hAnsi="Times New Roman"/>
          <w:color w:val="111111"/>
          <w:sz w:val="28"/>
          <w:szCs w:val="28"/>
          <w:lang w:val="en-US"/>
        </w:rPr>
        <w:t>In the famous and soundly based narration known as Hadith al-Thaqalayn (The Tradition of the Two Weighty Things), the Holy Prophet (s) has been authentically reported to have instructed the Muslim nation to abide by the Holy Imams (a.s), saying,</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am leaving with you two weighty (i.e. precious) things; the Book of Allah and my offspring—the Ahl al-Bayt. If you adhere to these two, you shall never go astray.” </w:t>
      </w:r>
      <w:bookmarkStart w:id="61" w:name="pg6161_73833"/>
    </w:p>
    <w:p>
      <w:pPr>
        <w:pStyle w:val="BookText"/>
        <w:bidi w:val="0"/>
        <w:rPr/>
      </w:pPr>
      <w:bookmarkEnd w:id="61"/>
      <w:r>
        <w:rPr>
          <w:rFonts w:eastAsia="Times New Roman" w:cs="Times New Roman" w:ascii="Times New Roman" w:hAnsi="Times New Roman"/>
          <w:color w:val="111111"/>
          <w:sz w:val="28"/>
          <w:szCs w:val="28"/>
          <w:lang w:val="en-US"/>
        </w:rPr>
        <w:t>In addition to Sahih Muslim, this narration has been reported by tens of the scholars and narrators of traditions over the ages.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This Prophetic decision of appointing people to be his vicegerents and successors was something common in the time of the former Prophets and Messengers—peace be upon them all.</w:t>
      </w:r>
      <w:r>
        <w:rPr>
          <w:rStyle w:val="FootnoteAnchor"/>
        </w:rPr>
        <w:footnoteReference w:id="18"/>
      </w:r>
    </w:p>
    <w:p>
      <w:pPr>
        <w:pStyle w:val="Heading3"/>
        <w:numPr>
          <w:ilvl w:val="2"/>
          <w:numId w:val="1"/>
        </w:numPr>
        <w:bidi w:val="0"/>
        <w:jc w:val="left"/>
        <w:rPr/>
      </w:pPr>
      <w:bookmarkStart w:id="62" w:name="__RefHeading___Toc428603_237004111"/>
      <w:bookmarkStart w:id="63" w:name="_Toc23"/>
      <w:bookmarkEnd w:id="62"/>
      <w:r>
        <w:rPr/>
        <w:t>(18)</w:t>
      </w:r>
      <w:bookmarkEnd w:id="63"/>
    </w:p>
    <w:p>
      <w:pPr>
        <w:pStyle w:val="BookText"/>
        <w:bidi w:val="0"/>
        <w:jc w:val="both"/>
        <w:rPr/>
      </w:pPr>
      <w:r>
        <w:rPr>
          <w:rFonts w:eastAsia="Times New Roman" w:cs="Times New Roman" w:ascii="Times New Roman" w:hAnsi="Times New Roman"/>
          <w:color w:val="111111"/>
          <w:sz w:val="28"/>
          <w:szCs w:val="28"/>
          <w:lang w:val="en-US"/>
        </w:rPr>
        <w:t>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ah believe that the Muslim nation—may Allah exalt it—is required to study and discuss these matters and refrain from ill methods of revilement, offense, false impressions, false accusations, hyperbolic statements, and buffoonery.</w:t>
      </w:r>
    </w:p>
    <w:p>
      <w:pPr>
        <w:pStyle w:val="BookText"/>
        <w:bidi w:val="0"/>
        <w:jc w:val="both"/>
        <w:rPr/>
      </w:pPr>
      <w:r>
        <w:rPr>
          <w:rFonts w:eastAsia="Times New Roman" w:cs="Times New Roman" w:ascii="Times New Roman" w:hAnsi="Times New Roman"/>
          <w:color w:val="111111"/>
          <w:sz w:val="28"/>
          <w:szCs w:val="28"/>
          <w:lang w:val="en-US"/>
        </w:rPr>
        <w:t>They also believe that the scholars and thinkers of the various sects of Islam should convene scientific conferences so that they may investigate the assertions of their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ite brethren on honest, sincere, fraternal, and objective terms in order to present the evidence that supports their views, which are in accord with the Holy Qur'an, soundly based traditions of the Holy Prophet (s), judicious reasoning, historical facts, and general political and social evaluation at the time of the Holy Prophet and thereafter.</w:t>
      </w:r>
    </w:p>
    <w:p>
      <w:pPr>
        <w:pStyle w:val="Heading3"/>
        <w:numPr>
          <w:ilvl w:val="2"/>
          <w:numId w:val="1"/>
        </w:numPr>
        <w:bidi w:val="0"/>
        <w:jc w:val="left"/>
        <w:rPr/>
      </w:pPr>
      <w:bookmarkStart w:id="64" w:name="__RefHeading___Toc428605_237004111"/>
      <w:bookmarkStart w:id="65" w:name="_Toc24"/>
      <w:bookmarkEnd w:id="64"/>
      <w:r>
        <w:rPr/>
        <w:t>(19)</w:t>
      </w:r>
      <w:bookmarkEnd w:id="6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 xml:space="preserve">ah believe that the Sahabah (the Prophet’s Companions) and the men and women who clung </w:t>
      </w:r>
    </w:p>
    <w:p>
      <w:pPr>
        <w:pStyle w:val="BookText"/>
        <w:bidi w:val="0"/>
        <w:rPr/>
      </w:pPr>
      <w:r>
        <w:rPr>
          <w:rFonts w:eastAsia="Times New Roman" w:cs="Times New Roman" w:ascii="Times New Roman" w:hAnsi="Times New Roman"/>
          <w:color w:val="111111"/>
          <w:sz w:val="28"/>
          <w:szCs w:val="28"/>
          <w:lang w:val="en-US"/>
        </w:rPr>
        <w:t>to the Holy Prophet (s) had served Islam because they sacrificed all that they had, including their lives, to spread and preserve their religion; therefore, all Muslims should respect these individuals, appreciate their service to Islam, and pray that Almighty Allah’s good pleasure will embrace them.</w:t>
      </w:r>
    </w:p>
    <w:p>
      <w:pPr>
        <w:pStyle w:val="BookText"/>
        <w:bidi w:val="0"/>
        <w:jc w:val="both"/>
        <w:rPr/>
      </w:pPr>
      <w:r>
        <w:rPr>
          <w:rFonts w:eastAsia="Times New Roman" w:cs="Times New Roman" w:ascii="Times New Roman" w:hAnsi="Times New Roman"/>
          <w:color w:val="111111"/>
          <w:sz w:val="28"/>
          <w:szCs w:val="28"/>
          <w:lang w:val="en-US"/>
        </w:rPr>
        <w:t>However, this does not mean that all those who accompanied the Holy Prophet (s) were so decent and pure that their attitudes and deeds are above criticism. Of course, they are human beings who are not inerrant.</w:t>
      </w:r>
    </w:p>
    <w:p>
      <w:pPr>
        <w:pStyle w:val="BookText"/>
        <w:bidi w:val="0"/>
        <w:jc w:val="both"/>
        <w:rPr/>
      </w:pPr>
      <w:r>
        <w:rPr>
          <w:rFonts w:eastAsia="Times New Roman" w:cs="Times New Roman" w:ascii="Times New Roman" w:hAnsi="Times New Roman"/>
          <w:color w:val="111111"/>
          <w:sz w:val="28"/>
          <w:szCs w:val="28"/>
          <w:lang w:val="en-US"/>
        </w:rPr>
        <w:t>History confirms that some of the Sahabah strayed off the right path during the lifetime of the Holy Prophet (s). The Holy Qur'an stresses this fact in some chapters and verses, such as Chapters of al-Munafiqun (No. 63), al-Ahzab (No. 33), al-Hujurat (No. 49), al-Tahrim (No. 66), al-Fath (No. 48), Muhammad (No. 47), al-Tawbah (No. 9).</w:t>
      </w:r>
    </w:p>
    <w:p>
      <w:pPr>
        <w:pStyle w:val="BookText"/>
        <w:bidi w:val="0"/>
        <w:jc w:val="both"/>
        <w:rPr/>
      </w:pPr>
      <w:r>
        <w:rPr>
          <w:rFonts w:eastAsia="Times New Roman" w:cs="Times New Roman" w:ascii="Times New Roman" w:hAnsi="Times New Roman"/>
          <w:color w:val="111111"/>
          <w:sz w:val="28"/>
          <w:szCs w:val="28"/>
          <w:lang w:val="en-US"/>
        </w:rPr>
        <w:t>An impartial criticism of certain situations of the Sahabah is not considered disbelief. Of course, the criterion of belief and disbelief is known to everybody. This criterion is represented in accepting or rejecting such principles like Almighty Allah’s Oneness and Muhammad’s Prophethood and other matters like the necessity of performing prayers, observing fasting, going on hajj, and the unlawfulness of intoxicants, gambling, and the like.</w:t>
      </w:r>
    </w:p>
    <w:p>
      <w:pPr>
        <w:pStyle w:val="BookText"/>
        <w:bidi w:val="0"/>
        <w:jc w:val="both"/>
        <w:rPr/>
      </w:pPr>
      <w:r>
        <w:rPr>
          <w:rFonts w:eastAsia="Times New Roman" w:cs="Times New Roman" w:ascii="Times New Roman" w:hAnsi="Times New Roman"/>
          <w:color w:val="111111"/>
          <w:sz w:val="28"/>
          <w:szCs w:val="28"/>
          <w:lang w:val="en-US"/>
        </w:rPr>
        <w:t>It goes without saying that every Muslim has to abstain from obscene language, revilement and lowly writings, because such behavior is unbecoming to a true Muslim who follows the Holy Prophet as an excellent example.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true that the majority of Sahabah were righteous, virtuous and worthy of respect and honor, but the application of the rules of investigating the biographies of the narrators </w:t>
      </w:r>
      <w:bookmarkStart w:id="66" w:name="pg6161_73837"/>
    </w:p>
    <w:p>
      <w:pPr>
        <w:pStyle w:val="BookText"/>
        <w:bidi w:val="0"/>
        <w:rPr/>
      </w:pPr>
      <w:bookmarkEnd w:id="66"/>
      <w:r>
        <w:rPr>
          <w:rFonts w:eastAsia="Times New Roman" w:cs="Times New Roman" w:ascii="Times New Roman" w:hAnsi="Times New Roman"/>
          <w:color w:val="111111"/>
          <w:sz w:val="28"/>
          <w:szCs w:val="28"/>
          <w:lang w:val="en-US"/>
        </w:rPr>
        <w:t>of hadith (al-jarh wal-ta`dil) to the Sahabah is only intended to distinguish the authentic Prophetic tradition (sunnah) from the fabricated one, because, as is known to everyone, fabrication against the Holy Prophet (s) unfortunately increased after his departure just as the Holy Prophet (s) had predicted. This fact has led scholars of both sects, such as al-Suyuti, Ibn al-Jawzi, and others, to write valuable books on the methods of discriminating the traditions that the Holy Prophet (s) had definitely said from fabricated traditions.</w:t>
      </w:r>
    </w:p>
    <w:p>
      <w:pPr>
        <w:pStyle w:val="Heading3"/>
        <w:numPr>
          <w:ilvl w:val="2"/>
          <w:numId w:val="1"/>
        </w:numPr>
        <w:bidi w:val="0"/>
        <w:jc w:val="left"/>
        <w:rPr/>
      </w:pPr>
      <w:bookmarkStart w:id="67" w:name="__RefHeading___Toc428607_237004111"/>
      <w:bookmarkStart w:id="68" w:name="_Toc25"/>
      <w:bookmarkEnd w:id="67"/>
      <w:r>
        <w:rPr/>
        <w:t>(20)</w:t>
      </w:r>
      <w:bookmarkEnd w:id="68"/>
    </w:p>
    <w:p>
      <w:pPr>
        <w:pStyle w:val="BookText"/>
        <w:bidi w:val="0"/>
        <w:jc w:val="both"/>
        <w:rPr/>
      </w:pPr>
      <w:r>
        <w:rPr>
          <w:rFonts w:eastAsia="Times New Roman" w:cs="Times New Roman" w:ascii="Times New Roman" w:hAnsi="Times New Roman"/>
          <w:color w:val="111111"/>
          <w:sz w:val="28"/>
          <w:szCs w:val="28"/>
          <w:lang w:val="en-US"/>
        </w:rPr>
        <w:t>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ah believe in the existence of the Awaited Imam al-Mahdi (a.s). They rely on the many predictive narrations reported from the Holy Prophet (s) which confirm the existence of Imam al-Mahdi, being among the descendants of Lady Fatimah (a.s) and, more specifically, the ninth descendant from Imam al-Husayn (a.s). In view of the fact that Imam al-Hasan al-</w:t>
      </w:r>
      <w:r>
        <w:rPr>
          <w:rFonts w:eastAsia="Consolas" w:cs="Consolas" w:ascii="Consolas" w:hAnsi="Consolas"/>
          <w:color w:val="111111"/>
          <w:sz w:val="28"/>
          <w:szCs w:val="28"/>
          <w:lang w:val="en-US"/>
        </w:rPr>
        <w:t>Askari (a.s) is the eighth descendant from Imam al-Husayn (a.s), he departed life in AH 260 and had only one son named Muhammad, this son must be Imam al-Mahdi (a.s) who is also called Abu al-Qasim.&lt;a href="#ref-footnote1-page27" id="footnote1-page27" style="display:inline-block"&gt;&lt;sup&gt;(1)&lt;/sup&gt;&lt;/a&gt;&lt;p class="footnote"&gt;&lt;a href="#footnote1-page27" style="color:#3b82f6;" id="ref-footnote1-page27"&gt; 1) &lt;/a&gt;It has been cited in the reference books of hadith (Sihah), as well as many other books of Sunnite and Shi</w:t>
      </w:r>
      <w:r>
        <w:rPr>
          <w:rFonts w:eastAsia="Times New Roman" w:cs="Times New Roman" w:ascii="Times New Roman" w:hAnsi="Times New Roman"/>
          <w:color w:val="111111"/>
          <w:sz w:val="28"/>
          <w:szCs w:val="28"/>
          <w:lang w:val="en-US"/>
        </w:rPr>
        <w:t>ite authors, that the Holy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end of the Age, a man from my offspring, who has my name and my epithet, shall appear to fill the earth with justice and fairness as it will be filled with injustice and prejudice.”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Having seen him in person, a group of trustworthy Muslims have informed others about the birth of Imam al-Mahdi and about some of his characteristics and his father’s </w:t>
      </w:r>
    </w:p>
    <w:p>
      <w:pPr>
        <w:pStyle w:val="BookText"/>
        <w:bidi w:val="0"/>
        <w:rPr/>
      </w:pPr>
      <w:r>
        <w:rPr>
          <w:rFonts w:eastAsia="Times New Roman" w:cs="Times New Roman" w:ascii="Times New Roman" w:hAnsi="Times New Roman"/>
          <w:color w:val="111111"/>
          <w:sz w:val="28"/>
          <w:szCs w:val="28"/>
          <w:lang w:val="en-US"/>
        </w:rPr>
        <w:t>appointing him as Imam after him. However, after the age of five, Imam al-Mahdi was hidden from public view when he learned that his enemies intended to kill him. So, Almighty Allah has preserved him for the future to the day when he will be sent to establish the just global Islamic government at the end of the age and purify the earth from injustice and prejudice with which it will be filled.</w:t>
      </w:r>
    </w:p>
    <w:p>
      <w:pPr>
        <w:pStyle w:val="BookText"/>
        <w:bidi w:val="0"/>
        <w:jc w:val="both"/>
        <w:rPr/>
      </w:pPr>
      <w:r>
        <w:rPr>
          <w:rFonts w:eastAsia="Times New Roman" w:cs="Times New Roman" w:ascii="Times New Roman" w:hAnsi="Times New Roman"/>
          <w:color w:val="111111"/>
          <w:sz w:val="28"/>
          <w:szCs w:val="28"/>
          <w:lang w:val="en-US"/>
        </w:rPr>
        <w:t>Imam al-Mahdi’s existence for such a long age is neither strange nor odd, because the Holy Qur'an confirms that Prophet Jesus is still alive although he was born about 2006 years ago. Similarly, Prophet Noah lived for 950 years among his people calling them to worship Allah, and al-Khizr -who was contemporary with Prophet Moses- is still alive, too.</w:t>
      </w:r>
    </w:p>
    <w:p>
      <w:pPr>
        <w:pStyle w:val="BookText"/>
        <w:bidi w:val="0"/>
        <w:jc w:val="both"/>
        <w:rPr/>
      </w:pPr>
      <w:r>
        <w:rPr>
          <w:rFonts w:eastAsia="Times New Roman" w:cs="Times New Roman" w:ascii="Times New Roman" w:hAnsi="Times New Roman"/>
          <w:color w:val="111111"/>
          <w:sz w:val="28"/>
          <w:szCs w:val="28"/>
          <w:lang w:val="en-US"/>
        </w:rPr>
        <w:t>Essentially, Almighty Allah has power over all things; His will is accomplished and none can reject or repel it. With reference to Prophet Jonah—peace of Allah be upon him and upon our Prophet and his Household—the Holy Qur'an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had it not been that he was of those who glorify Us, he would certainly have tarried in its belly (i.e. the big fish) to the day when they are raised. (37/144)”</w:t>
      </w:r>
    </w:p>
    <w:p>
      <w:pPr>
        <w:pStyle w:val="BookText"/>
        <w:bidi w:val="0"/>
        <w:jc w:val="both"/>
        <w:rPr/>
      </w:pPr>
      <w:r>
        <w:rPr>
          <w:rFonts w:eastAsia="Times New Roman" w:cs="Times New Roman" w:ascii="Times New Roman" w:hAnsi="Times New Roman"/>
          <w:color w:val="111111"/>
          <w:sz w:val="28"/>
          <w:szCs w:val="28"/>
          <w:lang w:val="en-US"/>
        </w:rPr>
        <w:t>A great number of prominent Sunnite scholars admit to the birth and existence of Imam al-Mahdi (a.s) and mention the names of his ancestors and refer to his characteristics. The following scholars are among them:</w:t>
      </w:r>
    </w:p>
    <w:p>
      <w:pPr>
        <w:pStyle w:val="BookText"/>
        <w:bidi w:val="0"/>
        <w:jc w:val="both"/>
        <w:rPr/>
      </w:pPr>
      <w:r>
        <w:rPr>
          <w:rFonts w:eastAsia="Times New Roman" w:cs="Times New Roman" w:ascii="Times New Roman" w:hAnsi="Times New Roman"/>
          <w:color w:val="111111"/>
          <w:sz w:val="28"/>
          <w:szCs w:val="28"/>
          <w:lang w:val="en-US"/>
        </w:rPr>
        <w:t xml:space="preserve">A. </w:t>
      </w:r>
      <w:r>
        <w:rPr>
          <w:rFonts w:eastAsia="Consolas" w:cs="Consolas" w:ascii="Consolas" w:hAnsi="Consolas"/>
          <w:color w:val="111111"/>
          <w:sz w:val="28"/>
          <w:szCs w:val="28"/>
          <w:lang w:val="en-US"/>
        </w:rPr>
        <w:t>Abd al-Mu’min al-Shabalnaji al-Shafi</w:t>
      </w:r>
      <w:r>
        <w:rPr>
          <w:rFonts w:eastAsia="Times New Roman" w:cs="Times New Roman" w:ascii="Times New Roman" w:hAnsi="Times New Roman"/>
          <w:color w:val="111111"/>
          <w:sz w:val="28"/>
          <w:szCs w:val="28"/>
          <w:lang w:val="en-US"/>
        </w:rPr>
        <w:t>iy; the author of ‘Nur al-Absar fi Manaqib ªl Bayt al-Nabiyy al-Mukhtar’.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Ibn Hajar al-Haytami al-Makki al-Shafi</w:t>
      </w:r>
      <w:r>
        <w:rPr>
          <w:rFonts w:eastAsia="Consolas" w:cs="Consolas" w:ascii="Consolas" w:hAnsi="Consolas"/>
          <w:color w:val="111111"/>
          <w:sz w:val="28"/>
          <w:szCs w:val="28"/>
          <w:lang w:val="en-US"/>
        </w:rPr>
        <w:t>i, the author of ‘al-Sawa</w:t>
      </w:r>
      <w:r>
        <w:rPr>
          <w:rFonts w:eastAsia="Times New Roman" w:cs="Times New Roman" w:ascii="Times New Roman" w:hAnsi="Times New Roman"/>
          <w:color w:val="111111"/>
          <w:sz w:val="28"/>
          <w:szCs w:val="28"/>
          <w:lang w:val="en-US"/>
        </w:rPr>
        <w:t xml:space="preserve">iq al-Muhriqah’, wrote the following </w:t>
      </w:r>
      <w:bookmarkStart w:id="69" w:name="pg6161_73840"/>
    </w:p>
    <w:p>
      <w:pPr>
        <w:pStyle w:val="BookText"/>
        <w:bidi w:val="0"/>
        <w:rPr/>
      </w:pPr>
      <w:bookmarkEnd w:id="69"/>
      <w:r>
        <w:rPr>
          <w:rFonts w:eastAsia="Times New Roman" w:cs="Times New Roman" w:ascii="Times New Roman" w:hAnsi="Times New Roman"/>
          <w:color w:val="111111"/>
          <w:sz w:val="28"/>
          <w:szCs w:val="28"/>
          <w:lang w:val="en-US"/>
        </w:rPr>
        <w:t>about Imam al-Mahdi (a.s): “Abu’l-Qasim Muhammad al-Hujjah (i.e. the Argument of Allah over His creatures): When his father died, he was only five years old. Almighty Allah granted him wisdom. He is also named al-Qa'im (the Riser; i.e. the Imam who will rise to undertake the mission assigned to him) al-Munta¨ar (the Awaited).”</w:t>
      </w:r>
    </w:p>
    <w:p>
      <w:pPr>
        <w:pStyle w:val="BookText"/>
        <w:bidi w:val="0"/>
        <w:jc w:val="both"/>
        <w:rPr/>
      </w:pPr>
      <w:r>
        <w:rPr>
          <w:rFonts w:eastAsia="Times New Roman" w:cs="Times New Roman" w:ascii="Times New Roman" w:hAnsi="Times New Roman"/>
          <w:color w:val="111111"/>
          <w:sz w:val="28"/>
          <w:szCs w:val="28"/>
          <w:lang w:val="en-US"/>
        </w:rPr>
        <w:t>C. Al-Qanaduzi al-Hanafi al-Balkhi, the author of ‘Yanabi` al-Mawaddah’ published in Turkey - Istanbul, during the Ottoman dynasty.</w:t>
      </w:r>
    </w:p>
    <w:p>
      <w:pPr>
        <w:pStyle w:val="BookText"/>
        <w:bidi w:val="0"/>
        <w:jc w:val="both"/>
        <w:rPr/>
      </w:pPr>
      <w:r>
        <w:rPr>
          <w:rFonts w:eastAsia="Times New Roman" w:cs="Times New Roman" w:ascii="Times New Roman" w:hAnsi="Times New Roman"/>
          <w:color w:val="111111"/>
          <w:sz w:val="28"/>
          <w:szCs w:val="28"/>
          <w:lang w:val="en-US"/>
        </w:rPr>
        <w:t>D. Muhammad Siddiq Hasan al-Qanuji al-Bukhari; the author of ‘al-Idha</w:t>
      </w:r>
      <w:r>
        <w:rPr>
          <w:rFonts w:eastAsia="Consolas" w:cs="Consolas" w:ascii="Consolas" w:hAnsi="Consolas"/>
          <w:color w:val="111111"/>
          <w:sz w:val="28"/>
          <w:szCs w:val="28"/>
          <w:lang w:val="en-US"/>
        </w:rPr>
        <w:t>ah lima kana wama yakun bayna yaday al-Sa</w:t>
      </w: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In his book entitled ‘Islamuna’, Dr. Mustafa al-Rafi`i, one of the recent scholars, has written about the question of Imam al-Mahdi’s birth in details and delivered a rebuttal of all the doubts raised in this respect.</w:t>
      </w:r>
    </w:p>
    <w:p>
      <w:pPr>
        <w:pStyle w:val="Heading3"/>
        <w:numPr>
          <w:ilvl w:val="2"/>
          <w:numId w:val="1"/>
        </w:numPr>
        <w:bidi w:val="0"/>
        <w:jc w:val="left"/>
        <w:rPr/>
      </w:pPr>
      <w:bookmarkStart w:id="70" w:name="__RefHeading___Toc428609_237004111"/>
      <w:bookmarkStart w:id="71" w:name="_Toc26"/>
      <w:bookmarkEnd w:id="70"/>
      <w:r>
        <w:rPr/>
        <w:t>(21)</w:t>
      </w:r>
      <w:bookmarkEnd w:id="7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 xml:space="preserve">ah offer the prayers, observe fasting, defray the poor-rate (zakat), pay the one-fifth tax (khums), go on the ritual pilgrimage (hajj) to the Holy House of God at Mecca, perform the rituals of the hajj (as obligatory in the first time and as recommended in later times), perform the single minor pilgrimage (al-`umrah al-mufradah) as a recommended act, enjoin good, and forbid evil, show loyalty to the true friends of Almighty Allah and confederates of the Holy Prophet, show hostility to the enemies of Almighty Allah and the Holy Prophet, and fight for the sake of Almighty Allah all the unbelievers or polytheists who wage war against the Muslims and the conspirators who plot against the Muslim nation. Also, they abide to Islamic laws </w:t>
      </w:r>
      <w:bookmarkStart w:id="72" w:name="pg6161_73842"/>
    </w:p>
    <w:p>
      <w:pPr>
        <w:pStyle w:val="BookText"/>
        <w:bidi w:val="0"/>
        <w:rPr/>
      </w:pPr>
      <w:bookmarkEnd w:id="72"/>
      <w:r>
        <w:rPr>
          <w:rFonts w:eastAsia="Times New Roman" w:cs="Times New Roman" w:ascii="Times New Roman" w:hAnsi="Times New Roman"/>
          <w:color w:val="111111"/>
          <w:sz w:val="28"/>
          <w:szCs w:val="28"/>
          <w:lang w:val="en-US"/>
        </w:rPr>
        <w:t>in performing economic, social, and family activities—such as business, matrimony, inheritance, education, breast-feeding, observing Islamic veil (hijab), and so on. They get such laws by means of ijtihad</w:t>
      </w:r>
      <w:r>
        <w:rPr>
          <w:rStyle w:val="FootnoteAnchor"/>
        </w:rPr>
        <w:footnoteReference w:id="19"/>
      </w:r>
      <w:r>
        <w:rPr>
          <w:rFonts w:eastAsia="Times New Roman" w:cs="Times New Roman" w:ascii="Times New Roman" w:hAnsi="Times New Roman"/>
          <w:color w:val="111111"/>
          <w:sz w:val="28"/>
          <w:szCs w:val="28"/>
          <w:lang w:val="en-US"/>
        </w:rPr>
        <w:t>which their pious religious jurisprudents infer from the Holy Qur'an, the authenticated Sunnah, the confirmed narrations related from the Household of the Holy Prophet, reason and scholarly consensus.</w:t>
      </w:r>
    </w:p>
    <w:p>
      <w:pPr>
        <w:pStyle w:val="Heading3"/>
        <w:numPr>
          <w:ilvl w:val="2"/>
          <w:numId w:val="1"/>
        </w:numPr>
        <w:bidi w:val="0"/>
        <w:jc w:val="left"/>
        <w:rPr/>
      </w:pPr>
      <w:bookmarkStart w:id="73" w:name="__RefHeading___Toc428611_237004111"/>
      <w:bookmarkStart w:id="74" w:name="_Toc27"/>
      <w:bookmarkEnd w:id="73"/>
      <w:r>
        <w:rPr/>
        <w:t>(22)</w:t>
      </w:r>
      <w:bookmarkEnd w:id="74"/>
    </w:p>
    <w:p>
      <w:pPr>
        <w:pStyle w:val="BookText"/>
        <w:bidi w:val="0"/>
        <w:jc w:val="both"/>
        <w:rPr/>
      </w:pPr>
      <w:r>
        <w:rPr>
          <w:rFonts w:eastAsia="Times New Roman" w:cs="Times New Roman" w:ascii="Times New Roman" w:hAnsi="Times New Roman"/>
          <w:color w:val="111111"/>
          <w:sz w:val="28"/>
          <w:szCs w:val="28"/>
          <w:lang w:val="en-US"/>
        </w:rPr>
        <w:t>The Shi</w:t>
      </w:r>
      <w:r>
        <w:rPr>
          <w:rFonts w:eastAsia="Consolas" w:cs="Consolas" w:ascii="Consolas" w:hAnsi="Consolas"/>
          <w:color w:val="111111"/>
          <w:sz w:val="28"/>
          <w:szCs w:val="28"/>
          <w:lang w:val="en-US"/>
        </w:rPr>
        <w:t>ah believe that each one of the obligatory prayers has an appointed time; and the appointed times of the daily (obligatory) prayers are five; the dawn (fajr), the noon (¨uhr), the afternoon (</w:t>
      </w:r>
      <w:r>
        <w:rPr>
          <w:rFonts w:eastAsia="Times New Roman" w:cs="Times New Roman" w:ascii="Times New Roman" w:hAnsi="Times New Roman"/>
          <w:color w:val="111111"/>
          <w:sz w:val="28"/>
          <w:szCs w:val="28"/>
          <w:lang w:val="en-US"/>
        </w:rPr>
        <w:t>asr), soon after sunset (maghrib), and the evening (`isha').</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they believe that it is preferable to offer each prayer at its appointed time, the Shi</w:t>
      </w:r>
      <w:r>
        <w:rPr>
          <w:rFonts w:eastAsia="Consolas" w:cs="Consolas" w:ascii="Consolas" w:hAnsi="Consolas"/>
          <w:color w:val="111111"/>
          <w:sz w:val="28"/>
          <w:szCs w:val="28"/>
          <w:lang w:val="en-US"/>
        </w:rPr>
        <w:t xml:space="preserve">ah offer </w:t>
      </w:r>
      <w:r>
        <w:rPr>
          <w:rFonts w:eastAsia="Times New Roman" w:cs="Times New Roman" w:ascii="Times New Roman" w:hAnsi="Times New Roman"/>
          <w:color w:val="111111"/>
          <w:sz w:val="28"/>
          <w:szCs w:val="28"/>
          <w:lang w:val="en-US"/>
        </w:rPr>
        <w:t>asr prayers soon after the ¨uhr prayers and they offer the `isha’ prayers soon after the maghrib prayers too, following in this the Holy Prophet (s) who himself offered these couples of prayers in succession on some ordinary occasions; i.e. when there were no such problems like sickness, rain, or being on journey and when it was quite possible for him to offer each prayer at its appointed time separately and at times.</w:t>
      </w:r>
      <w:r>
        <w:rPr>
          <w:rStyle w:val="FootnoteAnchor"/>
        </w:rPr>
        <w:footnoteReference w:id="20"/>
      </w:r>
      <w:r>
        <w:rPr>
          <w:rFonts w:eastAsia="Times New Roman" w:cs="Times New Roman" w:ascii="Times New Roman" w:hAnsi="Times New Roman"/>
          <w:color w:val="111111"/>
          <w:sz w:val="28"/>
          <w:szCs w:val="28"/>
          <w:lang w:val="en-US"/>
        </w:rPr>
        <w:t xml:space="preserve">The Holy Prophet (s) did so in order to alleviate the Muslims’ duty of performing obligatory prayers, a practice which seems normal in the present age. </w:t>
      </w:r>
      <w:bookmarkStart w:id="75" w:name="pg6161_73844"/>
    </w:p>
    <w:p>
      <w:pPr>
        <w:pStyle w:val="Heading3"/>
        <w:numPr>
          <w:ilvl w:val="2"/>
          <w:numId w:val="1"/>
        </w:numPr>
        <w:bidi w:val="0"/>
        <w:jc w:val="left"/>
        <w:rPr/>
      </w:pPr>
      <w:bookmarkStart w:id="76" w:name="__RefHeading___Toc428613_237004111"/>
      <w:bookmarkStart w:id="77" w:name="_Toc28"/>
      <w:bookmarkEnd w:id="75"/>
      <w:bookmarkEnd w:id="76"/>
      <w:r>
        <w:rPr/>
        <w:t>(23)</w:t>
      </w:r>
      <w:bookmarkEnd w:id="77"/>
    </w:p>
    <w:p>
      <w:pPr>
        <w:pStyle w:val="BookText"/>
        <w:bidi w:val="0"/>
        <w:jc w:val="both"/>
        <w:rPr/>
      </w:pPr>
      <w:r>
        <w:rPr>
          <w:rFonts w:eastAsia="Times New Roman" w:cs="Times New Roman" w:ascii="Times New Roman" w:hAnsi="Times New Roman"/>
          <w:color w:val="111111"/>
          <w:sz w:val="28"/>
          <w:szCs w:val="28"/>
          <w:lang w:val="en-US"/>
        </w:rPr>
        <w:t>The Shi</w:t>
      </w:r>
      <w:r>
        <w:rPr>
          <w:rFonts w:eastAsia="Consolas" w:cs="Consolas" w:ascii="Consolas" w:hAnsi="Consolas"/>
          <w:color w:val="111111"/>
          <w:sz w:val="28"/>
          <w:szCs w:val="28"/>
          <w:lang w:val="en-US"/>
        </w:rPr>
        <w:t xml:space="preserve">ah recite adhan (call to prayers) in the same way as the other Muslims do and they add the phrase, ‘hayya </w:t>
      </w:r>
      <w:r>
        <w:rPr>
          <w:rFonts w:eastAsia="Times New Roman" w:cs="Times New Roman" w:ascii="Times New Roman" w:hAnsi="Times New Roman"/>
          <w:color w:val="111111"/>
          <w:sz w:val="28"/>
          <w:szCs w:val="28"/>
          <w:lang w:val="en-US"/>
        </w:rPr>
        <w:t>ala khayr al-</w:t>
      </w:r>
      <w:r>
        <w:rPr>
          <w:rFonts w:eastAsia="Consolas" w:cs="Consolas" w:ascii="Consolas" w:hAnsi="Consolas"/>
          <w:color w:val="111111"/>
          <w:sz w:val="28"/>
          <w:szCs w:val="28"/>
          <w:lang w:val="en-US"/>
        </w:rPr>
        <w:t xml:space="preserve">amal (Come to the best of deed)’ after the phrase, ‘hayya </w:t>
      </w:r>
      <w:r>
        <w:rPr>
          <w:rFonts w:eastAsia="Times New Roman" w:cs="Times New Roman" w:ascii="Times New Roman" w:hAnsi="Times New Roman"/>
          <w:color w:val="111111"/>
          <w:sz w:val="28"/>
          <w:szCs w:val="28"/>
          <w:lang w:val="en-US"/>
        </w:rPr>
        <w:t xml:space="preserve">ala al-falah (Come to prosperity)’, because the former phrase was part of adhan in the time of the Holy Prophet (s), but </w:t>
      </w:r>
      <w:r>
        <w:rPr>
          <w:rFonts w:eastAsia="Consolas" w:cs="Consolas" w:ascii="Consolas" w:hAnsi="Consolas"/>
          <w:color w:val="111111"/>
          <w:sz w:val="28"/>
          <w:szCs w:val="28"/>
          <w:lang w:val="en-US"/>
        </w:rPr>
        <w:t>Umar ibn al-Khattab cancelled it, under the pretext that this phrase, which indicates that prayer is the best of deed, distracts the Muslims’ attention from participating in the holy wars.&lt;a href="#ref-footnote1-page31" id="footnote1-page31" style="display:inline-block"&gt;&lt;sup&gt;(1)&lt;/sup&gt;&lt;/a&gt;&lt;p class="footnote"&gt;&lt;a href="#footnote1-page31" style="color:#3b82f6;" id="ref-footnote1-page31"&gt; 1) &lt;/a&gt;This issue is mentioned in al-Qawshaji al-Ash</w:t>
      </w:r>
      <w:r>
        <w:rPr>
          <w:rFonts w:eastAsia="Times New Roman" w:cs="Times New Roman" w:ascii="Times New Roman" w:hAnsi="Times New Roman"/>
          <w:color w:val="111111"/>
          <w:sz w:val="28"/>
          <w:szCs w:val="28"/>
          <w:lang w:val="en-US"/>
        </w:rPr>
        <w:t>ari’s book ‘Sharh Tajrid al-I</w:t>
      </w:r>
      <w:r>
        <w:rPr>
          <w:rFonts w:eastAsia="Consolas" w:cs="Consolas" w:ascii="Consolas" w:hAnsi="Consolas"/>
          <w:color w:val="111111"/>
          <w:sz w:val="28"/>
          <w:szCs w:val="28"/>
          <w:lang w:val="en-US"/>
        </w:rPr>
        <w:t>tiqad’. It is also mentioned in other books, such as ‘al-Musannaf’ by al-Kindi, ‘Kanz al-</w:t>
      </w:r>
      <w:r>
        <w:rPr>
          <w:rFonts w:eastAsia="Times New Roman" w:cs="Times New Roman" w:ascii="Times New Roman" w:hAnsi="Times New Roman"/>
          <w:color w:val="111111"/>
          <w:sz w:val="28"/>
          <w:szCs w:val="28"/>
          <w:lang w:val="en-US"/>
        </w:rPr>
        <w:t>Ummal’ by al-Muttaqi al-Hindi, and others.</w:t>
      </w:r>
    </w:p>
    <w:p>
      <w:pPr>
        <w:pStyle w:val="BookText"/>
        <w:bidi w:val="0"/>
        <w:jc w:val="both"/>
        <w:rPr/>
      </w:pPr>
      <w:r>
        <w:rPr>
          <w:rFonts w:eastAsia="Times New Roman" w:cs="Times New Roman" w:ascii="Times New Roman" w:hAnsi="Times New Roman"/>
          <w:color w:val="111111"/>
          <w:sz w:val="28"/>
          <w:szCs w:val="28"/>
          <w:lang w:val="en-US"/>
        </w:rPr>
        <w:t>He also ordered that the phrase, “al-salatu khayrun min al-nawm (Prayer is better than sleeping)” would be added to the adhan (for the Morning Prayers only), although this phrase was not part of the adhan during the lifetime of the Holy Prophet (s).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In view of the fact that the acts of worship and their introductory acts have to be done according to the command and will of Almighty Allah—the Source of legislation—in the sense that every part of such acts has to be on the basis of a general or particular statement from the Holy Qur'an or Sunnah; otherwise, it will be considered rejected heresy. Therefore, it is impermissible to add or delete anything from religious rituals or any religious affair based on a personal opinion.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 xml:space="preserve">ah also include in adhan the phrase, “ash-hadu anna </w:t>
      </w:r>
      <w:r>
        <w:rPr>
          <w:rFonts w:eastAsia="Consolas" w:cs="Consolas" w:ascii="Consolas" w:hAnsi="Consolas"/>
          <w:color w:val="111111"/>
          <w:sz w:val="28"/>
          <w:szCs w:val="28"/>
          <w:lang w:val="en-US"/>
        </w:rPr>
        <w:t xml:space="preserve">aliyyan waliyyu allah (I bear witness that </w:t>
      </w:r>
      <w:r>
        <w:rPr>
          <w:rFonts w:eastAsia="Times New Roman" w:cs="Times New Roman" w:ascii="Times New Roman" w:hAnsi="Times New Roman"/>
          <w:color w:val="111111"/>
          <w:sz w:val="28"/>
          <w:szCs w:val="28"/>
          <w:lang w:val="en-US"/>
        </w:rPr>
        <w:t xml:space="preserve">Ali is the intimate servant of Allah)” after the phrase, ‘ash- </w:t>
      </w:r>
      <w:bookmarkStart w:id="78" w:name="pg6161_73846"/>
    </w:p>
    <w:p>
      <w:pPr>
        <w:pStyle w:val="BookText"/>
        <w:bidi w:val="0"/>
        <w:rPr/>
      </w:pPr>
      <w:bookmarkEnd w:id="78"/>
      <w:r>
        <w:rPr>
          <w:rFonts w:eastAsia="Times New Roman" w:cs="Times New Roman" w:ascii="Times New Roman" w:hAnsi="Times New Roman"/>
          <w:color w:val="111111"/>
          <w:sz w:val="28"/>
          <w:szCs w:val="28"/>
          <w:lang w:val="en-US"/>
        </w:rPr>
        <w:t>hadu anna muhammadan rasulu allah (I bear witness that Muhammad is the Messenger of Allah)’. In this, they rely on many narrations reported from the Holy Prophet (s) and the Holy Imams stating that the phrase, “Muhammad is the Messenger of Allah” is not mentioned or written above the gate of Paradise apart from the phrase, “</w:t>
      </w:r>
      <w:r>
        <w:rPr>
          <w:rFonts w:eastAsia="Consolas" w:cs="Consolas" w:ascii="Consolas" w:hAnsi="Consolas"/>
          <w:color w:val="111111"/>
          <w:sz w:val="28"/>
          <w:szCs w:val="28"/>
          <w:lang w:val="en-US"/>
        </w:rPr>
        <w:t>Ali is the intimate servant of Allah”. However, this does not indicate that the Shi</w:t>
      </w:r>
      <w:r>
        <w:rPr>
          <w:rFonts w:eastAsia="Times New Roman" w:cs="Times New Roman" w:ascii="Times New Roman" w:hAnsi="Times New Roman"/>
          <w:color w:val="111111"/>
          <w:sz w:val="28"/>
          <w:szCs w:val="28"/>
          <w:lang w:val="en-US"/>
        </w:rPr>
        <w:t>ah claim that Imam `Ali is a prophet, or a god, etc… Allah forbid!</w:t>
      </w:r>
    </w:p>
    <w:p>
      <w:pPr>
        <w:pStyle w:val="BookText"/>
        <w:bidi w:val="0"/>
        <w:jc w:val="both"/>
        <w:rPr/>
      </w:pPr>
      <w:r>
        <w:rPr>
          <w:rFonts w:eastAsia="Times New Roman" w:cs="Times New Roman" w:ascii="Times New Roman" w:hAnsi="Times New Roman"/>
          <w:color w:val="111111"/>
          <w:sz w:val="28"/>
          <w:szCs w:val="28"/>
          <w:lang w:val="en-US"/>
        </w:rPr>
        <w:t>As a result, it is not a problem to mention this phrase along with the two phrases of shahadah (i.e. testifying to Almighty Allah as the One and Only God and to Prophet Muhammad as His messenger) if it is said in the hope that this will be commended by Almighty Allah.</w:t>
      </w:r>
    </w:p>
    <w:p>
      <w:pPr>
        <w:pStyle w:val="BookText"/>
        <w:bidi w:val="0"/>
        <w:jc w:val="both"/>
        <w:rPr/>
      </w:pPr>
      <w:r>
        <w:rPr>
          <w:rFonts w:eastAsia="Times New Roman" w:cs="Times New Roman" w:ascii="Times New Roman" w:hAnsi="Times New Roman"/>
          <w:color w:val="111111"/>
          <w:sz w:val="28"/>
          <w:szCs w:val="28"/>
          <w:lang w:val="en-US"/>
        </w:rPr>
        <w:t>According to most Shi`ite scholars, this phrase is neither obligatory nor part of adhan.</w:t>
      </w:r>
    </w:p>
    <w:p>
      <w:pPr>
        <w:pStyle w:val="BookText"/>
        <w:bidi w:val="0"/>
        <w:jc w:val="both"/>
        <w:rPr/>
      </w:pPr>
      <w:r>
        <w:rPr>
          <w:rFonts w:eastAsia="Times New Roman" w:cs="Times New Roman" w:ascii="Times New Roman" w:hAnsi="Times New Roman"/>
          <w:color w:val="111111"/>
          <w:sz w:val="28"/>
          <w:szCs w:val="28"/>
          <w:lang w:val="en-US"/>
        </w:rPr>
        <w:t>This additional phrase is not considered unfounded addition to religious rituals and, as a result, it is not regarded as heresy, because, as has been previously cited, it is not said as part of the adhan or as something obligatory.</w:t>
      </w:r>
    </w:p>
    <w:p>
      <w:pPr>
        <w:pStyle w:val="Heading3"/>
        <w:numPr>
          <w:ilvl w:val="2"/>
          <w:numId w:val="1"/>
        </w:numPr>
        <w:bidi w:val="0"/>
        <w:jc w:val="left"/>
        <w:rPr/>
      </w:pPr>
      <w:bookmarkStart w:id="79" w:name="__RefHeading___Toc428615_237004111"/>
      <w:bookmarkStart w:id="80" w:name="_Toc29"/>
      <w:bookmarkEnd w:id="79"/>
      <w:r>
        <w:rPr/>
        <w:t>(24)</w:t>
      </w:r>
      <w:bookmarkEnd w:id="8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prayers, the Shi</w:t>
      </w:r>
      <w:r>
        <w:rPr>
          <w:rFonts w:eastAsia="Consolas" w:cs="Consolas" w:ascii="Consolas" w:hAnsi="Consolas"/>
          <w:color w:val="111111"/>
          <w:sz w:val="28"/>
          <w:szCs w:val="28"/>
          <w:lang w:val="en-US"/>
        </w:rPr>
        <w:t>ah prostrate themselves on dust (highland), pebbles, rocks, or other (natural) parts of the earth or its plants (including mats made of plants) and excluding rugs, clothes, edible things, or jewelry, as is confirmed by many traditions reported by Sunnite and Shi</w:t>
      </w:r>
      <w:r>
        <w:rPr>
          <w:rFonts w:eastAsia="Times New Roman" w:cs="Times New Roman" w:ascii="Times New Roman" w:hAnsi="Times New Roman"/>
          <w:color w:val="111111"/>
          <w:sz w:val="28"/>
          <w:szCs w:val="28"/>
          <w:lang w:val="en-US"/>
        </w:rPr>
        <w:t xml:space="preserve">ite scholars. One of the Prophetic traditions says that the Holy Prophet (s) used to prostrate himself on dust or on the ground directly and he used to order the Muslims to imitate him. According to one of these traditions, the Prophet (s) once noticed Bilal prostrating himself during a prayer with </w:t>
      </w:r>
    </w:p>
    <w:p>
      <w:pPr>
        <w:pStyle w:val="BookText"/>
        <w:bidi w:val="0"/>
        <w:rPr/>
      </w:pPr>
      <w:r>
        <w:rPr>
          <w:rFonts w:eastAsia="Times New Roman" w:cs="Times New Roman" w:ascii="Times New Roman" w:hAnsi="Times New Roman"/>
          <w:color w:val="111111"/>
          <w:sz w:val="28"/>
          <w:szCs w:val="28"/>
          <w:lang w:val="en-US"/>
        </w:rPr>
        <w:t>the edge of his turban between his forehead and the ground in order to avoid the burning heat of the ground. The Holy Prophet (s) moved the turban away from Bilal’s forehead and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Bilal: Let your forehead touch the dust.”</w:t>
      </w:r>
    </w:p>
    <w:p>
      <w:pPr>
        <w:pStyle w:val="BookText"/>
        <w:bidi w:val="0"/>
        <w:jc w:val="both"/>
        <w:rPr/>
      </w:pPr>
      <w:r>
        <w:rPr>
          <w:rFonts w:eastAsia="Times New Roman" w:cs="Times New Roman" w:ascii="Times New Roman" w:hAnsi="Times New Roman"/>
          <w:color w:val="111111"/>
          <w:sz w:val="28"/>
          <w:szCs w:val="28"/>
          <w:lang w:val="en-US"/>
        </w:rPr>
        <w:t>Other narrations related from the Holy Prophet (s) say that the same thing happened to Suhayb and Rabah to whom the Holy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Suhayb, let your face touch the dust.”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Rabah, let your face touch the dust.”</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As has been cited in Sahih al-Bukhari and other reference books of hadith, the Holy Prophet (s)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earth has been made for me a prostration-place and pure thing.”</w:t>
      </w:r>
    </w:p>
    <w:p>
      <w:pPr>
        <w:pStyle w:val="BookText"/>
        <w:bidi w:val="0"/>
        <w:jc w:val="both"/>
        <w:rPr/>
      </w:pPr>
      <w:r>
        <w:rPr>
          <w:rFonts w:eastAsia="Times New Roman" w:cs="Times New Roman" w:ascii="Times New Roman" w:hAnsi="Times New Roman"/>
          <w:color w:val="111111"/>
          <w:sz w:val="28"/>
          <w:szCs w:val="28"/>
          <w:lang w:val="en-US"/>
        </w:rPr>
        <w:t>Naturally, prostration on the earth and putting the forehead on it is the most appropriate state of prostrating oneself before Almighty Allah, because it is the most appropriate way of showing humility and meekness to the object of worship. Besides, this way of prostration reminds man of his origin. In this regard, Almighty Allah has said (in the Holy Qur'an):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From it (i.e. the earth), We created you, and into it We shall send you back, and from it will We raise you a second time. (20/55)” </w:t>
      </w:r>
    </w:p>
    <w:p>
      <w:pPr>
        <w:pStyle w:val="BookText"/>
        <w:bidi w:val="0"/>
        <w:rPr/>
      </w:pPr>
      <w:r>
        <w:rPr>
          <w:rFonts w:eastAsia="Times New Roman" w:cs="Times New Roman" w:ascii="Times New Roman" w:hAnsi="Times New Roman"/>
          <w:color w:val="111111"/>
          <w:sz w:val="28"/>
          <w:szCs w:val="28"/>
          <w:lang w:val="en-US"/>
        </w:rPr>
        <w:t>Prostration is the highest degree of submission, and this cannot be achieved by prostrating oneself on carpets, rugs, textile, or precious jewelry; but by putting the most honorable part of the body; i.e. the forehead, on the cheapest thing; i.e. the soil.</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Of course, the dust on which prostration is done has to be pure; therefore, the Shi`ah usually carry with them a piece of pure clay which can be at their disposal all the time.</w:t>
      </w:r>
    </w:p>
    <w:p>
      <w:pPr>
        <w:pStyle w:val="BookText"/>
        <w:bidi w:val="0"/>
        <w:jc w:val="both"/>
        <w:rPr/>
      </w:pPr>
      <w:r>
        <w:rPr>
          <w:rFonts w:eastAsia="Times New Roman" w:cs="Times New Roman" w:ascii="Times New Roman" w:hAnsi="Times New Roman"/>
          <w:color w:val="111111"/>
          <w:sz w:val="28"/>
          <w:szCs w:val="28"/>
          <w:lang w:val="en-US"/>
        </w:rPr>
        <w:t>Such pieces of clay may be taken from blessed lands, such as the land of Karbala' where Imam al-Husayn (a.s), the grandson of the Holy Prophet (s), was martyred. Similarly, the Sahabah used to carry with them some pebbles from the land of Mecca to use them in prostration when they went on journeys. They regarded these pebbles as something blessed, for they came from a blessed place.</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But, 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ah do not insist on this act or abide by it at all times. They prostrate themselves on any rock, provided that it be clean and pure, including the tiled floor of the Holy Prophet’s Mosque and that of the Holy Mosque of Mecca.</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the Shi`ah do not put their right hands on their left hands during prayers, because the Holy Prophet (s) did not do so. Besides, there is no evidence about the validity of such a thing; therefore, the Malikiyyah (a sect of Sunni Muslims) do not do so either.</w:t>
      </w:r>
      <w:r>
        <w:rPr>
          <w:rStyle w:val="FootnoteAnchor"/>
        </w:rPr>
        <w:footnoteReference w:id="24"/>
      </w:r>
      <w:bookmarkStart w:id="81" w:name="pg6161_73852"/>
    </w:p>
    <w:p>
      <w:pPr>
        <w:pStyle w:val="Heading3"/>
        <w:numPr>
          <w:ilvl w:val="2"/>
          <w:numId w:val="1"/>
        </w:numPr>
        <w:bidi w:val="0"/>
        <w:jc w:val="left"/>
        <w:rPr/>
      </w:pPr>
      <w:bookmarkStart w:id="82" w:name="__RefHeading___Toc428617_237004111"/>
      <w:bookmarkStart w:id="83" w:name="_Toc30"/>
      <w:bookmarkEnd w:id="81"/>
      <w:bookmarkEnd w:id="82"/>
      <w:r>
        <w:rPr/>
        <w:t>(25)</w:t>
      </w:r>
      <w:bookmarkEnd w:id="83"/>
    </w:p>
    <w:p>
      <w:pPr>
        <w:pStyle w:val="BookText"/>
        <w:bidi w:val="0"/>
        <w:jc w:val="both"/>
        <w:rPr/>
      </w:pPr>
      <w:r>
        <w:rPr>
          <w:rFonts w:eastAsia="Times New Roman" w:cs="Times New Roman" w:ascii="Times New Roman" w:hAnsi="Times New Roman"/>
          <w:color w:val="111111"/>
          <w:sz w:val="28"/>
          <w:szCs w:val="28"/>
          <w:lang w:val="en-US"/>
        </w:rPr>
        <w:t>When the Shi`ah wash their hands for ritual ablution (wuzu'), they begin with elbows and end with the fingertips, not otherwise, a practice which they learnt from the Holy Imams who had learnt it from the Holy Prophet (s). Naturally, they knew better than anyone else of the way which their grandfather followed in doing ablution. This supports the idea that the Holy Prophet (s) had performed ritual ablution in this way.</w:t>
      </w:r>
    </w:p>
    <w:p>
      <w:pPr>
        <w:pStyle w:val="BookText"/>
        <w:bidi w:val="0"/>
        <w:jc w:val="both"/>
        <w:rPr/>
      </w:pPr>
      <w:r>
        <w:rPr>
          <w:rFonts w:eastAsia="Times New Roman" w:cs="Times New Roman" w:ascii="Times New Roman" w:hAnsi="Times New Roman"/>
          <w:color w:val="111111"/>
          <w:sz w:val="28"/>
          <w:szCs w:val="28"/>
          <w:lang w:val="en-US"/>
        </w:rPr>
        <w:t>The Shi`ah interpreted the Arabic preposition ‘ila’ in the Qur'anic verse about the way of performing ritual ablution</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When you rise up to prayer, wash your faces and your hands with the elbows, and wipe your heads and your feet to the ankles; and if you are under an obligation to perform a total ablution, then wash yourselves and if you are sick or on a journey, or one of you come from the privy, or you have touched the women, and you cannot find water, betake yourselves to pure earth and wipe your faces and your hands therewith. Allah does not desire to put on you any difficulty, but He wishes to purify you and that He may complete His favor on you, so that you may be grateful. (5/6)”</w:t>
      </w:r>
    </w:p>
    <w:p>
      <w:pPr>
        <w:pStyle w:val="BookText"/>
        <w:bidi w:val="0"/>
        <w:jc w:val="both"/>
        <w:rPr/>
      </w:pPr>
      <w:r>
        <w:rPr>
          <w:rFonts w:eastAsia="Times New Roman" w:cs="Times New Roman" w:ascii="Times New Roman" w:hAnsi="Times New Roman"/>
          <w:color w:val="111111"/>
          <w:sz w:val="28"/>
          <w:szCs w:val="28"/>
          <w:lang w:val="en-US"/>
        </w:rPr>
        <w:t>into ‘with’ or ‘including’. So did al-Shafi`i al-Saghir in his book of ‘Nihayat al-Muhtaj’.</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the same reason, the Shi`ah do not wash their feet and heads (in ritual ablution); rather they rub them with their </w:t>
      </w:r>
      <w:bookmarkStart w:id="84" w:name="pg6161_73854"/>
    </w:p>
    <w:p>
      <w:pPr>
        <w:pStyle w:val="BookText"/>
        <w:bidi w:val="0"/>
        <w:rPr/>
      </w:pPr>
      <w:bookmarkEnd w:id="84"/>
      <w:r>
        <w:rPr>
          <w:rFonts w:eastAsia="Times New Roman" w:cs="Times New Roman" w:ascii="Times New Roman" w:hAnsi="Times New Roman"/>
          <w:color w:val="111111"/>
          <w:sz w:val="28"/>
          <w:szCs w:val="28"/>
          <w:lang w:val="en-US"/>
        </w:rPr>
        <w:t xml:space="preserve">wet hands. In this connection,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Ritual ablution includes two washings and two rubbings,” and, “Two parts are washed and two others are rubbed (with water).”</w:t>
      </w:r>
      <w:r>
        <w:rPr>
          <w:rStyle w:val="FootnoteAnchor"/>
        </w:rPr>
        <w:footnoteReference w:id="26"/>
      </w:r>
    </w:p>
    <w:p>
      <w:pPr>
        <w:pStyle w:val="Heading3"/>
        <w:numPr>
          <w:ilvl w:val="2"/>
          <w:numId w:val="1"/>
        </w:numPr>
        <w:bidi w:val="0"/>
        <w:jc w:val="left"/>
        <w:rPr/>
      </w:pPr>
      <w:bookmarkStart w:id="85" w:name="__RefHeading___Toc428619_237004111"/>
      <w:bookmarkStart w:id="86" w:name="_Toc31"/>
      <w:bookmarkEnd w:id="85"/>
      <w:r>
        <w:rPr/>
        <w:t>(26)</w:t>
      </w:r>
      <w:bookmarkEnd w:id="86"/>
    </w:p>
    <w:p>
      <w:pPr>
        <w:pStyle w:val="BookText"/>
        <w:bidi w:val="0"/>
        <w:jc w:val="both"/>
        <w:rPr/>
      </w:pPr>
      <w:r>
        <w:rPr>
          <w:rFonts w:eastAsia="Times New Roman" w:cs="Times New Roman" w:ascii="Times New Roman" w:hAnsi="Times New Roman"/>
          <w:color w:val="111111"/>
          <w:sz w:val="28"/>
          <w:szCs w:val="28"/>
          <w:lang w:val="en-US"/>
        </w:rPr>
        <w:t>According to the Shi</w:t>
      </w:r>
      <w:r>
        <w:rPr>
          <w:rFonts w:eastAsia="Consolas" w:cs="Consolas" w:ascii="Consolas" w:hAnsi="Consolas"/>
          <w:color w:val="111111"/>
          <w:sz w:val="28"/>
          <w:szCs w:val="28"/>
          <w:lang w:val="en-US"/>
        </w:rPr>
        <w:t>ah, temporary marriage (zawaj al-mat</w:t>
      </w:r>
      <w:r>
        <w:rPr>
          <w:rFonts w:eastAsia="Times New Roman" w:cs="Times New Roman" w:ascii="Times New Roman" w:hAnsi="Times New Roman"/>
          <w:color w:val="111111"/>
          <w:sz w:val="28"/>
          <w:szCs w:val="28"/>
          <w:lang w:val="en-US"/>
        </w:rPr>
        <w:t>ah) is permissible. The Holy Qur'an points to this kind of marriage and its permissibility in the following holy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as to those (women) whom you profit by, give them their wages as appointed. (4/24)”</w:t>
      </w:r>
    </w:p>
    <w:p>
      <w:pPr>
        <w:pStyle w:val="BookText"/>
        <w:bidi w:val="0"/>
        <w:jc w:val="both"/>
        <w:rPr/>
      </w:pPr>
      <w:r>
        <w:rPr>
          <w:rFonts w:eastAsia="Times New Roman" w:cs="Times New Roman" w:ascii="Times New Roman" w:hAnsi="Times New Roman"/>
          <w:color w:val="111111"/>
          <w:sz w:val="28"/>
          <w:szCs w:val="28"/>
          <w:lang w:val="en-US"/>
        </w:rPr>
        <w:t>Besides, in the lifetime of the Holy Prophet (s), the Muslims used to do this temporary marriage until the middle course of `Umar ibn al-Khattab’s reign.</w:t>
      </w:r>
    </w:p>
    <w:p>
      <w:pPr>
        <w:pStyle w:val="BookText"/>
        <w:bidi w:val="0"/>
        <w:jc w:val="both"/>
        <w:rPr/>
      </w:pPr>
      <w:r>
        <w:rPr>
          <w:rFonts w:eastAsia="Times New Roman" w:cs="Times New Roman" w:ascii="Times New Roman" w:hAnsi="Times New Roman"/>
          <w:color w:val="111111"/>
          <w:sz w:val="28"/>
          <w:szCs w:val="28"/>
          <w:lang w:val="en-US"/>
        </w:rPr>
        <w:t>This kind of legal marriage and permanent marriage (al-zawaj al-da’im) have a lot in common, such as:</w:t>
      </w:r>
    </w:p>
    <w:p>
      <w:pPr>
        <w:pStyle w:val="BookText"/>
        <w:bidi w:val="0"/>
        <w:jc w:val="both"/>
        <w:rPr/>
      </w:pPr>
      <w:r>
        <w:rPr>
          <w:rFonts w:eastAsia="Times New Roman" w:cs="Times New Roman" w:ascii="Times New Roman" w:hAnsi="Times New Roman"/>
          <w:color w:val="111111"/>
          <w:sz w:val="28"/>
          <w:szCs w:val="28"/>
          <w:lang w:val="en-US"/>
        </w:rPr>
        <w:t>The woman who wants to make a temporary</w:t>
      </w:r>
    </w:p>
    <w:p>
      <w:pPr>
        <w:pStyle w:val="BookText"/>
        <w:bidi w:val="0"/>
        <w:jc w:val="both"/>
        <w:rPr/>
      </w:pPr>
      <w:r>
        <w:rPr>
          <w:rFonts w:eastAsia="Times New Roman" w:cs="Times New Roman" w:ascii="Times New Roman" w:hAnsi="Times New Roman"/>
          <w:color w:val="111111"/>
          <w:sz w:val="28"/>
          <w:szCs w:val="28"/>
          <w:lang w:val="en-US"/>
        </w:rPr>
        <w:t>marriage contract must not have a husband.</w:t>
      </w:r>
    </w:p>
    <w:p>
      <w:pPr>
        <w:pStyle w:val="BookText"/>
        <w:bidi w:val="0"/>
        <w:jc w:val="both"/>
        <w:rPr/>
      </w:pPr>
      <w:r>
        <w:rPr>
          <w:rFonts w:eastAsia="Times New Roman" w:cs="Times New Roman" w:ascii="Times New Roman" w:hAnsi="Times New Roman"/>
          <w:color w:val="111111"/>
          <w:sz w:val="28"/>
          <w:szCs w:val="28"/>
          <w:lang w:val="en-US"/>
        </w:rPr>
        <w:t>Like permanent marriage, temporary</w:t>
      </w:r>
    </w:p>
    <w:p>
      <w:pPr>
        <w:pStyle w:val="BookText"/>
        <w:bidi w:val="0"/>
        <w:jc w:val="both"/>
        <w:rPr/>
      </w:pPr>
      <w:r>
        <w:rPr>
          <w:rFonts w:eastAsia="Times New Roman" w:cs="Times New Roman" w:ascii="Times New Roman" w:hAnsi="Times New Roman"/>
          <w:color w:val="111111"/>
          <w:sz w:val="28"/>
          <w:szCs w:val="28"/>
          <w:lang w:val="en-US"/>
        </w:rPr>
        <w:t>marriage contract is conditional on the woman’s offer and the man’s consent.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money that has to be given to the woman by the man is called ‘dowry (mahr)’, but in temporary marriage, the money to be given to the woman is </w:t>
      </w:r>
    </w:p>
    <w:p>
      <w:pPr>
        <w:pStyle w:val="BookText"/>
        <w:bidi w:val="0"/>
        <w:rPr/>
      </w:pPr>
      <w:r>
        <w:rPr>
          <w:rFonts w:eastAsia="Times New Roman" w:cs="Times New Roman" w:ascii="Times New Roman" w:hAnsi="Times New Roman"/>
          <w:color w:val="111111"/>
          <w:sz w:val="28"/>
          <w:szCs w:val="28"/>
          <w:lang w:val="en-US"/>
        </w:rPr>
        <w:t>called ‘wage (ajr)’, as stated by</w:t>
      </w:r>
    </w:p>
    <w:p>
      <w:pPr>
        <w:pStyle w:val="BookText"/>
        <w:bidi w:val="0"/>
        <w:jc w:val="both"/>
        <w:rPr/>
      </w:pPr>
      <w:r>
        <w:rPr>
          <w:rFonts w:eastAsia="Times New Roman" w:cs="Times New Roman" w:ascii="Times New Roman" w:hAnsi="Times New Roman"/>
          <w:color w:val="111111"/>
          <w:sz w:val="28"/>
          <w:szCs w:val="28"/>
          <w:lang w:val="en-US"/>
        </w:rPr>
        <w:t>the Holy Qur'an in the previously mentioned verse.</w:t>
      </w:r>
    </w:p>
    <w:p>
      <w:pPr>
        <w:pStyle w:val="BookText"/>
        <w:bidi w:val="0"/>
        <w:jc w:val="both"/>
        <w:rPr/>
      </w:pPr>
      <w:r>
        <w:rPr>
          <w:rFonts w:eastAsia="Times New Roman" w:cs="Times New Roman" w:ascii="Times New Roman" w:hAnsi="Times New Roman"/>
          <w:color w:val="111111"/>
          <w:sz w:val="28"/>
          <w:szCs w:val="28"/>
          <w:lang w:val="en-US"/>
        </w:rPr>
        <w:t>When the temporary marriage contract terminates</w:t>
      </w:r>
    </w:p>
    <w:p>
      <w:pPr>
        <w:pStyle w:val="BookText"/>
        <w:bidi w:val="0"/>
        <w:jc w:val="both"/>
        <w:rPr/>
      </w:pPr>
      <w:r>
        <w:rPr>
          <w:rFonts w:eastAsia="Times New Roman" w:cs="Times New Roman" w:ascii="Times New Roman" w:hAnsi="Times New Roman"/>
          <w:color w:val="111111"/>
          <w:sz w:val="28"/>
          <w:szCs w:val="28"/>
          <w:lang w:val="en-US"/>
        </w:rPr>
        <w:t>and the two spouses separate, the woman has to observe the period of</w:t>
      </w:r>
    </w:p>
    <w:p>
      <w:pPr>
        <w:pStyle w:val="BookText"/>
        <w:bidi w:val="0"/>
        <w:jc w:val="both"/>
        <w:rPr/>
      </w:pPr>
      <w:r>
        <w:rPr>
          <w:rFonts w:eastAsia="Times New Roman" w:cs="Times New Roman" w:ascii="Times New Roman" w:hAnsi="Times New Roman"/>
          <w:color w:val="111111"/>
          <w:sz w:val="28"/>
          <w:szCs w:val="28"/>
          <w:lang w:val="en-US"/>
        </w:rPr>
        <w:t>waiting (`iddah).</w:t>
      </w:r>
    </w:p>
    <w:p>
      <w:pPr>
        <w:pStyle w:val="BookText"/>
        <w:bidi w:val="0"/>
        <w:jc w:val="both"/>
        <w:rPr/>
      </w:pPr>
      <w:r>
        <w:rPr>
          <w:rFonts w:eastAsia="Times New Roman" w:cs="Times New Roman" w:ascii="Times New Roman" w:hAnsi="Times New Roman"/>
          <w:color w:val="111111"/>
          <w:sz w:val="28"/>
          <w:szCs w:val="28"/>
          <w:lang w:val="en-US"/>
        </w:rPr>
        <w:t>In temporary marriage when a child is</w:t>
      </w:r>
    </w:p>
    <w:p>
      <w:pPr>
        <w:pStyle w:val="BookText"/>
        <w:bidi w:val="0"/>
        <w:jc w:val="both"/>
        <w:rPr/>
      </w:pPr>
      <w:r>
        <w:rPr>
          <w:rFonts w:eastAsia="Times New Roman" w:cs="Times New Roman" w:ascii="Times New Roman" w:hAnsi="Times New Roman"/>
          <w:color w:val="111111"/>
          <w:sz w:val="28"/>
          <w:szCs w:val="28"/>
          <w:lang w:val="en-US"/>
        </w:rPr>
        <w:t>born, it belongs to the father.</w:t>
      </w:r>
    </w:p>
    <w:p>
      <w:pPr>
        <w:pStyle w:val="BookText"/>
        <w:bidi w:val="0"/>
        <w:jc w:val="both"/>
        <w:rPr/>
      </w:pPr>
      <w:r>
        <w:rPr>
          <w:rFonts w:eastAsia="Times New Roman" w:cs="Times New Roman" w:ascii="Times New Roman" w:hAnsi="Times New Roman"/>
          <w:color w:val="111111"/>
          <w:sz w:val="28"/>
          <w:szCs w:val="28"/>
          <w:lang w:val="en-US"/>
        </w:rPr>
        <w:t>As in permanent marriage, polyandry is</w:t>
      </w:r>
    </w:p>
    <w:p>
      <w:pPr>
        <w:pStyle w:val="BookText"/>
        <w:bidi w:val="0"/>
        <w:jc w:val="both"/>
        <w:rPr/>
      </w:pPr>
      <w:r>
        <w:rPr>
          <w:rFonts w:eastAsia="Times New Roman" w:cs="Times New Roman" w:ascii="Times New Roman" w:hAnsi="Times New Roman"/>
          <w:color w:val="111111"/>
          <w:sz w:val="28"/>
          <w:szCs w:val="28"/>
          <w:lang w:val="en-US"/>
        </w:rPr>
        <w:t>forbidden in temporary marriage.</w:t>
      </w:r>
    </w:p>
    <w:p>
      <w:pPr>
        <w:pStyle w:val="BookText"/>
        <w:bidi w:val="0"/>
        <w:jc w:val="both"/>
        <w:rPr/>
      </w:pPr>
      <w:r>
        <w:rPr>
          <w:rFonts w:eastAsia="Times New Roman" w:cs="Times New Roman" w:ascii="Times New Roman" w:hAnsi="Times New Roman"/>
          <w:color w:val="111111"/>
          <w:sz w:val="28"/>
          <w:szCs w:val="28"/>
          <w:lang w:val="en-US"/>
        </w:rPr>
        <w:t>In temporary marriage, children inherit</w:t>
      </w:r>
    </w:p>
    <w:p>
      <w:pPr>
        <w:pStyle w:val="BookText"/>
        <w:bidi w:val="0"/>
        <w:jc w:val="both"/>
        <w:rPr/>
      </w:pPr>
      <w:r>
        <w:rPr>
          <w:rFonts w:eastAsia="Times New Roman" w:cs="Times New Roman" w:ascii="Times New Roman" w:hAnsi="Times New Roman"/>
          <w:color w:val="111111"/>
          <w:sz w:val="28"/>
          <w:szCs w:val="28"/>
          <w:lang w:val="en-US"/>
        </w:rPr>
        <w:t>their fathers and mothers, and otherwise.</w:t>
      </w:r>
    </w:p>
    <w:p>
      <w:pPr>
        <w:pStyle w:val="BookText"/>
        <w:bidi w:val="0"/>
        <w:jc w:val="both"/>
        <w:rPr/>
      </w:pPr>
      <w:r>
        <w:rPr>
          <w:rFonts w:eastAsia="Times New Roman" w:cs="Times New Roman" w:ascii="Times New Roman" w:hAnsi="Times New Roman"/>
          <w:color w:val="111111"/>
          <w:sz w:val="28"/>
          <w:szCs w:val="28"/>
          <w:lang w:val="en-US"/>
        </w:rPr>
        <w:t>However, temporary marriage differs from permanent marriage in the following:</w:t>
      </w:r>
    </w:p>
    <w:p>
      <w:pPr>
        <w:pStyle w:val="BookText"/>
        <w:bidi w:val="0"/>
        <w:jc w:val="both"/>
        <w:rPr/>
      </w:pPr>
      <w:r>
        <w:rPr>
          <w:rFonts w:eastAsia="Times New Roman" w:cs="Times New Roman" w:ascii="Times New Roman" w:hAnsi="Times New Roman"/>
          <w:color w:val="111111"/>
          <w:sz w:val="28"/>
          <w:szCs w:val="28"/>
          <w:lang w:val="en-US"/>
        </w:rPr>
        <w:t>The period of marriage has to be</w:t>
      </w:r>
    </w:p>
    <w:p>
      <w:pPr>
        <w:pStyle w:val="BookText"/>
        <w:bidi w:val="0"/>
        <w:jc w:val="both"/>
        <w:rPr/>
      </w:pPr>
      <w:r>
        <w:rPr>
          <w:rFonts w:eastAsia="Times New Roman" w:cs="Times New Roman" w:ascii="Times New Roman" w:hAnsi="Times New Roman"/>
          <w:color w:val="111111"/>
          <w:sz w:val="28"/>
          <w:szCs w:val="28"/>
          <w:lang w:val="en-US"/>
        </w:rPr>
        <w:t>identified in temporary marriage.</w:t>
      </w:r>
    </w:p>
    <w:p>
      <w:pPr>
        <w:pStyle w:val="BookText"/>
        <w:bidi w:val="0"/>
        <w:jc w:val="both"/>
        <w:rPr/>
      </w:pPr>
      <w:r>
        <w:rPr>
          <w:rFonts w:eastAsia="Times New Roman" w:cs="Times New Roman" w:ascii="Times New Roman" w:hAnsi="Times New Roman"/>
          <w:color w:val="111111"/>
          <w:sz w:val="28"/>
          <w:szCs w:val="28"/>
          <w:lang w:val="en-US"/>
        </w:rPr>
        <w:t>Temporary husbands are not required to</w:t>
      </w:r>
    </w:p>
    <w:p>
      <w:pPr>
        <w:pStyle w:val="BookText"/>
        <w:bidi w:val="0"/>
        <w:jc w:val="both"/>
        <w:rPr/>
      </w:pPr>
      <w:r>
        <w:rPr>
          <w:rFonts w:eastAsia="Times New Roman" w:cs="Times New Roman" w:ascii="Times New Roman" w:hAnsi="Times New Roman"/>
          <w:color w:val="111111"/>
          <w:sz w:val="28"/>
          <w:szCs w:val="28"/>
          <w:lang w:val="en-US"/>
        </w:rPr>
        <w:t>pay alimony to their wives (after the termination of their marriage contract).</w:t>
      </w:r>
    </w:p>
    <w:p>
      <w:pPr>
        <w:pStyle w:val="BookText"/>
        <w:bidi w:val="0"/>
        <w:jc w:val="both"/>
        <w:rPr/>
      </w:pPr>
      <w:r>
        <w:rPr>
          <w:rFonts w:eastAsia="Times New Roman" w:cs="Times New Roman" w:ascii="Times New Roman" w:hAnsi="Times New Roman"/>
          <w:color w:val="111111"/>
          <w:sz w:val="28"/>
          <w:szCs w:val="28"/>
          <w:lang w:val="en-US"/>
        </w:rPr>
        <w:t>Temporary spouses do not inherit each</w:t>
      </w:r>
    </w:p>
    <w:p>
      <w:pPr>
        <w:pStyle w:val="BookText"/>
        <w:bidi w:val="0"/>
        <w:jc w:val="both"/>
        <w:rPr/>
      </w:pPr>
      <w:r>
        <w:rPr>
          <w:rFonts w:eastAsia="Times New Roman" w:cs="Times New Roman" w:ascii="Times New Roman" w:hAnsi="Times New Roman"/>
          <w:color w:val="111111"/>
          <w:sz w:val="28"/>
          <w:szCs w:val="28"/>
          <w:lang w:val="en-US"/>
        </w:rPr>
        <w:t>other.</w:t>
      </w:r>
    </w:p>
    <w:p>
      <w:pPr>
        <w:pStyle w:val="BookText"/>
        <w:bidi w:val="0"/>
        <w:jc w:val="both"/>
        <w:rPr/>
      </w:pPr>
      <w:r>
        <w:rPr>
          <w:rFonts w:eastAsia="Times New Roman" w:cs="Times New Roman" w:ascii="Times New Roman" w:hAnsi="Times New Roman"/>
          <w:color w:val="111111"/>
          <w:sz w:val="28"/>
          <w:szCs w:val="28"/>
          <w:lang w:val="en-US"/>
        </w:rPr>
        <w:t>When a temporary marriage contract</w:t>
      </w:r>
    </w:p>
    <w:p>
      <w:pPr>
        <w:pStyle w:val="BookText"/>
        <w:bidi w:val="0"/>
        <w:jc w:val="both"/>
        <w:rPr/>
      </w:pPr>
      <w:r>
        <w:rPr>
          <w:rFonts w:eastAsia="Times New Roman" w:cs="Times New Roman" w:ascii="Times New Roman" w:hAnsi="Times New Roman"/>
          <w:color w:val="111111"/>
          <w:sz w:val="28"/>
          <w:szCs w:val="28"/>
          <w:lang w:val="en-US"/>
        </w:rPr>
        <w:t>terminates or the husband relinquishes the remaining period of marriage</w:t>
      </w:r>
    </w:p>
    <w:p>
      <w:pPr>
        <w:pStyle w:val="BookText"/>
        <w:bidi w:val="0"/>
        <w:jc w:val="both"/>
        <w:rPr/>
      </w:pPr>
      <w:r>
        <w:rPr>
          <w:rFonts w:eastAsia="Times New Roman" w:cs="Times New Roman" w:ascii="Times New Roman" w:hAnsi="Times New Roman"/>
          <w:color w:val="111111"/>
          <w:sz w:val="28"/>
          <w:szCs w:val="28"/>
          <w:lang w:val="en-US"/>
        </w:rPr>
        <w:t>contract, separation takes effect automatically and then there will be no</w:t>
      </w:r>
    </w:p>
    <w:p>
      <w:pPr>
        <w:pStyle w:val="BookText"/>
        <w:bidi w:val="0"/>
        <w:jc w:val="both"/>
        <w:rPr/>
      </w:pPr>
      <w:r>
        <w:rPr>
          <w:rFonts w:eastAsia="Times New Roman" w:cs="Times New Roman" w:ascii="Times New Roman" w:hAnsi="Times New Roman"/>
          <w:color w:val="111111"/>
          <w:sz w:val="28"/>
          <w:szCs w:val="28"/>
          <w:lang w:val="en-US"/>
        </w:rPr>
        <w:t>need for getting divorced.</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Temporary marriage has been prescribed by the Shari`ah to enable men and women to satisfy their lawful and conditioned carnal desires when there is lack of marriage necessities, when one needs a spouse for some reasons or </w:t>
      </w:r>
    </w:p>
    <w:p>
      <w:pPr>
        <w:pStyle w:val="BookText"/>
        <w:bidi w:val="0"/>
        <w:rPr/>
      </w:pPr>
      <w:r>
        <w:rPr>
          <w:rFonts w:eastAsia="Times New Roman" w:cs="Times New Roman" w:ascii="Times New Roman" w:hAnsi="Times New Roman"/>
          <w:color w:val="111111"/>
          <w:sz w:val="28"/>
          <w:szCs w:val="28"/>
          <w:lang w:val="en-US"/>
        </w:rPr>
        <w:t>when one wants to meet one's carnal desires with dignity and honor.</w:t>
      </w:r>
    </w:p>
    <w:p>
      <w:pPr>
        <w:pStyle w:val="BookText"/>
        <w:bidi w:val="0"/>
        <w:jc w:val="both"/>
        <w:rPr/>
      </w:pPr>
      <w:r>
        <w:rPr>
          <w:rFonts w:eastAsia="Times New Roman" w:cs="Times New Roman" w:ascii="Times New Roman" w:hAnsi="Times New Roman"/>
          <w:color w:val="111111"/>
          <w:sz w:val="28"/>
          <w:szCs w:val="28"/>
          <w:lang w:val="en-US"/>
        </w:rPr>
        <w:t>Consequently, temporary marriage is primarily a solution for a serious social problem. It also contributes to preventing the Muslim community from falling into the filth of corruption and sexual explicitness.</w:t>
      </w:r>
    </w:p>
    <w:p>
      <w:pPr>
        <w:pStyle w:val="BookText"/>
        <w:bidi w:val="0"/>
        <w:jc w:val="both"/>
        <w:rPr/>
      </w:pPr>
      <w:r>
        <w:rPr>
          <w:rFonts w:eastAsia="Times New Roman" w:cs="Times New Roman" w:ascii="Times New Roman" w:hAnsi="Times New Roman"/>
          <w:color w:val="111111"/>
          <w:sz w:val="28"/>
          <w:szCs w:val="28"/>
          <w:lang w:val="en-US"/>
        </w:rPr>
        <w:t>It can also be resorted for ensuring legal mutual acquaintance between the spouses before marriage. It thus prevents one from unlawful meetings, fornication, sexual suppression, using other unlawful sexual behavior, such as masturbation, in the case of those who cannot stand having one wife only or those who cannot afford to marry and do not want to involve themselves in unlawful matters.</w:t>
      </w:r>
    </w:p>
    <w:p>
      <w:pPr>
        <w:pStyle w:val="BookText"/>
        <w:bidi w:val="0"/>
        <w:jc w:val="both"/>
        <w:rPr/>
      </w:pPr>
      <w:r>
        <w:rPr>
          <w:rFonts w:eastAsia="Times New Roman" w:cs="Times New Roman" w:ascii="Times New Roman" w:hAnsi="Times New Roman"/>
          <w:color w:val="111111"/>
          <w:sz w:val="28"/>
          <w:szCs w:val="28"/>
          <w:lang w:val="en-US"/>
        </w:rPr>
        <w:t>In any case, temporary marriage is confirmed by the Holy Qur'an, the Holy Sunnah, and the Sahabah’s conduct for a considerable period. If this kind of marriage was considered adultery, then this would mean that adultery was permitted by the Holy Qur'an, the Holy Prophet (s), and the Sahabah, and those who used to have this kind of marriage had, Allah forbid, committed adultery, for a considerable period.</w:t>
      </w:r>
    </w:p>
    <w:p>
      <w:pPr>
        <w:pStyle w:val="BookText"/>
        <w:bidi w:val="0"/>
        <w:jc w:val="both"/>
        <w:rPr/>
      </w:pPr>
      <w:r>
        <w:rPr>
          <w:rFonts w:eastAsia="Times New Roman" w:cs="Times New Roman" w:ascii="Times New Roman" w:hAnsi="Times New Roman"/>
          <w:color w:val="111111"/>
          <w:sz w:val="28"/>
          <w:szCs w:val="28"/>
          <w:lang w:val="en-US"/>
        </w:rPr>
        <w:t>In addition, there is no clear, solid evidence in the Holy Qur'an or the Holy Sunnah that temporary marriage was abrogated.</w:t>
      </w:r>
      <w:r>
        <w:rPr>
          <w:rStyle w:val="FootnoteAnchor"/>
        </w:rPr>
        <w:footnoteReference w:id="2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worth mentioning that although temporary marriage, which has been confirmed by the Holy Qur'an and the Holy Sunnah, is deemed legal by the Shi`ah, they prefer the permanent marriage and the formation of family to temporary marriage, because family represents the sound and </w:t>
      </w:r>
      <w:bookmarkStart w:id="87" w:name="pg6161_73860"/>
    </w:p>
    <w:p>
      <w:pPr>
        <w:pStyle w:val="BookText"/>
        <w:bidi w:val="0"/>
        <w:rPr/>
      </w:pPr>
      <w:bookmarkEnd w:id="87"/>
      <w:r>
        <w:rPr>
          <w:rFonts w:eastAsia="Times New Roman" w:cs="Times New Roman" w:ascii="Times New Roman" w:hAnsi="Times New Roman"/>
          <w:color w:val="111111"/>
          <w:sz w:val="28"/>
          <w:szCs w:val="28"/>
          <w:lang w:val="en-US"/>
        </w:rPr>
        <w:t>firm cornerstones of a society. They have no inclination to temporary marriage, which is called ‘mut`ah’ by Islamic law, although it is lawful and permissible.</w:t>
      </w:r>
    </w:p>
    <w:p>
      <w:pPr>
        <w:pStyle w:val="BookText"/>
        <w:bidi w:val="0"/>
        <w:jc w:val="both"/>
        <w:rPr/>
      </w:pPr>
      <w:r>
        <w:rPr>
          <w:rFonts w:eastAsia="Times New Roman" w:cs="Times New Roman" w:ascii="Times New Roman" w:hAnsi="Times New Roman"/>
          <w:color w:val="111111"/>
          <w:sz w:val="28"/>
          <w:szCs w:val="28"/>
          <w:lang w:val="en-US"/>
        </w:rPr>
        <w:t>It is noteworthy that the Imamite Shi</w:t>
      </w:r>
      <w:r>
        <w:rPr>
          <w:rFonts w:eastAsia="Consolas" w:cs="Consolas" w:ascii="Consolas" w:hAnsi="Consolas"/>
          <w:color w:val="111111"/>
          <w:sz w:val="28"/>
          <w:szCs w:val="28"/>
          <w:lang w:val="en-US"/>
        </w:rPr>
        <w:t>ah who follow the instructions of the Holy Qur'an and Sunnah and the recommendations of the Holy Imams of the Ahl al-Bayt (a.s), hold women in high esteem and great respect. The Shi</w:t>
      </w:r>
      <w:r>
        <w:rPr>
          <w:rFonts w:eastAsia="Times New Roman" w:cs="Times New Roman" w:ascii="Times New Roman" w:hAnsi="Times New Roman"/>
          <w:color w:val="111111"/>
          <w:sz w:val="28"/>
          <w:szCs w:val="28"/>
          <w:lang w:val="en-US"/>
        </w:rPr>
        <w:t>ite jurisprudential school and the reported instructions of the Holy Imams (a.s) include interesting rulings and regulations with regard to the status, affairs and rights of women, especially concerning others’ behavior towards her rights of possession, marriage, divorce, nurture, breast-feeding, and private acts of worship and transactions.</w:t>
      </w:r>
    </w:p>
    <w:p>
      <w:pPr>
        <w:pStyle w:val="Heading3"/>
        <w:numPr>
          <w:ilvl w:val="2"/>
          <w:numId w:val="1"/>
        </w:numPr>
        <w:bidi w:val="0"/>
        <w:jc w:val="left"/>
        <w:rPr/>
      </w:pPr>
      <w:bookmarkStart w:id="88" w:name="__RefHeading___Toc428621_237004111"/>
      <w:bookmarkStart w:id="89" w:name="_Toc32"/>
      <w:bookmarkEnd w:id="88"/>
      <w:r>
        <w:rPr/>
        <w:t>(27)</w:t>
      </w:r>
      <w:bookmarkEnd w:id="89"/>
    </w:p>
    <w:p>
      <w:pPr>
        <w:pStyle w:val="BookText"/>
        <w:bidi w:val="0"/>
        <w:jc w:val="both"/>
        <w:rPr/>
      </w:pPr>
      <w:r>
        <w:rPr>
          <w:rFonts w:eastAsia="Times New Roman" w:cs="Times New Roman" w:ascii="Times New Roman" w:hAnsi="Times New Roman"/>
          <w:color w:val="111111"/>
          <w:sz w:val="28"/>
          <w:szCs w:val="28"/>
          <w:lang w:val="en-US"/>
        </w:rPr>
        <w:t>According to 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ah, it is unlawful (haram) to commit such things like adultery (and fornication), homosexuality, usury, murder of respected souls, drinking intoxicants, gambling, cheating, trickery, deceit, swindle, monopoly, defrauding, usurpation, larceny, treason, betrayal, singing, dancing, false accusation (of adultery), false indictment, tale-bearing, corruption, injuring a believer, backbiting, revilement, obscenity, telling lies, and calumniation, and all other offenses, be they great or small. They always try their hardest to turn away from such misdemeanors, and try to protect the community against such epidemics by means of publishing books on ethical and educational affairs, holding sessions and delivering lectures and sermons, like the Friday sermons…etc.</w:t>
      </w:r>
    </w:p>
    <w:p>
      <w:pPr>
        <w:pStyle w:val="Heading3"/>
        <w:numPr>
          <w:ilvl w:val="2"/>
          <w:numId w:val="1"/>
        </w:numPr>
        <w:bidi w:val="0"/>
        <w:jc w:val="left"/>
        <w:rPr/>
      </w:pPr>
      <w:bookmarkStart w:id="90" w:name="__RefHeading___Toc428623_237004111"/>
      <w:bookmarkStart w:id="91" w:name="_Toc33"/>
      <w:bookmarkEnd w:id="90"/>
      <w:r>
        <w:rPr/>
        <w:t>(28)</w:t>
      </w:r>
      <w:bookmarkEnd w:id="9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Shi`ah put emphasis on the significance of noble character and high moral standards; therefore, they regularly listen to sermons and hold sessions and gatherings in their </w:t>
      </w:r>
      <w:bookmarkStart w:id="92" w:name="pg6161_73861"/>
    </w:p>
    <w:p>
      <w:pPr>
        <w:pStyle w:val="BookText"/>
        <w:bidi w:val="0"/>
        <w:rPr/>
      </w:pPr>
      <w:bookmarkEnd w:id="92"/>
      <w:r>
        <w:rPr>
          <w:rFonts w:eastAsia="Times New Roman" w:cs="Times New Roman" w:ascii="Times New Roman" w:hAnsi="Times New Roman"/>
          <w:color w:val="111111"/>
          <w:sz w:val="28"/>
          <w:szCs w:val="28"/>
          <w:lang w:val="en-US"/>
        </w:rPr>
        <w:t>houses, mosques, and public places, in certain times and on some occasions with the desire for learning. For this reason, they take a great interest in the supplications (ad</w:t>
      </w:r>
      <w:r>
        <w:rPr>
          <w:rFonts w:eastAsia="Consolas" w:cs="Consolas" w:ascii="Consolas" w:hAnsi="Consolas"/>
          <w:color w:val="111111"/>
          <w:sz w:val="28"/>
          <w:szCs w:val="28"/>
          <w:lang w:val="en-US"/>
        </w:rPr>
        <w:t>iyah, sing. du</w:t>
      </w:r>
      <w:r>
        <w:rPr>
          <w:rFonts w:eastAsia="Times New Roman" w:cs="Times New Roman" w:ascii="Times New Roman" w:hAnsi="Times New Roman"/>
          <w:color w:val="111111"/>
          <w:sz w:val="28"/>
          <w:szCs w:val="28"/>
          <w:lang w:val="en-US"/>
        </w:rPr>
        <w:t>a'), reported from the Holy Prophet (s) and Imams (a.s), and comprising outstanding value and rich contents, such as Du</w:t>
      </w:r>
      <w:r>
        <w:rPr>
          <w:rFonts w:eastAsia="Consolas" w:cs="Consolas" w:ascii="Consolas" w:hAnsi="Consolas"/>
          <w:color w:val="111111"/>
          <w:sz w:val="28"/>
          <w:szCs w:val="28"/>
          <w:lang w:val="en-US"/>
        </w:rPr>
        <w:t>a' Kumayl, Du</w:t>
      </w:r>
      <w:r>
        <w:rPr>
          <w:rFonts w:eastAsia="Times New Roman" w:cs="Times New Roman" w:ascii="Times New Roman" w:hAnsi="Times New Roman"/>
          <w:color w:val="111111"/>
          <w:sz w:val="28"/>
          <w:szCs w:val="28"/>
          <w:lang w:val="en-US"/>
        </w:rPr>
        <w:t>a' Abu-Hamzah al-Thamali, Du</w:t>
      </w:r>
      <w:r>
        <w:rPr>
          <w:rFonts w:eastAsia="Consolas" w:cs="Consolas" w:ascii="Consolas" w:hAnsi="Consolas"/>
          <w:color w:val="111111"/>
          <w:sz w:val="28"/>
          <w:szCs w:val="28"/>
          <w:lang w:val="en-US"/>
        </w:rPr>
        <w:t>a' al-Simat, Du</w:t>
      </w:r>
      <w:r>
        <w:rPr>
          <w:rFonts w:eastAsia="Times New Roman" w:cs="Times New Roman" w:ascii="Times New Roman" w:hAnsi="Times New Roman"/>
          <w:color w:val="111111"/>
          <w:sz w:val="28"/>
          <w:szCs w:val="28"/>
          <w:lang w:val="en-US"/>
        </w:rPr>
        <w:t>a' al-Jawshan al-Kabir,</w:t>
      </w:r>
      <w:r>
        <w:rPr>
          <w:rStyle w:val="FootnoteAnchor"/>
        </w:rPr>
        <w:footnoteReference w:id="28"/>
      </w:r>
      <w:r>
        <w:rPr>
          <w:rFonts w:eastAsia="Times New Roman" w:cs="Times New Roman" w:ascii="Times New Roman" w:hAnsi="Times New Roman"/>
          <w:color w:val="111111"/>
          <w:sz w:val="28"/>
          <w:szCs w:val="28"/>
          <w:lang w:val="en-US"/>
        </w:rPr>
        <w:t>Du</w:t>
      </w:r>
      <w:r>
        <w:rPr>
          <w:rFonts w:eastAsia="Consolas" w:cs="Consolas" w:ascii="Consolas" w:hAnsi="Consolas"/>
          <w:color w:val="111111"/>
          <w:sz w:val="28"/>
          <w:szCs w:val="28"/>
          <w:lang w:val="en-US"/>
        </w:rPr>
        <w:t>a' Makarim al-Akhlaq, and Du</w:t>
      </w:r>
      <w:r>
        <w:rPr>
          <w:rFonts w:eastAsia="Times New Roman" w:cs="Times New Roman" w:ascii="Times New Roman" w:hAnsi="Times New Roman"/>
          <w:color w:val="111111"/>
          <w:sz w:val="28"/>
          <w:szCs w:val="28"/>
          <w:lang w:val="en-US"/>
        </w:rPr>
        <w:t>a' al-Iftitah, which is recited at Ramazan nights.</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They say these supplications with utter submission and spirituality together with weeping and earnest entreaty in order to achieve self-refinement and approach to Almighty Allah.</w:t>
      </w:r>
    </w:p>
    <w:p>
      <w:pPr>
        <w:pStyle w:val="Heading3"/>
        <w:numPr>
          <w:ilvl w:val="2"/>
          <w:numId w:val="1"/>
        </w:numPr>
        <w:bidi w:val="0"/>
        <w:jc w:val="left"/>
        <w:rPr/>
      </w:pPr>
      <w:bookmarkStart w:id="93" w:name="__RefHeading___Toc428625_237004111"/>
      <w:bookmarkStart w:id="94" w:name="_Toc34"/>
      <w:bookmarkEnd w:id="93"/>
      <w:r>
        <w:rPr/>
        <w:t>(29)</w:t>
      </w:r>
      <w:bookmarkEnd w:id="94"/>
    </w:p>
    <w:p>
      <w:pPr>
        <w:pStyle w:val="BookText"/>
        <w:bidi w:val="0"/>
        <w:jc w:val="both"/>
        <w:rPr/>
      </w:pPr>
      <w:r>
        <w:rPr>
          <w:rFonts w:eastAsia="Times New Roman" w:cs="Times New Roman" w:ascii="Times New Roman" w:hAnsi="Times New Roman"/>
          <w:color w:val="111111"/>
          <w:sz w:val="28"/>
          <w:szCs w:val="28"/>
          <w:lang w:val="en-US"/>
        </w:rPr>
        <w:t>The Shi`ah take a special interest in visiting the graves of the Holy Prophet (s) and the Holy Imams (a.s) who are buried in the following places: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al-Baqi</w:t>
      </w:r>
      <w:r>
        <w:rPr>
          <w:rFonts w:eastAsia="Consolas" w:cs="Consolas" w:ascii="Consolas" w:hAnsi="Consolas"/>
          <w:color w:val="111111"/>
          <w:sz w:val="28"/>
          <w:szCs w:val="28"/>
          <w:lang w:val="en-US"/>
        </w:rPr>
        <w:t xml:space="preserve"> Cemetery in the holy city of al-Madinah, Saudi Arabia, where Imam al-Hasan al-Mujtaba, Imam Zayn al-</w:t>
      </w:r>
      <w:r>
        <w:rPr>
          <w:rFonts w:eastAsia="Times New Roman" w:cs="Times New Roman" w:ascii="Times New Roman" w:hAnsi="Times New Roman"/>
          <w:color w:val="111111"/>
          <w:sz w:val="28"/>
          <w:szCs w:val="28"/>
          <w:lang w:val="en-US"/>
        </w:rPr>
        <w:t>ªbidin, Imam Muhammad al-Baqir, and Imam Ja</w:t>
      </w:r>
      <w:r>
        <w:rPr>
          <w:rFonts w:eastAsia="Consolas" w:cs="Consolas" w:ascii="Consolas" w:hAnsi="Consolas"/>
          <w:color w:val="111111"/>
          <w:sz w:val="28"/>
          <w:szCs w:val="28"/>
          <w:lang w:val="en-US"/>
        </w:rPr>
        <w:t xml:space="preserve">far al-Sadiq—peace be upon them all—are buried; the holy city of Najaf, Iraq where the holy mausoleum of Imam </w:t>
      </w:r>
      <w:r>
        <w:rPr>
          <w:rFonts w:eastAsia="Times New Roman" w:cs="Times New Roman" w:ascii="Times New Roman" w:hAnsi="Times New Roman"/>
          <w:color w:val="111111"/>
          <w:sz w:val="28"/>
          <w:szCs w:val="28"/>
          <w:lang w:val="en-US"/>
        </w:rPr>
        <w:t xml:space="preserve">Ali is; the holy city of Karbala', Iraq where the holy mausoleum of </w:t>
      </w:r>
    </w:p>
    <w:p>
      <w:pPr>
        <w:pStyle w:val="BookText"/>
        <w:bidi w:val="0"/>
        <w:rPr/>
      </w:pPr>
      <w:r>
        <w:rPr>
          <w:rFonts w:eastAsia="Times New Roman" w:cs="Times New Roman" w:ascii="Times New Roman" w:hAnsi="Times New Roman"/>
          <w:color w:val="111111"/>
          <w:sz w:val="28"/>
          <w:szCs w:val="28"/>
          <w:lang w:val="en-US"/>
        </w:rPr>
        <w:t xml:space="preserve">Imam al-Husayn, as well as the holy tombs of his brothers, sons, cousins, and companions who were martyred with him on the tenth of Muharram, AH 61 (i.e. Day of </w:t>
      </w:r>
      <w:r>
        <w:rPr>
          <w:rFonts w:eastAsia="Consolas" w:cs="Consolas" w:ascii="Consolas" w:hAnsi="Consolas"/>
          <w:color w:val="111111"/>
          <w:sz w:val="28"/>
          <w:szCs w:val="28"/>
          <w:lang w:val="en-US"/>
        </w:rPr>
        <w:t xml:space="preserve">ªshura') are; al-Ka¨imiyyah, Baghdad, Iraq, where the holy mausoleum of Imam Musa al-Ka¨im and Imam Muhammad al-Jawad is; the city of Samarra' Northern Baghdad, Iraq where the holy mausoleum of Imam </w:t>
      </w:r>
      <w:r>
        <w:rPr>
          <w:rFonts w:eastAsia="Times New Roman" w:cs="Times New Roman" w:ascii="Times New Roman" w:hAnsi="Times New Roman"/>
          <w:color w:val="111111"/>
          <w:sz w:val="28"/>
          <w:szCs w:val="28"/>
          <w:lang w:val="en-US"/>
        </w:rPr>
        <w:t>Ali al-Hadi and Imam al-Hasan al-</w:t>
      </w:r>
      <w:r>
        <w:rPr>
          <w:rFonts w:eastAsia="Consolas" w:cs="Consolas" w:ascii="Consolas" w:hAnsi="Consolas"/>
          <w:color w:val="111111"/>
          <w:sz w:val="28"/>
          <w:szCs w:val="28"/>
          <w:lang w:val="en-US"/>
        </w:rPr>
        <w:t xml:space="preserve">Askari is; and the holy city of Mashhad, Iran, where the holy mausoleum of Imam al-Riza is; and the cities of Qum and Shiraz, in Iran, where the tombs of the Holy Imams’ sons, daughters, and descendants are; and Damascus, Syria, where the holy shrine of Lady Zaynab (a.s), the heroine of Karbala' and daughter of Imam </w:t>
      </w:r>
      <w:r>
        <w:rPr>
          <w:rFonts w:eastAsia="Times New Roman" w:cs="Times New Roman" w:ascii="Times New Roman" w:hAnsi="Times New Roman"/>
          <w:color w:val="111111"/>
          <w:sz w:val="28"/>
          <w:szCs w:val="28"/>
          <w:lang w:val="en-US"/>
        </w:rPr>
        <w:t>Ali (a.s) is; and Cairo, Egypt, where the holy shrine of Lady Nafisah, one of the honorable ladies of Ahl al-Bayt (a.s) is.</w:t>
      </w:r>
    </w:p>
    <w:p>
      <w:pPr>
        <w:pStyle w:val="BookText"/>
        <w:bidi w:val="0"/>
        <w:jc w:val="both"/>
        <w:rPr/>
      </w:pPr>
      <w:r>
        <w:rPr>
          <w:rFonts w:eastAsia="Times New Roman" w:cs="Times New Roman" w:ascii="Times New Roman" w:hAnsi="Times New Roman"/>
          <w:color w:val="111111"/>
          <w:sz w:val="28"/>
          <w:szCs w:val="28"/>
          <w:lang w:val="en-US"/>
        </w:rPr>
        <w:t>The Shi</w:t>
      </w:r>
      <w:r>
        <w:rPr>
          <w:rFonts w:eastAsia="Consolas" w:cs="Consolas" w:ascii="Consolas" w:hAnsi="Consolas"/>
          <w:color w:val="111111"/>
          <w:sz w:val="28"/>
          <w:szCs w:val="28"/>
          <w:lang w:val="en-US"/>
        </w:rPr>
        <w:t xml:space="preserve">ah go on pilgrimage to the mentioned places to show their respect for the Holy Prophet (s), because to respect the Holy Prophet’s family is to respect the Prophet, and to honor his offspring is to honor him. Besides, the Holy Qur'an has praised and commended the families of </w:t>
      </w:r>
      <w:r>
        <w:rPr>
          <w:rFonts w:eastAsia="Times New Roman" w:cs="Times New Roman" w:ascii="Times New Roman" w:hAnsi="Times New Roman"/>
          <w:color w:val="111111"/>
          <w:sz w:val="28"/>
          <w:szCs w:val="28"/>
          <w:lang w:val="en-US"/>
        </w:rPr>
        <w:t>Imran, Yasin, Abraham, and Jacob, though some of them were not prophets: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were descendants one of another. (3/34)”</w:t>
      </w:r>
    </w:p>
    <w:p>
      <w:pPr>
        <w:pStyle w:val="BookText"/>
        <w:bidi w:val="0"/>
        <w:jc w:val="both"/>
        <w:rPr/>
      </w:pPr>
      <w:r>
        <w:rPr>
          <w:rFonts w:eastAsia="Times New Roman" w:cs="Times New Roman" w:ascii="Times New Roman" w:hAnsi="Times New Roman"/>
          <w:color w:val="111111"/>
          <w:sz w:val="28"/>
          <w:szCs w:val="28"/>
          <w:lang w:val="en-US"/>
        </w:rPr>
        <w:t>Likewise, the Holy Qur'an has not objected to those who decided to build a mosque on the tombs of the Sleepers of Ephesus (ashab al-kahf) where Almighty Allah can be served. Referring to this fact, the Holy Qur'an has narrated: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Those who prevailed in their affair said, ‘We will certainly raise a place of worship over them.’ (18/21)” </w:t>
      </w:r>
      <w:bookmarkStart w:id="95" w:name="pg6161_73865"/>
    </w:p>
    <w:p>
      <w:pPr>
        <w:pStyle w:val="BookText"/>
        <w:bidi w:val="0"/>
        <w:rPr/>
      </w:pPr>
      <w:bookmarkEnd w:id="95"/>
      <w:r>
        <w:rPr>
          <w:rFonts w:eastAsia="Times New Roman" w:cs="Times New Roman" w:ascii="Times New Roman" w:hAnsi="Times New Roman"/>
          <w:color w:val="111111"/>
          <w:sz w:val="28"/>
          <w:szCs w:val="28"/>
          <w:lang w:val="en-US"/>
        </w:rPr>
        <w:t>Hence, the Holy Qur'an has not described their deed as sort of polytheism. Verily, a true Muslim genuflects and prostrates himself before none save Almighty Allah and serves none but Him alone. Such acts of servitude are done at the side of the tombs of such immaculate, pure saints, because these places are blessed on account of the existence of these godly figures there.</w:t>
      </w:r>
    </w:p>
    <w:p>
      <w:pPr>
        <w:pStyle w:val="BookText"/>
        <w:bidi w:val="0"/>
        <w:jc w:val="both"/>
        <w:rPr/>
      </w:pPr>
      <w:r>
        <w:rPr>
          <w:rFonts w:eastAsia="Times New Roman" w:cs="Times New Roman" w:ascii="Times New Roman" w:hAnsi="Times New Roman"/>
          <w:color w:val="111111"/>
          <w:sz w:val="28"/>
          <w:szCs w:val="28"/>
          <w:lang w:val="en-US"/>
        </w:rPr>
        <w:t>This is just like Almighty Allah’s honoring Prophet Abraham (a.s) and his standing-place in Mecca and the Holy Qur'an thus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Appoint for yourselves a place of prayer on the standing-place of Abraham. (2/125)”</w:t>
      </w:r>
    </w:p>
    <w:p>
      <w:pPr>
        <w:pStyle w:val="BookText"/>
        <w:bidi w:val="0"/>
        <w:jc w:val="both"/>
        <w:rPr/>
      </w:pPr>
      <w:r>
        <w:rPr>
          <w:rFonts w:eastAsia="Times New Roman" w:cs="Times New Roman" w:ascii="Times New Roman" w:hAnsi="Times New Roman"/>
          <w:color w:val="111111"/>
          <w:sz w:val="28"/>
          <w:szCs w:val="28"/>
          <w:lang w:val="en-US"/>
        </w:rPr>
        <w:t xml:space="preserve">When a person offers a prayer behind that standing-place (of Prophet Abraham), it does not mean that this person has worshipped that place! And when a person serves Almighty Allah through the rituals between Mount al-Safa and Mount al-Marwah, it does not mean that this person has served these two mounts! Rather, when one does so, one has in reality chosen for performing acts of worship a place that is connected to Almighty Allah. There are certain occasions and places—such as the Day of </w:t>
      </w:r>
      <w:r>
        <w:rPr>
          <w:rFonts w:eastAsia="Consolas" w:cs="Consolas" w:ascii="Consolas" w:hAnsi="Consolas"/>
          <w:color w:val="111111"/>
          <w:sz w:val="28"/>
          <w:szCs w:val="28"/>
          <w:lang w:val="en-US"/>
        </w:rPr>
        <w:t xml:space="preserve">Arafah (the ninth of Dhu’l-Hijjah), the land of Mina, and Mount </w:t>
      </w:r>
      <w:r>
        <w:rPr>
          <w:rFonts w:eastAsia="Times New Roman" w:cs="Times New Roman" w:ascii="Times New Roman" w:hAnsi="Times New Roman"/>
          <w:color w:val="111111"/>
          <w:sz w:val="28"/>
          <w:szCs w:val="28"/>
          <w:lang w:val="en-US"/>
        </w:rPr>
        <w:t>Arafat—which enjoy special sacredness. This is because they are connected with Almighty Allah.</w:t>
      </w:r>
    </w:p>
    <w:p>
      <w:pPr>
        <w:pStyle w:val="Heading3"/>
        <w:numPr>
          <w:ilvl w:val="2"/>
          <w:numId w:val="1"/>
        </w:numPr>
        <w:bidi w:val="0"/>
        <w:jc w:val="left"/>
        <w:rPr/>
      </w:pPr>
      <w:bookmarkStart w:id="96" w:name="__RefHeading___Toc428627_237004111"/>
      <w:bookmarkStart w:id="97" w:name="_Toc35"/>
      <w:bookmarkEnd w:id="96"/>
      <w:r>
        <w:rPr/>
        <w:t>(30)</w:t>
      </w:r>
      <w:bookmarkEnd w:id="9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same reason which we have just stated, 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 xml:space="preserve">ah—like the other cognizant Muslims who recognize the magnificent positions of the Holy Prophet (s) and his immaculate Household (a.s)— show great interest in visiting the holy shrines of the Ahl al-Bayt (a.s). They visit them with the intention of honoring them, learning </w:t>
      </w:r>
    </w:p>
    <w:p>
      <w:pPr>
        <w:pStyle w:val="BookText"/>
        <w:bidi w:val="0"/>
        <w:rPr/>
      </w:pPr>
      <w:r>
        <w:rPr>
          <w:rFonts w:eastAsia="Times New Roman" w:cs="Times New Roman" w:ascii="Times New Roman" w:hAnsi="Times New Roman"/>
          <w:color w:val="111111"/>
          <w:sz w:val="28"/>
          <w:szCs w:val="28"/>
          <w:lang w:val="en-US"/>
        </w:rPr>
        <w:t>from them, renewing their pledge with them, and expressing their commitment to values for which these great people strove for the preservation of which they sacrificed their lives.</w:t>
      </w:r>
    </w:p>
    <w:p>
      <w:pPr>
        <w:pStyle w:val="BookText"/>
        <w:bidi w:val="0"/>
        <w:jc w:val="both"/>
        <w:rPr/>
      </w:pPr>
      <w:r>
        <w:rPr>
          <w:rFonts w:eastAsia="Times New Roman" w:cs="Times New Roman" w:ascii="Times New Roman" w:hAnsi="Times New Roman"/>
          <w:color w:val="111111"/>
          <w:sz w:val="28"/>
          <w:szCs w:val="28"/>
          <w:lang w:val="en-US"/>
        </w:rPr>
        <w:t>In their visits of these shrines, they recall the virtues of the people buried in these places, their striving for the cause of the faith, their devotion to offering prayers constantly, giving alms, and acting steadfastly against all the harm and torment that they had to suffer. In addition, through these visits, people express their sympathy for the wronged descendants of the Holy Prophet (s).</w:t>
      </w:r>
    </w:p>
    <w:p>
      <w:pPr>
        <w:pStyle w:val="BookText"/>
        <w:bidi w:val="0"/>
        <w:jc w:val="both"/>
        <w:rPr/>
      </w:pPr>
      <w:r>
        <w:rPr>
          <w:rFonts w:eastAsia="Times New Roman" w:cs="Times New Roman" w:ascii="Times New Roman" w:hAnsi="Times New Roman"/>
          <w:color w:val="111111"/>
          <w:sz w:val="28"/>
          <w:szCs w:val="28"/>
          <w:lang w:val="en-US"/>
        </w:rPr>
        <w:t>Didn’t the Holy Prophet (s) exclaim after the event of the martyrdom of his uncle Hamzah,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is it that nobody weeps over Hamzah?”</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Didn’t he weep over the death of his dear son, Ibrahim?</w:t>
      </w:r>
    </w:p>
    <w:p>
      <w:pPr>
        <w:pStyle w:val="BookText"/>
        <w:bidi w:val="0"/>
        <w:jc w:val="both"/>
        <w:rPr/>
      </w:pPr>
      <w:r>
        <w:rPr>
          <w:rFonts w:eastAsia="Times New Roman" w:cs="Times New Roman" w:ascii="Times New Roman" w:hAnsi="Times New Roman"/>
          <w:color w:val="111111"/>
          <w:sz w:val="28"/>
          <w:szCs w:val="28"/>
          <w:lang w:val="en-US"/>
        </w:rPr>
        <w:t>Didn’t he regularly visit the graves at al-Baqi` Cemetery?</w:t>
      </w:r>
    </w:p>
    <w:p>
      <w:pPr>
        <w:pStyle w:val="BookText"/>
        <w:bidi w:val="0"/>
        <w:jc w:val="both"/>
        <w:rPr/>
      </w:pPr>
      <w:r>
        <w:rPr>
          <w:rFonts w:eastAsia="Times New Roman" w:cs="Times New Roman" w:ascii="Times New Roman" w:hAnsi="Times New Roman"/>
          <w:color w:val="111111"/>
          <w:sz w:val="28"/>
          <w:szCs w:val="28"/>
          <w:lang w:val="en-US"/>
        </w:rPr>
        <w:t>Didn’t he urge people to regularly visit the graves and say that they remind you of the Hereafter?</w:t>
      </w:r>
      <w:r>
        <w:rPr>
          <w:rStyle w:val="FootnoteAnchor"/>
        </w:rPr>
        <w:footnoteReference w:id="3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Attending the shrines of the Imams (a.s), who are among the Household of the Holy Prophet, and recalling their life styles and heroic combative stances remind the subsequent generations of the gross sacrifices that these great personalities made for Islam and Muslims, and implant in them the spirits of courage, bravery, altruism, and the martyrdom in the cause of Almighty Allah. </w:t>
      </w:r>
      <w:bookmarkStart w:id="98" w:name="pg6161_73869"/>
    </w:p>
    <w:p>
      <w:pPr>
        <w:pStyle w:val="BookText"/>
        <w:bidi w:val="0"/>
        <w:rPr/>
      </w:pPr>
      <w:bookmarkEnd w:id="98"/>
      <w:r>
        <w:rPr>
          <w:rFonts w:eastAsia="Times New Roman" w:cs="Times New Roman" w:ascii="Times New Roman" w:hAnsi="Times New Roman"/>
          <w:color w:val="111111"/>
          <w:sz w:val="28"/>
          <w:szCs w:val="28"/>
          <w:lang w:val="en-US"/>
        </w:rPr>
        <w:t>Indeed, visiting the graves of the Holy Imams is one of man’s civilized and sensible acts. Nations usually commemorate their great personalities and founders of civilizations in various ways, because this kind of commemoration fills them with pride before others and makes other nations embrace their values and establish close relations with them. For this very reason, the Holy Qur'an praises the stances of the prophets (a.s) and pure people and relates what happened to them.</w:t>
      </w:r>
    </w:p>
    <w:p>
      <w:pPr>
        <w:pStyle w:val="Heading3"/>
        <w:numPr>
          <w:ilvl w:val="2"/>
          <w:numId w:val="1"/>
        </w:numPr>
        <w:bidi w:val="0"/>
        <w:jc w:val="left"/>
        <w:rPr/>
      </w:pPr>
      <w:bookmarkStart w:id="99" w:name="__RefHeading___Toc428629_237004111"/>
      <w:bookmarkStart w:id="100" w:name="_Toc36"/>
      <w:bookmarkEnd w:id="99"/>
      <w:r>
        <w:rPr/>
        <w:t>(31)</w:t>
      </w:r>
      <w:bookmarkEnd w:id="100"/>
    </w:p>
    <w:p>
      <w:pPr>
        <w:pStyle w:val="BookText"/>
        <w:bidi w:val="0"/>
        <w:jc w:val="both"/>
        <w:rPr/>
      </w:pPr>
      <w:r>
        <w:rPr>
          <w:rFonts w:eastAsia="Times New Roman" w:cs="Times New Roman" w:ascii="Times New Roman" w:hAnsi="Times New Roman"/>
          <w:color w:val="111111"/>
          <w:sz w:val="28"/>
          <w:szCs w:val="28"/>
          <w:lang w:val="en-US"/>
        </w:rPr>
        <w:t>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ah believe that the Holy Prophet (s) and the Immaculate Imams can intercede with Almighty Allah for the people, and so they entreat Him through the intercession of the Holy Prophet (s) and Imams to forgive them, grant them their needs, and cure the sick among them. The Holy Qur'an has allowed them and even encouraged them to do 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they, when they were unjust to themselves, come to you and asked forgiveness of Allah and the Messenger had asked forgiveness for them, they would have found Allah Oft-returning to mercy, Merciful. (4/64)”</w:t>
      </w:r>
    </w:p>
    <w:p>
      <w:pPr>
        <w:pStyle w:val="BookText"/>
        <w:bidi w:val="0"/>
        <w:jc w:val="both"/>
        <w:rPr/>
      </w:pPr>
      <w:r>
        <w:rPr>
          <w:rFonts w:eastAsia="Times New Roman" w:cs="Times New Roman" w:ascii="Times New Roman" w:hAnsi="Times New Roman"/>
          <w:color w:val="111111"/>
          <w:sz w:val="28"/>
          <w:szCs w:val="28"/>
          <w:lang w:val="en-US"/>
        </w:rPr>
        <w:t>Regarding the right of intercession (shafa`ah) granted to the Holy Prophet (s) by Almighty Allah, the Holy Qur'an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your Lord will give you, so that you shall be well pleased. (93/5)”</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thus unreasonable that Almighty Allah, Who has granted His Noble Messenger the right of intercession for the sinful ones and awarded him the right of mediation (wasilah), will prevent the people from asking the Messenger </w:t>
      </w:r>
    </w:p>
    <w:p>
      <w:pPr>
        <w:pStyle w:val="BookText"/>
        <w:bidi w:val="0"/>
        <w:rPr/>
      </w:pPr>
      <w:r>
        <w:rPr>
          <w:rFonts w:eastAsia="Times New Roman" w:cs="Times New Roman" w:ascii="Times New Roman" w:hAnsi="Times New Roman"/>
          <w:color w:val="111111"/>
          <w:sz w:val="28"/>
          <w:szCs w:val="28"/>
          <w:lang w:val="en-US"/>
        </w:rPr>
        <w:t>to intercede with Him for them, or deprives the Messenger of this right!</w:t>
      </w:r>
    </w:p>
    <w:p>
      <w:pPr>
        <w:pStyle w:val="BookText"/>
        <w:bidi w:val="0"/>
        <w:jc w:val="both"/>
        <w:rPr/>
      </w:pPr>
      <w:r>
        <w:rPr>
          <w:rFonts w:eastAsia="Times New Roman" w:cs="Times New Roman" w:ascii="Times New Roman" w:hAnsi="Times New Roman"/>
          <w:color w:val="111111"/>
          <w:sz w:val="28"/>
          <w:szCs w:val="28"/>
          <w:lang w:val="en-US"/>
        </w:rPr>
        <w:t>The Holy Qur'an recounts that Prophet Jacob’s sons asked their father to intercede with Almighty Allah for them,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our father! Ask forgiveness of our faults for us. Surely, we were sinners. (12/97)”</w:t>
      </w:r>
    </w:p>
    <w:p>
      <w:pPr>
        <w:pStyle w:val="BookText"/>
        <w:bidi w:val="0"/>
        <w:jc w:val="both"/>
        <w:rPr/>
      </w:pPr>
      <w:r>
        <w:rPr>
          <w:rFonts w:eastAsia="Times New Roman" w:cs="Times New Roman" w:ascii="Times New Roman" w:hAnsi="Times New Roman"/>
          <w:color w:val="111111"/>
          <w:sz w:val="28"/>
          <w:szCs w:val="28"/>
          <w:lang w:val="en-US"/>
        </w:rPr>
        <w:t>This infallible prophet did not reject their request, but he responded: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ask for you forgiveness from my Lord. Surely, He is the Forgiving, the Merciful. (12/98)”</w:t>
      </w:r>
    </w:p>
    <w:p>
      <w:pPr>
        <w:pStyle w:val="BookText"/>
        <w:bidi w:val="0"/>
        <w:jc w:val="both"/>
        <w:rPr/>
      </w:pPr>
      <w:r>
        <w:rPr>
          <w:rFonts w:eastAsia="Times New Roman" w:cs="Times New Roman" w:ascii="Times New Roman" w:hAnsi="Times New Roman"/>
          <w:color w:val="111111"/>
          <w:sz w:val="28"/>
          <w:szCs w:val="28"/>
          <w:lang w:val="en-US"/>
        </w:rPr>
        <w:t>Again, none can claim that the Holy Prophet (s) and the Holy Imams are dead and that returning to them for mediation is of no avail!</w:t>
      </w:r>
    </w:p>
    <w:p>
      <w:pPr>
        <w:pStyle w:val="BookText"/>
        <w:bidi w:val="0"/>
        <w:jc w:val="both"/>
        <w:rPr/>
      </w:pPr>
      <w:r>
        <w:rPr>
          <w:rFonts w:eastAsia="Times New Roman" w:cs="Times New Roman" w:ascii="Times New Roman" w:hAnsi="Times New Roman"/>
          <w:color w:val="111111"/>
          <w:sz w:val="28"/>
          <w:szCs w:val="28"/>
          <w:lang w:val="en-US"/>
        </w:rPr>
        <w:t>As a matter of fact, the Prophets in general and the Holy Prophet Muhammad (s) in particular are alive. Almighty Allah says about the Muslims and Prophet Muhammad: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thus We have made you a medium (just) nation that you may be the bearers of witness over the people and that the Messenger may be a bearer of witness over you. (2/143)”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say (to them): Work; so Allah will see your work and so will His Messenger and the believers. (9/105)”</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Evidently, like the perpetuity of the sun and the moon and the continuity of day and night, this holy verse goes into effect incessantly until the Resurrection Day. </w:t>
      </w:r>
      <w:bookmarkStart w:id="101" w:name="pg6161_73873"/>
    </w:p>
    <w:p>
      <w:pPr>
        <w:pStyle w:val="BookText"/>
        <w:bidi w:val="0"/>
        <w:rPr/>
      </w:pPr>
      <w:bookmarkEnd w:id="101"/>
      <w:r>
        <w:rPr>
          <w:rFonts w:eastAsia="Times New Roman" w:cs="Times New Roman" w:ascii="Times New Roman" w:hAnsi="Times New Roman"/>
          <w:color w:val="111111"/>
          <w:sz w:val="28"/>
          <w:szCs w:val="28"/>
          <w:lang w:val="en-US"/>
        </w:rPr>
        <w:t>Similarly, the Holy Prophet (s) and the Holy Imams (a.s) are martyrs and as Almighty Allah says in various places of His Book, martyrs are ever-living.</w:t>
      </w:r>
    </w:p>
    <w:p>
      <w:pPr>
        <w:pStyle w:val="Heading3"/>
        <w:numPr>
          <w:ilvl w:val="2"/>
          <w:numId w:val="1"/>
        </w:numPr>
        <w:bidi w:val="0"/>
        <w:jc w:val="left"/>
        <w:rPr/>
      </w:pPr>
      <w:bookmarkStart w:id="102" w:name="__RefHeading___Toc428631_237004111"/>
      <w:bookmarkStart w:id="103" w:name="_Toc37"/>
      <w:bookmarkEnd w:id="102"/>
      <w:r>
        <w:rPr/>
        <w:t>(32)</w:t>
      </w:r>
      <w:bookmarkEnd w:id="103"/>
    </w:p>
    <w:p>
      <w:pPr>
        <w:pStyle w:val="BookText"/>
        <w:bidi w:val="0"/>
        <w:jc w:val="both"/>
        <w:rPr/>
      </w:pPr>
      <w:r>
        <w:rPr>
          <w:rFonts w:eastAsia="Times New Roman" w:cs="Times New Roman" w:ascii="Times New Roman" w:hAnsi="Times New Roman"/>
          <w:color w:val="111111"/>
          <w:sz w:val="28"/>
          <w:szCs w:val="28"/>
          <w:lang w:val="en-US"/>
        </w:rPr>
        <w:t>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ah celebrate the birthdays of the Holy Prophet (s) and the Holy Imams who are from his descendants—peace be upon them all. They also commemorate the anniversaries of their death. On such ceremonies, they mention their virtues, merits, and exemplary stances, which have been authentically reported by the Holy Qur'an that mentions, praises, and draws the attentions to the virtues of the Prophets and Messengers so that people may follow them, learn lessons from them, and gain true guidance.</w:t>
      </w:r>
    </w:p>
    <w:p>
      <w:pPr>
        <w:pStyle w:val="BookText"/>
        <w:bidi w:val="0"/>
        <w:jc w:val="both"/>
        <w:rPr/>
      </w:pPr>
      <w:r>
        <w:rPr>
          <w:rFonts w:eastAsia="Times New Roman" w:cs="Times New Roman" w:ascii="Times New Roman" w:hAnsi="Times New Roman"/>
          <w:color w:val="111111"/>
          <w:sz w:val="28"/>
          <w:szCs w:val="28"/>
          <w:lang w:val="en-US"/>
        </w:rPr>
        <w:t>Of course, in such celebrations, they refrain from committing forbidden acts; such as unlawful mixture of opposite sexes, eating or drinking forbidden things, exaggeration in praise and applause or other deeds that contradict the spirit of the holy Islamic law, go beyond its acknowledged regulations, are incongruous with the sacred Qur'anic texts and the authenticated Sunnah, or are incompatible to a general rule, which has been truly inferred from the Holy Qur'an and Sunnah in a sound way.</w:t>
      </w:r>
    </w:p>
    <w:p>
      <w:pPr>
        <w:pStyle w:val="Heading3"/>
        <w:numPr>
          <w:ilvl w:val="2"/>
          <w:numId w:val="1"/>
        </w:numPr>
        <w:bidi w:val="0"/>
        <w:jc w:val="left"/>
        <w:rPr/>
      </w:pPr>
      <w:bookmarkStart w:id="104" w:name="__RefHeading___Toc428633_237004111"/>
      <w:bookmarkStart w:id="105" w:name="_Toc38"/>
      <w:bookmarkEnd w:id="104"/>
      <w:r>
        <w:rPr/>
        <w:t>(33)</w:t>
      </w:r>
      <w:bookmarkEnd w:id="10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 xml:space="preserve">ah have recourse to a number of books comprising Prophetic traditions and the traditions narrated from his Immaculate Household, such as ‘al-Kafi’ by Shaykh al-Kulayni, a trustworthy scholar, and ‘man-la-yahzaruhu’l-faqih’ by Shaykh al-Saduq, and ‘Tahdhib al-Ahkam’ and ‘al-Istibsar’ by Shaykh al-Tusi. These are invaluable reference books in the field of hadith. </w:t>
      </w:r>
      <w:bookmarkStart w:id="106" w:name="pg6161_73875"/>
    </w:p>
    <w:p>
      <w:pPr>
        <w:pStyle w:val="BookText"/>
        <w:bidi w:val="0"/>
        <w:rPr/>
      </w:pPr>
      <w:bookmarkEnd w:id="106"/>
      <w:r>
        <w:rPr>
          <w:rFonts w:eastAsia="Times New Roman" w:cs="Times New Roman" w:ascii="Times New Roman" w:hAnsi="Times New Roman"/>
          <w:color w:val="111111"/>
          <w:sz w:val="28"/>
          <w:szCs w:val="28"/>
          <w:lang w:val="en-US"/>
        </w:rPr>
        <w:t>Albeit that these books comprise authentic narrations, neither their compilers nor 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ah call them sahih (pl. sihah), that is fully authentic; therefore, the Shi</w:t>
      </w:r>
      <w:r>
        <w:rPr>
          <w:rFonts w:eastAsia="Consolas" w:cs="Consolas" w:ascii="Consolas" w:hAnsi="Consolas"/>
          <w:color w:val="111111"/>
          <w:sz w:val="28"/>
          <w:szCs w:val="28"/>
          <w:lang w:val="en-US"/>
        </w:rPr>
        <w:t>ah do not consider all narrations mentioned in these books authentic; rather they accept authenticated narrations and reject the ones which are inauthentic, unsound, or do not accord with the science of investigating reported traditions (</w:t>
      </w:r>
      <w:r>
        <w:rPr>
          <w:rFonts w:eastAsia="Times New Roman" w:cs="Times New Roman" w:ascii="Times New Roman" w:hAnsi="Times New Roman"/>
          <w:color w:val="111111"/>
          <w:sz w:val="28"/>
          <w:szCs w:val="28"/>
          <w:lang w:val="en-US"/>
        </w:rPr>
        <w:t>ilm al-dirayah), biography of reporters (`ilm al-rijal) or the rules of the science of hadith.</w:t>
      </w:r>
    </w:p>
    <w:p>
      <w:pPr>
        <w:pStyle w:val="Heading3"/>
        <w:numPr>
          <w:ilvl w:val="2"/>
          <w:numId w:val="1"/>
        </w:numPr>
        <w:bidi w:val="0"/>
        <w:jc w:val="left"/>
        <w:rPr/>
      </w:pPr>
      <w:bookmarkStart w:id="107" w:name="__RefHeading___Toc428635_237004111"/>
      <w:bookmarkStart w:id="108" w:name="_Toc39"/>
      <w:bookmarkEnd w:id="107"/>
      <w:r>
        <w:rPr/>
        <w:t>(34)</w:t>
      </w:r>
      <w:bookmarkEnd w:id="108"/>
    </w:p>
    <w:p>
      <w:pPr>
        <w:pStyle w:val="BookText"/>
        <w:bidi w:val="0"/>
        <w:jc w:val="both"/>
        <w:rPr/>
      </w:pPr>
      <w:r>
        <w:rPr>
          <w:rFonts w:eastAsia="Times New Roman" w:cs="Times New Roman" w:ascii="Times New Roman" w:hAnsi="Times New Roman"/>
          <w:color w:val="111111"/>
          <w:sz w:val="28"/>
          <w:szCs w:val="28"/>
          <w:lang w:val="en-US"/>
        </w:rPr>
        <w:t>In the fields of doctrines, jurisprudence, supplications, and ethics, 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 xml:space="preserve">ah have recourse to other books which contain various narrations reported from the Holy Imams, such as ‘Nahj al-Balaghah’ that is a collection of the sermons, epistles, and aphorisms of Imam </w:t>
      </w:r>
      <w:r>
        <w:rPr>
          <w:rFonts w:eastAsia="Consolas" w:cs="Consolas" w:ascii="Consolas" w:hAnsi="Consolas"/>
          <w:color w:val="111111"/>
          <w:sz w:val="28"/>
          <w:szCs w:val="28"/>
          <w:lang w:val="en-US"/>
        </w:rPr>
        <w:t xml:space="preserve">Ali (a.s) compiled by al-Sharif al-Razi; ‘Risalat al-Huquq (The Treatise on Rights)’ and ‘al-Sahifah al-Sajjadiyyah’ (also known as the psalms of Islam) by Imam </w:t>
      </w:r>
      <w:r>
        <w:rPr>
          <w:rFonts w:eastAsia="Times New Roman" w:cs="Times New Roman" w:ascii="Times New Roman" w:hAnsi="Times New Roman"/>
          <w:color w:val="111111"/>
          <w:sz w:val="28"/>
          <w:szCs w:val="28"/>
          <w:lang w:val="en-US"/>
        </w:rPr>
        <w:t>Ali ibn al-Husayn Zayn al-</w:t>
      </w:r>
      <w:r>
        <w:rPr>
          <w:rFonts w:eastAsia="Consolas" w:cs="Consolas" w:ascii="Consolas" w:hAnsi="Consolas"/>
          <w:color w:val="111111"/>
          <w:sz w:val="28"/>
          <w:szCs w:val="28"/>
          <w:lang w:val="en-US"/>
        </w:rPr>
        <w:t>ªbidin (a.s); ‘al-Sahifah al-</w:t>
      </w:r>
      <w:r>
        <w:rPr>
          <w:rFonts w:eastAsia="Times New Roman" w:cs="Times New Roman" w:ascii="Times New Roman" w:hAnsi="Times New Roman"/>
          <w:color w:val="111111"/>
          <w:sz w:val="28"/>
          <w:szCs w:val="28"/>
          <w:lang w:val="en-US"/>
        </w:rPr>
        <w:t xml:space="preserve">Alawiyyah’ comprising the prayers of Imam </w:t>
      </w:r>
      <w:r>
        <w:rPr>
          <w:rFonts w:eastAsia="Consolas" w:cs="Consolas" w:ascii="Consolas" w:hAnsi="Consolas"/>
          <w:color w:val="111111"/>
          <w:sz w:val="28"/>
          <w:szCs w:val="28"/>
          <w:lang w:val="en-US"/>
        </w:rPr>
        <w:t>Ali (a.s); and Shaykh al-Saduq’s books of ‘</w:t>
      </w:r>
      <w:r>
        <w:rPr>
          <w:rFonts w:eastAsia="Times New Roman" w:cs="Times New Roman" w:ascii="Times New Roman" w:hAnsi="Times New Roman"/>
          <w:color w:val="111111"/>
          <w:sz w:val="28"/>
          <w:szCs w:val="28"/>
          <w:lang w:val="en-US"/>
        </w:rPr>
        <w:t>Uyun Akhbar al-Riza’, ‘al-Tawhid’, ‘al-Khisal’, ‘</w:t>
      </w:r>
      <w:r>
        <w:rPr>
          <w:rFonts w:eastAsia="Consolas" w:cs="Consolas" w:ascii="Consolas" w:hAnsi="Consolas"/>
          <w:color w:val="111111"/>
          <w:sz w:val="28"/>
          <w:szCs w:val="28"/>
          <w:lang w:val="en-US"/>
        </w:rPr>
        <w:t>Ilal al-Shara'i</w:t>
      </w:r>
      <w:r>
        <w:rPr>
          <w:rFonts w:eastAsia="Times New Roman" w:cs="Times New Roman" w:ascii="Times New Roman" w:hAnsi="Times New Roman"/>
          <w:color w:val="111111"/>
          <w:sz w:val="28"/>
          <w:szCs w:val="28"/>
          <w:lang w:val="en-US"/>
        </w:rPr>
        <w:t>’, and ‘Ma`ani al-Akhbar’.</w:t>
      </w:r>
    </w:p>
    <w:p>
      <w:pPr>
        <w:pStyle w:val="Heading3"/>
        <w:numPr>
          <w:ilvl w:val="2"/>
          <w:numId w:val="1"/>
        </w:numPr>
        <w:bidi w:val="0"/>
        <w:jc w:val="left"/>
        <w:rPr/>
      </w:pPr>
      <w:bookmarkStart w:id="109" w:name="__RefHeading___Toc428637_237004111"/>
      <w:bookmarkStart w:id="110" w:name="_Toc40"/>
      <w:bookmarkEnd w:id="109"/>
      <w:r>
        <w:rPr/>
        <w:t>(35)</w:t>
      </w:r>
      <w:bookmarkEnd w:id="11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ah also rest on the authentic narrations on different topics which are reported from the Holy Prophet (s) in the reference books of hadith of their Sunnite brethren</w:t>
      </w:r>
      <w:r>
        <w:rPr>
          <w:rStyle w:val="FootnoteAnchor"/>
        </w:rPr>
        <w:footnoteReference w:id="32"/>
      </w:r>
      <w:r>
        <w:rPr>
          <w:rFonts w:eastAsia="Times New Roman" w:cs="Times New Roman" w:ascii="Times New Roman" w:hAnsi="Times New Roman"/>
          <w:color w:val="111111"/>
          <w:sz w:val="28"/>
          <w:szCs w:val="28"/>
          <w:lang w:val="en-US"/>
        </w:rPr>
        <w:t xml:space="preserve">without any fanaticism or stringency. </w:t>
      </w:r>
      <w:bookmarkStart w:id="111" w:name="pg6161_73877"/>
    </w:p>
    <w:p>
      <w:pPr>
        <w:pStyle w:val="BookText"/>
        <w:bidi w:val="0"/>
        <w:rPr/>
      </w:pPr>
      <w:bookmarkEnd w:id="111"/>
      <w:r>
        <w:rPr>
          <w:rFonts w:eastAsia="Times New Roman" w:cs="Times New Roman" w:ascii="Times New Roman" w:hAnsi="Times New Roman"/>
          <w:color w:val="111111"/>
          <w:sz w:val="28"/>
          <w:szCs w:val="28"/>
          <w:lang w:val="en-US"/>
        </w:rPr>
        <w:t>This idea is affirmed by the Shi`ite writings, both old and recent, that comprise narrations reported by the Holy Prophet’s companions and his wives as well as eminent Sahabah and reporters, such as Abu-Hurayrah and Anas ibn Malik, when these traditions are not inconsistent with the Holy Qur'an, the authentically proven practices of the Holy Prophet (s), judicious reason, or scholarly consensus.</w:t>
      </w:r>
    </w:p>
    <w:p>
      <w:pPr>
        <w:pStyle w:val="Heading3"/>
        <w:numPr>
          <w:ilvl w:val="2"/>
          <w:numId w:val="1"/>
        </w:numPr>
        <w:bidi w:val="0"/>
        <w:jc w:val="left"/>
        <w:rPr/>
      </w:pPr>
      <w:bookmarkStart w:id="112" w:name="__RefHeading___Toc428639_237004111"/>
      <w:bookmarkStart w:id="113" w:name="_Toc41"/>
      <w:bookmarkEnd w:id="112"/>
      <w:r>
        <w:rPr/>
        <w:t>(36)</w:t>
      </w:r>
      <w:bookmarkEnd w:id="113"/>
    </w:p>
    <w:p>
      <w:pPr>
        <w:pStyle w:val="BookText"/>
        <w:bidi w:val="0"/>
        <w:jc w:val="both"/>
        <w:rPr/>
      </w:pPr>
      <w:r>
        <w:rPr>
          <w:rFonts w:eastAsia="Times New Roman" w:cs="Times New Roman" w:ascii="Times New Roman" w:hAnsi="Times New Roman"/>
          <w:color w:val="111111"/>
          <w:sz w:val="28"/>
          <w:szCs w:val="28"/>
          <w:lang w:val="en-US"/>
        </w:rPr>
        <w:t>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ah believe that all ordeals and misfortunes, which the Muslims faced in the past and those which they are facing today are attributed to two factors:</w:t>
      </w:r>
    </w:p>
    <w:p>
      <w:pPr>
        <w:pStyle w:val="BookText"/>
        <w:bidi w:val="0"/>
        <w:jc w:val="both"/>
        <w:rPr/>
      </w:pPr>
      <w:r>
        <w:rPr>
          <w:rFonts w:eastAsia="Times New Roman" w:cs="Times New Roman" w:ascii="Times New Roman" w:hAnsi="Times New Roman"/>
          <w:color w:val="111111"/>
          <w:sz w:val="28"/>
          <w:szCs w:val="28"/>
          <w:lang w:val="en-US"/>
        </w:rPr>
        <w:t>First: Muslims’ abandonment of the Prophet’s Household (i.e. Ahl al-Bayt) who enjoy all the qualifications required for the leadership of the Muslim nation and their disregard of Ahl al-Bayt’s directives and instructions, especially the Ahl al-Bayt’s explanation of the Holy Qur'an.</w:t>
      </w:r>
    </w:p>
    <w:p>
      <w:pPr>
        <w:pStyle w:val="BookText"/>
        <w:bidi w:val="0"/>
        <w:jc w:val="both"/>
        <w:rPr/>
      </w:pPr>
      <w:r>
        <w:rPr>
          <w:rFonts w:eastAsia="Times New Roman" w:cs="Times New Roman" w:ascii="Times New Roman" w:hAnsi="Times New Roman"/>
          <w:color w:val="111111"/>
          <w:sz w:val="28"/>
          <w:szCs w:val="28"/>
          <w:lang w:val="en-US"/>
        </w:rPr>
        <w:t>Second: The separation, dispersion, disagreement, and dispute among the Muslim sects and groups.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that, 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 xml:space="preserve">ah always do their best to promote unity of the various groups of the Muslim nation and stretch out the hand of affection, and fraternity to all Muslims. </w:t>
      </w:r>
      <w:bookmarkStart w:id="114" w:name="pg6161_73879"/>
    </w:p>
    <w:p>
      <w:pPr>
        <w:pStyle w:val="BookText"/>
        <w:bidi w:val="0"/>
        <w:rPr/>
      </w:pPr>
      <w:bookmarkEnd w:id="114"/>
      <w:r>
        <w:rPr>
          <w:rFonts w:eastAsia="Times New Roman" w:cs="Times New Roman" w:ascii="Times New Roman" w:hAnsi="Times New Roman"/>
          <w:color w:val="111111"/>
          <w:sz w:val="28"/>
          <w:szCs w:val="28"/>
          <w:lang w:val="en-US"/>
        </w:rPr>
        <w:t>In this respect, scholars of 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ah have constantly cited opinions from non-Shi`ite jurisprudents in such areas like Muslim jurisprudence, exegesis of the Holy Qur'an, and theology, as in Shaykh al-Tusi’s book of ‘al-Khilaf’ on jurisprudence and Shaykh al-Tabrisi’s book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Majma` al-Bayan’ on exegesis of the Holy Qur'an. This book has been praised by the most eminent scholars of al-Azhar</w:t>
      </w:r>
    </w:p>
    <w:p>
      <w:pPr>
        <w:pStyle w:val="BookText"/>
        <w:bidi w:val="0"/>
        <w:jc w:val="both"/>
        <w:rPr/>
      </w:pPr>
      <w:r>
        <w:rPr>
          <w:rFonts w:eastAsia="Times New Roman" w:cs="Times New Roman" w:ascii="Times New Roman" w:hAnsi="Times New Roman"/>
          <w:color w:val="111111"/>
          <w:sz w:val="28"/>
          <w:szCs w:val="28"/>
          <w:lang w:val="en-US"/>
        </w:rPr>
        <w:t>University. Another example is Nasir al-Din al-Tusiy’s book of ‘Tajrid al-I</w:t>
      </w:r>
      <w:r>
        <w:rPr>
          <w:rFonts w:eastAsia="Consolas" w:cs="Consolas" w:ascii="Consolas" w:hAnsi="Consolas"/>
          <w:color w:val="111111"/>
          <w:sz w:val="28"/>
          <w:szCs w:val="28"/>
          <w:lang w:val="en-US"/>
        </w:rPr>
        <w:t xml:space="preserve">tiqad’ on doctrines. A commentary on this book was written by </w:t>
      </w:r>
      <w:r>
        <w:rPr>
          <w:rFonts w:eastAsia="Times New Roman" w:cs="Times New Roman" w:ascii="Times New Roman" w:hAnsi="Times New Roman"/>
          <w:color w:val="111111"/>
          <w:sz w:val="28"/>
          <w:szCs w:val="28"/>
          <w:lang w:val="en-US"/>
        </w:rPr>
        <w:t>Ala’ al-Din al-Qawshaji, a non-Shi`ite scholar.</w:t>
      </w:r>
    </w:p>
    <w:p>
      <w:pPr>
        <w:pStyle w:val="Heading3"/>
        <w:numPr>
          <w:ilvl w:val="2"/>
          <w:numId w:val="1"/>
        </w:numPr>
        <w:bidi w:val="0"/>
        <w:jc w:val="left"/>
        <w:rPr/>
      </w:pPr>
      <w:bookmarkStart w:id="115" w:name="__RefHeading___Toc428641_237004111"/>
      <w:bookmarkStart w:id="116" w:name="_Toc42"/>
      <w:bookmarkEnd w:id="115"/>
      <w:r>
        <w:rPr/>
        <w:t>(37)</w:t>
      </w:r>
      <w:bookmarkEnd w:id="116"/>
    </w:p>
    <w:p>
      <w:pPr>
        <w:pStyle w:val="BookText"/>
        <w:bidi w:val="0"/>
        <w:jc w:val="both"/>
        <w:rPr/>
      </w:pPr>
      <w:r>
        <w:rPr>
          <w:rFonts w:eastAsia="Times New Roman" w:cs="Times New Roman" w:ascii="Times New Roman" w:hAnsi="Times New Roman"/>
          <w:color w:val="111111"/>
          <w:sz w:val="28"/>
          <w:szCs w:val="28"/>
          <w:lang w:val="en-US"/>
        </w:rPr>
        <w:t>Eminent scholars of 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ah stress the importance of organizing more dialogues between the religious scholars of various Muslim sects to discuss the various aspects of jurisprudence, doctrines, and history of Islam. They also believe that scholars of different sects of Islam are in urgent need for reaching mutual agreement on the Muslims’ contemporary issues, and refraining from accusing each other of false things or poisoning the atmosphere by exchanging revilement so as to pave the way for creating a logic-based convergence between the various parties and multiple sections of the Muslim nation. This step can contribute to the futility of the attempts made by the enemies of Islam and prevent them from infiltrating into the Muslim nation, because the enemies try to find fatal gaps in order to direct their blow to all Muslims excluding no sect or group.</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 xml:space="preserve">ah do not charge any Muslim with unbelief (i.e. kufr) except the one or group on whose unbelief all Muslims agree. </w:t>
      </w:r>
      <w:bookmarkStart w:id="117" w:name="pg6161_73881"/>
    </w:p>
    <w:p>
      <w:pPr>
        <w:pStyle w:val="BookText"/>
        <w:bidi w:val="0"/>
        <w:rPr/>
      </w:pPr>
      <w:bookmarkEnd w:id="117"/>
      <w:r>
        <w:rPr>
          <w:rFonts w:eastAsia="Times New Roman" w:cs="Times New Roman" w:ascii="Times New Roman" w:hAnsi="Times New Roman"/>
          <w:color w:val="111111"/>
          <w:sz w:val="28"/>
          <w:szCs w:val="28"/>
          <w:lang w:val="en-US"/>
        </w:rPr>
        <w:t>The Shi</w:t>
      </w:r>
      <w:r>
        <w:rPr>
          <w:rFonts w:eastAsia="Consolas" w:cs="Consolas" w:ascii="Consolas" w:hAnsi="Consolas"/>
          <w:color w:val="111111"/>
          <w:sz w:val="28"/>
          <w:szCs w:val="28"/>
          <w:lang w:val="en-US"/>
        </w:rPr>
        <w:t>ah neither feel hostility to Muslim sects nor allow any to conspire against them. Furthermore, they respect the ideas adopted by the Muslim sects and jurisprudential schools concerning religious laws. They therefore consider that the past deeds of the person who converts from any other Muslim sects to Shi</w:t>
      </w:r>
      <w:r>
        <w:rPr>
          <w:rFonts w:eastAsia="Times New Roman" w:cs="Times New Roman" w:ascii="Times New Roman" w:hAnsi="Times New Roman"/>
          <w:color w:val="111111"/>
          <w:sz w:val="28"/>
          <w:szCs w:val="28"/>
          <w:lang w:val="en-US"/>
        </w:rPr>
        <w:t>ism are acceptable, adequate, and permissible. Hence, one who converts to Shi`ism, one’s prayers, fasting, hajj, zakat, and matrimonial, divorce and sale contracts, as well as other transactions, which one did according to the rulings of his previous jurisprudential school, are ruled acceptable.</w:t>
      </w:r>
    </w:p>
    <w:p>
      <w:pPr>
        <w:pStyle w:val="BookText"/>
        <w:bidi w:val="0"/>
        <w:jc w:val="both"/>
        <w:rPr/>
      </w:pPr>
      <w:r>
        <w:rPr>
          <w:rFonts w:eastAsia="Times New Roman" w:cs="Times New Roman" w:ascii="Times New Roman" w:hAnsi="Times New Roman"/>
          <w:color w:val="111111"/>
          <w:sz w:val="28"/>
          <w:szCs w:val="28"/>
          <w:lang w:val="en-US"/>
        </w:rPr>
        <w:t>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ah and their brethren of other Muslim sects live together amicably.</w:t>
      </w:r>
    </w:p>
    <w:p>
      <w:pPr>
        <w:pStyle w:val="BookText"/>
        <w:bidi w:val="0"/>
        <w:jc w:val="both"/>
        <w:rPr/>
      </w:pPr>
      <w:r>
        <w:rPr>
          <w:rFonts w:eastAsia="Times New Roman" w:cs="Times New Roman" w:ascii="Times New Roman" w:hAnsi="Times New Roman"/>
          <w:color w:val="111111"/>
          <w:sz w:val="28"/>
          <w:szCs w:val="28"/>
          <w:lang w:val="en-US"/>
        </w:rPr>
        <w:t>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ah do not agree with the Imperialistic factions, such as Baha’ism, Babism, Qadiyanism, and the like. They oppose and fight such factions.</w:t>
      </w:r>
    </w:p>
    <w:p>
      <w:pPr>
        <w:pStyle w:val="BookText"/>
        <w:bidi w:val="0"/>
        <w:jc w:val="both"/>
        <w:rPr/>
      </w:pPr>
      <w:r>
        <w:rPr>
          <w:rFonts w:eastAsia="Times New Roman" w:cs="Times New Roman" w:ascii="Times New Roman" w:hAnsi="Times New Roman"/>
          <w:color w:val="111111"/>
          <w:sz w:val="28"/>
          <w:szCs w:val="28"/>
          <w:lang w:val="en-US"/>
        </w:rPr>
        <w:t>Under certain circumstances, they practice taqiyyah; i.e. hiding one’s beliefs from the others. It has been confirmed by the Holy Qur'an and is practiced by other Muslim sects at times of extremist sectarian clashes. However, the Shi`ah practice taqiyyah for two matters:</w:t>
      </w:r>
    </w:p>
    <w:p>
      <w:pPr>
        <w:pStyle w:val="BookText"/>
        <w:bidi w:val="0"/>
        <w:jc w:val="both"/>
        <w:rPr/>
      </w:pPr>
      <w:r>
        <w:rPr>
          <w:rFonts w:eastAsia="Times New Roman" w:cs="Times New Roman" w:ascii="Times New Roman" w:hAnsi="Times New Roman"/>
          <w:color w:val="111111"/>
          <w:sz w:val="28"/>
          <w:szCs w:val="28"/>
          <w:lang w:val="en-US"/>
        </w:rPr>
        <w:t>First: to avoid bloodshed for nothing,</w:t>
      </w:r>
    </w:p>
    <w:p>
      <w:pPr>
        <w:pStyle w:val="BookText"/>
        <w:bidi w:val="0"/>
        <w:jc w:val="both"/>
        <w:rPr/>
      </w:pPr>
      <w:r>
        <w:rPr>
          <w:rFonts w:eastAsia="Times New Roman" w:cs="Times New Roman" w:ascii="Times New Roman" w:hAnsi="Times New Roman"/>
          <w:color w:val="111111"/>
          <w:sz w:val="28"/>
          <w:szCs w:val="28"/>
          <w:lang w:val="en-US"/>
        </w:rPr>
        <w:t>Second: to maintain the unity of the Muslims and safeguard it against harm and danger.</w:t>
      </w:r>
    </w:p>
    <w:p>
      <w:pPr>
        <w:pStyle w:val="Heading3"/>
        <w:numPr>
          <w:ilvl w:val="2"/>
          <w:numId w:val="1"/>
        </w:numPr>
        <w:bidi w:val="0"/>
        <w:jc w:val="left"/>
        <w:rPr/>
      </w:pPr>
      <w:bookmarkStart w:id="118" w:name="__RefHeading___Toc428643_237004111"/>
      <w:bookmarkStart w:id="119" w:name="_Toc43"/>
      <w:bookmarkEnd w:id="118"/>
      <w:r>
        <w:rPr/>
        <w:t>(38)</w:t>
      </w:r>
      <w:bookmarkEnd w:id="11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 xml:space="preserve">ah believe that the intellectual, cultural, scientific, and technological failing is one of the causes of the Muslims’ present backwardness and that this problem can be solved by awakening the Muslims, men and women, and raising their intellectual, educational, and </w:t>
      </w:r>
      <w:bookmarkStart w:id="120" w:name="pg6161_73883"/>
    </w:p>
    <w:p>
      <w:pPr>
        <w:pStyle w:val="BookText"/>
        <w:bidi w:val="0"/>
        <w:rPr/>
      </w:pPr>
      <w:bookmarkEnd w:id="120"/>
      <w:r>
        <w:rPr>
          <w:rFonts w:eastAsia="Times New Roman" w:cs="Times New Roman" w:ascii="Times New Roman" w:hAnsi="Times New Roman"/>
          <w:color w:val="111111"/>
          <w:sz w:val="28"/>
          <w:szCs w:val="28"/>
          <w:lang w:val="en-US"/>
        </w:rPr>
        <w:t>scientific levels by establishing scientific faculties—universities and institutions—and utilizing modern scientific achievements in order to solve the economic, constructive, and industrial problems and to strengthen the self-confidence of the Muslims to help them turn towards work and activity in order to attain self-sufficiency and put an end to the state of dependence and subordination to the foreigners.</w:t>
      </w:r>
    </w:p>
    <w:p>
      <w:pPr>
        <w:pStyle w:val="BookText"/>
        <w:bidi w:val="0"/>
        <w:jc w:val="both"/>
        <w:rPr/>
      </w:pPr>
      <w:r>
        <w:rPr>
          <w:rFonts w:eastAsia="Times New Roman" w:cs="Times New Roman" w:ascii="Times New Roman" w:hAnsi="Times New Roman"/>
          <w:color w:val="111111"/>
          <w:sz w:val="28"/>
          <w:szCs w:val="28"/>
          <w:lang w:val="en-US"/>
        </w:rPr>
        <w:t>Accordingly, whenever 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ah resided, they established scientific and educational centers. They also joined the universities and institutions of the country where they live and many of them are graduates in science and technology and hold various high positions.</w:t>
      </w:r>
    </w:p>
    <w:p>
      <w:pPr>
        <w:pStyle w:val="Heading3"/>
        <w:numPr>
          <w:ilvl w:val="2"/>
          <w:numId w:val="1"/>
        </w:numPr>
        <w:bidi w:val="0"/>
        <w:jc w:val="left"/>
        <w:rPr/>
      </w:pPr>
      <w:bookmarkStart w:id="121" w:name="__RefHeading___Toc428645_237004111"/>
      <w:bookmarkStart w:id="122" w:name="_Toc44"/>
      <w:bookmarkEnd w:id="121"/>
      <w:r>
        <w:rPr/>
        <w:t>(39)</w:t>
      </w:r>
      <w:bookmarkEnd w:id="122"/>
    </w:p>
    <w:p>
      <w:pPr>
        <w:pStyle w:val="BookText"/>
        <w:bidi w:val="0"/>
        <w:jc w:val="both"/>
        <w:rPr/>
      </w:pPr>
      <w:r>
        <w:rPr>
          <w:rFonts w:eastAsia="Times New Roman" w:cs="Times New Roman" w:ascii="Times New Roman" w:hAnsi="Times New Roman"/>
          <w:color w:val="111111"/>
          <w:sz w:val="28"/>
          <w:szCs w:val="28"/>
          <w:lang w:val="en-US"/>
        </w:rPr>
        <w:t>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ites are linked with their religious scholars and jurisprudents by taqlid; that is, they have recourse to them in religious questions. They therefore refer to the scholars and act according to their verdicts in all fields of life, because these scholars and jurisprudents represent the general deputies of the Twelfth Imam (a.s). And because these scholars and jurisprudents do not depend upon governments in their economic affairs, they have won full confidence of 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ites.</w:t>
      </w:r>
    </w:p>
    <w:p>
      <w:pPr>
        <w:pStyle w:val="BookText"/>
        <w:bidi w:val="0"/>
        <w:jc w:val="both"/>
        <w:rPr/>
      </w:pPr>
      <w:r>
        <w:rPr>
          <w:rFonts w:eastAsia="Times New Roman" w:cs="Times New Roman" w:ascii="Times New Roman" w:hAnsi="Times New Roman"/>
          <w:color w:val="111111"/>
          <w:sz w:val="28"/>
          <w:szCs w:val="28"/>
          <w:lang w:val="en-US"/>
        </w:rPr>
        <w:t>The Shi</w:t>
      </w:r>
      <w:r>
        <w:rPr>
          <w:rFonts w:eastAsia="Consolas" w:cs="Consolas" w:ascii="Consolas" w:hAnsi="Consolas"/>
          <w:color w:val="111111"/>
          <w:sz w:val="28"/>
          <w:szCs w:val="28"/>
          <w:lang w:val="en-US"/>
        </w:rPr>
        <w:t>ite centers of religious education (namely, hawzah), which graduate versed scholars in Shi</w:t>
      </w:r>
      <w:r>
        <w:rPr>
          <w:rFonts w:eastAsia="Times New Roman" w:cs="Times New Roman" w:ascii="Times New Roman" w:hAnsi="Times New Roman"/>
          <w:color w:val="111111"/>
          <w:sz w:val="28"/>
          <w:szCs w:val="28"/>
          <w:lang w:val="en-US"/>
        </w:rPr>
        <w:t>ite jurisprudence, support the hawzah students and the finances for education comes from the money of the one-fifth tax (i.e. khums) and the poor-rates (i.e. zakat) paid by people voluntarily to these jurisprudents as a religious obligation, just like prayers and fasting.</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Shi`ah present clear-cut evidence to support the fact that it is incumbent upon a person to pay the one-fifth of </w:t>
      </w:r>
      <w:bookmarkStart w:id="123" w:name="pg6161_73884"/>
    </w:p>
    <w:p>
      <w:pPr>
        <w:pStyle w:val="BookText"/>
        <w:bidi w:val="0"/>
        <w:rPr/>
      </w:pPr>
      <w:bookmarkEnd w:id="123"/>
      <w:r>
        <w:rPr>
          <w:rFonts w:eastAsia="Times New Roman" w:cs="Times New Roman" w:ascii="Times New Roman" w:hAnsi="Times New Roman"/>
          <w:color w:val="111111"/>
          <w:sz w:val="28"/>
          <w:szCs w:val="28"/>
          <w:lang w:val="en-US"/>
        </w:rPr>
        <w:t>his or her profits some of which can be found in Sunnite reference books of hadith.</w:t>
      </w:r>
      <w:r>
        <w:rPr>
          <w:rStyle w:val="FootnoteAnchor"/>
        </w:rPr>
        <w:footnoteReference w:id="33"/>
      </w:r>
    </w:p>
    <w:p>
      <w:pPr>
        <w:pStyle w:val="Heading3"/>
        <w:numPr>
          <w:ilvl w:val="2"/>
          <w:numId w:val="1"/>
        </w:numPr>
        <w:bidi w:val="0"/>
        <w:jc w:val="left"/>
        <w:rPr/>
      </w:pPr>
      <w:bookmarkStart w:id="124" w:name="__RefHeading___Toc428647_237004111"/>
      <w:bookmarkStart w:id="125" w:name="_Toc45"/>
      <w:bookmarkEnd w:id="124"/>
      <w:r>
        <w:rPr/>
        <w:t>(40)</w:t>
      </w:r>
      <w:bookmarkEnd w:id="125"/>
    </w:p>
    <w:p>
      <w:pPr>
        <w:pStyle w:val="BookText"/>
        <w:bidi w:val="0"/>
        <w:jc w:val="both"/>
        <w:rPr/>
      </w:pPr>
      <w:r>
        <w:rPr>
          <w:rFonts w:eastAsia="Times New Roman" w:cs="Times New Roman" w:ascii="Times New Roman" w:hAnsi="Times New Roman"/>
          <w:color w:val="111111"/>
          <w:sz w:val="28"/>
          <w:szCs w:val="28"/>
          <w:lang w:val="en-US"/>
        </w:rPr>
        <w:t>The Ja</w:t>
      </w:r>
      <w:r>
        <w:rPr>
          <w:rFonts w:eastAsia="Consolas" w:cs="Consolas" w:ascii="Consolas" w:hAnsi="Consolas"/>
          <w:color w:val="111111"/>
          <w:sz w:val="28"/>
          <w:szCs w:val="28"/>
          <w:lang w:val="en-US"/>
        </w:rPr>
        <w:t>fariyyah Shi</w:t>
      </w:r>
      <w:r>
        <w:rPr>
          <w:rFonts w:eastAsia="Times New Roman" w:cs="Times New Roman" w:ascii="Times New Roman" w:hAnsi="Times New Roman"/>
          <w:color w:val="111111"/>
          <w:sz w:val="28"/>
          <w:szCs w:val="28"/>
          <w:lang w:val="en-US"/>
        </w:rPr>
        <w:t>ah believe that the Muslims have the right to set up Islamic governments that rule according to the Holy Qur'an and Sunnah and preserve the rights of the Muslims, establish just and sound relations with the other countries, defend the territory against invasions, and guarantee the Muslims’ independence in the cultural, economic, and political aspects so that they can be as mighty as Almighty Allah wants them to be and as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Allah belongs the might and to His Messenger and to the believers. (63/8)”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not infirm, and be not grieving, and you shall have the upper hand, if you are believers. (3/139)”</w:t>
      </w:r>
    </w:p>
    <w:p>
      <w:pPr>
        <w:pStyle w:val="BookText"/>
        <w:bidi w:val="0"/>
        <w:jc w:val="both"/>
        <w:rPr/>
      </w:pPr>
      <w:r>
        <w:rPr>
          <w:rFonts w:eastAsia="Times New Roman" w:cs="Times New Roman" w:ascii="Times New Roman" w:hAnsi="Times New Roman"/>
          <w:color w:val="111111"/>
          <w:sz w:val="28"/>
          <w:szCs w:val="28"/>
          <w:lang w:val="en-US"/>
        </w:rPr>
        <w:t>The Shi`ah believe that Islam is a perfect and most comprehensive religion and it has its own governmental system of rule; therefore, Muslim scholars need to unite and exchange views so as to define this system of rule and help this great nation resolve the endless problems it encounters. It is Allah Who is the ultimate Supporter and Helper: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If you help (the cause of) Allah, He will help you and make firm your feet. (47/7)”</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presentation gives a clear picture of the main doctrines and religious injunctions of the Ja</w:t>
      </w:r>
      <w:r>
        <w:rPr>
          <w:rFonts w:eastAsia="Consolas" w:cs="Consolas" w:ascii="Consolas" w:hAnsi="Consolas"/>
          <w:color w:val="111111"/>
          <w:sz w:val="28"/>
          <w:szCs w:val="28"/>
          <w:lang w:val="en-US"/>
        </w:rPr>
        <w:t>fariyyah Imamite Shi</w:t>
      </w:r>
      <w:r>
        <w:rPr>
          <w:rFonts w:eastAsia="Times New Roman" w:cs="Times New Roman" w:ascii="Times New Roman" w:hAnsi="Times New Roman"/>
          <w:color w:val="111111"/>
          <w:sz w:val="28"/>
          <w:szCs w:val="28"/>
          <w:lang w:val="en-US"/>
        </w:rPr>
        <w:t xml:space="preserve">ah whose individuals live together with their </w:t>
      </w:r>
    </w:p>
    <w:p>
      <w:pPr>
        <w:pStyle w:val="BookText"/>
        <w:bidi w:val="0"/>
        <w:rPr/>
      </w:pPr>
      <w:r>
        <w:rPr>
          <w:rFonts w:eastAsia="Times New Roman" w:cs="Times New Roman" w:ascii="Times New Roman" w:hAnsi="Times New Roman"/>
          <w:color w:val="111111"/>
          <w:sz w:val="28"/>
          <w:szCs w:val="28"/>
          <w:lang w:val="en-US"/>
        </w:rPr>
        <w:t>brethren from the various Muslim sects. They are deeply concerned about maintaining the entity and dignity of the Muslims and are ready to sacrifice everything for it.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praise be to Allah, Lord of the Worlds!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is an acronym for ‘alayhi (alyhum, alyhima, or layha) al-salam.’ It is used throughout this book after mentioning the names of holy people to denote ‘May Almighty Allah bless him, her or them.’</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The Holy Sunnah” refers to the Prophet Muhammad’s words, deeds, and confirmations.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acronym (s) stands for ‘salla allahu `alayhi wa alihi.’ It is used throughout this book next to the name of the Holy Prophet Muhammad and it translates as ‘May Almighty Allah bless him and his Household.’</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of the Holy Prophet’s famous saying, “Muslims are just like a single body; when one of its organs feels pain, the other organs share it with sleeplessness and fever.” (Riyaz al-Salihin, pp. 167)</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al-Tabari.</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1:215.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Kitab al-Adab, pp. 27.</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Sayyid Hasan al-Sadr: Ta’sis al-Shiah li-Ulum al-Islam (The Shi`ah: the Founders of Islamic Sciences).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Sahabah are the companions of the Holy Prophet (s) and, terminologically, all those who saw, heard, or witnessed the Holy Prophet (s) regardless of their age. However, various opinions have been expressed in this regard. For more information, see Ahmad Husayn Yaqub: The Conception of the Sahabah’s Ultimate Decency; translated by Badr Shahin, Ansariyan Publications - Qum, 1999.&lt;/p&gt;at the head of whom was Ali ibn Abi-Talib, in the lifetime of the Holy Prophet (s) and under his supervision and instruction. The Sahabah learnt the Holy Qur'an by heart and had a good command of it, computed its chapters, verses, words and letters, and then transferred it to the later generations. The Holy Qur'an is currently recited by all Muslims of divergent sects, “at hours of the night and at the two ends of the day.” It has been preserved from adding, deleting, distorting, or alteration of any single character of it.</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Qur'anic verses revealed on this occasion were as follows: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`Allamah al-Amini: al-Ghadir, as quoted from several reference books of history and exegesis of the Holy Qur'an.</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Because they acknowledge twelve Imams, the Jafariyyah Shiah are also called the Twelver Shi`ah.</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al-Ha'iri al-Bahrani: Khulafa’ al-Nabi (The Vicegerents of the Holy Prophet).</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various reference books of Prophetic traditions, exegesis of the Holy Qur'an and virtues that are dependent upon al-Sihah al-Sittah (the six most reliable reference books of Hadith that the Sunnites consider most reliable) as well as other independent books of both Sunnite and Shi`ite authors.</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details, refer to Asad Haydar: al-Imam al-Sadiq wa’l-Madhahib al-Arba`ah.</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al-Washnawiy: Risalat Hadith al-Thaqalayn, which was certified by the al-Azhar University about three decades ago.</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al-Masudiy: Ithbat al-Wasiyyah, as well as the reference books of traditions, tafsir and history written by both Shiite and Sunnite scholars.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Shi`ite jurisprudence, ijtihad means making all possible efforts to deduct religious laws from their sources.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fact has been narrated in Sahih Muslim as well as other reference books of traditions.</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details, refer to the following reference books: Sahih al-Bukhari, Kanz al-Ummal by al-Muttaqi al-Hindi, al-Musannaf by Abd al-Razzaq al-Sanani, and al-Sujud ala al-Arz by Kashif al-Ghita'.</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al-Yawaqit wa’l-Jawahir by al-Sha`rani al-Ansari (An Egyptian writer in the 10th century A.H.).</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al-Musannaf by al-San`ani.</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Sahih al-Bukhari, Sahih Muslim, and Sunan al-Bayhaqi. For more details about the Malikiyyah’s view concerning this issue, refer to Bidayat al-Mujtahid by Ibn Rushd al-Qurtubi or to other books on the Malikiyyah jurisprudential school.</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 of Ablution reads as follows:</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reference books of hadith as well as al-Fakhr al-Razi’s book of Tafsir al-Kashshaf; Exegesis of the Verse of Ablution (5:6).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details, refer to the traditions on temporary marriage in the reliable reference books of hadith of the various Muslim sects.</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supplication comprises one thousand of Almighty Allah’s attributes, ordered so nicely and properly.</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these supplications, as well as many others, have been compiled in an encyclopedic book entitled ‘Mawsuat al-Adiyah al-Jamiah (Encyclopedia of Comprehensive Supplications),’ which has been lately published. They are also available in the books of supplications well known and currently held by the Shiah.</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event is mentioned in the books of history of Islam and biography of the Holy Prophet (s).</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al-Sabki al-Shafi`i: Shifa’ al-Asqam, pp. 107, and Sunan Ibn Majah, 1:117.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necessary to allude to the fact that the Imamite Shiites are also ahl al-Sunnah, because they accept the words, deeds, acts, and confirmations confirmed by the Holy Sunnah, including the Holy Prophet’s frequent commandments concerning the abidance by his Household. The Shiah thus abide by the Holy Sunnah precisely and practically. This can be noticed in their doctrines, jurisprudential precepts, and books of traditions. Recently, an encyclopedic book of more than ten volumes, comprising the traditions of the Holy Prophet (s) in the Shi`ite reference books, has been published. This book is entitled ‘Sunan al-Nabiy’.</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details, refer to the argumentative proofs on the obligation of khums presented by books of Shi`ite jurisprudence.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image" Target="media/image2.jpeg"/><Relationship Id="rId60" Type="http://schemas.openxmlformats.org/officeDocument/2006/relationships/image" Target="media/image2.jpeg"/><Relationship Id="rId61" Type="http://schemas.openxmlformats.org/officeDocument/2006/relationships/footer" Target="footer54.xml"/><Relationship Id="rId62" Type="http://schemas.openxmlformats.org/officeDocument/2006/relationships/footnotes" Target="footnotes.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12128</Words>
  <Characters>63350</Characters>
  <CharactersWithSpaces>75046</CharactersWithSpaces>
  <Paragraphs>533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2026-08-19T17:52:49Z</dcterms:created>
  <dc:creator>ghaemiyeh.com</dc:creator>
  <dc:description/>
  <dc:language>en-US</dc:language>
  <cp:lastModifiedBy/>
  <dcterms:modified xsi:type="dcterms:W3CDTF">2026-08-19T21:22:51Z</dcterms:modified>
  <cp:revision>1</cp:revision>
  <dc:subject/>
  <dc:title>The truth as it is</dc:title>
</cp:coreProperties>
</file>

<file path=docProps/custom.xml><?xml version="1.0" encoding="utf-8"?>
<Properties xmlns="http://schemas.openxmlformats.org/officeDocument/2006/custom-properties" xmlns:vt="http://schemas.openxmlformats.org/officeDocument/2006/docPropsVTypes"/>
</file>