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295.xml" ContentType="application/vnd.openxmlformats-officedocument.wordprocessingml.footer+xml"/>
  <Override PartName="/word/footer1.xml" ContentType="application/vnd.openxmlformats-officedocument.wordprocessingml.footer+xml"/>
  <Override PartName="/word/footer29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theme/theme1.xml" ContentType="application/vnd.openxmlformats-officedocument.theme+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285.xml" ContentType="application/vnd.openxmlformats-officedocument.wordprocessingml.footer+xml"/>
  <Override PartName="/word/footer284.xml" ContentType="application/vnd.openxmlformats-officedocument.wordprocessingml.footer+xml"/>
  <Override PartName="/word/footer449.xml" ContentType="application/vnd.openxmlformats-officedocument.wordprocessingml.footer+xml"/>
  <Override PartName="/word/footer283.xml" ContentType="application/vnd.openxmlformats-officedocument.wordprocessingml.footer+xml"/>
  <Override PartName="/word/footer448.xml" ContentType="application/vnd.openxmlformats-officedocument.wordprocessingml.footer+xml"/>
  <Override PartName="/word/footer282.xml" ContentType="application/vnd.openxmlformats-officedocument.wordprocessingml.footer+xml"/>
  <Override PartName="/word/footer447.xml" ContentType="application/vnd.openxmlformats-officedocument.wordprocessingml.footer+xml"/>
  <Override PartName="/word/footer281.xml" ContentType="application/vnd.openxmlformats-officedocument.wordprocessingml.footer+xml"/>
  <Override PartName="/word/footer446.xml" ContentType="application/vnd.openxmlformats-officedocument.wordprocessingml.footer+xml"/>
  <Override PartName="/word/footer28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0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56.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99.xml" ContentType="application/vnd.openxmlformats-officedocument.wordprocessingml.footer+xml"/>
  <Override PartName="/word/footer196.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722.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723.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542.xml" ContentType="application/vnd.openxmlformats-officedocument.wordprocessingml.footer+xml"/>
  <Override PartName="/word/footer697.xml" ContentType="application/vnd.openxmlformats-officedocument.wordprocessingml.footer+xml"/>
  <Override PartName="/word/footer728.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698.xml" ContentType="application/vnd.openxmlformats-officedocument.wordprocessingml.footer+xml"/>
  <Override PartName="/word/footer729.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699.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720.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721.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732.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733.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734.xml" ContentType="application/vnd.openxmlformats-officedocument.wordprocessingml.footer+xml"/>
  <Override PartName="/word/footer737.xml" ContentType="application/vnd.openxmlformats-officedocument.wordprocessingml.footer+xml"/>
  <Override PartName="/word/footer552.xml" ContentType="application/vnd.openxmlformats-officedocument.wordprocessingml.footer+xml"/>
  <Override PartName="/word/footer738.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739.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730.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731.xml" ContentType="application/vnd.openxmlformats-officedocument.wordprocessingml.footer+xml"/>
  <Override PartName="/word/footer567.xml" ContentType="application/vnd.openxmlformats-officedocument.wordprocessingml.footer+xml"/>
  <Override PartName="/word/footer742.xml" ContentType="application/vnd.openxmlformats-officedocument.wordprocessingml.footer+xml"/>
  <Override PartName="/word/footer568.xml" ContentType="application/vnd.openxmlformats-officedocument.wordprocessingml.footer+xml"/>
  <Override PartName="/word/footer743.xml" ContentType="application/vnd.openxmlformats-officedocument.wordprocessingml.footer+xml"/>
  <Override PartName="/word/footer569.xml" ContentType="application/vnd.openxmlformats-officedocument.wordprocessingml.footer+xml"/>
  <Override PartName="/word/footer744.xml" ContentType="application/vnd.openxmlformats-officedocument.wordprocessingml.footer+xml"/>
  <Override PartName="/word/footer747.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618.xml" ContentType="application/vnd.openxmlformats-officedocument.wordprocessingml.footer+xml"/>
  <Override PartName="/word/footer748.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619.xml" ContentType="application/vnd.openxmlformats-officedocument.wordprocessingml.footer+xml"/>
  <Override PartName="/word/footer749.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611.xml" ContentType="application/vnd.openxmlformats-officedocument.wordprocessingml.footer+xml"/>
  <Override PartName="/word/footer565.xml" ContentType="application/vnd.openxmlformats-officedocument.wordprocessingml.footer+xml"/>
  <Override PartName="/word/footer740.xml" ContentType="application/vnd.openxmlformats-officedocument.wordprocessingml.footer+xml"/>
  <Override PartName="/word/footer603.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612.xml" ContentType="application/vnd.openxmlformats-officedocument.wordprocessingml.footer+xml"/>
  <Override PartName="/word/footer566.xml" ContentType="application/vnd.openxmlformats-officedocument.wordprocessingml.footer+xml"/>
  <Override PartName="/word/footer74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575.xml" ContentType="application/vnd.openxmlformats-officedocument.wordprocessingml.footer+xml"/>
  <Override PartName="/word/footer750.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751.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752.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754.xml" ContentType="application/vnd.openxmlformats-officedocument.wordprocessingml.footer+xml"/>
  <Override PartName="/word/footer617.xml" ContentType="application/vnd.openxmlformats-officedocument.wordprocessingml.footer+xml"/>
  <Override PartName="/word/footer757.xml" ContentType="application/vnd.openxmlformats-officedocument.wordprocessingml.footer+xml"/>
  <Override PartName="/word/footer572.xml" ContentType="application/vnd.openxmlformats-officedocument.wordprocessingml.footer+xml"/>
  <Override PartName="/word/footer610.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628.xml" ContentType="application/vnd.openxmlformats-officedocument.wordprocessingml.footer+xml"/>
  <Override PartName="/word/footer581.xml" ContentType="application/vnd.openxmlformats-officedocument.wordprocessingml.footer+xml"/>
  <Override PartName="/word/footer582.xml" ContentType="application/vnd.openxmlformats-officedocument.wordprocessingml.footer+xml"/>
  <Override PartName="/word/footer583.xml" ContentType="application/vnd.openxmlformats-officedocument.wordprocessingml.footer+xml"/>
  <Override PartName="/word/footer584.xml" ContentType="application/vnd.openxmlformats-officedocument.wordprocessingml.footer+xml"/>
  <Override PartName="/word/footer585.xml" ContentType="application/vnd.openxmlformats-officedocument.wordprocessingml.footer+xml"/>
  <Override PartName="/word/footer760.xml" ContentType="application/vnd.openxmlformats-officedocument.wordprocessingml.footer+xml"/>
  <Override PartName="/word/footer586.xml" ContentType="application/vnd.openxmlformats-officedocument.wordprocessingml.footer+xml"/>
  <Override PartName="/word/footer761.xml" ContentType="application/vnd.openxmlformats-officedocument.wordprocessingml.footer+xml"/>
  <Override PartName="/word/footer587.xml" ContentType="application/vnd.openxmlformats-officedocument.wordprocessingml.footer+xml"/>
  <Override PartName="/word/footer762.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8.xml" ContentType="application/vnd.openxmlformats-officedocument.wordprocessingml.footer+xml"/>
  <Override PartName="/word/footer763.xml" ContentType="application/vnd.openxmlformats-officedocument.wordprocessingml.footer+xml"/>
  <Override PartName="/word/footer626.xml" ContentType="application/vnd.openxmlformats-officedocument.wordprocessingml.footer+xml"/>
  <Override PartName="/word/footer589.xml" ContentType="application/vnd.openxmlformats-officedocument.wordprocessingml.footer+xml"/>
  <Override PartName="/word/footer764.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2.xml" ContentType="application/vnd.openxmlformats-officedocument.wordprocessingml.footer+xml"/>
  <Override PartName="/word/footer711.xml" ContentType="application/vnd.openxmlformats-officedocument.wordprocessingml.footer+xml"/>
  <Override PartName="/word/footer673.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713.xml" ContentType="application/vnd.openxmlformats-officedocument.wordprocessingml.footer+xml"/>
  <Override PartName="/word/footer675.xml" ContentType="application/vnd.openxmlformats-officedocument.wordprocessingml.footer+xml"/>
  <Override PartName="/word/footer714.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671.xml" ContentType="application/vnd.openxmlformats-officedocument.wordprocessingml.footer+xml"/>
  <Override PartName="/word/footer701.xml" ContentType="application/vnd.openxmlformats-officedocument.wordprocessingml.footer+xml"/>
  <Override PartName="/word/footer663.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702.xml" ContentType="application/vnd.openxmlformats-officedocument.wordprocessingml.footer+xml"/>
  <Override PartName="/word/footer664.xml" ContentType="application/vnd.openxmlformats-officedocument.wordprocessingml.footer+xml"/>
  <Override PartName="/word/footer703.xml" ContentType="application/vnd.openxmlformats-officedocument.wordprocessingml.footer+xml"/>
  <Override PartName="/word/footer665.xml" ContentType="application/vnd.openxmlformats-officedocument.wordprocessingml.footer+xml"/>
  <Override PartName="/word/footer700.xml" ContentType="application/vnd.openxmlformats-officedocument.wordprocessingml.footer+xml"/>
  <Override PartName="/word/footer662.xml" ContentType="application/vnd.openxmlformats-officedocument.wordprocessingml.footer+xml"/>
  <Override PartName="/word/footer704.xml" ContentType="application/vnd.openxmlformats-officedocument.wordprocessingml.footer+xml"/>
  <Override PartName="/word/footer666.xml" ContentType="application/vnd.openxmlformats-officedocument.wordprocessingml.footer+xml"/>
  <Override PartName="/word/footer735.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668.xml" ContentType="application/vnd.openxmlformats-officedocument.wordprocessingml.footer+xml"/>
  <Override PartName="/word/footer736.xml" ContentType="application/vnd.openxmlformats-officedocument.wordprocessingml.footer+xml"/>
  <Override PartName="/word/footer551.xml" ContentType="application/vnd.openxmlformats-officedocument.wordprocessingml.footer+xml"/>
  <Override PartName="/word/footer745.xml" ContentType="application/vnd.openxmlformats-officedocument.wordprocessingml.footer+xml"/>
  <Override PartName="/word/footer560.xml" ContentType="application/vnd.openxmlformats-officedocument.wordprocessingml.footer+xml"/>
  <Override PartName="/word/footer753.xml" ContentType="application/vnd.openxmlformats-officedocument.wordprocessingml.footer+xml"/>
  <Override PartName="/word/footer616.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746.xml" ContentType="application/vnd.openxmlformats-officedocument.wordprocessingml.footer+xml"/>
  <Override PartName="/word/footer561.xml" ContentType="application/vnd.openxmlformats-officedocument.wordprocessingml.footer+xml"/>
  <Override PartName="/word/footer667.xml" ContentType="application/vnd.openxmlformats-officedocument.wordprocessingml.footer+xml"/>
  <Override PartName="/word/footer656.xml" ContentType="application/vnd.openxmlformats-officedocument.wordprocessingml.footer+xml"/>
  <Override PartName="/word/footer677.xml" ContentType="application/vnd.openxmlformats-officedocument.wordprocessingml.footer+xml"/>
  <Override PartName="/word/footer65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755.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658.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756.xml" ContentType="application/vnd.openxmlformats-officedocument.wordprocessingml.footer+xml"/>
  <Override PartName="/word/footer571.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726.xml" ContentType="application/vnd.openxmlformats-officedocument.wordprocessingml.footer+xml"/>
  <Override PartName="/word/footer541.xml" ContentType="application/vnd.openxmlformats-officedocument.wordprocessingml.footer+xml"/>
  <Override PartName="/word/footer725.xml" ContentType="application/vnd.openxmlformats-officedocument.wordprocessingml.footer+xml"/>
  <Override PartName="/word/footer540.xml" ContentType="application/vnd.openxmlformats-officedocument.wordprocessingml.footer+xml"/>
  <Override PartName="/word/footer670.xml" ContentType="application/vnd.openxmlformats-officedocument.wordprocessingml.footer+xml"/>
  <Override PartName="/word/footer63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53.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1.xml" ContentType="application/vnd.openxmlformats-officedocument.wordprocessingml.footer+xml"/>
  <Override PartName="/word/footer650.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4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21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357.xml" ContentType="application/vnd.openxmlformats-officedocument.wordprocessingml.footer+xml"/>
  <Override PartName="/word/footer347.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31.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ارشاد العقول الی مباحث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04560_3381743652">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7304562_3381743652">
            <w:r>
              <w:rPr>
                <w:webHidden/>
                <w:rStyle w:val="IndexLink"/>
                <w:rtl w:val="true"/>
              </w:rPr>
              <w:t>اشارة</w:t>
            </w:r>
            <w:r>
              <w:rPr>
                <w:rStyle w:val="IndexLink"/>
                <w:rtl w:val="true"/>
              </w:rPr>
              <w:tab/>
            </w:r>
            <w:r>
              <w:rPr>
                <w:rStyle w:val="IndexLink"/>
              </w:rPr>
              <w:t>17</w:t>
            </w:r>
          </w:hyperlink>
        </w:p>
        <w:p>
          <w:pPr>
            <w:pStyle w:val="Contents2"/>
            <w:tabs>
              <w:tab w:val="clear" w:pos="8743"/>
              <w:tab w:val="right" w:pos="9026" w:leader="dot"/>
            </w:tabs>
            <w:rPr/>
          </w:pPr>
          <w:hyperlink w:anchor="__RefHeading___Toc7304564_3381743652">
            <w:r>
              <w:rPr>
                <w:webHidden/>
                <w:rStyle w:val="IndexLink"/>
                <w:rtl w:val="true"/>
              </w:rPr>
              <w:t>المدخل</w:t>
            </w:r>
            <w:r>
              <w:rPr>
                <w:rStyle w:val="IndexLink"/>
                <w:rtl w:val="true"/>
              </w:rPr>
              <w:tab/>
            </w:r>
            <w:r>
              <w:rPr>
                <w:rStyle w:val="IndexLink"/>
              </w:rPr>
              <w:t>20</w:t>
            </w:r>
          </w:hyperlink>
        </w:p>
        <w:p>
          <w:pPr>
            <w:pStyle w:val="Contents2"/>
            <w:tabs>
              <w:tab w:val="clear" w:pos="8743"/>
              <w:tab w:val="right" w:pos="9026" w:leader="dot"/>
            </w:tabs>
            <w:rPr/>
          </w:pPr>
          <w:hyperlink w:anchor="__RefHeading___Toc7304566_3381743652">
            <w:r>
              <w:rPr>
                <w:webHidden/>
                <w:rStyle w:val="IndexLink"/>
                <w:rtl w:val="true"/>
              </w:rPr>
              <w:t>كلمة الأُستاذ المحاضر</w:t>
            </w:r>
            <w:r>
              <w:rPr>
                <w:rStyle w:val="IndexLink"/>
                <w:rtl w:val="true"/>
              </w:rPr>
              <w:tab/>
            </w:r>
            <w:r>
              <w:rPr>
                <w:rStyle w:val="IndexLink"/>
              </w:rPr>
              <w:t>21</w:t>
            </w:r>
          </w:hyperlink>
        </w:p>
        <w:p>
          <w:pPr>
            <w:pStyle w:val="Contents2"/>
            <w:tabs>
              <w:tab w:val="clear" w:pos="8743"/>
              <w:tab w:val="right" w:pos="9026" w:leader="dot"/>
            </w:tabs>
            <w:rPr/>
          </w:pPr>
          <w:hyperlink w:anchor="__RefHeading___Toc7304568_3381743652">
            <w:r>
              <w:rPr>
                <w:webHidden/>
                <w:rStyle w:val="IndexLink"/>
                <w:rtl w:val="true"/>
              </w:rPr>
              <w:t>كلمة المؤلّف</w:t>
            </w:r>
            <w:r>
              <w:rPr>
                <w:rStyle w:val="IndexLink"/>
                <w:rtl w:val="true"/>
              </w:rPr>
              <w:tab/>
            </w:r>
            <w:r>
              <w:rPr>
                <w:rStyle w:val="IndexLink"/>
              </w:rPr>
              <w:t>23</w:t>
            </w:r>
          </w:hyperlink>
        </w:p>
        <w:p>
          <w:pPr>
            <w:pStyle w:val="Contents2"/>
            <w:tabs>
              <w:tab w:val="clear" w:pos="8743"/>
              <w:tab w:val="right" w:pos="9026" w:leader="dot"/>
            </w:tabs>
            <w:rPr/>
          </w:pPr>
          <w:hyperlink w:anchor="__RefHeading___Toc7304570_3381743652">
            <w:r>
              <w:rPr>
                <w:webHidden/>
                <w:rStyle w:val="IndexLink"/>
                <w:rtl w:val="true"/>
              </w:rPr>
              <w:t>تتمة المقصد الأول في الأوامر</w:t>
            </w:r>
            <w:r>
              <w:rPr>
                <w:rStyle w:val="IndexLink"/>
                <w:rtl w:val="true"/>
              </w:rPr>
              <w:tab/>
            </w:r>
            <w:r>
              <w:rPr>
                <w:rStyle w:val="IndexLink"/>
              </w:rPr>
              <w:t>25</w:t>
            </w:r>
          </w:hyperlink>
        </w:p>
        <w:p>
          <w:pPr>
            <w:pStyle w:val="Contents3"/>
            <w:tabs>
              <w:tab w:val="clear" w:pos="8459"/>
              <w:tab w:val="right" w:pos="9026" w:leader="dot"/>
            </w:tabs>
            <w:rPr/>
          </w:pPr>
          <w:hyperlink w:anchor="__RefHeading___Toc7304572_3381743652">
            <w:r>
              <w:rPr>
                <w:webHidden/>
                <w:rStyle w:val="IndexLink"/>
                <w:rtl w:val="true"/>
              </w:rPr>
              <w:t>الفصل الخامس اقتضاء الأمر بالشيء النهيَ عن ضدّه؟</w:t>
            </w:r>
            <w:r>
              <w:rPr>
                <w:rStyle w:val="IndexLink"/>
                <w:rtl w:val="true"/>
              </w:rPr>
              <w:tab/>
            </w:r>
            <w:r>
              <w:rPr>
                <w:rStyle w:val="IndexLink"/>
              </w:rPr>
              <w:t>25</w:t>
            </w:r>
          </w:hyperlink>
        </w:p>
        <w:p>
          <w:pPr>
            <w:pStyle w:val="Contents4"/>
            <w:tabs>
              <w:tab w:val="clear" w:pos="8176"/>
              <w:tab w:val="right" w:pos="9026" w:leader="dot"/>
            </w:tabs>
            <w:rPr/>
          </w:pPr>
          <w:hyperlink w:anchor="__RefHeading___Toc7304574_3381743652">
            <w:r>
              <w:rPr>
                <w:webHidden/>
                <w:rStyle w:val="IndexLink"/>
                <w:rtl w:val="true"/>
              </w:rPr>
              <w:t>و قبل الخوض في صلب الموضوع نقدّم أُموراً</w:t>
            </w:r>
            <w:r>
              <w:rPr>
                <w:rStyle w:val="IndexLink"/>
                <w:rtl w:val="true"/>
              </w:rPr>
              <w:t>:</w:t>
              <w:tab/>
            </w:r>
            <w:r>
              <w:rPr>
                <w:rStyle w:val="IndexLink"/>
              </w:rPr>
              <w:t>25</w:t>
            </w:r>
          </w:hyperlink>
        </w:p>
        <w:p>
          <w:pPr>
            <w:pStyle w:val="Contents5"/>
            <w:tabs>
              <w:tab w:val="clear" w:pos="7892"/>
              <w:tab w:val="right" w:pos="9026" w:leader="dot"/>
            </w:tabs>
            <w:rPr/>
          </w:pPr>
          <w:hyperlink w:anchor="__RefHeading___Toc7304576_3381743652">
            <w:r>
              <w:rPr>
                <w:webHidden/>
                <w:rStyle w:val="IndexLink"/>
              </w:rPr>
              <w:t>1</w:t>
            </w:r>
            <w:r>
              <w:rPr>
                <w:rStyle w:val="IndexLink"/>
                <w:rtl w:val="true"/>
              </w:rPr>
              <w:t xml:space="preserve">. </w:t>
            </w:r>
            <w:r>
              <w:rPr>
                <w:rStyle w:val="IndexLink"/>
                <w:rtl w:val="true"/>
              </w:rPr>
              <w:t>المسألة أُصولية</w:t>
            </w:r>
            <w:r>
              <w:rPr>
                <w:rStyle w:val="IndexLink"/>
                <w:rtl w:val="true"/>
              </w:rPr>
              <w:tab/>
            </w:r>
            <w:r>
              <w:rPr>
                <w:rStyle w:val="IndexLink"/>
              </w:rPr>
              <w:t>25</w:t>
            </w:r>
          </w:hyperlink>
        </w:p>
        <w:p>
          <w:pPr>
            <w:pStyle w:val="Contents5"/>
            <w:tabs>
              <w:tab w:val="clear" w:pos="7892"/>
              <w:tab w:val="right" w:pos="9026" w:leader="dot"/>
            </w:tabs>
            <w:rPr/>
          </w:pPr>
          <w:hyperlink w:anchor="__RefHeading___Toc7304578_3381743652">
            <w:r>
              <w:rPr>
                <w:webHidden/>
                <w:rStyle w:val="IndexLink"/>
              </w:rPr>
              <w:t>2</w:t>
            </w:r>
            <w:r>
              <w:rPr>
                <w:rStyle w:val="IndexLink"/>
                <w:rtl w:val="true"/>
              </w:rPr>
              <w:t xml:space="preserve">. </w:t>
            </w:r>
            <w:r>
              <w:rPr>
                <w:rStyle w:val="IndexLink"/>
                <w:rtl w:val="true"/>
              </w:rPr>
              <w:t>المسألة عقلية أو لفظية</w:t>
            </w:r>
            <w:r>
              <w:rPr>
                <w:rStyle w:val="IndexLink"/>
                <w:rtl w:val="true"/>
              </w:rPr>
              <w:tab/>
            </w:r>
            <w:r>
              <w:rPr>
                <w:rStyle w:val="IndexLink"/>
              </w:rPr>
              <w:t>25</w:t>
            </w:r>
          </w:hyperlink>
        </w:p>
        <w:p>
          <w:pPr>
            <w:pStyle w:val="Contents5"/>
            <w:tabs>
              <w:tab w:val="clear" w:pos="7892"/>
              <w:tab w:val="right" w:pos="9026" w:leader="dot"/>
            </w:tabs>
            <w:rPr/>
          </w:pPr>
          <w:hyperlink w:anchor="__RefHeading___Toc7304580_3381743652">
            <w:r>
              <w:rPr>
                <w:webHidden/>
                <w:rStyle w:val="IndexLink"/>
              </w:rPr>
              <w:t>3</w:t>
            </w:r>
            <w:r>
              <w:rPr>
                <w:rStyle w:val="IndexLink"/>
                <w:rtl w:val="true"/>
              </w:rPr>
              <w:t xml:space="preserve">. </w:t>
            </w:r>
            <w:r>
              <w:rPr>
                <w:rStyle w:val="IndexLink"/>
                <w:rtl w:val="true"/>
              </w:rPr>
              <w:t>الضدّ العام و الخاص</w:t>
            </w:r>
            <w:r>
              <w:rPr>
                <w:rStyle w:val="IndexLink"/>
                <w:rtl w:val="true"/>
              </w:rPr>
              <w:tab/>
            </w:r>
            <w:r>
              <w:rPr>
                <w:rStyle w:val="IndexLink"/>
              </w:rPr>
              <w:t>26</w:t>
            </w:r>
          </w:hyperlink>
        </w:p>
        <w:p>
          <w:pPr>
            <w:pStyle w:val="Contents5"/>
            <w:tabs>
              <w:tab w:val="clear" w:pos="7892"/>
              <w:tab w:val="right" w:pos="9026" w:leader="dot"/>
            </w:tabs>
            <w:rPr/>
          </w:pPr>
          <w:hyperlink w:anchor="__RefHeading___Toc7304582_3381743652">
            <w:r>
              <w:rPr>
                <w:webHidden/>
                <w:rStyle w:val="IndexLink"/>
              </w:rPr>
              <w:t>4</w:t>
            </w:r>
            <w:r>
              <w:rPr>
                <w:rStyle w:val="IndexLink"/>
                <w:rtl w:val="true"/>
              </w:rPr>
              <w:t xml:space="preserve">. </w:t>
            </w:r>
            <w:r>
              <w:rPr>
                <w:rStyle w:val="IndexLink"/>
                <w:rtl w:val="true"/>
              </w:rPr>
              <w:t>محاور البحث</w:t>
            </w:r>
            <w:r>
              <w:rPr>
                <w:rStyle w:val="IndexLink"/>
                <w:rtl w:val="true"/>
              </w:rPr>
              <w:tab/>
            </w:r>
            <w:r>
              <w:rPr>
                <w:rStyle w:val="IndexLink"/>
              </w:rPr>
              <w:t>26</w:t>
            </w:r>
          </w:hyperlink>
        </w:p>
        <w:p>
          <w:pPr>
            <w:pStyle w:val="Contents6"/>
            <w:tabs>
              <w:tab w:val="clear" w:pos="7609"/>
              <w:tab w:val="right" w:pos="9026" w:leader="dot"/>
            </w:tabs>
            <w:rPr/>
          </w:pPr>
          <w:hyperlink w:anchor="__RefHeading___Toc7304584_3381743652">
            <w:r>
              <w:rPr>
                <w:webHidden/>
                <w:rStyle w:val="IndexLink"/>
                <w:rtl w:val="true"/>
              </w:rPr>
              <w:t>اشارة</w:t>
            </w:r>
            <w:r>
              <w:rPr>
                <w:rStyle w:val="IndexLink"/>
                <w:rtl w:val="true"/>
              </w:rPr>
              <w:tab/>
            </w:r>
            <w:r>
              <w:rPr>
                <w:rStyle w:val="IndexLink"/>
              </w:rPr>
              <w:t>26</w:t>
            </w:r>
          </w:hyperlink>
        </w:p>
        <w:p>
          <w:pPr>
            <w:pStyle w:val="Contents6"/>
            <w:tabs>
              <w:tab w:val="clear" w:pos="7609"/>
              <w:tab w:val="right" w:pos="9026" w:leader="dot"/>
            </w:tabs>
            <w:rPr/>
          </w:pPr>
          <w:hyperlink w:anchor="__RefHeading___Toc7304586_3381743652">
            <w:r>
              <w:rPr>
                <w:webHidden/>
                <w:rStyle w:val="IndexLink"/>
                <w:rtl w:val="true"/>
              </w:rPr>
              <w:t>المحور الأوّل</w:t>
            </w:r>
            <w:r>
              <w:rPr>
                <w:rStyle w:val="IndexLink"/>
                <w:rtl w:val="true"/>
              </w:rPr>
              <w:t xml:space="preserve">: </w:t>
            </w:r>
            <w:r>
              <w:rPr>
                <w:rStyle w:val="IndexLink"/>
                <w:rtl w:val="true"/>
              </w:rPr>
              <w:t>الضد العام</w:t>
            </w:r>
            <w:r>
              <w:rPr>
                <w:rStyle w:val="IndexLink"/>
                <w:rtl w:val="true"/>
              </w:rPr>
              <w:tab/>
            </w:r>
            <w:r>
              <w:rPr>
                <w:rStyle w:val="IndexLink"/>
              </w:rPr>
              <w:t>27</w:t>
            </w:r>
          </w:hyperlink>
        </w:p>
        <w:p>
          <w:pPr>
            <w:pStyle w:val="Contents6"/>
            <w:tabs>
              <w:tab w:val="clear" w:pos="7609"/>
              <w:tab w:val="right" w:pos="9026" w:leader="dot"/>
            </w:tabs>
            <w:rPr/>
          </w:pPr>
          <w:hyperlink w:anchor="__RefHeading___Toc7304588_3381743652">
            <w:r>
              <w:rPr>
                <w:webHidden/>
                <w:rStyle w:val="IndexLink"/>
                <w:rtl w:val="true"/>
              </w:rPr>
              <w:t>هل الأمر بالشيء يقتضي النهي عن الضدّ العام أو لا؟</w:t>
            </w:r>
            <w:r>
              <w:rPr>
                <w:rStyle w:val="IndexLink"/>
                <w:rtl w:val="true"/>
              </w:rPr>
              <w:tab/>
            </w:r>
            <w:r>
              <w:rPr>
                <w:rStyle w:val="IndexLink"/>
              </w:rPr>
              <w:t>27</w:t>
            </w:r>
          </w:hyperlink>
        </w:p>
        <w:p>
          <w:pPr>
            <w:pStyle w:val="Contents6"/>
            <w:tabs>
              <w:tab w:val="clear" w:pos="7609"/>
              <w:tab w:val="right" w:pos="9026" w:leader="dot"/>
            </w:tabs>
            <w:rPr/>
          </w:pPr>
          <w:hyperlink w:anchor="__RefHeading___Toc7304590_3381743652">
            <w:r>
              <w:rPr>
                <w:webHidden/>
                <w:rStyle w:val="IndexLink"/>
                <w:rtl w:val="true"/>
              </w:rPr>
              <w:t>المحور الثاني حكم الضدّ الخاص</w:t>
            </w:r>
            <w:r>
              <w:rPr>
                <w:rStyle w:val="IndexLink"/>
                <w:rtl w:val="true"/>
              </w:rPr>
              <w:tab/>
            </w:r>
            <w:r>
              <w:rPr>
                <w:rStyle w:val="IndexLink"/>
              </w:rPr>
              <w:t>30</w:t>
            </w:r>
          </w:hyperlink>
        </w:p>
        <w:p>
          <w:pPr>
            <w:pStyle w:val="Contents6"/>
            <w:tabs>
              <w:tab w:val="clear" w:pos="7609"/>
              <w:tab w:val="right" w:pos="9026" w:leader="dot"/>
            </w:tabs>
            <w:rPr/>
          </w:pPr>
          <w:hyperlink w:anchor="__RefHeading___Toc7304592_3381743652">
            <w:r>
              <w:rPr>
                <w:webHidden/>
                <w:rStyle w:val="IndexLink"/>
                <w:rtl w:val="true"/>
              </w:rPr>
              <w:t>مسلك المقدّمية</w:t>
            </w:r>
            <w:r>
              <w:rPr>
                <w:rStyle w:val="IndexLink"/>
                <w:rtl w:val="true"/>
              </w:rPr>
              <w:tab/>
            </w:r>
            <w:r>
              <w:rPr>
                <w:rStyle w:val="IndexLink"/>
              </w:rPr>
              <w:t>32</w:t>
            </w:r>
          </w:hyperlink>
        </w:p>
        <w:p>
          <w:pPr>
            <w:pStyle w:val="Contents6"/>
            <w:tabs>
              <w:tab w:val="clear" w:pos="7609"/>
              <w:tab w:val="right" w:pos="9026" w:leader="dot"/>
            </w:tabs>
            <w:rPr/>
          </w:pPr>
          <w:hyperlink w:anchor="__RefHeading___Toc7304594_3381743652">
            <w:r>
              <w:rPr>
                <w:webHidden/>
                <w:rStyle w:val="IndexLink"/>
                <w:rtl w:val="true"/>
              </w:rPr>
              <w:t>المناقشة الأُولى</w:t>
            </w:r>
            <w:r>
              <w:rPr>
                <w:rStyle w:val="IndexLink"/>
                <w:rtl w:val="true"/>
              </w:rPr>
              <w:t xml:space="preserve">: </w:t>
            </w:r>
            <w:r>
              <w:rPr>
                <w:rStyle w:val="IndexLink"/>
                <w:rtl w:val="true"/>
              </w:rPr>
              <w:t>بينهما كمال الملاءمة لا المقدمية</w:t>
            </w:r>
            <w:r>
              <w:rPr>
                <w:rStyle w:val="IndexLink"/>
                <w:rtl w:val="true"/>
              </w:rPr>
              <w:tab/>
            </w:r>
            <w:r>
              <w:rPr>
                <w:rStyle w:val="IndexLink"/>
              </w:rPr>
              <w:t>32</w:t>
            </w:r>
          </w:hyperlink>
        </w:p>
        <w:p>
          <w:pPr>
            <w:pStyle w:val="Contents6"/>
            <w:tabs>
              <w:tab w:val="clear" w:pos="7609"/>
              <w:tab w:val="right" w:pos="9026" w:leader="dot"/>
            </w:tabs>
            <w:rPr/>
          </w:pPr>
          <w:hyperlink w:anchor="__RefHeading___Toc7304596_3381743652">
            <w:r>
              <w:rPr>
                <w:webHidden/>
                <w:rStyle w:val="IndexLink"/>
                <w:rtl w:val="true"/>
              </w:rPr>
              <w:t>المناقشة الثانية</w:t>
            </w:r>
            <w:r>
              <w:rPr>
                <w:rStyle w:val="IndexLink"/>
                <w:rtl w:val="true"/>
              </w:rPr>
              <w:t xml:space="preserve">: </w:t>
            </w:r>
            <w:r>
              <w:rPr>
                <w:rStyle w:val="IndexLink"/>
                <w:rtl w:val="true"/>
              </w:rPr>
              <w:t>قياس الضدّين بالنقيضين</w:t>
            </w:r>
            <w:r>
              <w:rPr>
                <w:rStyle w:val="IndexLink"/>
                <w:rtl w:val="true"/>
              </w:rPr>
              <w:tab/>
            </w:r>
            <w:r>
              <w:rPr>
                <w:rStyle w:val="IndexLink"/>
              </w:rPr>
              <w:t>37</w:t>
            </w:r>
          </w:hyperlink>
        </w:p>
        <w:p>
          <w:pPr>
            <w:pStyle w:val="Contents6"/>
            <w:tabs>
              <w:tab w:val="clear" w:pos="7609"/>
              <w:tab w:val="right" w:pos="9026" w:leader="dot"/>
            </w:tabs>
            <w:rPr/>
          </w:pPr>
          <w:hyperlink w:anchor="__RefHeading___Toc7304598_3381743652">
            <w:r>
              <w:rPr>
                <w:webHidden/>
                <w:rStyle w:val="IndexLink"/>
                <w:rtl w:val="true"/>
              </w:rPr>
              <w:t>المناقشة الثالثة</w:t>
            </w:r>
            <w:r>
              <w:rPr>
                <w:rStyle w:val="IndexLink"/>
                <w:rtl w:val="true"/>
              </w:rPr>
              <w:t xml:space="preserve">: </w:t>
            </w:r>
            <w:r>
              <w:rPr>
                <w:rStyle w:val="IndexLink"/>
                <w:rtl w:val="true"/>
              </w:rPr>
              <w:t>استلزامه الدور</w:t>
            </w:r>
            <w:r>
              <w:rPr>
                <w:rStyle w:val="IndexLink"/>
                <w:rtl w:val="true"/>
              </w:rPr>
              <w:tab/>
            </w:r>
            <w:r>
              <w:rPr>
                <w:rStyle w:val="IndexLink"/>
              </w:rPr>
              <w:t>38</w:t>
            </w:r>
          </w:hyperlink>
        </w:p>
        <w:p>
          <w:pPr>
            <w:pStyle w:val="Contents6"/>
            <w:tabs>
              <w:tab w:val="clear" w:pos="7609"/>
              <w:tab w:val="right" w:pos="9026" w:leader="dot"/>
            </w:tabs>
            <w:rPr/>
          </w:pPr>
          <w:hyperlink w:anchor="__RefHeading___Toc7304600_3381743652">
            <w:r>
              <w:rPr>
                <w:webHidden/>
                <w:rStyle w:val="IndexLink"/>
                <w:rtl w:val="true"/>
              </w:rPr>
              <w:t>تحليل المقدّمة الثانية من الاستدلال</w:t>
            </w:r>
            <w:r>
              <w:rPr>
                <w:rStyle w:val="IndexLink"/>
                <w:rtl w:val="true"/>
              </w:rPr>
              <w:tab/>
            </w:r>
            <w:r>
              <w:rPr>
                <w:rStyle w:val="IndexLink"/>
              </w:rPr>
              <w:t>40</w:t>
            </w:r>
          </w:hyperlink>
        </w:p>
        <w:p>
          <w:pPr>
            <w:pStyle w:val="Contents6"/>
            <w:tabs>
              <w:tab w:val="clear" w:pos="7609"/>
              <w:tab w:val="right" w:pos="9026" w:leader="dot"/>
            </w:tabs>
            <w:rPr/>
          </w:pPr>
          <w:hyperlink w:anchor="__RefHeading___Toc7304602_3381743652">
            <w:r>
              <w:rPr>
                <w:webHidden/>
                <w:rStyle w:val="IndexLink"/>
                <w:rtl w:val="true"/>
              </w:rPr>
              <w:t>المسلك الثاني</w:t>
            </w:r>
            <w:r>
              <w:rPr>
                <w:rStyle w:val="IndexLink"/>
                <w:rtl w:val="true"/>
              </w:rPr>
              <w:t xml:space="preserve">: </w:t>
            </w:r>
            <w:r>
              <w:rPr>
                <w:rStyle w:val="IndexLink"/>
                <w:rtl w:val="true"/>
              </w:rPr>
              <w:t>مسلك الملازمة</w:t>
            </w:r>
            <w:r>
              <w:rPr>
                <w:rStyle w:val="IndexLink"/>
                <w:rtl w:val="true"/>
              </w:rPr>
              <w:tab/>
            </w:r>
            <w:r>
              <w:rPr>
                <w:rStyle w:val="IndexLink"/>
              </w:rPr>
              <w:t>42</w:t>
            </w:r>
          </w:hyperlink>
        </w:p>
        <w:p>
          <w:pPr>
            <w:pStyle w:val="Contents6"/>
            <w:tabs>
              <w:tab w:val="clear" w:pos="7609"/>
              <w:tab w:val="right" w:pos="9026" w:leader="dot"/>
            </w:tabs>
            <w:rPr/>
          </w:pPr>
          <w:hyperlink w:anchor="__RefHeading___Toc7304604_3381743652">
            <w:r>
              <w:rPr>
                <w:webHidden/>
                <w:rStyle w:val="IndexLink"/>
                <w:rtl w:val="true"/>
              </w:rPr>
              <w:t>عود إلى مسلك المقدمية ثانياً</w:t>
            </w:r>
            <w:r>
              <w:rPr>
                <w:rStyle w:val="IndexLink"/>
                <w:rtl w:val="true"/>
              </w:rPr>
              <w:tab/>
            </w:r>
            <w:r>
              <w:rPr>
                <w:rStyle w:val="IndexLink"/>
              </w:rPr>
              <w:t>43</w:t>
            </w:r>
          </w:hyperlink>
        </w:p>
        <w:p>
          <w:pPr>
            <w:pStyle w:val="Contents6"/>
            <w:tabs>
              <w:tab w:val="clear" w:pos="7609"/>
              <w:tab w:val="right" w:pos="9026" w:leader="dot"/>
            </w:tabs>
            <w:rPr/>
          </w:pPr>
          <w:hyperlink w:anchor="__RefHeading___Toc7304606_3381743652">
            <w:r>
              <w:rPr>
                <w:webHidden/>
                <w:rStyle w:val="IndexLink"/>
                <w:rtl w:val="true"/>
              </w:rPr>
              <w:t>بحث استطرادي</w:t>
            </w:r>
            <w:r>
              <w:rPr>
                <w:rStyle w:val="IndexLink"/>
                <w:rtl w:val="true"/>
              </w:rPr>
              <w:t xml:space="preserve">: </w:t>
            </w:r>
            <w:r>
              <w:rPr>
                <w:rStyle w:val="IndexLink"/>
                <w:rtl w:val="true"/>
              </w:rPr>
              <w:t>إنكار المباح أو شبهة الكعبي</w:t>
            </w:r>
            <w:r>
              <w:rPr>
                <w:rStyle w:val="IndexLink"/>
                <w:rtl w:val="true"/>
              </w:rPr>
              <w:tab/>
            </w:r>
            <w:r>
              <w:rPr>
                <w:rStyle w:val="IndexLink"/>
              </w:rPr>
              <w:t>44</w:t>
            </w:r>
          </w:hyperlink>
        </w:p>
        <w:p>
          <w:pPr>
            <w:pStyle w:val="Contents6"/>
            <w:tabs>
              <w:tab w:val="clear" w:pos="7609"/>
              <w:tab w:val="right" w:pos="9026" w:leader="dot"/>
            </w:tabs>
            <w:rPr/>
          </w:pPr>
          <w:hyperlink w:anchor="__RefHeading___Toc7304608_3381743652">
            <w:r>
              <w:rPr>
                <w:webHidden/>
                <w:rStyle w:val="IndexLink"/>
                <w:rtl w:val="true"/>
              </w:rPr>
              <w:t>المحور الثالث في الثمرة الفقهية</w:t>
            </w:r>
            <w:r>
              <w:rPr>
                <w:rStyle w:val="IndexLink"/>
                <w:rtl w:val="true"/>
              </w:rPr>
              <w:tab/>
            </w:r>
            <w:r>
              <w:rPr>
                <w:rStyle w:val="IndexLink"/>
              </w:rPr>
              <w:t>46</w:t>
            </w:r>
          </w:hyperlink>
        </w:p>
        <w:p>
          <w:pPr>
            <w:pStyle w:val="Contents6"/>
            <w:tabs>
              <w:tab w:val="clear" w:pos="7609"/>
              <w:tab w:val="right" w:pos="9026" w:leader="dot"/>
            </w:tabs>
            <w:rPr/>
          </w:pPr>
          <w:hyperlink w:anchor="__RefHeading___Toc7304610_3381743652">
            <w:r>
              <w:rPr>
                <w:webHidden/>
                <w:rStyle w:val="IndexLink"/>
                <w:rtl w:val="true"/>
              </w:rPr>
              <w:t>الأوّل</w:t>
            </w:r>
            <w:r>
              <w:rPr>
                <w:rStyle w:val="IndexLink"/>
                <w:rtl w:val="true"/>
              </w:rPr>
              <w:t xml:space="preserve">: </w:t>
            </w:r>
            <w:r>
              <w:rPr>
                <w:rStyle w:val="IndexLink"/>
                <w:rtl w:val="true"/>
              </w:rPr>
              <w:t>كفاية وجود الملاك في صحّة العبادة</w:t>
            </w:r>
            <w:r>
              <w:rPr>
                <w:rStyle w:val="IndexLink"/>
                <w:rtl w:val="true"/>
              </w:rPr>
              <w:tab/>
            </w:r>
            <w:r>
              <w:rPr>
                <w:rStyle w:val="IndexLink"/>
              </w:rPr>
              <w:t>48</w:t>
            </w:r>
          </w:hyperlink>
        </w:p>
        <w:p>
          <w:pPr>
            <w:pStyle w:val="Contents6"/>
            <w:tabs>
              <w:tab w:val="clear" w:pos="7609"/>
              <w:tab w:val="right" w:pos="9026" w:leader="dot"/>
            </w:tabs>
            <w:rPr/>
          </w:pPr>
          <w:hyperlink w:anchor="__RefHeading___Toc7304612_3381743652">
            <w:r>
              <w:rPr>
                <w:webHidden/>
                <w:rStyle w:val="IndexLink"/>
                <w:rtl w:val="true"/>
              </w:rPr>
              <w:t>الثاني</w:t>
            </w:r>
            <w:r>
              <w:rPr>
                <w:rStyle w:val="IndexLink"/>
                <w:rtl w:val="true"/>
              </w:rPr>
              <w:t xml:space="preserve">: </w:t>
            </w:r>
            <w:r>
              <w:rPr>
                <w:rStyle w:val="IndexLink"/>
                <w:rtl w:val="true"/>
              </w:rPr>
              <w:t>كفاية قصد الأمر المتعلّق بالطبيعة</w:t>
            </w:r>
            <w:r>
              <w:rPr>
                <w:rStyle w:val="IndexLink"/>
                <w:rtl w:val="true"/>
              </w:rPr>
              <w:tab/>
            </w:r>
            <w:r>
              <w:rPr>
                <w:rStyle w:val="IndexLink"/>
              </w:rPr>
              <w:t>49</w:t>
            </w:r>
          </w:hyperlink>
        </w:p>
        <w:p>
          <w:pPr>
            <w:pStyle w:val="Contents4"/>
            <w:tabs>
              <w:tab w:val="clear" w:pos="8176"/>
              <w:tab w:val="right" w:pos="9026" w:leader="dot"/>
            </w:tabs>
            <w:rPr/>
          </w:pPr>
          <w:hyperlink w:anchor="__RefHeading___Toc7304614_3381743652">
            <w:r>
              <w:rPr>
                <w:webHidden/>
                <w:rStyle w:val="IndexLink"/>
                <w:rtl w:val="true"/>
              </w:rPr>
              <w:t>الأمر بالضدين على نحو الترتّب</w:t>
            </w:r>
            <w:r>
              <w:rPr>
                <w:rStyle w:val="IndexLink"/>
                <w:rtl w:val="true"/>
              </w:rPr>
              <w:tab/>
            </w:r>
            <w:r>
              <w:rPr>
                <w:rStyle w:val="IndexLink"/>
              </w:rPr>
              <w:t>52</w:t>
            </w:r>
          </w:hyperlink>
        </w:p>
        <w:p>
          <w:pPr>
            <w:pStyle w:val="Contents5"/>
            <w:tabs>
              <w:tab w:val="clear" w:pos="7892"/>
              <w:tab w:val="right" w:pos="9026" w:leader="dot"/>
            </w:tabs>
            <w:rPr/>
          </w:pPr>
          <w:hyperlink w:anchor="__RefHeading___Toc7304616_3381743652">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7304618_3381743652">
            <w:r>
              <w:rPr>
                <w:webHidden/>
                <w:rStyle w:val="IndexLink"/>
                <w:rtl w:val="true"/>
              </w:rPr>
              <w:t>نقدم أُموراً قبل الخوض في صلب الموضوع</w:t>
            </w:r>
            <w:r>
              <w:rPr>
                <w:rStyle w:val="IndexLink"/>
                <w:rtl w:val="true"/>
              </w:rPr>
              <w:t>.</w:t>
              <w:tab/>
            </w:r>
            <w:r>
              <w:rPr>
                <w:rStyle w:val="IndexLink"/>
              </w:rPr>
              <w:t>52</w:t>
            </w:r>
          </w:hyperlink>
        </w:p>
        <w:p>
          <w:pPr>
            <w:pStyle w:val="Contents6"/>
            <w:tabs>
              <w:tab w:val="clear" w:pos="7609"/>
              <w:tab w:val="right" w:pos="9026" w:leader="dot"/>
            </w:tabs>
            <w:rPr/>
          </w:pPr>
          <w:hyperlink w:anchor="__RefHeading___Toc7304620_3381743652">
            <w:r>
              <w:rPr>
                <w:webHidden/>
                <w:rStyle w:val="IndexLink"/>
                <w:rtl w:val="true"/>
              </w:rPr>
              <w:t>الأوّل</w:t>
            </w:r>
            <w:r>
              <w:rPr>
                <w:rStyle w:val="IndexLink"/>
                <w:rtl w:val="true"/>
              </w:rPr>
              <w:t xml:space="preserve">: </w:t>
            </w:r>
            <w:r>
              <w:rPr>
                <w:rStyle w:val="IndexLink"/>
                <w:rtl w:val="true"/>
              </w:rPr>
              <w:t>الفرق بين التعارض و التزاحم</w:t>
            </w:r>
            <w:r>
              <w:rPr>
                <w:rStyle w:val="IndexLink"/>
                <w:rtl w:val="true"/>
              </w:rPr>
              <w:tab/>
            </w:r>
            <w:r>
              <w:rPr>
                <w:rStyle w:val="IndexLink"/>
              </w:rPr>
              <w:t>52</w:t>
            </w:r>
          </w:hyperlink>
        </w:p>
        <w:p>
          <w:pPr>
            <w:pStyle w:val="Contents6"/>
            <w:tabs>
              <w:tab w:val="clear" w:pos="7609"/>
              <w:tab w:val="right" w:pos="9026" w:leader="dot"/>
            </w:tabs>
            <w:rPr/>
          </w:pPr>
          <w:hyperlink w:anchor="__RefHeading___Toc7304622_3381743652">
            <w:r>
              <w:rPr>
                <w:webHidden/>
                <w:rStyle w:val="IndexLink"/>
                <w:rtl w:val="true"/>
              </w:rPr>
              <w:t>الثاني</w:t>
            </w:r>
            <w:r>
              <w:rPr>
                <w:rStyle w:val="IndexLink"/>
                <w:rtl w:val="true"/>
              </w:rPr>
              <w:t xml:space="preserve">: </w:t>
            </w:r>
            <w:r>
              <w:rPr>
                <w:rStyle w:val="IndexLink"/>
                <w:rtl w:val="true"/>
              </w:rPr>
              <w:t>مرجحات التعارض غير مرجحات التزاحم</w:t>
            </w:r>
            <w:r>
              <w:rPr>
                <w:rStyle w:val="IndexLink"/>
                <w:rtl w:val="true"/>
              </w:rPr>
              <w:tab/>
            </w:r>
            <w:r>
              <w:rPr>
                <w:rStyle w:val="IndexLink"/>
              </w:rPr>
              <w:t>54</w:t>
            </w:r>
          </w:hyperlink>
        </w:p>
        <w:p>
          <w:pPr>
            <w:pStyle w:val="Contents6"/>
            <w:tabs>
              <w:tab w:val="clear" w:pos="7609"/>
              <w:tab w:val="right" w:pos="9026" w:leader="dot"/>
            </w:tabs>
            <w:rPr/>
          </w:pPr>
          <w:hyperlink w:anchor="__RefHeading___Toc7304624_3381743652">
            <w:r>
              <w:rPr>
                <w:webHidden/>
                <w:rStyle w:val="IndexLink"/>
                <w:rtl w:val="true"/>
              </w:rPr>
              <w:t>الثالث</w:t>
            </w:r>
            <w:r>
              <w:rPr>
                <w:rStyle w:val="IndexLink"/>
                <w:rtl w:val="true"/>
              </w:rPr>
              <w:t xml:space="preserve">: </w:t>
            </w:r>
            <w:r>
              <w:rPr>
                <w:rStyle w:val="IndexLink"/>
                <w:rtl w:val="true"/>
              </w:rPr>
              <w:t>في تعريف الترتّب</w:t>
            </w:r>
            <w:r>
              <w:rPr>
                <w:rStyle w:val="IndexLink"/>
                <w:rtl w:val="true"/>
              </w:rPr>
              <w:tab/>
            </w:r>
            <w:r>
              <w:rPr>
                <w:rStyle w:val="IndexLink"/>
              </w:rPr>
              <w:t>55</w:t>
            </w:r>
          </w:hyperlink>
        </w:p>
        <w:p>
          <w:pPr>
            <w:pStyle w:val="Contents6"/>
            <w:tabs>
              <w:tab w:val="clear" w:pos="7609"/>
              <w:tab w:val="right" w:pos="9026" w:leader="dot"/>
            </w:tabs>
            <w:rPr/>
          </w:pPr>
          <w:hyperlink w:anchor="__RefHeading___Toc7304626_3381743652">
            <w:r>
              <w:rPr>
                <w:webHidden/>
                <w:rStyle w:val="IndexLink"/>
                <w:rtl w:val="true"/>
              </w:rPr>
              <w:t>الرابع</w:t>
            </w:r>
            <w:r>
              <w:rPr>
                <w:rStyle w:val="IndexLink"/>
                <w:rtl w:val="true"/>
              </w:rPr>
              <w:t xml:space="preserve">: </w:t>
            </w:r>
            <w:r>
              <w:rPr>
                <w:rStyle w:val="IndexLink"/>
                <w:rtl w:val="true"/>
              </w:rPr>
              <w:t>صحّة الترتّب و عدمها عقلي</w:t>
            </w:r>
            <w:r>
              <w:rPr>
                <w:rStyle w:val="IndexLink"/>
                <w:rtl w:val="true"/>
              </w:rPr>
              <w:tab/>
            </w:r>
            <w:r>
              <w:rPr>
                <w:rStyle w:val="IndexLink"/>
              </w:rPr>
              <w:t>55</w:t>
            </w:r>
          </w:hyperlink>
        </w:p>
        <w:p>
          <w:pPr>
            <w:pStyle w:val="Contents6"/>
            <w:tabs>
              <w:tab w:val="clear" w:pos="7609"/>
              <w:tab w:val="right" w:pos="9026" w:leader="dot"/>
            </w:tabs>
            <w:rPr/>
          </w:pPr>
          <w:hyperlink w:anchor="__RefHeading___Toc7304628_3381743652">
            <w:r>
              <w:rPr>
                <w:webHidden/>
                <w:rStyle w:val="IndexLink"/>
                <w:rtl w:val="true"/>
              </w:rPr>
              <w:t>الخامس</w:t>
            </w:r>
            <w:r>
              <w:rPr>
                <w:rStyle w:val="IndexLink"/>
                <w:rtl w:val="true"/>
              </w:rPr>
              <w:t xml:space="preserve">: </w:t>
            </w:r>
            <w:r>
              <w:rPr>
                <w:rStyle w:val="IndexLink"/>
                <w:rtl w:val="true"/>
              </w:rPr>
              <w:t>الترتّب يكفي في وقوعه إمكانه</w:t>
            </w:r>
            <w:r>
              <w:rPr>
                <w:rStyle w:val="IndexLink"/>
                <w:rtl w:val="true"/>
              </w:rPr>
              <w:tab/>
            </w:r>
            <w:r>
              <w:rPr>
                <w:rStyle w:val="IndexLink"/>
              </w:rPr>
              <w:t>56</w:t>
            </w:r>
          </w:hyperlink>
        </w:p>
        <w:p>
          <w:pPr>
            <w:pStyle w:val="Contents6"/>
            <w:tabs>
              <w:tab w:val="clear" w:pos="7609"/>
              <w:tab w:val="right" w:pos="9026" w:leader="dot"/>
            </w:tabs>
            <w:rPr/>
          </w:pPr>
          <w:hyperlink w:anchor="__RefHeading___Toc7304630_3381743652">
            <w:r>
              <w:rPr>
                <w:webHidden/>
                <w:rStyle w:val="IndexLink"/>
                <w:rtl w:val="true"/>
              </w:rPr>
              <w:t>السادس</w:t>
            </w:r>
            <w:r>
              <w:rPr>
                <w:rStyle w:val="IndexLink"/>
                <w:rtl w:val="true"/>
              </w:rPr>
              <w:t xml:space="preserve">: </w:t>
            </w:r>
            <w:r>
              <w:rPr>
                <w:rStyle w:val="IndexLink"/>
                <w:rtl w:val="true"/>
              </w:rPr>
              <w:t>الأمر بالمهم فعليّ كالأهم</w:t>
            </w:r>
            <w:r>
              <w:rPr>
                <w:rStyle w:val="IndexLink"/>
                <w:rtl w:val="true"/>
              </w:rPr>
              <w:tab/>
            </w:r>
            <w:r>
              <w:rPr>
                <w:rStyle w:val="IndexLink"/>
              </w:rPr>
              <w:t>56</w:t>
            </w:r>
          </w:hyperlink>
        </w:p>
        <w:p>
          <w:pPr>
            <w:pStyle w:val="Contents5"/>
            <w:tabs>
              <w:tab w:val="clear" w:pos="7892"/>
              <w:tab w:val="right" w:pos="9026" w:leader="dot"/>
            </w:tabs>
            <w:rPr/>
          </w:pPr>
          <w:hyperlink w:anchor="__RefHeading___Toc7304632_3381743652">
            <w:r>
              <w:rPr>
                <w:webHidden/>
                <w:rStyle w:val="IndexLink"/>
                <w:rtl w:val="true"/>
              </w:rPr>
              <w:t>التقريب الأوّل للترتّب</w:t>
            </w:r>
            <w:r>
              <w:rPr>
                <w:rStyle w:val="IndexLink"/>
                <w:rtl w:val="true"/>
              </w:rPr>
              <w:tab/>
            </w:r>
            <w:r>
              <w:rPr>
                <w:rStyle w:val="IndexLink"/>
              </w:rPr>
              <w:t>59</w:t>
            </w:r>
          </w:hyperlink>
        </w:p>
        <w:p>
          <w:pPr>
            <w:pStyle w:val="Contents6"/>
            <w:tabs>
              <w:tab w:val="clear" w:pos="7609"/>
              <w:tab w:val="right" w:pos="9026" w:leader="dot"/>
            </w:tabs>
            <w:rPr/>
          </w:pPr>
          <w:hyperlink w:anchor="__RefHeading___Toc7304634_3381743652">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7304636_3381743652">
            <w:r>
              <w:rPr>
                <w:webHidden/>
                <w:rStyle w:val="IndexLink"/>
                <w:rtl w:val="true"/>
              </w:rPr>
              <w:t>نقد المحقّق الخراساني دليل القائل بالترتّب</w:t>
            </w:r>
            <w:r>
              <w:rPr>
                <w:rStyle w:val="IndexLink"/>
                <w:rtl w:val="true"/>
              </w:rPr>
              <w:tab/>
            </w:r>
            <w:r>
              <w:rPr>
                <w:rStyle w:val="IndexLink"/>
              </w:rPr>
              <w:t>59</w:t>
            </w:r>
          </w:hyperlink>
        </w:p>
        <w:p>
          <w:pPr>
            <w:pStyle w:val="Contents6"/>
            <w:tabs>
              <w:tab w:val="clear" w:pos="7609"/>
              <w:tab w:val="right" w:pos="9026" w:leader="dot"/>
            </w:tabs>
            <w:rPr/>
          </w:pPr>
          <w:hyperlink w:anchor="__RefHeading___Toc7304638_3381743652">
            <w:r>
              <w:rPr>
                <w:webHidden/>
                <w:rStyle w:val="IndexLink"/>
                <w:rtl w:val="true"/>
              </w:rPr>
              <w:t>تحليل نظرية المحقّق الخراساني</w:t>
            </w:r>
            <w:r>
              <w:rPr>
                <w:rStyle w:val="IndexLink"/>
                <w:rtl w:val="true"/>
              </w:rPr>
              <w:tab/>
            </w:r>
            <w:r>
              <w:rPr>
                <w:rStyle w:val="IndexLink"/>
              </w:rPr>
              <w:t>60</w:t>
            </w:r>
          </w:hyperlink>
        </w:p>
        <w:p>
          <w:pPr>
            <w:pStyle w:val="Contents6"/>
            <w:tabs>
              <w:tab w:val="clear" w:pos="7609"/>
              <w:tab w:val="right" w:pos="9026" w:leader="dot"/>
            </w:tabs>
            <w:rPr/>
          </w:pPr>
          <w:hyperlink w:anchor="__RefHeading___Toc7304640_3381743652">
            <w:r>
              <w:rPr>
                <w:webHidden/>
                <w:rStyle w:val="IndexLink"/>
                <w:rtl w:val="true"/>
              </w:rPr>
              <w:t>اعتراضات و أجوبتها</w:t>
            </w:r>
            <w:r>
              <w:rPr>
                <w:rStyle w:val="IndexLink"/>
                <w:rtl w:val="true"/>
              </w:rPr>
              <w:tab/>
            </w:r>
            <w:r>
              <w:rPr>
                <w:rStyle w:val="IndexLink"/>
              </w:rPr>
              <w:t>62</w:t>
            </w:r>
          </w:hyperlink>
        </w:p>
        <w:p>
          <w:pPr>
            <w:pStyle w:val="Contents6"/>
            <w:tabs>
              <w:tab w:val="clear" w:pos="7609"/>
              <w:tab w:val="right" w:pos="9026" w:leader="dot"/>
            </w:tabs>
            <w:rPr/>
          </w:pPr>
          <w:hyperlink w:anchor="__RefHeading___Toc7304642_3381743652">
            <w:r>
              <w:rPr>
                <w:webHidden/>
                <w:rStyle w:val="IndexLink"/>
                <w:rtl w:val="true"/>
              </w:rPr>
              <w:t>الاعتراض الأوّل لا دليل على امتناع طلب الضدّين إذا كان بسوء الاختيار حيث يعصي فيما بعدُ بالاختيار</w:t>
            </w:r>
            <w:r>
              <w:rPr>
                <w:rStyle w:val="IndexLink"/>
                <w:rtl w:val="true"/>
              </w:rPr>
              <w:tab/>
            </w:r>
            <w:r>
              <w:rPr>
                <w:rStyle w:val="IndexLink"/>
              </w:rPr>
              <w:t>62</w:t>
            </w:r>
          </w:hyperlink>
        </w:p>
        <w:p>
          <w:pPr>
            <w:pStyle w:val="Contents6"/>
            <w:tabs>
              <w:tab w:val="clear" w:pos="7609"/>
              <w:tab w:val="right" w:pos="9026" w:leader="dot"/>
            </w:tabs>
            <w:rPr/>
          </w:pPr>
          <w:hyperlink w:anchor="__RefHeading___Toc7304644_3381743652">
            <w:r>
              <w:rPr>
                <w:webHidden/>
                <w:rStyle w:val="IndexLink"/>
                <w:rtl w:val="true"/>
              </w:rPr>
              <w:t>إجابة المحقّق الخراساني</w:t>
            </w:r>
            <w:r>
              <w:rPr>
                <w:rStyle w:val="IndexLink"/>
                <w:rtl w:val="true"/>
              </w:rPr>
              <w:tab/>
            </w:r>
            <w:r>
              <w:rPr>
                <w:rStyle w:val="IndexLink"/>
              </w:rPr>
              <w:t>63</w:t>
            </w:r>
          </w:hyperlink>
        </w:p>
        <w:p>
          <w:pPr>
            <w:pStyle w:val="Contents6"/>
            <w:tabs>
              <w:tab w:val="clear" w:pos="7609"/>
              <w:tab w:val="right" w:pos="9026" w:leader="dot"/>
            </w:tabs>
            <w:rPr/>
          </w:pPr>
          <w:hyperlink w:anchor="__RefHeading___Toc7304646_3381743652">
            <w:r>
              <w:rPr>
                <w:webHidden/>
                <w:rStyle w:val="IndexLink"/>
                <w:rtl w:val="true"/>
              </w:rPr>
              <w:t>تحليل السؤال و الجواب</w:t>
            </w:r>
            <w:r>
              <w:rPr>
                <w:rStyle w:val="IndexLink"/>
                <w:rtl w:val="true"/>
              </w:rPr>
              <w:tab/>
            </w:r>
            <w:r>
              <w:rPr>
                <w:rStyle w:val="IndexLink"/>
              </w:rPr>
              <w:t>63</w:t>
            </w:r>
          </w:hyperlink>
        </w:p>
        <w:p>
          <w:pPr>
            <w:pStyle w:val="Contents6"/>
            <w:tabs>
              <w:tab w:val="clear" w:pos="7609"/>
              <w:tab w:val="right" w:pos="9026" w:leader="dot"/>
            </w:tabs>
            <w:rPr/>
          </w:pPr>
          <w:hyperlink w:anchor="__RefHeading___Toc7304648_3381743652">
            <w:r>
              <w:rPr>
                <w:webHidden/>
                <w:rStyle w:val="IndexLink"/>
                <w:rtl w:val="true"/>
              </w:rPr>
              <w:t>الاعتراض الثاني إنّ قياس المقام بالأمرين العرضيين قياس مع الفارق،</w:t>
            </w:r>
            <w:r>
              <w:rPr>
                <w:rStyle w:val="IndexLink"/>
                <w:rtl w:val="true"/>
              </w:rPr>
              <w:tab/>
            </w:r>
            <w:r>
              <w:rPr>
                <w:rStyle w:val="IndexLink"/>
              </w:rPr>
              <w:t>64</w:t>
            </w:r>
          </w:hyperlink>
        </w:p>
        <w:p>
          <w:pPr>
            <w:pStyle w:val="Contents6"/>
            <w:tabs>
              <w:tab w:val="clear" w:pos="7609"/>
              <w:tab w:val="right" w:pos="9026" w:leader="dot"/>
            </w:tabs>
            <w:rPr/>
          </w:pPr>
          <w:hyperlink w:anchor="__RefHeading___Toc7304650_3381743652">
            <w:r>
              <w:rPr>
                <w:webHidden/>
                <w:rStyle w:val="IndexLink"/>
                <w:rtl w:val="true"/>
              </w:rPr>
              <w:t>إجابة المحقّق الخراساني</w:t>
            </w:r>
            <w:r>
              <w:rPr>
                <w:rStyle w:val="IndexLink"/>
                <w:rtl w:val="true"/>
              </w:rPr>
              <w:tab/>
            </w:r>
            <w:r>
              <w:rPr>
                <w:rStyle w:val="IndexLink"/>
              </w:rPr>
              <w:t>64</w:t>
            </w:r>
          </w:hyperlink>
        </w:p>
        <w:p>
          <w:pPr>
            <w:pStyle w:val="Contents6"/>
            <w:tabs>
              <w:tab w:val="clear" w:pos="7609"/>
              <w:tab w:val="right" w:pos="9026" w:leader="dot"/>
            </w:tabs>
            <w:rPr/>
          </w:pPr>
          <w:hyperlink w:anchor="__RefHeading___Toc7304652_3381743652">
            <w:r>
              <w:rPr>
                <w:webHidden/>
                <w:rStyle w:val="IndexLink"/>
                <w:rtl w:val="true"/>
              </w:rPr>
              <w:t>الاعتراض الثالث كيف تنكرون الترتب مع أنّه واقع في العرف كثيراً؟</w:t>
            </w:r>
            <w:r>
              <w:rPr>
                <w:rStyle w:val="IndexLink"/>
                <w:rtl w:val="true"/>
              </w:rPr>
              <w:tab/>
            </w:r>
            <w:r>
              <w:rPr>
                <w:rStyle w:val="IndexLink"/>
              </w:rPr>
              <w:t>67</w:t>
            </w:r>
          </w:hyperlink>
        </w:p>
        <w:p>
          <w:pPr>
            <w:pStyle w:val="Contents6"/>
            <w:tabs>
              <w:tab w:val="clear" w:pos="7609"/>
              <w:tab w:val="right" w:pos="9026" w:leader="dot"/>
            </w:tabs>
            <w:rPr/>
          </w:pPr>
          <w:hyperlink w:anchor="__RefHeading___Toc7304654_3381743652">
            <w:r>
              <w:rPr>
                <w:webHidden/>
                <w:rStyle w:val="IndexLink"/>
                <w:rtl w:val="true"/>
              </w:rPr>
              <w:t>إجابة المحقّق الخراساني</w:t>
            </w:r>
            <w:r>
              <w:rPr>
                <w:rStyle w:val="IndexLink"/>
                <w:rtl w:val="true"/>
              </w:rPr>
              <w:tab/>
            </w:r>
            <w:r>
              <w:rPr>
                <w:rStyle w:val="IndexLink"/>
              </w:rPr>
              <w:t>67</w:t>
            </w:r>
          </w:hyperlink>
        </w:p>
        <w:p>
          <w:pPr>
            <w:pStyle w:val="Contents6"/>
            <w:tabs>
              <w:tab w:val="clear" w:pos="7609"/>
              <w:tab w:val="right" w:pos="9026" w:leader="dot"/>
            </w:tabs>
            <w:rPr/>
          </w:pPr>
          <w:hyperlink w:anchor="__RefHeading___Toc7304656_3381743652">
            <w:r>
              <w:rPr>
                <w:webHidden/>
                <w:rStyle w:val="IndexLink"/>
                <w:rtl w:val="true"/>
              </w:rPr>
              <w:t>الاستدلال على بطلان الترتّب بطريق الإن</w:t>
            </w:r>
            <w:r>
              <w:rPr>
                <w:rStyle w:val="IndexLink"/>
                <w:rtl w:val="true"/>
              </w:rPr>
              <w:tab/>
            </w:r>
            <w:r>
              <w:rPr>
                <w:rStyle w:val="IndexLink"/>
              </w:rPr>
              <w:t>68</w:t>
            </w:r>
          </w:hyperlink>
        </w:p>
        <w:p>
          <w:pPr>
            <w:pStyle w:val="Contents6"/>
            <w:tabs>
              <w:tab w:val="clear" w:pos="7609"/>
              <w:tab w:val="right" w:pos="9026" w:leader="dot"/>
            </w:tabs>
            <w:rPr/>
          </w:pPr>
          <w:hyperlink w:anchor="__RefHeading___Toc7304658_3381743652">
            <w:r>
              <w:rPr>
                <w:webHidden/>
                <w:rStyle w:val="IndexLink"/>
                <w:rtl w:val="true"/>
              </w:rPr>
              <w:t>بيان للمحقّق الحائري في امتناع الترتّب</w:t>
            </w:r>
            <w:r>
              <w:rPr>
                <w:rStyle w:val="IndexLink"/>
                <w:rtl w:val="true"/>
              </w:rPr>
              <w:tab/>
            </w:r>
            <w:r>
              <w:rPr>
                <w:rStyle w:val="IndexLink"/>
              </w:rPr>
              <w:t>69</w:t>
            </w:r>
          </w:hyperlink>
        </w:p>
        <w:p>
          <w:pPr>
            <w:pStyle w:val="Contents5"/>
            <w:tabs>
              <w:tab w:val="clear" w:pos="7892"/>
              <w:tab w:val="right" w:pos="9026" w:leader="dot"/>
            </w:tabs>
            <w:rPr/>
          </w:pPr>
          <w:hyperlink w:anchor="__RefHeading___Toc7304660_3381743652">
            <w:r>
              <w:rPr>
                <w:webHidden/>
                <w:rStyle w:val="IndexLink"/>
                <w:rtl w:val="true"/>
              </w:rPr>
              <w:t>التقريب الثاني لتصحيح الترتّب</w:t>
            </w:r>
            <w:r>
              <w:rPr>
                <w:rStyle w:val="IndexLink"/>
                <w:rtl w:val="true"/>
              </w:rPr>
              <w:tab/>
            </w:r>
            <w:r>
              <w:rPr>
                <w:rStyle w:val="IndexLink"/>
              </w:rPr>
              <w:t>72</w:t>
            </w:r>
          </w:hyperlink>
        </w:p>
        <w:p>
          <w:pPr>
            <w:pStyle w:val="Contents5"/>
            <w:tabs>
              <w:tab w:val="clear" w:pos="7892"/>
              <w:tab w:val="right" w:pos="9026" w:leader="dot"/>
            </w:tabs>
            <w:rPr/>
          </w:pPr>
          <w:hyperlink w:anchor="__RefHeading___Toc7304662_3381743652">
            <w:r>
              <w:rPr>
                <w:webHidden/>
                <w:rStyle w:val="IndexLink"/>
                <w:rtl w:val="true"/>
              </w:rPr>
              <w:t>التقريب الثالث لتصحيح الترتّب</w:t>
            </w:r>
            <w:r>
              <w:rPr>
                <w:rStyle w:val="IndexLink"/>
                <w:rtl w:val="true"/>
              </w:rPr>
              <w:tab/>
            </w:r>
            <w:r>
              <w:rPr>
                <w:rStyle w:val="IndexLink"/>
              </w:rPr>
              <w:t>74</w:t>
            </w:r>
          </w:hyperlink>
        </w:p>
        <w:p>
          <w:pPr>
            <w:pStyle w:val="Contents5"/>
            <w:tabs>
              <w:tab w:val="clear" w:pos="7892"/>
              <w:tab w:val="right" w:pos="9026" w:leader="dot"/>
            </w:tabs>
            <w:rPr/>
          </w:pPr>
          <w:hyperlink w:anchor="__RefHeading___Toc7304664_3381743652">
            <w:r>
              <w:rPr>
                <w:webHidden/>
                <w:rStyle w:val="IndexLink"/>
                <w:rtl w:val="true"/>
              </w:rPr>
              <w:t>التقريب الرابع لتصحيح الترتّب</w:t>
            </w:r>
            <w:r>
              <w:rPr>
                <w:rStyle w:val="IndexLink"/>
                <w:rtl w:val="true"/>
              </w:rPr>
              <w:tab/>
            </w:r>
            <w:r>
              <w:rPr>
                <w:rStyle w:val="IndexLink"/>
              </w:rPr>
              <w:t>76</w:t>
            </w:r>
          </w:hyperlink>
        </w:p>
        <w:p>
          <w:pPr>
            <w:pStyle w:val="Contents5"/>
            <w:tabs>
              <w:tab w:val="clear" w:pos="7892"/>
              <w:tab w:val="right" w:pos="9026" w:leader="dot"/>
            </w:tabs>
            <w:rPr/>
          </w:pPr>
          <w:hyperlink w:anchor="__RefHeading___Toc7304666_3381743652">
            <w:r>
              <w:rPr>
                <w:webHidden/>
                <w:rStyle w:val="IndexLink"/>
                <w:rtl w:val="true"/>
              </w:rPr>
              <w:t>التقريب الخامس لتصحيح الترتّب</w:t>
            </w:r>
            <w:r>
              <w:rPr>
                <w:rStyle w:val="IndexLink"/>
                <w:rtl w:val="true"/>
              </w:rPr>
              <w:tab/>
            </w:r>
            <w:r>
              <w:rPr>
                <w:rStyle w:val="IndexLink"/>
              </w:rPr>
              <w:t>78</w:t>
            </w:r>
          </w:hyperlink>
        </w:p>
        <w:p>
          <w:pPr>
            <w:pStyle w:val="Contents6"/>
            <w:tabs>
              <w:tab w:val="clear" w:pos="7609"/>
              <w:tab w:val="right" w:pos="9026" w:leader="dot"/>
            </w:tabs>
            <w:rPr/>
          </w:pPr>
          <w:hyperlink w:anchor="__RefHeading___Toc7304668_3381743652">
            <w:r>
              <w:rPr>
                <w:webHidden/>
                <w:rStyle w:val="IndexLink"/>
                <w:rtl w:val="true"/>
              </w:rPr>
              <w:t>اشارة</w:t>
            </w:r>
            <w:r>
              <w:rPr>
                <w:rStyle w:val="IndexLink"/>
                <w:rtl w:val="true"/>
              </w:rPr>
              <w:tab/>
            </w:r>
            <w:r>
              <w:rPr>
                <w:rStyle w:val="IndexLink"/>
              </w:rPr>
              <w:t>78</w:t>
            </w:r>
          </w:hyperlink>
        </w:p>
        <w:p>
          <w:pPr>
            <w:pStyle w:val="Contents6"/>
            <w:tabs>
              <w:tab w:val="clear" w:pos="7609"/>
              <w:tab w:val="right" w:pos="9026" w:leader="dot"/>
            </w:tabs>
            <w:rPr/>
          </w:pPr>
          <w:hyperlink w:anchor="__RefHeading___Toc7304670_3381743652">
            <w:r>
              <w:rPr>
                <w:webHidden/>
                <w:rStyle w:val="IndexLink"/>
                <w:rtl w:val="true"/>
              </w:rPr>
              <w:t>المقدّمة الأُولى</w:t>
            </w:r>
            <w:r>
              <w:rPr>
                <w:rStyle w:val="IndexLink"/>
                <w:rtl w:val="true"/>
              </w:rPr>
              <w:t xml:space="preserve">: </w:t>
            </w:r>
            <w:r>
              <w:rPr>
                <w:rStyle w:val="IndexLink"/>
                <w:rtl w:val="true"/>
              </w:rPr>
              <w:t>هل الموجب للجمع إطلاق الخطابين أو نفسهما؟</w:t>
            </w:r>
            <w:r>
              <w:rPr>
                <w:rStyle w:val="IndexLink"/>
                <w:rtl w:val="true"/>
              </w:rPr>
              <w:tab/>
            </w:r>
            <w:r>
              <w:rPr>
                <w:rStyle w:val="IndexLink"/>
              </w:rPr>
              <w:t>78</w:t>
            </w:r>
          </w:hyperlink>
        </w:p>
        <w:p>
          <w:pPr>
            <w:pStyle w:val="Contents6"/>
            <w:tabs>
              <w:tab w:val="clear" w:pos="7609"/>
              <w:tab w:val="right" w:pos="9026" w:leader="dot"/>
            </w:tabs>
            <w:rPr/>
          </w:pPr>
          <w:hyperlink w:anchor="__RefHeading___Toc7304672_3381743652">
            <w:r>
              <w:rPr>
                <w:webHidden/>
                <w:rStyle w:val="IndexLink"/>
                <w:rtl w:val="true"/>
              </w:rPr>
              <w:t>الثانية</w:t>
            </w:r>
            <w:r>
              <w:rPr>
                <w:rStyle w:val="IndexLink"/>
                <w:rtl w:val="true"/>
              </w:rPr>
              <w:t xml:space="preserve">: </w:t>
            </w:r>
            <w:r>
              <w:rPr>
                <w:rStyle w:val="IndexLink"/>
                <w:rtl w:val="true"/>
              </w:rPr>
              <w:t>الواجب المشروط</w:t>
            </w:r>
            <w:r>
              <w:rPr>
                <w:rStyle w:val="IndexLink"/>
                <w:rtl w:val="true"/>
              </w:rPr>
              <w:t xml:space="preserve">) </w:t>
            </w:r>
            <w:r>
              <w:rPr>
                <w:rStyle w:val="IndexLink"/>
                <w:rtl w:val="true"/>
              </w:rPr>
              <w:t xml:space="preserve">بعد حصول شرطه </w:t>
            </w:r>
            <w:r>
              <w:rPr>
                <w:rStyle w:val="IndexLink"/>
                <w:rtl w:val="true"/>
              </w:rPr>
              <w:t>(</w:t>
            </w:r>
            <w:r>
              <w:rPr>
                <w:rStyle w:val="IndexLink"/>
                <w:rtl w:val="true"/>
              </w:rPr>
              <w:t>لا ينقلب إلى الواجب المطلق</w:t>
            </w:r>
            <w:r>
              <w:rPr>
                <w:rStyle w:val="IndexLink"/>
                <w:rtl w:val="true"/>
              </w:rPr>
              <w:tab/>
            </w:r>
            <w:r>
              <w:rPr>
                <w:rStyle w:val="IndexLink"/>
              </w:rPr>
              <w:t>80</w:t>
            </w:r>
          </w:hyperlink>
        </w:p>
        <w:p>
          <w:pPr>
            <w:pStyle w:val="Contents6"/>
            <w:tabs>
              <w:tab w:val="clear" w:pos="7609"/>
              <w:tab w:val="right" w:pos="9026" w:leader="dot"/>
            </w:tabs>
            <w:rPr/>
          </w:pPr>
          <w:hyperlink w:anchor="__RefHeading___Toc7304674_3381743652">
            <w:r>
              <w:rPr>
                <w:webHidden/>
                <w:rStyle w:val="IndexLink"/>
                <w:rtl w:val="true"/>
              </w:rPr>
              <w:t>المقدّمة الثالثة</w:t>
            </w:r>
            <w:r>
              <w:rPr>
                <w:rStyle w:val="IndexLink"/>
                <w:rtl w:val="true"/>
              </w:rPr>
              <w:t xml:space="preserve">: </w:t>
            </w:r>
            <w:r>
              <w:rPr>
                <w:rStyle w:val="IndexLink"/>
                <w:rtl w:val="true"/>
              </w:rPr>
              <w:t>في أنّ الأمر بالمهم في طول الأمر بالأهم</w:t>
            </w:r>
            <w:r>
              <w:rPr>
                <w:rStyle w:val="IndexLink"/>
                <w:rtl w:val="true"/>
              </w:rPr>
              <w:tab/>
            </w:r>
            <w:r>
              <w:rPr>
                <w:rStyle w:val="IndexLink"/>
              </w:rPr>
              <w:t>83</w:t>
            </w:r>
          </w:hyperlink>
        </w:p>
        <w:p>
          <w:pPr>
            <w:pStyle w:val="Contents6"/>
            <w:tabs>
              <w:tab w:val="clear" w:pos="7609"/>
              <w:tab w:val="right" w:pos="9026" w:leader="dot"/>
            </w:tabs>
            <w:rPr/>
          </w:pPr>
          <w:hyperlink w:anchor="__RefHeading___Toc7304676_3381743652">
            <w:r>
              <w:rPr>
                <w:webHidden/>
                <w:rStyle w:val="IndexLink"/>
                <w:rtl w:val="true"/>
              </w:rPr>
              <w:t>المقدّمة الرابعة</w:t>
            </w:r>
            <w:r>
              <w:rPr>
                <w:rStyle w:val="IndexLink"/>
                <w:rtl w:val="true"/>
              </w:rPr>
              <w:t xml:space="preserve">: </w:t>
            </w:r>
            <w:r>
              <w:rPr>
                <w:rStyle w:val="IndexLink"/>
                <w:rtl w:val="true"/>
              </w:rPr>
              <w:t>في أنّ الخطاب الترتّبي لا يقتضي الجمع</w:t>
            </w:r>
            <w:r>
              <w:rPr>
                <w:rStyle w:val="IndexLink"/>
                <w:rtl w:val="true"/>
              </w:rPr>
              <w:tab/>
            </w:r>
            <w:r>
              <w:rPr>
                <w:rStyle w:val="IndexLink"/>
              </w:rPr>
              <w:t>86</w:t>
            </w:r>
          </w:hyperlink>
        </w:p>
        <w:p>
          <w:pPr>
            <w:pStyle w:val="Contents5"/>
            <w:tabs>
              <w:tab w:val="clear" w:pos="7892"/>
              <w:tab w:val="right" w:pos="9026" w:leader="dot"/>
            </w:tabs>
            <w:rPr/>
          </w:pPr>
          <w:hyperlink w:anchor="__RefHeading___Toc7304678_3381743652">
            <w:r>
              <w:rPr>
                <w:webHidden/>
                <w:rStyle w:val="IndexLink"/>
                <w:rtl w:val="true"/>
              </w:rPr>
              <w:t>ثمرات بحث الترتّب</w:t>
            </w:r>
            <w:r>
              <w:rPr>
                <w:rStyle w:val="IndexLink"/>
                <w:rtl w:val="true"/>
              </w:rPr>
              <w:t>:</w:t>
              <w:tab/>
            </w:r>
            <w:r>
              <w:rPr>
                <w:rStyle w:val="IndexLink"/>
              </w:rPr>
              <w:t>89</w:t>
            </w:r>
          </w:hyperlink>
        </w:p>
        <w:p>
          <w:pPr>
            <w:pStyle w:val="Contents5"/>
            <w:tabs>
              <w:tab w:val="clear" w:pos="7892"/>
              <w:tab w:val="right" w:pos="9026" w:leader="dot"/>
            </w:tabs>
            <w:rPr/>
          </w:pPr>
          <w:hyperlink w:anchor="__RefHeading___Toc7304680_3381743652">
            <w:r>
              <w:rPr>
                <w:webHidden/>
                <w:rStyle w:val="IndexLink"/>
                <w:rtl w:val="true"/>
              </w:rPr>
              <w:t>الفروع الفقهية المترتّبة على صحّة الترتّب</w:t>
            </w:r>
            <w:r>
              <w:rPr>
                <w:rStyle w:val="IndexLink"/>
                <w:rtl w:val="true"/>
              </w:rPr>
              <w:tab/>
            </w:r>
            <w:r>
              <w:rPr>
                <w:rStyle w:val="IndexLink"/>
              </w:rPr>
              <w:t>89</w:t>
            </w:r>
          </w:hyperlink>
        </w:p>
        <w:p>
          <w:pPr>
            <w:pStyle w:val="Contents4"/>
            <w:tabs>
              <w:tab w:val="clear" w:pos="8176"/>
              <w:tab w:val="right" w:pos="9026" w:leader="dot"/>
            </w:tabs>
            <w:rPr/>
          </w:pPr>
          <w:hyperlink w:anchor="__RefHeading___Toc7304682_3381743652">
            <w:r>
              <w:rPr>
                <w:webHidden/>
                <w:rStyle w:val="IndexLink"/>
                <w:rtl w:val="true"/>
              </w:rPr>
              <w:t>خاتمة المطاف نظرية الأمر بالأهم و المهم عرضاً لا بنحو الترتّب</w:t>
            </w:r>
            <w:r>
              <w:rPr>
                <w:rStyle w:val="IndexLink"/>
                <w:rtl w:val="true"/>
              </w:rPr>
              <w:tab/>
            </w:r>
            <w:r>
              <w:rPr>
                <w:rStyle w:val="IndexLink"/>
              </w:rPr>
              <w:t>94</w:t>
            </w:r>
          </w:hyperlink>
        </w:p>
        <w:p>
          <w:pPr>
            <w:pStyle w:val="Contents5"/>
            <w:tabs>
              <w:tab w:val="clear" w:pos="7892"/>
              <w:tab w:val="right" w:pos="9026" w:leader="dot"/>
            </w:tabs>
            <w:rPr/>
          </w:pPr>
          <w:hyperlink w:anchor="__RefHeading___Toc7304684_3381743652">
            <w:r>
              <w:rPr>
                <w:webHidden/>
                <w:rStyle w:val="IndexLink"/>
                <w:rtl w:val="true"/>
              </w:rPr>
              <w:t>اشارة</w:t>
            </w:r>
            <w:r>
              <w:rPr>
                <w:rStyle w:val="IndexLink"/>
                <w:rtl w:val="true"/>
              </w:rPr>
              <w:tab/>
            </w:r>
            <w:r>
              <w:rPr>
                <w:rStyle w:val="IndexLink"/>
              </w:rPr>
              <w:t>94</w:t>
            </w:r>
          </w:hyperlink>
        </w:p>
        <w:p>
          <w:pPr>
            <w:pStyle w:val="Contents5"/>
            <w:tabs>
              <w:tab w:val="clear" w:pos="7892"/>
              <w:tab w:val="right" w:pos="9026" w:leader="dot"/>
            </w:tabs>
            <w:rPr/>
          </w:pPr>
          <w:hyperlink w:anchor="__RefHeading___Toc7304686_3381743652">
            <w:r>
              <w:rPr>
                <w:webHidden/>
                <w:rStyle w:val="IndexLink"/>
                <w:rtl w:val="true"/>
              </w:rPr>
              <w:t>الأُولى</w:t>
            </w:r>
            <w:r>
              <w:rPr>
                <w:rStyle w:val="IndexLink"/>
                <w:rtl w:val="true"/>
              </w:rPr>
              <w:t xml:space="preserve">: </w:t>
            </w:r>
            <w:r>
              <w:rPr>
                <w:rStyle w:val="IndexLink"/>
                <w:rtl w:val="true"/>
              </w:rPr>
              <w:t>الأحكام تتعلّق بالطبائع</w:t>
            </w:r>
            <w:r>
              <w:rPr>
                <w:rStyle w:val="IndexLink"/>
                <w:rtl w:val="true"/>
              </w:rPr>
              <w:tab/>
            </w:r>
            <w:r>
              <w:rPr>
                <w:rStyle w:val="IndexLink"/>
              </w:rPr>
              <w:t>94</w:t>
            </w:r>
          </w:hyperlink>
        </w:p>
        <w:p>
          <w:pPr>
            <w:pStyle w:val="Contents5"/>
            <w:tabs>
              <w:tab w:val="clear" w:pos="7892"/>
              <w:tab w:val="right" w:pos="9026" w:leader="dot"/>
            </w:tabs>
            <w:rPr/>
          </w:pPr>
          <w:hyperlink w:anchor="__RefHeading___Toc7304688_3381743652">
            <w:r>
              <w:rPr>
                <w:webHidden/>
                <w:rStyle w:val="IndexLink"/>
                <w:rtl w:val="true"/>
              </w:rPr>
              <w:t>الثانية</w:t>
            </w:r>
            <w:r>
              <w:rPr>
                <w:rStyle w:val="IndexLink"/>
                <w:rtl w:val="true"/>
              </w:rPr>
              <w:t xml:space="preserve">: </w:t>
            </w:r>
            <w:r>
              <w:rPr>
                <w:rStyle w:val="IndexLink"/>
                <w:rtl w:val="true"/>
              </w:rPr>
              <w:t>الإطلاق</w:t>
            </w:r>
            <w:r>
              <w:rPr>
                <w:rStyle w:val="IndexLink"/>
                <w:rtl w:val="true"/>
              </w:rPr>
              <w:t xml:space="preserve">: </w:t>
            </w:r>
            <w:r>
              <w:rPr>
                <w:rStyle w:val="IndexLink"/>
                <w:rtl w:val="true"/>
              </w:rPr>
              <w:t>كون الطبيعة تمام موضوع الحكم</w:t>
            </w:r>
            <w:r>
              <w:rPr>
                <w:rStyle w:val="IndexLink"/>
                <w:rtl w:val="true"/>
              </w:rPr>
              <w:tab/>
            </w:r>
            <w:r>
              <w:rPr>
                <w:rStyle w:val="IndexLink"/>
              </w:rPr>
              <w:t>95</w:t>
            </w:r>
          </w:hyperlink>
        </w:p>
        <w:p>
          <w:pPr>
            <w:pStyle w:val="Contents5"/>
            <w:tabs>
              <w:tab w:val="clear" w:pos="7892"/>
              <w:tab w:val="right" w:pos="9026" w:leader="dot"/>
            </w:tabs>
            <w:rPr/>
          </w:pPr>
          <w:hyperlink w:anchor="__RefHeading___Toc7304690_3381743652">
            <w:r>
              <w:rPr>
                <w:webHidden/>
                <w:rStyle w:val="IndexLink"/>
                <w:rtl w:val="true"/>
              </w:rPr>
              <w:t>الثالثة</w:t>
            </w:r>
            <w:r>
              <w:rPr>
                <w:rStyle w:val="IndexLink"/>
                <w:rtl w:val="true"/>
              </w:rPr>
              <w:t xml:space="preserve">: </w:t>
            </w:r>
            <w:r>
              <w:rPr>
                <w:rStyle w:val="IndexLink"/>
                <w:rtl w:val="true"/>
              </w:rPr>
              <w:t>انّ الدليل غير ناظر لحال التزاحم</w:t>
            </w:r>
            <w:r>
              <w:rPr>
                <w:rStyle w:val="IndexLink"/>
                <w:rtl w:val="true"/>
              </w:rPr>
              <w:tab/>
            </w:r>
            <w:r>
              <w:rPr>
                <w:rStyle w:val="IndexLink"/>
              </w:rPr>
              <w:t>95</w:t>
            </w:r>
          </w:hyperlink>
        </w:p>
        <w:p>
          <w:pPr>
            <w:pStyle w:val="Contents5"/>
            <w:tabs>
              <w:tab w:val="clear" w:pos="7892"/>
              <w:tab w:val="right" w:pos="9026" w:leader="dot"/>
            </w:tabs>
            <w:rPr/>
          </w:pPr>
          <w:hyperlink w:anchor="__RefHeading___Toc7304692_3381743652">
            <w:r>
              <w:rPr>
                <w:webHidden/>
                <w:rStyle w:val="IndexLink"/>
                <w:rtl w:val="true"/>
              </w:rPr>
              <w:t>الرابعة</w:t>
            </w:r>
            <w:r>
              <w:rPr>
                <w:rStyle w:val="IndexLink"/>
                <w:rtl w:val="true"/>
              </w:rPr>
              <w:t xml:space="preserve">: </w:t>
            </w:r>
            <w:r>
              <w:rPr>
                <w:rStyle w:val="IndexLink"/>
                <w:rtl w:val="true"/>
              </w:rPr>
              <w:t>ليس للحكم إلاّ مرحلتان</w:t>
            </w:r>
            <w:r>
              <w:rPr>
                <w:rStyle w:val="IndexLink"/>
                <w:rtl w:val="true"/>
              </w:rPr>
              <w:tab/>
            </w:r>
            <w:r>
              <w:rPr>
                <w:rStyle w:val="IndexLink"/>
              </w:rPr>
              <w:t>96</w:t>
            </w:r>
          </w:hyperlink>
        </w:p>
        <w:p>
          <w:pPr>
            <w:pStyle w:val="Contents5"/>
            <w:tabs>
              <w:tab w:val="clear" w:pos="7892"/>
              <w:tab w:val="right" w:pos="9026" w:leader="dot"/>
            </w:tabs>
            <w:rPr/>
          </w:pPr>
          <w:hyperlink w:anchor="__RefHeading___Toc7304694_3381743652">
            <w:r>
              <w:rPr>
                <w:webHidden/>
                <w:rStyle w:val="IndexLink"/>
                <w:rtl w:val="true"/>
              </w:rPr>
              <w:t>الخامسة</w:t>
            </w:r>
            <w:r>
              <w:rPr>
                <w:rStyle w:val="IndexLink"/>
                <w:rtl w:val="true"/>
              </w:rPr>
              <w:t xml:space="preserve">: </w:t>
            </w:r>
            <w:r>
              <w:rPr>
                <w:rStyle w:val="IndexLink"/>
                <w:rtl w:val="true"/>
              </w:rPr>
              <w:t>الخطاب الشرعي خطاب قانوني واحد</w:t>
            </w:r>
            <w:r>
              <w:rPr>
                <w:rStyle w:val="IndexLink"/>
                <w:rtl w:val="true"/>
              </w:rPr>
              <w:tab/>
            </w:r>
            <w:r>
              <w:rPr>
                <w:rStyle w:val="IndexLink"/>
              </w:rPr>
              <w:t>96</w:t>
            </w:r>
          </w:hyperlink>
        </w:p>
        <w:p>
          <w:pPr>
            <w:pStyle w:val="Contents5"/>
            <w:tabs>
              <w:tab w:val="clear" w:pos="7892"/>
              <w:tab w:val="right" w:pos="9026" w:leader="dot"/>
            </w:tabs>
            <w:rPr/>
          </w:pPr>
          <w:hyperlink w:anchor="__RefHeading___Toc7304696_3381743652">
            <w:r>
              <w:rPr>
                <w:webHidden/>
                <w:rStyle w:val="IndexLink"/>
                <w:rtl w:val="true"/>
              </w:rPr>
              <w:t>السادسة</w:t>
            </w:r>
            <w:r>
              <w:rPr>
                <w:rStyle w:val="IndexLink"/>
                <w:rtl w:val="true"/>
              </w:rPr>
              <w:t xml:space="preserve">: </w:t>
            </w:r>
            <w:r>
              <w:rPr>
                <w:rStyle w:val="IndexLink"/>
                <w:rtl w:val="true"/>
              </w:rPr>
              <w:t>انّ الأحكام غير مقيّدة بالقدرة</w:t>
            </w:r>
            <w:r>
              <w:rPr>
                <w:rStyle w:val="IndexLink"/>
                <w:rtl w:val="true"/>
              </w:rPr>
              <w:tab/>
            </w:r>
            <w:r>
              <w:rPr>
                <w:rStyle w:val="IndexLink"/>
              </w:rPr>
              <w:t>98</w:t>
            </w:r>
          </w:hyperlink>
        </w:p>
        <w:p>
          <w:pPr>
            <w:pStyle w:val="Contents5"/>
            <w:tabs>
              <w:tab w:val="clear" w:pos="7892"/>
              <w:tab w:val="right" w:pos="9026" w:leader="dot"/>
            </w:tabs>
            <w:rPr/>
          </w:pPr>
          <w:hyperlink w:anchor="__RefHeading___Toc7304698_3381743652">
            <w:r>
              <w:rPr>
                <w:webHidden/>
                <w:rStyle w:val="IndexLink"/>
                <w:rtl w:val="true"/>
              </w:rPr>
              <w:t>السابعة</w:t>
            </w:r>
            <w:r>
              <w:rPr>
                <w:rStyle w:val="IndexLink"/>
                <w:rtl w:val="true"/>
              </w:rPr>
              <w:t xml:space="preserve">: </w:t>
            </w:r>
            <w:r>
              <w:rPr>
                <w:rStyle w:val="IndexLink"/>
                <w:rtl w:val="true"/>
              </w:rPr>
              <w:t>كلّ من الضدين أمر مقدور</w:t>
            </w:r>
            <w:r>
              <w:rPr>
                <w:rStyle w:val="IndexLink"/>
                <w:rtl w:val="true"/>
              </w:rPr>
              <w:tab/>
            </w:r>
            <w:r>
              <w:rPr>
                <w:rStyle w:val="IndexLink"/>
              </w:rPr>
              <w:t>99</w:t>
            </w:r>
          </w:hyperlink>
        </w:p>
        <w:p>
          <w:pPr>
            <w:pStyle w:val="Contents4"/>
            <w:tabs>
              <w:tab w:val="clear" w:pos="8176"/>
              <w:tab w:val="right" w:pos="9026" w:leader="dot"/>
            </w:tabs>
            <w:rPr/>
          </w:pPr>
          <w:hyperlink w:anchor="__RefHeading___Toc7304700_3381743652">
            <w:r>
              <w:rPr>
                <w:webHidden/>
                <w:rStyle w:val="IndexLink"/>
                <w:rtl w:val="true"/>
              </w:rPr>
              <w:t>نظرنا في المقدّمات و النتيجة</w:t>
            </w:r>
            <w:r>
              <w:rPr>
                <w:rStyle w:val="IndexLink"/>
                <w:rtl w:val="true"/>
              </w:rPr>
              <w:tab/>
            </w:r>
            <w:r>
              <w:rPr>
                <w:rStyle w:val="IndexLink"/>
              </w:rPr>
              <w:t>101</w:t>
            </w:r>
          </w:hyperlink>
        </w:p>
        <w:p>
          <w:pPr>
            <w:pStyle w:val="Contents3"/>
            <w:tabs>
              <w:tab w:val="clear" w:pos="8459"/>
              <w:tab w:val="right" w:pos="9026" w:leader="dot"/>
            </w:tabs>
            <w:rPr/>
          </w:pPr>
          <w:hyperlink w:anchor="__RefHeading___Toc7304702_3381743652">
            <w:r>
              <w:rPr>
                <w:webHidden/>
                <w:rStyle w:val="IndexLink"/>
                <w:rtl w:val="true"/>
              </w:rPr>
              <w:t>الفصل السادس في جواز الأمر مع العلم بانتفاء شرطه</w:t>
            </w:r>
            <w:r>
              <w:rPr>
                <w:rStyle w:val="IndexLink"/>
                <w:rtl w:val="true"/>
              </w:rPr>
              <w:tab/>
            </w:r>
            <w:r>
              <w:rPr>
                <w:rStyle w:val="IndexLink"/>
              </w:rPr>
              <w:t>104</w:t>
            </w:r>
          </w:hyperlink>
        </w:p>
        <w:p>
          <w:pPr>
            <w:pStyle w:val="Contents4"/>
            <w:tabs>
              <w:tab w:val="clear" w:pos="8176"/>
              <w:tab w:val="right" w:pos="9026" w:leader="dot"/>
            </w:tabs>
            <w:rPr/>
          </w:pPr>
          <w:hyperlink w:anchor="__RefHeading___Toc7304704_3381743652">
            <w:r>
              <w:rPr>
                <w:webHidden/>
                <w:rStyle w:val="IndexLink"/>
                <w:rtl w:val="true"/>
              </w:rPr>
              <w:t>اشارة</w:t>
            </w:r>
            <w:r>
              <w:rPr>
                <w:rStyle w:val="IndexLink"/>
                <w:rtl w:val="true"/>
              </w:rPr>
              <w:tab/>
            </w:r>
            <w:r>
              <w:rPr>
                <w:rStyle w:val="IndexLink"/>
              </w:rPr>
              <w:t>104</w:t>
            </w:r>
          </w:hyperlink>
        </w:p>
        <w:p>
          <w:pPr>
            <w:pStyle w:val="Contents4"/>
            <w:tabs>
              <w:tab w:val="clear" w:pos="8176"/>
              <w:tab w:val="right" w:pos="9026" w:leader="dot"/>
            </w:tabs>
            <w:rPr/>
          </w:pPr>
          <w:hyperlink w:anchor="__RefHeading___Toc7304706_3381743652">
            <w:r>
              <w:rPr>
                <w:webHidden/>
                <w:rStyle w:val="IndexLink"/>
                <w:rtl w:val="true"/>
              </w:rPr>
              <w:t>ثمرة البحث</w:t>
            </w:r>
            <w:r>
              <w:rPr>
                <w:rStyle w:val="IndexLink"/>
                <w:rtl w:val="true"/>
              </w:rPr>
              <w:tab/>
            </w:r>
            <w:r>
              <w:rPr>
                <w:rStyle w:val="IndexLink"/>
              </w:rPr>
              <w:t>107</w:t>
            </w:r>
          </w:hyperlink>
        </w:p>
        <w:p>
          <w:pPr>
            <w:pStyle w:val="Contents3"/>
            <w:tabs>
              <w:tab w:val="clear" w:pos="8459"/>
              <w:tab w:val="right" w:pos="9026" w:leader="dot"/>
            </w:tabs>
            <w:rPr/>
          </w:pPr>
          <w:hyperlink w:anchor="__RefHeading___Toc7304708_3381743652">
            <w:r>
              <w:rPr>
                <w:webHidden/>
                <w:rStyle w:val="IndexLink"/>
                <w:rtl w:val="true"/>
              </w:rPr>
              <w:t>الفصل السابع هل الأوامر و النواهي تتعلّق بالطبائع أو الافراد؟</w:t>
            </w:r>
            <w:r>
              <w:rPr>
                <w:rStyle w:val="IndexLink"/>
                <w:rtl w:val="true"/>
              </w:rPr>
              <w:tab/>
            </w:r>
            <w:r>
              <w:rPr>
                <w:rStyle w:val="IndexLink"/>
              </w:rPr>
              <w:t>108</w:t>
            </w:r>
          </w:hyperlink>
        </w:p>
        <w:p>
          <w:pPr>
            <w:pStyle w:val="Contents4"/>
            <w:tabs>
              <w:tab w:val="clear" w:pos="8176"/>
              <w:tab w:val="right" w:pos="9026" w:leader="dot"/>
            </w:tabs>
            <w:rPr/>
          </w:pPr>
          <w:hyperlink w:anchor="__RefHeading___Toc7304710_3381743652">
            <w:r>
              <w:rPr>
                <w:webHidden/>
                <w:rStyle w:val="IndexLink"/>
                <w:rtl w:val="true"/>
              </w:rPr>
              <w:t>و قبل الدخول في صلب الموضوع نقدّم أُموراً</w:t>
            </w:r>
            <w:r>
              <w:rPr>
                <w:rStyle w:val="IndexLink"/>
                <w:rtl w:val="true"/>
              </w:rPr>
              <w:t>:</w:t>
              <w:tab/>
            </w:r>
            <w:r>
              <w:rPr>
                <w:rStyle w:val="IndexLink"/>
              </w:rPr>
              <w:t>108</w:t>
            </w:r>
          </w:hyperlink>
        </w:p>
        <w:p>
          <w:pPr>
            <w:pStyle w:val="Contents5"/>
            <w:tabs>
              <w:tab w:val="clear" w:pos="7892"/>
              <w:tab w:val="right" w:pos="9026" w:leader="dot"/>
            </w:tabs>
            <w:rPr/>
          </w:pPr>
          <w:hyperlink w:anchor="__RefHeading___Toc7304712_3381743652">
            <w:r>
              <w:rPr>
                <w:webHidden/>
                <w:rStyle w:val="IndexLink"/>
                <w:rtl w:val="true"/>
              </w:rPr>
              <w:t>الأوّل</w:t>
            </w:r>
            <w:r>
              <w:rPr>
                <w:rStyle w:val="IndexLink"/>
                <w:rtl w:val="true"/>
              </w:rPr>
              <w:t xml:space="preserve">: </w:t>
            </w:r>
            <w:r>
              <w:rPr>
                <w:rStyle w:val="IndexLink"/>
                <w:rtl w:val="true"/>
              </w:rPr>
              <w:t>ليس النزاع في الدلالة اللفظية</w:t>
            </w:r>
            <w:r>
              <w:rPr>
                <w:rStyle w:val="IndexLink"/>
                <w:rtl w:val="true"/>
              </w:rPr>
              <w:tab/>
            </w:r>
            <w:r>
              <w:rPr>
                <w:rStyle w:val="IndexLink"/>
              </w:rPr>
              <w:t>108</w:t>
            </w:r>
          </w:hyperlink>
        </w:p>
        <w:p>
          <w:pPr>
            <w:pStyle w:val="Contents5"/>
            <w:tabs>
              <w:tab w:val="clear" w:pos="7892"/>
              <w:tab w:val="right" w:pos="9026" w:leader="dot"/>
            </w:tabs>
            <w:rPr/>
          </w:pPr>
          <w:hyperlink w:anchor="__RefHeading___Toc7304714_3381743652">
            <w:r>
              <w:rPr>
                <w:webHidden/>
                <w:rStyle w:val="IndexLink"/>
                <w:rtl w:val="true"/>
              </w:rPr>
              <w:t>الثاني</w:t>
            </w:r>
            <w:r>
              <w:rPr>
                <w:rStyle w:val="IndexLink"/>
                <w:rtl w:val="true"/>
              </w:rPr>
              <w:t xml:space="preserve">: </w:t>
            </w:r>
            <w:r>
              <w:rPr>
                <w:rStyle w:val="IndexLink"/>
                <w:rtl w:val="true"/>
              </w:rPr>
              <w:t>ليس النزاع مبنيّاً على المسائل الفلسفية</w:t>
            </w:r>
            <w:r>
              <w:rPr>
                <w:rStyle w:val="IndexLink"/>
                <w:rtl w:val="true"/>
              </w:rPr>
              <w:tab/>
            </w:r>
            <w:r>
              <w:rPr>
                <w:rStyle w:val="IndexLink"/>
              </w:rPr>
              <w:t>109</w:t>
            </w:r>
          </w:hyperlink>
        </w:p>
        <w:p>
          <w:pPr>
            <w:pStyle w:val="Contents5"/>
            <w:tabs>
              <w:tab w:val="clear" w:pos="7892"/>
              <w:tab w:val="right" w:pos="9026" w:leader="dot"/>
            </w:tabs>
            <w:rPr/>
          </w:pPr>
          <w:hyperlink w:anchor="__RefHeading___Toc7304716_3381743652">
            <w:r>
              <w:rPr>
                <w:webHidden/>
                <w:rStyle w:val="IndexLink"/>
                <w:rtl w:val="true"/>
              </w:rPr>
              <w:t>الثالث</w:t>
            </w:r>
            <w:r>
              <w:rPr>
                <w:rStyle w:val="IndexLink"/>
                <w:rtl w:val="true"/>
              </w:rPr>
              <w:t xml:space="preserve">: </w:t>
            </w:r>
            <w:r>
              <w:rPr>
                <w:rStyle w:val="IndexLink"/>
                <w:rtl w:val="true"/>
              </w:rPr>
              <w:t>ما هو المراد من الطبيعة؟</w:t>
            </w:r>
            <w:r>
              <w:rPr>
                <w:rStyle w:val="IndexLink"/>
                <w:rtl w:val="true"/>
              </w:rPr>
              <w:tab/>
            </w:r>
            <w:r>
              <w:rPr>
                <w:rStyle w:val="IndexLink"/>
              </w:rPr>
              <w:t>109</w:t>
            </w:r>
          </w:hyperlink>
        </w:p>
        <w:p>
          <w:pPr>
            <w:pStyle w:val="Contents5"/>
            <w:tabs>
              <w:tab w:val="clear" w:pos="7892"/>
              <w:tab w:val="right" w:pos="9026" w:leader="dot"/>
            </w:tabs>
            <w:rPr/>
          </w:pPr>
          <w:hyperlink w:anchor="__RefHeading___Toc7304718_3381743652">
            <w:r>
              <w:rPr>
                <w:webHidden/>
                <w:rStyle w:val="IndexLink"/>
                <w:rtl w:val="true"/>
              </w:rPr>
              <w:t>الرابع</w:t>
            </w:r>
            <w:r>
              <w:rPr>
                <w:rStyle w:val="IndexLink"/>
                <w:rtl w:val="true"/>
              </w:rPr>
              <w:t xml:space="preserve">: </w:t>
            </w:r>
            <w:r>
              <w:rPr>
                <w:rStyle w:val="IndexLink"/>
                <w:rtl w:val="true"/>
              </w:rPr>
              <w:t>ما هو المراد من الافراد في عنوان البحث؟</w:t>
            </w:r>
            <w:r>
              <w:rPr>
                <w:rStyle w:val="IndexLink"/>
                <w:rtl w:val="true"/>
              </w:rPr>
              <w:tab/>
            </w:r>
            <w:r>
              <w:rPr>
                <w:rStyle w:val="IndexLink"/>
              </w:rPr>
              <w:t>110</w:t>
            </w:r>
          </w:hyperlink>
        </w:p>
        <w:p>
          <w:pPr>
            <w:pStyle w:val="Contents4"/>
            <w:tabs>
              <w:tab w:val="clear" w:pos="8176"/>
              <w:tab w:val="right" w:pos="9026" w:leader="dot"/>
            </w:tabs>
            <w:rPr/>
          </w:pPr>
          <w:hyperlink w:anchor="__RefHeading___Toc7304720_3381743652">
            <w:r>
              <w:rPr>
                <w:webHidden/>
                <w:rStyle w:val="IndexLink"/>
                <w:rtl w:val="true"/>
              </w:rPr>
              <w:t>دليل القول المختار</w:t>
            </w:r>
            <w:r>
              <w:rPr>
                <w:rStyle w:val="IndexLink"/>
                <w:rtl w:val="true"/>
              </w:rPr>
              <w:tab/>
            </w:r>
            <w:r>
              <w:rPr>
                <w:rStyle w:val="IndexLink"/>
              </w:rPr>
              <w:t>113</w:t>
            </w:r>
          </w:hyperlink>
        </w:p>
        <w:p>
          <w:pPr>
            <w:pStyle w:val="Contents4"/>
            <w:tabs>
              <w:tab w:val="clear" w:pos="8176"/>
              <w:tab w:val="right" w:pos="9026" w:leader="dot"/>
            </w:tabs>
            <w:rPr/>
          </w:pPr>
          <w:hyperlink w:anchor="__RefHeading___Toc7304722_3381743652">
            <w:r>
              <w:rPr>
                <w:webHidden/>
                <w:rStyle w:val="IndexLink"/>
                <w:rtl w:val="true"/>
              </w:rPr>
              <w:t>أدلّة القول بتعلّقه بالافراد</w:t>
            </w:r>
            <w:r>
              <w:rPr>
                <w:rStyle w:val="IndexLink"/>
                <w:rtl w:val="true"/>
              </w:rPr>
              <w:tab/>
            </w:r>
            <w:r>
              <w:rPr>
                <w:rStyle w:val="IndexLink"/>
              </w:rPr>
              <w:t>113</w:t>
            </w:r>
          </w:hyperlink>
        </w:p>
        <w:p>
          <w:pPr>
            <w:pStyle w:val="Contents4"/>
            <w:tabs>
              <w:tab w:val="clear" w:pos="8176"/>
              <w:tab w:val="right" w:pos="9026" w:leader="dot"/>
            </w:tabs>
            <w:rPr/>
          </w:pPr>
          <w:hyperlink w:anchor="__RefHeading___Toc7304724_3381743652">
            <w:r>
              <w:rPr>
                <w:webHidden/>
                <w:rStyle w:val="IndexLink"/>
                <w:rtl w:val="true"/>
              </w:rPr>
              <w:t>ثمرة البحث</w:t>
            </w:r>
            <w:r>
              <w:rPr>
                <w:rStyle w:val="IndexLink"/>
                <w:rtl w:val="true"/>
              </w:rPr>
              <w:tab/>
            </w:r>
            <w:r>
              <w:rPr>
                <w:rStyle w:val="IndexLink"/>
              </w:rPr>
              <w:t>116</w:t>
            </w:r>
          </w:hyperlink>
        </w:p>
        <w:p>
          <w:pPr>
            <w:pStyle w:val="Contents4"/>
            <w:tabs>
              <w:tab w:val="clear" w:pos="8176"/>
              <w:tab w:val="right" w:pos="9026" w:leader="dot"/>
            </w:tabs>
            <w:rPr/>
          </w:pPr>
          <w:hyperlink w:anchor="__RefHeading___Toc7304726_3381743652">
            <w:r>
              <w:rPr>
                <w:webHidden/>
                <w:rStyle w:val="IndexLink"/>
                <w:rtl w:val="true"/>
              </w:rPr>
              <w:t>تكميل للطبيعة أفراد لا حصص</w:t>
            </w:r>
            <w:r>
              <w:rPr>
                <w:rStyle w:val="IndexLink"/>
                <w:rtl w:val="true"/>
              </w:rPr>
              <w:tab/>
            </w:r>
            <w:r>
              <w:rPr>
                <w:rStyle w:val="IndexLink"/>
              </w:rPr>
              <w:t>118</w:t>
            </w:r>
          </w:hyperlink>
        </w:p>
        <w:p>
          <w:pPr>
            <w:pStyle w:val="Contents3"/>
            <w:tabs>
              <w:tab w:val="clear" w:pos="8459"/>
              <w:tab w:val="right" w:pos="9026" w:leader="dot"/>
            </w:tabs>
            <w:rPr/>
          </w:pPr>
          <w:hyperlink w:anchor="__RefHeading___Toc7304728_3381743652">
            <w:r>
              <w:rPr>
                <w:webHidden/>
                <w:rStyle w:val="IndexLink"/>
                <w:rtl w:val="true"/>
              </w:rPr>
              <w:t>الفصل الثامن بقاء الجواز عند نسخ الوجوب</w:t>
            </w:r>
            <w:r>
              <w:rPr>
                <w:rStyle w:val="IndexLink"/>
                <w:rtl w:val="true"/>
              </w:rPr>
              <w:tab/>
            </w:r>
            <w:r>
              <w:rPr>
                <w:rStyle w:val="IndexLink"/>
              </w:rPr>
              <w:t>121</w:t>
            </w:r>
          </w:hyperlink>
        </w:p>
        <w:p>
          <w:pPr>
            <w:pStyle w:val="Contents4"/>
            <w:tabs>
              <w:tab w:val="clear" w:pos="8176"/>
              <w:tab w:val="right" w:pos="9026" w:leader="dot"/>
            </w:tabs>
            <w:rPr/>
          </w:pPr>
          <w:hyperlink w:anchor="__RefHeading___Toc7304730_3381743652">
            <w:r>
              <w:rPr>
                <w:webHidden/>
                <w:rStyle w:val="IndexLink"/>
                <w:rtl w:val="true"/>
              </w:rPr>
              <w:t>اشارة</w:t>
            </w:r>
            <w:r>
              <w:rPr>
                <w:rStyle w:val="IndexLink"/>
                <w:rtl w:val="true"/>
              </w:rPr>
              <w:tab/>
            </w:r>
            <w:r>
              <w:rPr>
                <w:rStyle w:val="IndexLink"/>
              </w:rPr>
              <w:t>121</w:t>
            </w:r>
          </w:hyperlink>
        </w:p>
        <w:p>
          <w:pPr>
            <w:pStyle w:val="Contents4"/>
            <w:tabs>
              <w:tab w:val="clear" w:pos="8176"/>
              <w:tab w:val="right" w:pos="9026" w:leader="dot"/>
            </w:tabs>
            <w:rPr/>
          </w:pPr>
          <w:hyperlink w:anchor="__RefHeading___Toc7304732_3381743652">
            <w:r>
              <w:rPr>
                <w:webHidden/>
                <w:rStyle w:val="IndexLink"/>
                <w:rtl w:val="true"/>
              </w:rPr>
              <w:t>الموضع الأوّل</w:t>
            </w:r>
            <w:r>
              <w:rPr>
                <w:rStyle w:val="IndexLink"/>
                <w:rtl w:val="true"/>
              </w:rPr>
              <w:t xml:space="preserve">: </w:t>
            </w:r>
            <w:r>
              <w:rPr>
                <w:rStyle w:val="IndexLink"/>
                <w:rtl w:val="true"/>
              </w:rPr>
              <w:t>إمكان بقاء الجواز</w:t>
            </w:r>
            <w:r>
              <w:rPr>
                <w:rStyle w:val="IndexLink"/>
                <w:rtl w:val="true"/>
              </w:rPr>
              <w:tab/>
            </w:r>
            <w:r>
              <w:rPr>
                <w:rStyle w:val="IndexLink"/>
              </w:rPr>
              <w:t>122</w:t>
            </w:r>
          </w:hyperlink>
        </w:p>
        <w:p>
          <w:pPr>
            <w:pStyle w:val="Contents4"/>
            <w:tabs>
              <w:tab w:val="clear" w:pos="8176"/>
              <w:tab w:val="right" w:pos="9026" w:leader="dot"/>
            </w:tabs>
            <w:rPr/>
          </w:pPr>
          <w:hyperlink w:anchor="__RefHeading___Toc7304734_3381743652">
            <w:r>
              <w:rPr>
                <w:webHidden/>
                <w:rStyle w:val="IndexLink"/>
                <w:rtl w:val="true"/>
              </w:rPr>
              <w:t>الموضع الثاني</w:t>
            </w:r>
            <w:r>
              <w:rPr>
                <w:rStyle w:val="IndexLink"/>
                <w:rtl w:val="true"/>
              </w:rPr>
              <w:t xml:space="preserve">: </w:t>
            </w:r>
            <w:r>
              <w:rPr>
                <w:rStyle w:val="IndexLink"/>
                <w:rtl w:val="true"/>
              </w:rPr>
              <w:t>فيما يدلّ على بقاء الجواز</w:t>
            </w:r>
            <w:r>
              <w:rPr>
                <w:rStyle w:val="IndexLink"/>
                <w:rtl w:val="true"/>
              </w:rPr>
              <w:tab/>
            </w:r>
            <w:r>
              <w:rPr>
                <w:rStyle w:val="IndexLink"/>
              </w:rPr>
              <w:t>125</w:t>
            </w:r>
          </w:hyperlink>
        </w:p>
        <w:p>
          <w:pPr>
            <w:pStyle w:val="Contents3"/>
            <w:tabs>
              <w:tab w:val="clear" w:pos="8459"/>
              <w:tab w:val="right" w:pos="9026" w:leader="dot"/>
            </w:tabs>
            <w:rPr/>
          </w:pPr>
          <w:hyperlink w:anchor="__RefHeading___Toc7304736_3381743652">
            <w:r>
              <w:rPr>
                <w:webHidden/>
                <w:rStyle w:val="IndexLink"/>
                <w:rtl w:val="true"/>
              </w:rPr>
              <w:t>الفصل التاسع الواجب التخييري</w:t>
            </w:r>
            <w:r>
              <w:rPr>
                <w:rStyle w:val="IndexLink"/>
                <w:rtl w:val="true"/>
              </w:rPr>
              <w:tab/>
            </w:r>
            <w:r>
              <w:rPr>
                <w:rStyle w:val="IndexLink"/>
              </w:rPr>
              <w:t>128</w:t>
            </w:r>
          </w:hyperlink>
        </w:p>
        <w:p>
          <w:pPr>
            <w:pStyle w:val="Contents4"/>
            <w:tabs>
              <w:tab w:val="clear" w:pos="8176"/>
              <w:tab w:val="right" w:pos="9026" w:leader="dot"/>
            </w:tabs>
            <w:rPr/>
          </w:pPr>
          <w:hyperlink w:anchor="__RefHeading___Toc7304738_3381743652">
            <w:r>
              <w:rPr>
                <w:webHidden/>
                <w:rStyle w:val="IndexLink"/>
                <w:rtl w:val="true"/>
              </w:rPr>
              <w:t>اشارة</w:t>
            </w:r>
            <w:r>
              <w:rPr>
                <w:rStyle w:val="IndexLink"/>
                <w:rtl w:val="true"/>
              </w:rPr>
              <w:tab/>
            </w:r>
            <w:r>
              <w:rPr>
                <w:rStyle w:val="IndexLink"/>
              </w:rPr>
              <w:t>128</w:t>
            </w:r>
          </w:hyperlink>
        </w:p>
        <w:p>
          <w:pPr>
            <w:pStyle w:val="Contents4"/>
            <w:tabs>
              <w:tab w:val="clear" w:pos="8176"/>
              <w:tab w:val="right" w:pos="9026" w:leader="dot"/>
            </w:tabs>
            <w:rPr/>
          </w:pPr>
          <w:hyperlink w:anchor="__RefHeading___Toc7304740_3381743652">
            <w:r>
              <w:rPr>
                <w:webHidden/>
                <w:rStyle w:val="IndexLink"/>
                <w:rtl w:val="true"/>
              </w:rPr>
              <w:t>شبهات مثارة حول تصوير الواجب التخييري</w:t>
            </w:r>
            <w:r>
              <w:rPr>
                <w:rStyle w:val="IndexLink"/>
                <w:rtl w:val="true"/>
              </w:rPr>
              <w:tab/>
            </w:r>
            <w:r>
              <w:rPr>
                <w:rStyle w:val="IndexLink"/>
              </w:rPr>
              <w:t>129</w:t>
            </w:r>
          </w:hyperlink>
        </w:p>
        <w:p>
          <w:pPr>
            <w:pStyle w:val="Contents5"/>
            <w:tabs>
              <w:tab w:val="clear" w:pos="7892"/>
              <w:tab w:val="right" w:pos="9026" w:leader="dot"/>
            </w:tabs>
            <w:rPr/>
          </w:pPr>
          <w:hyperlink w:anchor="__RefHeading___Toc7304742_3381743652">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7304744_3381743652">
            <w:r>
              <w:rPr>
                <w:webHidden/>
                <w:rStyle w:val="IndexLink"/>
              </w:rPr>
              <w:t>1</w:t>
            </w:r>
            <w:r>
              <w:rPr>
                <w:rStyle w:val="IndexLink"/>
                <w:rtl w:val="true"/>
              </w:rPr>
              <w:t xml:space="preserve">. </w:t>
            </w:r>
            <w:r>
              <w:rPr>
                <w:rStyle w:val="IndexLink"/>
                <w:rtl w:val="true"/>
              </w:rPr>
              <w:t>الإرادة و البعث لا تتعلّقان بالأمر المردّد</w:t>
            </w:r>
            <w:r>
              <w:rPr>
                <w:rStyle w:val="IndexLink"/>
                <w:rtl w:val="true"/>
              </w:rPr>
              <w:tab/>
            </w:r>
            <w:r>
              <w:rPr>
                <w:rStyle w:val="IndexLink"/>
              </w:rPr>
              <w:t>129</w:t>
            </w:r>
          </w:hyperlink>
        </w:p>
        <w:p>
          <w:pPr>
            <w:pStyle w:val="Contents5"/>
            <w:tabs>
              <w:tab w:val="clear" w:pos="7892"/>
              <w:tab w:val="right" w:pos="9026" w:leader="dot"/>
            </w:tabs>
            <w:rPr/>
          </w:pPr>
          <w:hyperlink w:anchor="__RefHeading___Toc7304746_3381743652">
            <w:r>
              <w:rPr>
                <w:webHidden/>
                <w:rStyle w:val="IndexLink"/>
              </w:rPr>
              <w:t>2</w:t>
            </w:r>
            <w:r>
              <w:rPr>
                <w:rStyle w:val="IndexLink"/>
                <w:rtl w:val="true"/>
              </w:rPr>
              <w:t xml:space="preserve">. </w:t>
            </w:r>
            <w:r>
              <w:rPr>
                <w:rStyle w:val="IndexLink"/>
                <w:rtl w:val="true"/>
              </w:rPr>
              <w:t>كيف يكون واجباً و يجوز تركه؟</w:t>
            </w:r>
            <w:r>
              <w:rPr>
                <w:rStyle w:val="IndexLink"/>
                <w:rtl w:val="true"/>
              </w:rPr>
              <w:tab/>
            </w:r>
            <w:r>
              <w:rPr>
                <w:rStyle w:val="IndexLink"/>
              </w:rPr>
              <w:t>129</w:t>
            </w:r>
          </w:hyperlink>
        </w:p>
        <w:p>
          <w:pPr>
            <w:pStyle w:val="Contents5"/>
            <w:tabs>
              <w:tab w:val="clear" w:pos="7892"/>
              <w:tab w:val="right" w:pos="9026" w:leader="dot"/>
            </w:tabs>
            <w:rPr/>
          </w:pPr>
          <w:hyperlink w:anchor="__RefHeading___Toc7304748_3381743652">
            <w:r>
              <w:rPr>
                <w:webHidden/>
                <w:rStyle w:val="IndexLink"/>
              </w:rPr>
              <w:t>3</w:t>
            </w:r>
            <w:r>
              <w:rPr>
                <w:rStyle w:val="IndexLink"/>
                <w:rtl w:val="true"/>
              </w:rPr>
              <w:t xml:space="preserve">. </w:t>
            </w:r>
            <w:r>
              <w:rPr>
                <w:rStyle w:val="IndexLink"/>
                <w:rtl w:val="true"/>
              </w:rPr>
              <w:t>وحدة العقاب مع كثرة الواجب</w:t>
            </w:r>
            <w:r>
              <w:rPr>
                <w:rStyle w:val="IndexLink"/>
                <w:rtl w:val="true"/>
              </w:rPr>
              <w:tab/>
            </w:r>
            <w:r>
              <w:rPr>
                <w:rStyle w:val="IndexLink"/>
              </w:rPr>
              <w:t>129</w:t>
            </w:r>
          </w:hyperlink>
        </w:p>
        <w:p>
          <w:pPr>
            <w:pStyle w:val="Contents4"/>
            <w:tabs>
              <w:tab w:val="clear" w:pos="8176"/>
              <w:tab w:val="right" w:pos="9026" w:leader="dot"/>
            </w:tabs>
            <w:rPr/>
          </w:pPr>
          <w:hyperlink w:anchor="__RefHeading___Toc7304750_3381743652">
            <w:r>
              <w:rPr>
                <w:webHidden/>
                <w:rStyle w:val="IndexLink"/>
                <w:rtl w:val="true"/>
              </w:rPr>
              <w:t>أمّا تعلّق الإرادة بالأمر المردد و هو المهم بين الإشكالات فقد أجيب عنه بوجوه</w:t>
            </w:r>
            <w:r>
              <w:rPr>
                <w:rStyle w:val="IndexLink"/>
                <w:rtl w:val="true"/>
              </w:rPr>
              <w:t>.</w:t>
              <w:tab/>
            </w:r>
            <w:r>
              <w:rPr>
                <w:rStyle w:val="IndexLink"/>
              </w:rPr>
              <w:t>130</w:t>
            </w:r>
          </w:hyperlink>
        </w:p>
        <w:p>
          <w:pPr>
            <w:pStyle w:val="Contents5"/>
            <w:tabs>
              <w:tab w:val="clear" w:pos="7892"/>
              <w:tab w:val="right" w:pos="9026" w:leader="dot"/>
            </w:tabs>
            <w:rPr/>
          </w:pPr>
          <w:hyperlink w:anchor="__RefHeading___Toc7304752_3381743652">
            <w:r>
              <w:rPr>
                <w:webHidden/>
                <w:rStyle w:val="IndexLink"/>
              </w:rPr>
              <w:t>1</w:t>
            </w:r>
            <w:r>
              <w:rPr>
                <w:rStyle w:val="IndexLink"/>
                <w:rtl w:val="true"/>
              </w:rPr>
              <w:t xml:space="preserve">. </w:t>
            </w:r>
            <w:r>
              <w:rPr>
                <w:rStyle w:val="IndexLink"/>
                <w:rtl w:val="true"/>
              </w:rPr>
              <w:t>نظرية المحقّق الخراساني</w:t>
            </w:r>
            <w:r>
              <w:rPr>
                <w:rStyle w:val="IndexLink"/>
                <w:rtl w:val="true"/>
              </w:rPr>
              <w:tab/>
            </w:r>
            <w:r>
              <w:rPr>
                <w:rStyle w:val="IndexLink"/>
              </w:rPr>
              <w:t>130</w:t>
            </w:r>
          </w:hyperlink>
        </w:p>
        <w:p>
          <w:pPr>
            <w:pStyle w:val="Contents5"/>
            <w:tabs>
              <w:tab w:val="clear" w:pos="7892"/>
              <w:tab w:val="right" w:pos="9026" w:leader="dot"/>
            </w:tabs>
            <w:rPr/>
          </w:pPr>
          <w:hyperlink w:anchor="__RefHeading___Toc7304754_3381743652">
            <w:r>
              <w:rPr>
                <w:webHidden/>
                <w:rStyle w:val="IndexLink"/>
              </w:rPr>
              <w:t>2</w:t>
            </w:r>
            <w:r>
              <w:rPr>
                <w:rStyle w:val="IndexLink"/>
                <w:rtl w:val="true"/>
              </w:rPr>
              <w:t xml:space="preserve">. </w:t>
            </w:r>
            <w:r>
              <w:rPr>
                <w:rStyle w:val="IndexLink"/>
                <w:rtl w:val="true"/>
              </w:rPr>
              <w:t>نظرية المحقّق النائيني</w:t>
            </w:r>
            <w:r>
              <w:rPr>
                <w:rStyle w:val="IndexLink"/>
                <w:rtl w:val="true"/>
              </w:rPr>
              <w:tab/>
            </w:r>
            <w:r>
              <w:rPr>
                <w:rStyle w:val="IndexLink"/>
              </w:rPr>
              <w:t>135</w:t>
            </w:r>
          </w:hyperlink>
        </w:p>
        <w:p>
          <w:pPr>
            <w:pStyle w:val="Contents5"/>
            <w:tabs>
              <w:tab w:val="clear" w:pos="7892"/>
              <w:tab w:val="right" w:pos="9026" w:leader="dot"/>
            </w:tabs>
            <w:rPr/>
          </w:pPr>
          <w:hyperlink w:anchor="__RefHeading___Toc7304756_3381743652">
            <w:r>
              <w:rPr>
                <w:webHidden/>
                <w:rStyle w:val="IndexLink"/>
              </w:rPr>
              <w:t>3</w:t>
            </w:r>
            <w:r>
              <w:rPr>
                <w:rStyle w:val="IndexLink"/>
                <w:rtl w:val="true"/>
              </w:rPr>
              <w:t xml:space="preserve">. </w:t>
            </w:r>
            <w:r>
              <w:rPr>
                <w:rStyle w:val="IndexLink"/>
                <w:rtl w:val="true"/>
              </w:rPr>
              <w:t>نظرية المحقّق الأصفهاني</w:t>
            </w:r>
            <w:r>
              <w:rPr>
                <w:rStyle w:val="IndexLink"/>
                <w:rtl w:val="true"/>
              </w:rPr>
              <w:tab/>
            </w:r>
            <w:r>
              <w:rPr>
                <w:rStyle w:val="IndexLink"/>
              </w:rPr>
              <w:t>138</w:t>
            </w:r>
          </w:hyperlink>
        </w:p>
        <w:p>
          <w:pPr>
            <w:pStyle w:val="Contents5"/>
            <w:tabs>
              <w:tab w:val="clear" w:pos="7892"/>
              <w:tab w:val="right" w:pos="9026" w:leader="dot"/>
            </w:tabs>
            <w:rPr/>
          </w:pPr>
          <w:hyperlink w:anchor="__RefHeading___Toc7304758_3381743652">
            <w:r>
              <w:rPr>
                <w:webHidden/>
                <w:rStyle w:val="IndexLink"/>
              </w:rPr>
              <w:t>4</w:t>
            </w:r>
            <w:r>
              <w:rPr>
                <w:rStyle w:val="IndexLink"/>
                <w:rtl w:val="true"/>
              </w:rPr>
              <w:t xml:space="preserve">. </w:t>
            </w:r>
            <w:r>
              <w:rPr>
                <w:rStyle w:val="IndexLink"/>
                <w:rtl w:val="true"/>
              </w:rPr>
              <w:t>نظرية بعض القدماء</w:t>
            </w:r>
            <w:r>
              <w:rPr>
                <w:rStyle w:val="IndexLink"/>
                <w:rtl w:val="true"/>
              </w:rPr>
              <w:tab/>
            </w:r>
            <w:r>
              <w:rPr>
                <w:rStyle w:val="IndexLink"/>
              </w:rPr>
              <w:t>140</w:t>
            </w:r>
          </w:hyperlink>
        </w:p>
        <w:p>
          <w:pPr>
            <w:pStyle w:val="Contents5"/>
            <w:tabs>
              <w:tab w:val="clear" w:pos="7892"/>
              <w:tab w:val="right" w:pos="9026" w:leader="dot"/>
            </w:tabs>
            <w:rPr/>
          </w:pPr>
          <w:hyperlink w:anchor="__RefHeading___Toc7304760_3381743652">
            <w:r>
              <w:rPr>
                <w:webHidden/>
                <w:rStyle w:val="IndexLink"/>
              </w:rPr>
              <w:t>5</w:t>
            </w:r>
            <w:r>
              <w:rPr>
                <w:rStyle w:val="IndexLink"/>
                <w:rtl w:val="true"/>
              </w:rPr>
              <w:t xml:space="preserve">. </w:t>
            </w:r>
            <w:r>
              <w:rPr>
                <w:rStyle w:val="IndexLink"/>
                <w:rtl w:val="true"/>
              </w:rPr>
              <w:t>ما هو المختار في تفسير الوجوب التخييري؟</w:t>
            </w:r>
            <w:r>
              <w:rPr>
                <w:rStyle w:val="IndexLink"/>
                <w:rtl w:val="true"/>
              </w:rPr>
              <w:tab/>
            </w:r>
            <w:r>
              <w:rPr>
                <w:rStyle w:val="IndexLink"/>
              </w:rPr>
              <w:t>140</w:t>
            </w:r>
          </w:hyperlink>
        </w:p>
        <w:p>
          <w:pPr>
            <w:pStyle w:val="Contents4"/>
            <w:tabs>
              <w:tab w:val="clear" w:pos="8176"/>
              <w:tab w:val="right" w:pos="9026" w:leader="dot"/>
            </w:tabs>
            <w:rPr/>
          </w:pPr>
          <w:hyperlink w:anchor="__RefHeading___Toc7304762_3381743652">
            <w:r>
              <w:rPr>
                <w:webHidden/>
                <w:rStyle w:val="IndexLink"/>
                <w:rtl w:val="true"/>
              </w:rPr>
              <w:t>التخيير بين الأقل و الأكثر</w:t>
            </w:r>
            <w:r>
              <w:rPr>
                <w:rStyle w:val="IndexLink"/>
                <w:rtl w:val="true"/>
              </w:rPr>
              <w:tab/>
            </w:r>
            <w:r>
              <w:rPr>
                <w:rStyle w:val="IndexLink"/>
              </w:rPr>
              <w:t>143</w:t>
            </w:r>
          </w:hyperlink>
        </w:p>
        <w:p>
          <w:pPr>
            <w:pStyle w:val="Contents5"/>
            <w:tabs>
              <w:tab w:val="clear" w:pos="7892"/>
              <w:tab w:val="right" w:pos="9026" w:leader="dot"/>
            </w:tabs>
            <w:rPr/>
          </w:pPr>
          <w:hyperlink w:anchor="__RefHeading___Toc7304764_3381743652">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7304766_3381743652">
            <w:r>
              <w:rPr>
                <w:webHidden/>
                <w:rStyle w:val="IndexLink"/>
                <w:rtl w:val="true"/>
              </w:rPr>
              <w:t>تصحيح التخيير بين الأقل و الأكثر</w:t>
            </w:r>
            <w:r>
              <w:rPr>
                <w:rStyle w:val="IndexLink"/>
                <w:rtl w:val="true"/>
              </w:rPr>
              <w:tab/>
            </w:r>
            <w:r>
              <w:rPr>
                <w:rStyle w:val="IndexLink"/>
              </w:rPr>
              <w:t>143</w:t>
            </w:r>
          </w:hyperlink>
        </w:p>
        <w:p>
          <w:pPr>
            <w:pStyle w:val="Contents3"/>
            <w:tabs>
              <w:tab w:val="clear" w:pos="8459"/>
              <w:tab w:val="right" w:pos="9026" w:leader="dot"/>
            </w:tabs>
            <w:rPr/>
          </w:pPr>
          <w:hyperlink w:anchor="__RefHeading___Toc7304768_3381743652">
            <w:r>
              <w:rPr>
                <w:webHidden/>
                <w:rStyle w:val="IndexLink"/>
                <w:rtl w:val="true"/>
              </w:rPr>
              <w:t>الفصل العاشر الواجب الكفائي</w:t>
            </w:r>
            <w:r>
              <w:rPr>
                <w:rStyle w:val="IndexLink"/>
                <w:rtl w:val="true"/>
              </w:rPr>
              <w:tab/>
            </w:r>
            <w:r>
              <w:rPr>
                <w:rStyle w:val="IndexLink"/>
              </w:rPr>
              <w:t>147</w:t>
            </w:r>
          </w:hyperlink>
        </w:p>
        <w:p>
          <w:pPr>
            <w:pStyle w:val="Contents4"/>
            <w:tabs>
              <w:tab w:val="clear" w:pos="8176"/>
              <w:tab w:val="right" w:pos="9026" w:leader="dot"/>
            </w:tabs>
            <w:rPr/>
          </w:pPr>
          <w:hyperlink w:anchor="__RefHeading___Toc7304770_3381743652">
            <w:r>
              <w:rPr>
                <w:webHidden/>
                <w:rStyle w:val="IndexLink"/>
                <w:rtl w:val="true"/>
              </w:rPr>
              <w:t>اشارة</w:t>
            </w:r>
            <w:r>
              <w:rPr>
                <w:rStyle w:val="IndexLink"/>
                <w:rtl w:val="true"/>
              </w:rPr>
              <w:tab/>
            </w:r>
            <w:r>
              <w:rPr>
                <w:rStyle w:val="IndexLink"/>
              </w:rPr>
              <w:t>147</w:t>
            </w:r>
          </w:hyperlink>
        </w:p>
        <w:p>
          <w:pPr>
            <w:pStyle w:val="Contents4"/>
            <w:tabs>
              <w:tab w:val="clear" w:pos="8176"/>
              <w:tab w:val="right" w:pos="9026" w:leader="dot"/>
            </w:tabs>
            <w:rPr/>
          </w:pPr>
          <w:hyperlink w:anchor="__RefHeading___Toc7304772_3381743652">
            <w:r>
              <w:rPr>
                <w:webHidden/>
                <w:rStyle w:val="IndexLink"/>
                <w:rtl w:val="true"/>
              </w:rPr>
              <w:t>النظرية الأُولى</w:t>
            </w:r>
            <w:r>
              <w:rPr>
                <w:rStyle w:val="IndexLink"/>
                <w:rtl w:val="true"/>
              </w:rPr>
              <w:t xml:space="preserve">: </w:t>
            </w:r>
            <w:r>
              <w:rPr>
                <w:rStyle w:val="IndexLink"/>
                <w:rtl w:val="true"/>
              </w:rPr>
              <w:t>تعلّق التكليف بعموم المكلّفين</w:t>
            </w:r>
            <w:r>
              <w:rPr>
                <w:rStyle w:val="IndexLink"/>
                <w:rtl w:val="true"/>
              </w:rPr>
              <w:tab/>
            </w:r>
            <w:r>
              <w:rPr>
                <w:rStyle w:val="IndexLink"/>
              </w:rPr>
              <w:t>149</w:t>
            </w:r>
          </w:hyperlink>
        </w:p>
        <w:p>
          <w:pPr>
            <w:pStyle w:val="Contents5"/>
            <w:tabs>
              <w:tab w:val="clear" w:pos="7892"/>
              <w:tab w:val="right" w:pos="9026" w:leader="dot"/>
            </w:tabs>
            <w:rPr/>
          </w:pPr>
          <w:hyperlink w:anchor="__RefHeading___Toc7304774_3381743652">
            <w:r>
              <w:rPr>
                <w:webHidden/>
                <w:rStyle w:val="IndexLink"/>
                <w:rtl w:val="true"/>
              </w:rPr>
              <w:t>اشارة</w:t>
            </w:r>
            <w:r>
              <w:rPr>
                <w:rStyle w:val="IndexLink"/>
                <w:rtl w:val="true"/>
              </w:rPr>
              <w:tab/>
            </w:r>
            <w:r>
              <w:rPr>
                <w:rStyle w:val="IndexLink"/>
              </w:rPr>
              <w:t>149</w:t>
            </w:r>
          </w:hyperlink>
        </w:p>
        <w:p>
          <w:pPr>
            <w:pStyle w:val="Contents5"/>
            <w:tabs>
              <w:tab w:val="clear" w:pos="7892"/>
              <w:tab w:val="right" w:pos="9026" w:leader="dot"/>
            </w:tabs>
            <w:rPr/>
          </w:pPr>
          <w:hyperlink w:anchor="__RefHeading___Toc7304776_3381743652">
            <w:r>
              <w:rPr>
                <w:webHidden/>
                <w:rStyle w:val="IndexLink"/>
                <w:rtl w:val="true"/>
              </w:rPr>
              <w:t>سؤال و إجابة</w:t>
            </w:r>
            <w:r>
              <w:rPr>
                <w:rStyle w:val="IndexLink"/>
                <w:rtl w:val="true"/>
              </w:rPr>
              <w:tab/>
            </w:r>
            <w:r>
              <w:rPr>
                <w:rStyle w:val="IndexLink"/>
              </w:rPr>
              <w:t>150</w:t>
            </w:r>
          </w:hyperlink>
        </w:p>
        <w:p>
          <w:pPr>
            <w:pStyle w:val="Contents5"/>
            <w:tabs>
              <w:tab w:val="clear" w:pos="7892"/>
              <w:tab w:val="right" w:pos="9026" w:leader="dot"/>
            </w:tabs>
            <w:rPr/>
          </w:pPr>
          <w:hyperlink w:anchor="__RefHeading___Toc7304778_3381743652">
            <w:r>
              <w:rPr>
                <w:webHidden/>
                <w:rStyle w:val="IndexLink"/>
                <w:rtl w:val="true"/>
              </w:rPr>
              <w:t>نقد النظرية و الإجابة عنه</w:t>
            </w:r>
            <w:r>
              <w:rPr>
                <w:rStyle w:val="IndexLink"/>
                <w:rtl w:val="true"/>
              </w:rPr>
              <w:tab/>
            </w:r>
            <w:r>
              <w:rPr>
                <w:rStyle w:val="IndexLink"/>
              </w:rPr>
              <w:t>152</w:t>
            </w:r>
          </w:hyperlink>
        </w:p>
        <w:p>
          <w:pPr>
            <w:pStyle w:val="Contents4"/>
            <w:tabs>
              <w:tab w:val="clear" w:pos="8176"/>
              <w:tab w:val="right" w:pos="9026" w:leader="dot"/>
            </w:tabs>
            <w:rPr/>
          </w:pPr>
          <w:hyperlink w:anchor="__RefHeading___Toc7304780_3381743652">
            <w:r>
              <w:rPr>
                <w:webHidden/>
                <w:rStyle w:val="IndexLink"/>
                <w:rtl w:val="true"/>
              </w:rPr>
              <w:t>النظرية الثانية</w:t>
            </w:r>
            <w:r>
              <w:rPr>
                <w:rStyle w:val="IndexLink"/>
                <w:rtl w:val="true"/>
              </w:rPr>
              <w:t xml:space="preserve">: </w:t>
            </w:r>
            <w:r>
              <w:rPr>
                <w:rStyle w:val="IndexLink"/>
                <w:rtl w:val="true"/>
              </w:rPr>
              <w:t>التكليف على ذمّة واحد من المكلّفين</w:t>
            </w:r>
            <w:r>
              <w:rPr>
                <w:rStyle w:val="IndexLink"/>
                <w:rtl w:val="true"/>
              </w:rPr>
              <w:tab/>
            </w:r>
            <w:r>
              <w:rPr>
                <w:rStyle w:val="IndexLink"/>
              </w:rPr>
              <w:t>154</w:t>
            </w:r>
          </w:hyperlink>
        </w:p>
        <w:p>
          <w:pPr>
            <w:pStyle w:val="Contents4"/>
            <w:tabs>
              <w:tab w:val="clear" w:pos="8176"/>
              <w:tab w:val="right" w:pos="9026" w:leader="dot"/>
            </w:tabs>
            <w:rPr/>
          </w:pPr>
          <w:hyperlink w:anchor="__RefHeading___Toc7304782_3381743652">
            <w:r>
              <w:rPr>
                <w:webHidden/>
                <w:rStyle w:val="IndexLink"/>
                <w:rtl w:val="true"/>
              </w:rPr>
              <w:t>النظرية الثالثة</w:t>
            </w:r>
            <w:r>
              <w:rPr>
                <w:rStyle w:val="IndexLink"/>
                <w:rtl w:val="true"/>
              </w:rPr>
              <w:t xml:space="preserve">: </w:t>
            </w:r>
            <w:r>
              <w:rPr>
                <w:rStyle w:val="IndexLink"/>
                <w:rtl w:val="true"/>
              </w:rPr>
              <w:t>تعلّق الوجوب بمجموع المكلّفين</w:t>
            </w:r>
            <w:r>
              <w:rPr>
                <w:rStyle w:val="IndexLink"/>
                <w:rtl w:val="true"/>
              </w:rPr>
              <w:tab/>
            </w:r>
            <w:r>
              <w:rPr>
                <w:rStyle w:val="IndexLink"/>
              </w:rPr>
              <w:t>155</w:t>
            </w:r>
          </w:hyperlink>
        </w:p>
        <w:p>
          <w:pPr>
            <w:pStyle w:val="Contents4"/>
            <w:tabs>
              <w:tab w:val="clear" w:pos="8176"/>
              <w:tab w:val="right" w:pos="9026" w:leader="dot"/>
            </w:tabs>
            <w:rPr/>
          </w:pPr>
          <w:hyperlink w:anchor="__RefHeading___Toc7304784_3381743652">
            <w:r>
              <w:rPr>
                <w:webHidden/>
                <w:rStyle w:val="IndexLink"/>
                <w:rtl w:val="true"/>
              </w:rPr>
              <w:t>النظرية الرابعة</w:t>
            </w:r>
            <w:r>
              <w:rPr>
                <w:rStyle w:val="IndexLink"/>
                <w:rtl w:val="true"/>
              </w:rPr>
              <w:t xml:space="preserve">: </w:t>
            </w:r>
            <w:r>
              <w:rPr>
                <w:rStyle w:val="IndexLink"/>
                <w:rtl w:val="true"/>
              </w:rPr>
              <w:t>تعلّق الوجوب بواحد معيّن</w:t>
            </w:r>
            <w:r>
              <w:rPr>
                <w:rStyle w:val="IndexLink"/>
                <w:rtl w:val="true"/>
              </w:rPr>
              <w:tab/>
            </w:r>
            <w:r>
              <w:rPr>
                <w:rStyle w:val="IndexLink"/>
              </w:rPr>
              <w:t>157</w:t>
            </w:r>
          </w:hyperlink>
        </w:p>
        <w:p>
          <w:pPr>
            <w:pStyle w:val="Contents4"/>
            <w:tabs>
              <w:tab w:val="clear" w:pos="8176"/>
              <w:tab w:val="right" w:pos="9026" w:leader="dot"/>
            </w:tabs>
            <w:rPr/>
          </w:pPr>
          <w:hyperlink w:anchor="__RefHeading___Toc7304786_3381743652">
            <w:r>
              <w:rPr>
                <w:webHidden/>
                <w:rStyle w:val="IndexLink"/>
                <w:rtl w:val="true"/>
              </w:rPr>
              <w:t>إكمال فيه أمران</w:t>
            </w:r>
            <w:r>
              <w:rPr>
                <w:rStyle w:val="IndexLink"/>
                <w:rtl w:val="true"/>
              </w:rPr>
              <w:t>:</w:t>
              <w:tab/>
            </w:r>
            <w:r>
              <w:rPr>
                <w:rStyle w:val="IndexLink"/>
              </w:rPr>
              <w:t>157</w:t>
            </w:r>
          </w:hyperlink>
        </w:p>
        <w:p>
          <w:pPr>
            <w:pStyle w:val="Contents5"/>
            <w:tabs>
              <w:tab w:val="clear" w:pos="7892"/>
              <w:tab w:val="right" w:pos="9026" w:leader="dot"/>
            </w:tabs>
            <w:rPr/>
          </w:pPr>
          <w:hyperlink w:anchor="__RefHeading___Toc7304788_3381743652">
            <w:r>
              <w:rPr>
                <w:webHidden/>
                <w:rStyle w:val="IndexLink"/>
              </w:rPr>
              <w:t>1</w:t>
            </w:r>
            <w:r>
              <w:rPr>
                <w:rStyle w:val="IndexLink"/>
                <w:rtl w:val="true"/>
              </w:rPr>
              <w:t xml:space="preserve">. </w:t>
            </w:r>
            <w:r>
              <w:rPr>
                <w:rStyle w:val="IndexLink"/>
                <w:rtl w:val="true"/>
              </w:rPr>
              <w:t>ربّما يظهر من المحقّق الخراساني عند البحث فيما إذا دار أمر الواجب بين العينية و الكفائية، كون الواجب الكفائي من قبيل الواجب المشروط،</w:t>
            </w:r>
            <w:r>
              <w:rPr>
                <w:rStyle w:val="IndexLink"/>
                <w:rtl w:val="true"/>
              </w:rPr>
              <w:tab/>
            </w:r>
            <w:r>
              <w:rPr>
                <w:rStyle w:val="IndexLink"/>
              </w:rPr>
              <w:t>157</w:t>
            </w:r>
          </w:hyperlink>
        </w:p>
        <w:p>
          <w:pPr>
            <w:pStyle w:val="Contents5"/>
            <w:tabs>
              <w:tab w:val="clear" w:pos="7892"/>
              <w:tab w:val="right" w:pos="9026" w:leader="dot"/>
            </w:tabs>
            <w:rPr/>
          </w:pPr>
          <w:hyperlink w:anchor="__RefHeading___Toc7304790_3381743652">
            <w:r>
              <w:rPr>
                <w:webHidden/>
                <w:rStyle w:val="IndexLink"/>
              </w:rPr>
              <w:t>2</w:t>
            </w:r>
            <w:r>
              <w:rPr>
                <w:rStyle w:val="IndexLink"/>
                <w:rtl w:val="true"/>
              </w:rPr>
              <w:t xml:space="preserve">. </w:t>
            </w:r>
            <w:r>
              <w:rPr>
                <w:rStyle w:val="IndexLink"/>
                <w:rtl w:val="true"/>
              </w:rPr>
              <w:t>إذا قلنا بأنّ الواجب الكفائي ما له بدل فإذا قام أحد يسقط الحكم عن الأبدال الأُخر، فالمقصود البدل الذي يكون مثل الأبدال الأُخر في توجّه الوجوب إليه،</w:t>
            </w:r>
            <w:r>
              <w:rPr>
                <w:rStyle w:val="IndexLink"/>
                <w:rtl w:val="true"/>
              </w:rPr>
              <w:tab/>
            </w:r>
            <w:r>
              <w:rPr>
                <w:rStyle w:val="IndexLink"/>
              </w:rPr>
              <w:t>158</w:t>
            </w:r>
          </w:hyperlink>
        </w:p>
        <w:p>
          <w:pPr>
            <w:pStyle w:val="Contents4"/>
            <w:tabs>
              <w:tab w:val="clear" w:pos="8176"/>
              <w:tab w:val="right" w:pos="9026" w:leader="dot"/>
            </w:tabs>
            <w:rPr/>
          </w:pPr>
          <w:hyperlink w:anchor="__RefHeading___Toc7304792_3381743652">
            <w:r>
              <w:rPr>
                <w:webHidden/>
                <w:rStyle w:val="IndexLink"/>
                <w:rtl w:val="true"/>
              </w:rPr>
              <w:t>ثمرات البحث</w:t>
            </w:r>
            <w:r>
              <w:rPr>
                <w:rStyle w:val="IndexLink"/>
                <w:rtl w:val="true"/>
              </w:rPr>
              <w:tab/>
            </w:r>
            <w:r>
              <w:rPr>
                <w:rStyle w:val="IndexLink"/>
              </w:rPr>
              <w:t>158</w:t>
            </w:r>
          </w:hyperlink>
        </w:p>
        <w:p>
          <w:pPr>
            <w:pStyle w:val="Contents3"/>
            <w:tabs>
              <w:tab w:val="clear" w:pos="8459"/>
              <w:tab w:val="right" w:pos="9026" w:leader="dot"/>
            </w:tabs>
            <w:rPr/>
          </w:pPr>
          <w:hyperlink w:anchor="__RefHeading___Toc7304794_3381743652">
            <w:r>
              <w:rPr>
                <w:webHidden/>
                <w:rStyle w:val="IndexLink"/>
                <w:rtl w:val="true"/>
              </w:rPr>
              <w:t>الفصل الحادي عشر تقسيم الواجب إلى المطلق و المؤقّت و تقسيم المؤقت إلى الموسّع و المضيّق</w:t>
            </w:r>
            <w:r>
              <w:rPr>
                <w:rStyle w:val="IndexLink"/>
                <w:rtl w:val="true"/>
              </w:rPr>
              <w:tab/>
            </w:r>
            <w:r>
              <w:rPr>
                <w:rStyle w:val="IndexLink"/>
              </w:rPr>
              <w:t>162</w:t>
            </w:r>
          </w:hyperlink>
        </w:p>
        <w:p>
          <w:pPr>
            <w:pStyle w:val="Contents4"/>
            <w:tabs>
              <w:tab w:val="clear" w:pos="8176"/>
              <w:tab w:val="right" w:pos="9026" w:leader="dot"/>
            </w:tabs>
            <w:rPr/>
          </w:pPr>
          <w:hyperlink w:anchor="__RefHeading___Toc7304796_3381743652">
            <w:r>
              <w:rPr>
                <w:webHidden/>
                <w:rStyle w:val="IndexLink"/>
                <w:rtl w:val="true"/>
              </w:rPr>
              <w:t>اشارة</w:t>
            </w:r>
            <w:r>
              <w:rPr>
                <w:rStyle w:val="IndexLink"/>
                <w:rtl w:val="true"/>
              </w:rPr>
              <w:tab/>
            </w:r>
            <w:r>
              <w:rPr>
                <w:rStyle w:val="IndexLink"/>
              </w:rPr>
              <w:t>162</w:t>
            </w:r>
          </w:hyperlink>
        </w:p>
        <w:p>
          <w:pPr>
            <w:pStyle w:val="Contents4"/>
            <w:tabs>
              <w:tab w:val="clear" w:pos="8176"/>
              <w:tab w:val="right" w:pos="9026" w:leader="dot"/>
            </w:tabs>
            <w:rPr/>
          </w:pPr>
          <w:hyperlink w:anchor="__RefHeading___Toc7304798_3381743652">
            <w:r>
              <w:rPr>
                <w:webHidden/>
                <w:rStyle w:val="IndexLink"/>
                <w:rtl w:val="true"/>
              </w:rPr>
              <w:t>هل القضاء تابع للأداء أو بأمر جديد؟</w:t>
            </w:r>
            <w:r>
              <w:rPr>
                <w:rStyle w:val="IndexLink"/>
                <w:rtl w:val="true"/>
              </w:rPr>
              <w:tab/>
            </w:r>
            <w:r>
              <w:rPr>
                <w:rStyle w:val="IndexLink"/>
              </w:rPr>
              <w:t>164</w:t>
            </w:r>
          </w:hyperlink>
        </w:p>
        <w:p>
          <w:pPr>
            <w:pStyle w:val="Contents4"/>
            <w:tabs>
              <w:tab w:val="clear" w:pos="8176"/>
              <w:tab w:val="right" w:pos="9026" w:leader="dot"/>
            </w:tabs>
            <w:rPr/>
          </w:pPr>
          <w:hyperlink w:anchor="__RefHeading___Toc7304800_3381743652">
            <w:r>
              <w:rPr>
                <w:webHidden/>
                <w:rStyle w:val="IndexLink"/>
                <w:rtl w:val="true"/>
              </w:rPr>
              <w:t>الأصل العملي في المسألة</w:t>
            </w:r>
            <w:r>
              <w:rPr>
                <w:rStyle w:val="IndexLink"/>
                <w:rtl w:val="true"/>
              </w:rPr>
              <w:tab/>
            </w:r>
            <w:r>
              <w:rPr>
                <w:rStyle w:val="IndexLink"/>
              </w:rPr>
              <w:t>167</w:t>
            </w:r>
          </w:hyperlink>
        </w:p>
        <w:p>
          <w:pPr>
            <w:pStyle w:val="Contents3"/>
            <w:tabs>
              <w:tab w:val="clear" w:pos="8459"/>
              <w:tab w:val="right" w:pos="9026" w:leader="dot"/>
            </w:tabs>
            <w:rPr/>
          </w:pPr>
          <w:hyperlink w:anchor="__RefHeading___Toc7304802_3381743652">
            <w:r>
              <w:rPr>
                <w:webHidden/>
                <w:rStyle w:val="IndexLink"/>
                <w:rtl w:val="true"/>
              </w:rPr>
              <w:t>الفصل الثاني عشر الأمر بالأمر بفعل هل هو أمر بنفس الفعل؟</w:t>
            </w:r>
            <w:r>
              <w:rPr>
                <w:rStyle w:val="IndexLink"/>
                <w:rtl w:val="true"/>
              </w:rPr>
              <w:tab/>
            </w:r>
            <w:r>
              <w:rPr>
                <w:rStyle w:val="IndexLink"/>
              </w:rPr>
              <w:t>170</w:t>
            </w:r>
          </w:hyperlink>
        </w:p>
        <w:p>
          <w:pPr>
            <w:pStyle w:val="Contents4"/>
            <w:tabs>
              <w:tab w:val="clear" w:pos="8176"/>
              <w:tab w:val="right" w:pos="9026" w:leader="dot"/>
            </w:tabs>
            <w:rPr/>
          </w:pPr>
          <w:hyperlink w:anchor="__RefHeading___Toc7304804_3381743652">
            <w:r>
              <w:rPr>
                <w:webHidden/>
                <w:rStyle w:val="IndexLink"/>
                <w:rtl w:val="true"/>
              </w:rPr>
              <w:t>اشارة</w:t>
            </w:r>
            <w:r>
              <w:rPr>
                <w:rStyle w:val="IndexLink"/>
                <w:rtl w:val="true"/>
              </w:rPr>
              <w:tab/>
            </w:r>
            <w:r>
              <w:rPr>
                <w:rStyle w:val="IndexLink"/>
              </w:rPr>
              <w:t>170</w:t>
            </w:r>
          </w:hyperlink>
        </w:p>
        <w:p>
          <w:pPr>
            <w:pStyle w:val="Contents4"/>
            <w:tabs>
              <w:tab w:val="clear" w:pos="8176"/>
              <w:tab w:val="right" w:pos="9026" w:leader="dot"/>
            </w:tabs>
            <w:rPr/>
          </w:pPr>
          <w:hyperlink w:anchor="__RefHeading___Toc7304806_3381743652">
            <w:r>
              <w:rPr>
                <w:webHidden/>
                <w:rStyle w:val="IndexLink"/>
                <w:rtl w:val="true"/>
              </w:rPr>
              <w:t>الأوّل</w:t>
            </w:r>
            <w:r>
              <w:rPr>
                <w:rStyle w:val="IndexLink"/>
                <w:rtl w:val="true"/>
              </w:rPr>
              <w:t xml:space="preserve">: </w:t>
            </w:r>
            <w:r>
              <w:rPr>
                <w:rStyle w:val="IndexLink"/>
                <w:rtl w:val="true"/>
              </w:rPr>
              <w:t>في مقام الثبوت</w:t>
            </w:r>
            <w:r>
              <w:rPr>
                <w:rStyle w:val="IndexLink"/>
                <w:rtl w:val="true"/>
              </w:rPr>
              <w:tab/>
            </w:r>
            <w:r>
              <w:rPr>
                <w:rStyle w:val="IndexLink"/>
              </w:rPr>
              <w:t>171</w:t>
            </w:r>
          </w:hyperlink>
        </w:p>
        <w:p>
          <w:pPr>
            <w:pStyle w:val="Contents4"/>
            <w:tabs>
              <w:tab w:val="clear" w:pos="8176"/>
              <w:tab w:val="right" w:pos="9026" w:leader="dot"/>
            </w:tabs>
            <w:rPr/>
          </w:pPr>
          <w:hyperlink w:anchor="__RefHeading___Toc7304808_3381743652">
            <w:r>
              <w:rPr>
                <w:webHidden/>
                <w:rStyle w:val="IndexLink"/>
                <w:rtl w:val="true"/>
              </w:rPr>
              <w:t>ثمرات المسألة</w:t>
            </w:r>
            <w:r>
              <w:rPr>
                <w:rStyle w:val="IndexLink"/>
                <w:rtl w:val="true"/>
              </w:rPr>
              <w:tab/>
            </w:r>
            <w:r>
              <w:rPr>
                <w:rStyle w:val="IndexLink"/>
              </w:rPr>
              <w:t>171</w:t>
            </w:r>
          </w:hyperlink>
        </w:p>
        <w:p>
          <w:pPr>
            <w:pStyle w:val="Contents5"/>
            <w:tabs>
              <w:tab w:val="clear" w:pos="7892"/>
              <w:tab w:val="right" w:pos="9026" w:leader="dot"/>
            </w:tabs>
            <w:rPr/>
          </w:pPr>
          <w:hyperlink w:anchor="__RefHeading___Toc7304810_3381743652">
            <w:r>
              <w:rPr>
                <w:webHidden/>
                <w:rStyle w:val="IndexLink"/>
                <w:rtl w:val="true"/>
              </w:rPr>
              <w:t>الثمرة الأُولى</w:t>
            </w:r>
            <w:r>
              <w:rPr>
                <w:rStyle w:val="IndexLink"/>
                <w:rtl w:val="true"/>
              </w:rPr>
              <w:t xml:space="preserve">: </w:t>
            </w:r>
            <w:r>
              <w:rPr>
                <w:rStyle w:val="IndexLink"/>
                <w:rtl w:val="true"/>
              </w:rPr>
              <w:t>إذا أمر الولي الصبي بالصلاة، فهل تكون الصلاة مأموراً بها للآمر الأوّل، أو ينحصر مفاد أمره بنفس الأمر بالثاني؟</w:t>
            </w:r>
            <w:r>
              <w:rPr>
                <w:rStyle w:val="IndexLink"/>
                <w:rtl w:val="true"/>
              </w:rPr>
              <w:tab/>
            </w:r>
            <w:r>
              <w:rPr>
                <w:rStyle w:val="IndexLink"/>
              </w:rPr>
              <w:t>171</w:t>
            </w:r>
          </w:hyperlink>
        </w:p>
        <w:p>
          <w:pPr>
            <w:pStyle w:val="Contents6"/>
            <w:tabs>
              <w:tab w:val="clear" w:pos="7609"/>
              <w:tab w:val="right" w:pos="9026" w:leader="dot"/>
            </w:tabs>
            <w:rPr/>
          </w:pPr>
          <w:hyperlink w:anchor="__RefHeading___Toc7304812_3381743652">
            <w:r>
              <w:rPr>
                <w:webHidden/>
                <w:rStyle w:val="IndexLink"/>
                <w:rtl w:val="true"/>
              </w:rPr>
              <w:t>اشارة</w:t>
            </w:r>
            <w:r>
              <w:rPr>
                <w:rStyle w:val="IndexLink"/>
                <w:rtl w:val="true"/>
              </w:rPr>
              <w:tab/>
            </w:r>
            <w:r>
              <w:rPr>
                <w:rStyle w:val="IndexLink"/>
              </w:rPr>
              <w:t>171</w:t>
            </w:r>
          </w:hyperlink>
        </w:p>
        <w:p>
          <w:pPr>
            <w:pStyle w:val="Contents6"/>
            <w:tabs>
              <w:tab w:val="clear" w:pos="7609"/>
              <w:tab w:val="right" w:pos="9026" w:leader="dot"/>
            </w:tabs>
            <w:rPr/>
          </w:pPr>
          <w:hyperlink w:anchor="__RefHeading___Toc7304814_3381743652">
            <w:r>
              <w:rPr>
                <w:webHidden/>
                <w:rStyle w:val="IndexLink"/>
                <w:rtl w:val="true"/>
              </w:rPr>
              <w:t>إثبات شرعية عبادات الصبي بالعمومات</w:t>
            </w:r>
            <w:r>
              <w:rPr>
                <w:rStyle w:val="IndexLink"/>
                <w:rtl w:val="true"/>
              </w:rPr>
              <w:tab/>
            </w:r>
            <w:r>
              <w:rPr>
                <w:rStyle w:val="IndexLink"/>
              </w:rPr>
              <w:t>173</w:t>
            </w:r>
          </w:hyperlink>
        </w:p>
        <w:p>
          <w:pPr>
            <w:pStyle w:val="Contents5"/>
            <w:tabs>
              <w:tab w:val="clear" w:pos="7892"/>
              <w:tab w:val="right" w:pos="9026" w:leader="dot"/>
            </w:tabs>
            <w:rPr/>
          </w:pPr>
          <w:hyperlink w:anchor="__RefHeading___Toc7304816_3381743652">
            <w:r>
              <w:rPr>
                <w:webHidden/>
                <w:rStyle w:val="IndexLink"/>
                <w:rtl w:val="true"/>
              </w:rPr>
              <w:t>الثمرة الثانية الثمرة الثانية ما مرّ في صدر البحث</w:t>
            </w:r>
            <w:r>
              <w:rPr>
                <w:rStyle w:val="IndexLink"/>
                <w:rtl w:val="true"/>
              </w:rPr>
              <w:tab/>
            </w:r>
            <w:r>
              <w:rPr>
                <w:rStyle w:val="IndexLink"/>
              </w:rPr>
              <w:t>174</w:t>
            </w:r>
          </w:hyperlink>
        </w:p>
        <w:p>
          <w:pPr>
            <w:pStyle w:val="Contents3"/>
            <w:tabs>
              <w:tab w:val="clear" w:pos="8459"/>
              <w:tab w:val="right" w:pos="9026" w:leader="dot"/>
            </w:tabs>
            <w:rPr/>
          </w:pPr>
          <w:hyperlink w:anchor="__RefHeading___Toc7304818_3381743652">
            <w:r>
              <w:rPr>
                <w:webHidden/>
                <w:rStyle w:val="IndexLink"/>
                <w:rtl w:val="true"/>
              </w:rPr>
              <w:t>الفصل الثالث عشر الأمر بعد الأمر تأكيد أو تأسيس</w:t>
            </w:r>
            <w:r>
              <w:rPr>
                <w:rStyle w:val="IndexLink"/>
                <w:rtl w:val="true"/>
              </w:rPr>
              <w:tab/>
            </w:r>
            <w:r>
              <w:rPr>
                <w:rStyle w:val="IndexLink"/>
              </w:rPr>
              <w:t>175</w:t>
            </w:r>
          </w:hyperlink>
        </w:p>
        <w:p>
          <w:pPr>
            <w:pStyle w:val="Contents2"/>
            <w:tabs>
              <w:tab w:val="clear" w:pos="8743"/>
              <w:tab w:val="right" w:pos="9026" w:leader="dot"/>
            </w:tabs>
            <w:rPr/>
          </w:pPr>
          <w:hyperlink w:anchor="__RefHeading___Toc7304820_3381743652">
            <w:r>
              <w:rPr>
                <w:webHidden/>
                <w:rStyle w:val="IndexLink"/>
                <w:rtl w:val="true"/>
              </w:rPr>
              <w:t>المقصد الثاني في النواهي و فيه فصول</w:t>
            </w:r>
            <w:r>
              <w:rPr>
                <w:rStyle w:val="IndexLink"/>
                <w:rtl w:val="true"/>
              </w:rPr>
              <w:t>:</w:t>
              <w:tab/>
            </w:r>
            <w:r>
              <w:rPr>
                <w:rStyle w:val="IndexLink"/>
              </w:rPr>
              <w:t>177</w:t>
            </w:r>
          </w:hyperlink>
        </w:p>
        <w:p>
          <w:pPr>
            <w:pStyle w:val="Contents3"/>
            <w:tabs>
              <w:tab w:val="clear" w:pos="8459"/>
              <w:tab w:val="right" w:pos="9026" w:leader="dot"/>
            </w:tabs>
            <w:rPr/>
          </w:pPr>
          <w:hyperlink w:anchor="__RefHeading___Toc7304822_3381743652">
            <w:r>
              <w:rPr>
                <w:webHidden/>
                <w:rStyle w:val="IndexLink"/>
                <w:rtl w:val="true"/>
              </w:rPr>
              <w:t>اشارة</w:t>
            </w:r>
            <w:r>
              <w:rPr>
                <w:rStyle w:val="IndexLink"/>
                <w:rtl w:val="true"/>
              </w:rPr>
              <w:tab/>
            </w:r>
            <w:r>
              <w:rPr>
                <w:rStyle w:val="IndexLink"/>
              </w:rPr>
              <w:t>177</w:t>
            </w:r>
          </w:hyperlink>
        </w:p>
        <w:p>
          <w:pPr>
            <w:pStyle w:val="Contents3"/>
            <w:tabs>
              <w:tab w:val="clear" w:pos="8459"/>
              <w:tab w:val="right" w:pos="9026" w:leader="dot"/>
            </w:tabs>
            <w:rPr/>
          </w:pPr>
          <w:hyperlink w:anchor="__RefHeading___Toc7304824_3381743652">
            <w:r>
              <w:rPr>
                <w:webHidden/>
                <w:rStyle w:val="IndexLink"/>
                <w:rtl w:val="true"/>
              </w:rPr>
              <w:t>الفصل الأوّل في مادّة النهي و صيغته</w:t>
            </w:r>
            <w:r>
              <w:rPr>
                <w:rStyle w:val="IndexLink"/>
                <w:rtl w:val="true"/>
              </w:rPr>
              <w:tab/>
            </w:r>
            <w:r>
              <w:rPr>
                <w:rStyle w:val="IndexLink"/>
              </w:rPr>
              <w:t>179</w:t>
            </w:r>
          </w:hyperlink>
        </w:p>
        <w:p>
          <w:pPr>
            <w:pStyle w:val="Contents4"/>
            <w:tabs>
              <w:tab w:val="clear" w:pos="8176"/>
              <w:tab w:val="right" w:pos="9026" w:leader="dot"/>
            </w:tabs>
            <w:rPr/>
          </w:pPr>
          <w:hyperlink w:anchor="__RefHeading___Toc7304826_3381743652">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7304828_3381743652">
            <w:r>
              <w:rPr>
                <w:webHidden/>
                <w:rStyle w:val="IndexLink"/>
                <w:rtl w:val="true"/>
              </w:rPr>
              <w:t>الف</w:t>
            </w:r>
            <w:r>
              <w:rPr>
                <w:rStyle w:val="IndexLink"/>
                <w:rtl w:val="true"/>
              </w:rPr>
              <w:t xml:space="preserve">: </w:t>
            </w:r>
            <w:r>
              <w:rPr>
                <w:rStyle w:val="IndexLink"/>
                <w:rtl w:val="true"/>
              </w:rPr>
              <w:t>مفاد الهيئة</w:t>
            </w:r>
            <w:r>
              <w:rPr>
                <w:rStyle w:val="IndexLink"/>
                <w:rtl w:val="true"/>
              </w:rPr>
              <w:tab/>
            </w:r>
            <w:r>
              <w:rPr>
                <w:rStyle w:val="IndexLink"/>
              </w:rPr>
              <w:t>180</w:t>
            </w:r>
          </w:hyperlink>
        </w:p>
        <w:p>
          <w:pPr>
            <w:pStyle w:val="Contents4"/>
            <w:tabs>
              <w:tab w:val="clear" w:pos="8176"/>
              <w:tab w:val="right" w:pos="9026" w:leader="dot"/>
            </w:tabs>
            <w:rPr/>
          </w:pPr>
          <w:hyperlink w:anchor="__RefHeading___Toc7304830_3381743652">
            <w:r>
              <w:rPr>
                <w:webHidden/>
                <w:rStyle w:val="IndexLink"/>
                <w:rtl w:val="true"/>
              </w:rPr>
              <w:t>ب</w:t>
            </w:r>
            <w:r>
              <w:rPr>
                <w:rStyle w:val="IndexLink"/>
                <w:rtl w:val="true"/>
              </w:rPr>
              <w:t xml:space="preserve">: </w:t>
            </w:r>
            <w:r>
              <w:rPr>
                <w:rStyle w:val="IndexLink"/>
                <w:rtl w:val="true"/>
              </w:rPr>
              <w:t>متعلّق الطلب</w:t>
            </w:r>
            <w:r>
              <w:rPr>
                <w:rStyle w:val="IndexLink"/>
                <w:rtl w:val="true"/>
              </w:rPr>
              <w:tab/>
            </w:r>
            <w:r>
              <w:rPr>
                <w:rStyle w:val="IndexLink"/>
              </w:rPr>
              <w:t>180</w:t>
            </w:r>
          </w:hyperlink>
        </w:p>
        <w:p>
          <w:pPr>
            <w:pStyle w:val="Contents4"/>
            <w:tabs>
              <w:tab w:val="clear" w:pos="8176"/>
              <w:tab w:val="right" w:pos="9026" w:leader="dot"/>
            </w:tabs>
            <w:rPr/>
          </w:pPr>
          <w:hyperlink w:anchor="__RefHeading___Toc7304832_3381743652">
            <w:r>
              <w:rPr>
                <w:webHidden/>
                <w:rStyle w:val="IndexLink"/>
                <w:rtl w:val="true"/>
              </w:rPr>
              <w:t>ج</w:t>
            </w:r>
            <w:r>
              <w:rPr>
                <w:rStyle w:val="IndexLink"/>
                <w:rtl w:val="true"/>
              </w:rPr>
              <w:t xml:space="preserve">: </w:t>
            </w:r>
            <w:r>
              <w:rPr>
                <w:rStyle w:val="IndexLink"/>
                <w:rtl w:val="true"/>
              </w:rPr>
              <w:t>عدم دلالتها على الدوام</w:t>
            </w:r>
            <w:r>
              <w:rPr>
                <w:rStyle w:val="IndexLink"/>
                <w:rtl w:val="true"/>
              </w:rPr>
              <w:tab/>
            </w:r>
            <w:r>
              <w:rPr>
                <w:rStyle w:val="IndexLink"/>
              </w:rPr>
              <w:t>180</w:t>
            </w:r>
          </w:hyperlink>
        </w:p>
        <w:p>
          <w:pPr>
            <w:pStyle w:val="Contents4"/>
            <w:tabs>
              <w:tab w:val="clear" w:pos="8176"/>
              <w:tab w:val="right" w:pos="9026" w:leader="dot"/>
            </w:tabs>
            <w:rPr/>
          </w:pPr>
          <w:hyperlink w:anchor="__RefHeading___Toc7304834_3381743652">
            <w:r>
              <w:rPr>
                <w:webHidden/>
                <w:rStyle w:val="IndexLink"/>
                <w:rtl w:val="true"/>
              </w:rPr>
              <w:t>د</w:t>
            </w:r>
            <w:r>
              <w:rPr>
                <w:rStyle w:val="IndexLink"/>
                <w:rtl w:val="true"/>
              </w:rPr>
              <w:t xml:space="preserve">. </w:t>
            </w:r>
            <w:r>
              <w:rPr>
                <w:rStyle w:val="IndexLink"/>
                <w:rtl w:val="true"/>
              </w:rPr>
              <w:t>إذا خالف النهي</w:t>
            </w:r>
            <w:r>
              <w:rPr>
                <w:rStyle w:val="IndexLink"/>
                <w:rtl w:val="true"/>
              </w:rPr>
              <w:tab/>
            </w:r>
            <w:r>
              <w:rPr>
                <w:rStyle w:val="IndexLink"/>
              </w:rPr>
              <w:t>181</w:t>
            </w:r>
          </w:hyperlink>
        </w:p>
        <w:p>
          <w:pPr>
            <w:pStyle w:val="Contents3"/>
            <w:tabs>
              <w:tab w:val="clear" w:pos="8459"/>
              <w:tab w:val="right" w:pos="9026" w:leader="dot"/>
            </w:tabs>
            <w:rPr/>
          </w:pPr>
          <w:hyperlink w:anchor="__RefHeading___Toc7304836_3381743652">
            <w:r>
              <w:rPr>
                <w:webHidden/>
                <w:rStyle w:val="IndexLink"/>
                <w:rtl w:val="true"/>
              </w:rPr>
              <w:t>الفصل الثاني في اجتماع الأمر و النهي في شيء واحد باعتبار عنوانين</w:t>
            </w:r>
            <w:r>
              <w:rPr>
                <w:rStyle w:val="IndexLink"/>
                <w:rtl w:val="true"/>
              </w:rPr>
              <w:tab/>
            </w:r>
            <w:r>
              <w:rPr>
                <w:rStyle w:val="IndexLink"/>
              </w:rPr>
              <w:t>182</w:t>
            </w:r>
          </w:hyperlink>
        </w:p>
        <w:p>
          <w:pPr>
            <w:pStyle w:val="Contents4"/>
            <w:tabs>
              <w:tab w:val="clear" w:pos="8176"/>
              <w:tab w:val="right" w:pos="9026" w:leader="dot"/>
            </w:tabs>
            <w:rPr/>
          </w:pPr>
          <w:hyperlink w:anchor="__RefHeading___Toc7304838_3381743652">
            <w:r>
              <w:rPr>
                <w:webHidden/>
                <w:rStyle w:val="IndexLink"/>
                <w:rtl w:val="true"/>
              </w:rPr>
              <w:t>و قبل الخوض في المقصود نقدّم أُموراً</w:t>
            </w:r>
            <w:r>
              <w:rPr>
                <w:rStyle w:val="IndexLink"/>
                <w:rtl w:val="true"/>
              </w:rPr>
              <w:t>:</w:t>
              <w:tab/>
            </w:r>
            <w:r>
              <w:rPr>
                <w:rStyle w:val="IndexLink"/>
              </w:rPr>
              <w:t>182</w:t>
            </w:r>
          </w:hyperlink>
        </w:p>
        <w:p>
          <w:pPr>
            <w:pStyle w:val="Contents5"/>
            <w:tabs>
              <w:tab w:val="clear" w:pos="7892"/>
              <w:tab w:val="right" w:pos="9026" w:leader="dot"/>
            </w:tabs>
            <w:rPr/>
          </w:pPr>
          <w:hyperlink w:anchor="__RefHeading___Toc7304840_3381743652">
            <w:r>
              <w:rPr>
                <w:webHidden/>
                <w:rStyle w:val="IndexLink"/>
                <w:rtl w:val="true"/>
              </w:rPr>
              <w:t>الأوّل</w:t>
            </w:r>
            <w:r>
              <w:rPr>
                <w:rStyle w:val="IndexLink"/>
                <w:rtl w:val="true"/>
              </w:rPr>
              <w:t xml:space="preserve">: </w:t>
            </w:r>
            <w:r>
              <w:rPr>
                <w:rStyle w:val="IndexLink"/>
                <w:rtl w:val="true"/>
              </w:rPr>
              <w:t>الفرق بين الاجتماع الآمري و الاجتماع المأموري</w:t>
            </w:r>
            <w:r>
              <w:rPr>
                <w:rStyle w:val="IndexLink"/>
                <w:rtl w:val="true"/>
              </w:rPr>
              <w:tab/>
            </w:r>
            <w:r>
              <w:rPr>
                <w:rStyle w:val="IndexLink"/>
              </w:rPr>
              <w:t>182</w:t>
            </w:r>
          </w:hyperlink>
        </w:p>
        <w:p>
          <w:pPr>
            <w:pStyle w:val="Contents5"/>
            <w:tabs>
              <w:tab w:val="clear" w:pos="7892"/>
              <w:tab w:val="right" w:pos="9026" w:leader="dot"/>
            </w:tabs>
            <w:rPr/>
          </w:pPr>
          <w:hyperlink w:anchor="__RefHeading___Toc7304842_3381743652">
            <w:r>
              <w:rPr>
                <w:webHidden/>
                <w:rStyle w:val="IndexLink"/>
                <w:rtl w:val="true"/>
              </w:rPr>
              <w:t>الثاني</w:t>
            </w:r>
            <w:r>
              <w:rPr>
                <w:rStyle w:val="IndexLink"/>
                <w:rtl w:val="true"/>
              </w:rPr>
              <w:t xml:space="preserve">: </w:t>
            </w:r>
            <w:r>
              <w:rPr>
                <w:rStyle w:val="IndexLink"/>
                <w:rtl w:val="true"/>
              </w:rPr>
              <w:t>هل النزاع صغروي أو كبرويّ؟</w:t>
            </w:r>
            <w:r>
              <w:rPr>
                <w:rStyle w:val="IndexLink"/>
                <w:rtl w:val="true"/>
              </w:rPr>
              <w:tab/>
            </w:r>
            <w:r>
              <w:rPr>
                <w:rStyle w:val="IndexLink"/>
              </w:rPr>
              <w:t>184</w:t>
            </w:r>
          </w:hyperlink>
        </w:p>
        <w:p>
          <w:pPr>
            <w:pStyle w:val="Contents5"/>
            <w:tabs>
              <w:tab w:val="clear" w:pos="7892"/>
              <w:tab w:val="right" w:pos="9026" w:leader="dot"/>
            </w:tabs>
            <w:rPr/>
          </w:pPr>
          <w:hyperlink w:anchor="__RefHeading___Toc7304844_3381743652">
            <w:r>
              <w:rPr>
                <w:webHidden/>
                <w:rStyle w:val="IndexLink"/>
                <w:rtl w:val="true"/>
              </w:rPr>
              <w:t>الثالث</w:t>
            </w:r>
            <w:r>
              <w:rPr>
                <w:rStyle w:val="IndexLink"/>
                <w:rtl w:val="true"/>
              </w:rPr>
              <w:t xml:space="preserve">: </w:t>
            </w:r>
            <w:r>
              <w:rPr>
                <w:rStyle w:val="IndexLink"/>
                <w:rtl w:val="true"/>
              </w:rPr>
              <w:t>ما هو المراد من الواحد في العنوان؟</w:t>
            </w:r>
            <w:r>
              <w:rPr>
                <w:rStyle w:val="IndexLink"/>
                <w:rtl w:val="true"/>
              </w:rPr>
              <w:tab/>
            </w:r>
            <w:r>
              <w:rPr>
                <w:rStyle w:val="IndexLink"/>
              </w:rPr>
              <w:t>186</w:t>
            </w:r>
          </w:hyperlink>
        </w:p>
        <w:p>
          <w:pPr>
            <w:pStyle w:val="Contents5"/>
            <w:tabs>
              <w:tab w:val="clear" w:pos="7892"/>
              <w:tab w:val="right" w:pos="9026" w:leader="dot"/>
            </w:tabs>
            <w:rPr/>
          </w:pPr>
          <w:hyperlink w:anchor="__RefHeading___Toc7304846_3381743652">
            <w:r>
              <w:rPr>
                <w:webHidden/>
                <w:rStyle w:val="IndexLink"/>
                <w:rtl w:val="true"/>
              </w:rPr>
              <w:t>الرابع</w:t>
            </w:r>
            <w:r>
              <w:rPr>
                <w:rStyle w:val="IndexLink"/>
                <w:rtl w:val="true"/>
              </w:rPr>
              <w:t xml:space="preserve">: </w:t>
            </w:r>
            <w:r>
              <w:rPr>
                <w:rStyle w:val="IndexLink"/>
                <w:rtl w:val="true"/>
              </w:rPr>
              <w:t>ما هو الفرق بين المسألتين؟</w:t>
            </w:r>
            <w:r>
              <w:rPr>
                <w:rStyle w:val="IndexLink"/>
                <w:rtl w:val="true"/>
              </w:rPr>
              <w:tab/>
            </w:r>
            <w:r>
              <w:rPr>
                <w:rStyle w:val="IndexLink"/>
              </w:rPr>
              <w:t>187</w:t>
            </w:r>
          </w:hyperlink>
        </w:p>
        <w:p>
          <w:pPr>
            <w:pStyle w:val="Contents6"/>
            <w:tabs>
              <w:tab w:val="clear" w:pos="7609"/>
              <w:tab w:val="right" w:pos="9026" w:leader="dot"/>
            </w:tabs>
            <w:rPr/>
          </w:pPr>
          <w:hyperlink w:anchor="__RefHeading___Toc7304848_3381743652">
            <w:r>
              <w:rPr>
                <w:webHidden/>
                <w:rStyle w:val="IndexLink"/>
                <w:rtl w:val="true"/>
              </w:rPr>
              <w:t>اشارة</w:t>
            </w:r>
            <w:r>
              <w:rPr>
                <w:rStyle w:val="IndexLink"/>
                <w:rtl w:val="true"/>
              </w:rPr>
              <w:tab/>
            </w:r>
            <w:r>
              <w:rPr>
                <w:rStyle w:val="IndexLink"/>
              </w:rPr>
              <w:t>187</w:t>
            </w:r>
          </w:hyperlink>
        </w:p>
        <w:p>
          <w:pPr>
            <w:pStyle w:val="Contents6"/>
            <w:tabs>
              <w:tab w:val="clear" w:pos="7609"/>
              <w:tab w:val="right" w:pos="9026" w:leader="dot"/>
            </w:tabs>
            <w:rPr/>
          </w:pPr>
          <w:hyperlink w:anchor="__RefHeading___Toc7304850_3381743652">
            <w:r>
              <w:rPr>
                <w:webHidden/>
                <w:rStyle w:val="IndexLink"/>
              </w:rPr>
              <w:t>1</w:t>
            </w:r>
            <w:r>
              <w:rPr>
                <w:rStyle w:val="IndexLink"/>
                <w:rtl w:val="true"/>
              </w:rPr>
              <w:t xml:space="preserve">. </w:t>
            </w:r>
            <w:r>
              <w:rPr>
                <w:rStyle w:val="IndexLink"/>
                <w:rtl w:val="true"/>
              </w:rPr>
              <w:t>التمييز بالغرض</w:t>
            </w:r>
            <w:r>
              <w:rPr>
                <w:rStyle w:val="IndexLink"/>
                <w:rtl w:val="true"/>
              </w:rPr>
              <w:tab/>
            </w:r>
            <w:r>
              <w:rPr>
                <w:rStyle w:val="IndexLink"/>
              </w:rPr>
              <w:t>187</w:t>
            </w:r>
          </w:hyperlink>
        </w:p>
        <w:p>
          <w:pPr>
            <w:pStyle w:val="Contents6"/>
            <w:tabs>
              <w:tab w:val="clear" w:pos="7609"/>
              <w:tab w:val="right" w:pos="9026" w:leader="dot"/>
            </w:tabs>
            <w:rPr/>
          </w:pPr>
          <w:hyperlink w:anchor="__RefHeading___Toc7304852_3381743652">
            <w:r>
              <w:rPr>
                <w:webHidden/>
                <w:rStyle w:val="IndexLink"/>
              </w:rPr>
              <w:t>2</w:t>
            </w:r>
            <w:r>
              <w:rPr>
                <w:rStyle w:val="IndexLink"/>
                <w:rtl w:val="true"/>
              </w:rPr>
              <w:t xml:space="preserve">. </w:t>
            </w:r>
            <w:r>
              <w:rPr>
                <w:rStyle w:val="IndexLink"/>
                <w:rtl w:val="true"/>
              </w:rPr>
              <w:t>التمييز بالموضوع</w:t>
            </w:r>
            <w:r>
              <w:rPr>
                <w:rStyle w:val="IndexLink"/>
                <w:rtl w:val="true"/>
              </w:rPr>
              <w:tab/>
            </w:r>
            <w:r>
              <w:rPr>
                <w:rStyle w:val="IndexLink"/>
              </w:rPr>
              <w:t>188</w:t>
            </w:r>
          </w:hyperlink>
        </w:p>
        <w:p>
          <w:pPr>
            <w:pStyle w:val="Contents6"/>
            <w:tabs>
              <w:tab w:val="clear" w:pos="7609"/>
              <w:tab w:val="right" w:pos="9026" w:leader="dot"/>
            </w:tabs>
            <w:rPr/>
          </w:pPr>
          <w:hyperlink w:anchor="__RefHeading___Toc7304854_3381743652">
            <w:r>
              <w:rPr>
                <w:webHidden/>
                <w:rStyle w:val="IndexLink"/>
              </w:rPr>
              <w:t>3</w:t>
            </w:r>
            <w:r>
              <w:rPr>
                <w:rStyle w:val="IndexLink"/>
                <w:rtl w:val="true"/>
              </w:rPr>
              <w:t xml:space="preserve">. </w:t>
            </w:r>
            <w:r>
              <w:rPr>
                <w:rStyle w:val="IndexLink"/>
                <w:rtl w:val="true"/>
              </w:rPr>
              <w:t>التمييز بالموضوع و المحمول</w:t>
            </w:r>
            <w:r>
              <w:rPr>
                <w:rStyle w:val="IndexLink"/>
                <w:rtl w:val="true"/>
              </w:rPr>
              <w:tab/>
            </w:r>
            <w:r>
              <w:rPr>
                <w:rStyle w:val="IndexLink"/>
              </w:rPr>
              <w:t>189</w:t>
            </w:r>
          </w:hyperlink>
        </w:p>
        <w:p>
          <w:pPr>
            <w:pStyle w:val="Contents6"/>
            <w:tabs>
              <w:tab w:val="clear" w:pos="7609"/>
              <w:tab w:val="right" w:pos="9026" w:leader="dot"/>
            </w:tabs>
            <w:rPr/>
          </w:pPr>
          <w:hyperlink w:anchor="__RefHeading___Toc7304856_3381743652">
            <w:r>
              <w:rPr>
                <w:webHidden/>
                <w:rStyle w:val="IndexLink"/>
              </w:rPr>
              <w:t>4</w:t>
            </w:r>
            <w:r>
              <w:rPr>
                <w:rStyle w:val="IndexLink"/>
                <w:rtl w:val="true"/>
              </w:rPr>
              <w:t xml:space="preserve">. </w:t>
            </w:r>
            <w:r>
              <w:rPr>
                <w:rStyle w:val="IndexLink"/>
                <w:rtl w:val="true"/>
              </w:rPr>
              <w:t>التمييز بكون البحث عقلياً</w:t>
            </w:r>
            <w:r>
              <w:rPr>
                <w:rStyle w:val="IndexLink"/>
                <w:rtl w:val="true"/>
              </w:rPr>
              <w:tab/>
            </w:r>
            <w:r>
              <w:rPr>
                <w:rStyle w:val="IndexLink"/>
              </w:rPr>
              <w:t>189</w:t>
            </w:r>
          </w:hyperlink>
        </w:p>
        <w:p>
          <w:pPr>
            <w:pStyle w:val="Contents5"/>
            <w:tabs>
              <w:tab w:val="clear" w:pos="7892"/>
              <w:tab w:val="right" w:pos="9026" w:leader="dot"/>
            </w:tabs>
            <w:rPr/>
          </w:pPr>
          <w:hyperlink w:anchor="__RefHeading___Toc7304858_3381743652">
            <w:r>
              <w:rPr>
                <w:webHidden/>
                <w:rStyle w:val="IndexLink"/>
                <w:rtl w:val="true"/>
              </w:rPr>
              <w:t>الأمر الخامس</w:t>
            </w:r>
            <w:r>
              <w:rPr>
                <w:rStyle w:val="IndexLink"/>
                <w:rtl w:val="true"/>
              </w:rPr>
              <w:t xml:space="preserve">: </w:t>
            </w:r>
            <w:r>
              <w:rPr>
                <w:rStyle w:val="IndexLink"/>
                <w:rtl w:val="true"/>
              </w:rPr>
              <w:t>المسألة أُصولية</w:t>
            </w:r>
            <w:r>
              <w:rPr>
                <w:rStyle w:val="IndexLink"/>
                <w:rtl w:val="true"/>
              </w:rPr>
              <w:tab/>
            </w:r>
            <w:r>
              <w:rPr>
                <w:rStyle w:val="IndexLink"/>
              </w:rPr>
              <w:t>189</w:t>
            </w:r>
          </w:hyperlink>
        </w:p>
        <w:p>
          <w:pPr>
            <w:pStyle w:val="Contents6"/>
            <w:tabs>
              <w:tab w:val="clear" w:pos="7609"/>
              <w:tab w:val="right" w:pos="9026" w:leader="dot"/>
            </w:tabs>
            <w:rPr/>
          </w:pPr>
          <w:hyperlink w:anchor="__RefHeading___Toc7304860_3381743652">
            <w:r>
              <w:rPr>
                <w:webHidden/>
                <w:rStyle w:val="IndexLink"/>
                <w:rtl w:val="true"/>
              </w:rPr>
              <w:t>اشارة</w:t>
            </w:r>
            <w:r>
              <w:rPr>
                <w:rStyle w:val="IndexLink"/>
                <w:rtl w:val="true"/>
              </w:rPr>
              <w:tab/>
            </w:r>
            <w:r>
              <w:rPr>
                <w:rStyle w:val="IndexLink"/>
              </w:rPr>
              <w:t>189</w:t>
            </w:r>
          </w:hyperlink>
        </w:p>
        <w:p>
          <w:pPr>
            <w:pStyle w:val="Contents6"/>
            <w:tabs>
              <w:tab w:val="clear" w:pos="7609"/>
              <w:tab w:val="right" w:pos="9026" w:leader="dot"/>
            </w:tabs>
            <w:rPr/>
          </w:pPr>
          <w:hyperlink w:anchor="__RefHeading___Toc7304862_3381743652">
            <w:r>
              <w:rPr>
                <w:webHidden/>
                <w:rStyle w:val="IndexLink"/>
              </w:rPr>
              <w:t>1</w:t>
            </w:r>
            <w:r>
              <w:rPr>
                <w:rStyle w:val="IndexLink"/>
                <w:rtl w:val="true"/>
              </w:rPr>
              <w:t xml:space="preserve">. </w:t>
            </w:r>
            <w:r>
              <w:rPr>
                <w:rStyle w:val="IndexLink"/>
                <w:rtl w:val="true"/>
              </w:rPr>
              <w:t>المسألة أُصولية</w:t>
            </w:r>
            <w:r>
              <w:rPr>
                <w:rStyle w:val="IndexLink"/>
                <w:rtl w:val="true"/>
              </w:rPr>
              <w:tab/>
            </w:r>
            <w:r>
              <w:rPr>
                <w:rStyle w:val="IndexLink"/>
              </w:rPr>
              <w:t>190</w:t>
            </w:r>
          </w:hyperlink>
        </w:p>
        <w:p>
          <w:pPr>
            <w:pStyle w:val="Contents6"/>
            <w:tabs>
              <w:tab w:val="clear" w:pos="7609"/>
              <w:tab w:val="right" w:pos="9026" w:leader="dot"/>
            </w:tabs>
            <w:rPr/>
          </w:pPr>
          <w:hyperlink w:anchor="__RefHeading___Toc7304864_3381743652">
            <w:r>
              <w:rPr>
                <w:webHidden/>
                <w:rStyle w:val="IndexLink"/>
                <w:rtl w:val="true"/>
              </w:rPr>
              <w:t>الإشكال على كون المسألة أُصولية</w:t>
            </w:r>
            <w:r>
              <w:rPr>
                <w:rStyle w:val="IndexLink"/>
                <w:rtl w:val="true"/>
              </w:rPr>
              <w:tab/>
            </w:r>
            <w:r>
              <w:rPr>
                <w:rStyle w:val="IndexLink"/>
              </w:rPr>
              <w:t>190</w:t>
            </w:r>
          </w:hyperlink>
        </w:p>
        <w:p>
          <w:pPr>
            <w:pStyle w:val="Contents6"/>
            <w:tabs>
              <w:tab w:val="clear" w:pos="7609"/>
              <w:tab w:val="right" w:pos="9026" w:leader="dot"/>
            </w:tabs>
            <w:rPr/>
          </w:pPr>
          <w:hyperlink w:anchor="__RefHeading___Toc7304866_3381743652">
            <w:r>
              <w:rPr>
                <w:webHidden/>
                <w:rStyle w:val="IndexLink"/>
              </w:rPr>
              <w:t>2</w:t>
            </w:r>
            <w:r>
              <w:rPr>
                <w:rStyle w:val="IndexLink"/>
                <w:rtl w:val="true"/>
              </w:rPr>
              <w:t xml:space="preserve">. </w:t>
            </w:r>
            <w:r>
              <w:rPr>
                <w:rStyle w:val="IndexLink"/>
                <w:rtl w:val="true"/>
              </w:rPr>
              <w:t>مسألة كلامية</w:t>
            </w:r>
            <w:r>
              <w:rPr>
                <w:rStyle w:val="IndexLink"/>
                <w:rtl w:val="true"/>
              </w:rPr>
              <w:tab/>
            </w:r>
            <w:r>
              <w:rPr>
                <w:rStyle w:val="IndexLink"/>
              </w:rPr>
              <w:t>192</w:t>
            </w:r>
          </w:hyperlink>
        </w:p>
        <w:p>
          <w:pPr>
            <w:pStyle w:val="Contents6"/>
            <w:tabs>
              <w:tab w:val="clear" w:pos="7609"/>
              <w:tab w:val="right" w:pos="9026" w:leader="dot"/>
            </w:tabs>
            <w:rPr/>
          </w:pPr>
          <w:hyperlink w:anchor="__RefHeading___Toc7304868_3381743652">
            <w:r>
              <w:rPr>
                <w:webHidden/>
                <w:rStyle w:val="IndexLink"/>
              </w:rPr>
              <w:t>3</w:t>
            </w:r>
            <w:r>
              <w:rPr>
                <w:rStyle w:val="IndexLink"/>
                <w:rtl w:val="true"/>
              </w:rPr>
              <w:t xml:space="preserve">. </w:t>
            </w:r>
            <w:r>
              <w:rPr>
                <w:rStyle w:val="IndexLink"/>
                <w:rtl w:val="true"/>
              </w:rPr>
              <w:t>من مبادئ الأحكام</w:t>
            </w:r>
            <w:r>
              <w:rPr>
                <w:rStyle w:val="IndexLink"/>
                <w:rtl w:val="true"/>
              </w:rPr>
              <w:tab/>
            </w:r>
            <w:r>
              <w:rPr>
                <w:rStyle w:val="IndexLink"/>
              </w:rPr>
              <w:t>193</w:t>
            </w:r>
          </w:hyperlink>
        </w:p>
        <w:p>
          <w:pPr>
            <w:pStyle w:val="Contents6"/>
            <w:tabs>
              <w:tab w:val="clear" w:pos="7609"/>
              <w:tab w:val="right" w:pos="9026" w:leader="dot"/>
            </w:tabs>
            <w:rPr/>
          </w:pPr>
          <w:hyperlink w:anchor="__RefHeading___Toc7304870_3381743652">
            <w:r>
              <w:rPr>
                <w:webHidden/>
                <w:rStyle w:val="IndexLink"/>
              </w:rPr>
              <w:t>4</w:t>
            </w:r>
            <w:r>
              <w:rPr>
                <w:rStyle w:val="IndexLink"/>
                <w:rtl w:val="true"/>
              </w:rPr>
              <w:t xml:space="preserve">. </w:t>
            </w:r>
            <w:r>
              <w:rPr>
                <w:rStyle w:val="IndexLink"/>
                <w:rtl w:val="true"/>
              </w:rPr>
              <w:t>مسألة فقهية</w:t>
            </w:r>
            <w:r>
              <w:rPr>
                <w:rStyle w:val="IndexLink"/>
                <w:rtl w:val="true"/>
              </w:rPr>
              <w:tab/>
            </w:r>
            <w:r>
              <w:rPr>
                <w:rStyle w:val="IndexLink"/>
              </w:rPr>
              <w:t>194</w:t>
            </w:r>
          </w:hyperlink>
        </w:p>
        <w:p>
          <w:pPr>
            <w:pStyle w:val="Contents6"/>
            <w:tabs>
              <w:tab w:val="clear" w:pos="7609"/>
              <w:tab w:val="right" w:pos="9026" w:leader="dot"/>
            </w:tabs>
            <w:rPr/>
          </w:pPr>
          <w:hyperlink w:anchor="__RefHeading___Toc7304872_3381743652">
            <w:r>
              <w:rPr>
                <w:webHidden/>
                <w:rStyle w:val="IndexLink"/>
              </w:rPr>
              <w:t>5</w:t>
            </w:r>
            <w:r>
              <w:rPr>
                <w:rStyle w:val="IndexLink"/>
                <w:rtl w:val="true"/>
              </w:rPr>
              <w:t xml:space="preserve">. </w:t>
            </w:r>
            <w:r>
              <w:rPr>
                <w:rStyle w:val="IndexLink"/>
                <w:rtl w:val="true"/>
              </w:rPr>
              <w:t>من المبادئ التصديقية</w:t>
            </w:r>
            <w:r>
              <w:rPr>
                <w:rStyle w:val="IndexLink"/>
                <w:rtl w:val="true"/>
              </w:rPr>
              <w:tab/>
            </w:r>
            <w:r>
              <w:rPr>
                <w:rStyle w:val="IndexLink"/>
              </w:rPr>
              <w:t>194</w:t>
            </w:r>
          </w:hyperlink>
        </w:p>
        <w:p>
          <w:pPr>
            <w:pStyle w:val="Contents5"/>
            <w:tabs>
              <w:tab w:val="clear" w:pos="7892"/>
              <w:tab w:val="right" w:pos="9026" w:leader="dot"/>
            </w:tabs>
            <w:rPr/>
          </w:pPr>
          <w:hyperlink w:anchor="__RefHeading___Toc7304874_3381743652">
            <w:r>
              <w:rPr>
                <w:webHidden/>
                <w:rStyle w:val="IndexLink"/>
                <w:rtl w:val="true"/>
              </w:rPr>
              <w:t>السادس</w:t>
            </w:r>
            <w:r>
              <w:rPr>
                <w:rStyle w:val="IndexLink"/>
                <w:rtl w:val="true"/>
              </w:rPr>
              <w:t xml:space="preserve">: </w:t>
            </w:r>
            <w:r>
              <w:rPr>
                <w:rStyle w:val="IndexLink"/>
                <w:rtl w:val="true"/>
              </w:rPr>
              <w:t>في عموم النزاع لأقسام الأمر و النهي</w:t>
            </w:r>
            <w:r>
              <w:rPr>
                <w:rStyle w:val="IndexLink"/>
                <w:rtl w:val="true"/>
              </w:rPr>
              <w:tab/>
            </w:r>
            <w:r>
              <w:rPr>
                <w:rStyle w:val="IndexLink"/>
              </w:rPr>
              <w:t>196</w:t>
            </w:r>
          </w:hyperlink>
        </w:p>
        <w:p>
          <w:pPr>
            <w:pStyle w:val="Contents5"/>
            <w:tabs>
              <w:tab w:val="clear" w:pos="7892"/>
              <w:tab w:val="right" w:pos="9026" w:leader="dot"/>
            </w:tabs>
            <w:rPr/>
          </w:pPr>
          <w:hyperlink w:anchor="__RefHeading___Toc7304876_3381743652">
            <w:r>
              <w:rPr>
                <w:webHidden/>
                <w:rStyle w:val="IndexLink"/>
                <w:rtl w:val="true"/>
              </w:rPr>
              <w:t>السابع</w:t>
            </w:r>
            <w:r>
              <w:rPr>
                <w:rStyle w:val="IndexLink"/>
                <w:rtl w:val="true"/>
              </w:rPr>
              <w:t xml:space="preserve">: </w:t>
            </w:r>
            <w:r>
              <w:rPr>
                <w:rStyle w:val="IndexLink"/>
                <w:rtl w:val="true"/>
              </w:rPr>
              <w:t>في لزوم أخذ عنوان المندوحة في النزاع و عدمه</w:t>
            </w:r>
            <w:r>
              <w:rPr>
                <w:rStyle w:val="IndexLink"/>
                <w:rtl w:val="true"/>
              </w:rPr>
              <w:tab/>
            </w:r>
            <w:r>
              <w:rPr>
                <w:rStyle w:val="IndexLink"/>
              </w:rPr>
              <w:t>198</w:t>
            </w:r>
          </w:hyperlink>
        </w:p>
        <w:p>
          <w:pPr>
            <w:pStyle w:val="Contents5"/>
            <w:tabs>
              <w:tab w:val="clear" w:pos="7892"/>
              <w:tab w:val="right" w:pos="9026" w:leader="dot"/>
            </w:tabs>
            <w:rPr/>
          </w:pPr>
          <w:hyperlink w:anchor="__RefHeading___Toc7304878_3381743652">
            <w:r>
              <w:rPr>
                <w:webHidden/>
                <w:rStyle w:val="IndexLink"/>
                <w:rtl w:val="true"/>
              </w:rPr>
              <w:t>الثامن</w:t>
            </w:r>
            <w:r>
              <w:rPr>
                <w:rStyle w:val="IndexLink"/>
                <w:rtl w:val="true"/>
              </w:rPr>
              <w:t xml:space="preserve">: </w:t>
            </w:r>
            <w:r>
              <w:rPr>
                <w:rStyle w:val="IndexLink"/>
                <w:rtl w:val="true"/>
              </w:rPr>
              <w:t>صحّة النزاع على كلا الرأيين في متعلّق الأحكام</w:t>
            </w:r>
            <w:r>
              <w:rPr>
                <w:rStyle w:val="IndexLink"/>
                <w:rtl w:val="true"/>
              </w:rPr>
              <w:tab/>
            </w:r>
            <w:r>
              <w:rPr>
                <w:rStyle w:val="IndexLink"/>
              </w:rPr>
              <w:t>200</w:t>
            </w:r>
          </w:hyperlink>
        </w:p>
        <w:p>
          <w:pPr>
            <w:pStyle w:val="Contents6"/>
            <w:tabs>
              <w:tab w:val="clear" w:pos="7609"/>
              <w:tab w:val="right" w:pos="9026" w:leader="dot"/>
            </w:tabs>
            <w:rPr/>
          </w:pPr>
          <w:hyperlink w:anchor="__RefHeading___Toc7304880_3381743652">
            <w:r>
              <w:rPr>
                <w:webHidden/>
                <w:rStyle w:val="IndexLink"/>
                <w:rtl w:val="true"/>
              </w:rPr>
              <w:t>اشارة</w:t>
            </w:r>
            <w:r>
              <w:rPr>
                <w:rStyle w:val="IndexLink"/>
                <w:rtl w:val="true"/>
              </w:rPr>
              <w:tab/>
            </w:r>
            <w:r>
              <w:rPr>
                <w:rStyle w:val="IndexLink"/>
              </w:rPr>
              <w:t>200</w:t>
            </w:r>
          </w:hyperlink>
        </w:p>
        <w:p>
          <w:pPr>
            <w:pStyle w:val="Contents6"/>
            <w:tabs>
              <w:tab w:val="clear" w:pos="7609"/>
              <w:tab w:val="right" w:pos="9026" w:leader="dot"/>
            </w:tabs>
            <w:rPr/>
          </w:pPr>
          <w:hyperlink w:anchor="__RefHeading___Toc7304882_3381743652">
            <w:r>
              <w:rPr>
                <w:webHidden/>
                <w:rStyle w:val="IndexLink"/>
                <w:rtl w:val="true"/>
              </w:rPr>
              <w:t>بيان للمحقّق النائيني حول التفصيل</w:t>
            </w:r>
            <w:r>
              <w:rPr>
                <w:rStyle w:val="IndexLink"/>
                <w:rtl w:val="true"/>
              </w:rPr>
              <w:tab/>
            </w:r>
            <w:r>
              <w:rPr>
                <w:rStyle w:val="IndexLink"/>
              </w:rPr>
              <w:t>202</w:t>
            </w:r>
          </w:hyperlink>
        </w:p>
        <w:p>
          <w:pPr>
            <w:pStyle w:val="Contents5"/>
            <w:tabs>
              <w:tab w:val="clear" w:pos="7892"/>
              <w:tab w:val="right" w:pos="9026" w:leader="dot"/>
            </w:tabs>
            <w:rPr/>
          </w:pPr>
          <w:hyperlink w:anchor="__RefHeading___Toc7304884_3381743652">
            <w:r>
              <w:rPr>
                <w:webHidden/>
                <w:rStyle w:val="IndexLink"/>
                <w:rtl w:val="true"/>
              </w:rPr>
              <w:t>التاسع</w:t>
            </w:r>
            <w:r>
              <w:rPr>
                <w:rStyle w:val="IndexLink"/>
                <w:rtl w:val="true"/>
              </w:rPr>
              <w:t xml:space="preserve">: </w:t>
            </w:r>
            <w:r>
              <w:rPr>
                <w:rStyle w:val="IndexLink"/>
                <w:rtl w:val="true"/>
              </w:rPr>
              <w:t>الفرق بين التعارض و التزاحم</w:t>
            </w:r>
            <w:r>
              <w:rPr>
                <w:rStyle w:val="IndexLink"/>
                <w:rtl w:val="true"/>
              </w:rPr>
              <w:tab/>
            </w:r>
            <w:r>
              <w:rPr>
                <w:rStyle w:val="IndexLink"/>
              </w:rPr>
              <w:t>203</w:t>
            </w:r>
          </w:hyperlink>
        </w:p>
        <w:p>
          <w:pPr>
            <w:pStyle w:val="Contents6"/>
            <w:tabs>
              <w:tab w:val="clear" w:pos="7609"/>
              <w:tab w:val="right" w:pos="9026" w:leader="dot"/>
            </w:tabs>
            <w:rPr/>
          </w:pPr>
          <w:hyperlink w:anchor="__RefHeading___Toc7304886_3381743652">
            <w:r>
              <w:rPr>
                <w:webHidden/>
                <w:rStyle w:val="IndexLink"/>
                <w:rtl w:val="true"/>
              </w:rPr>
              <w:t>اشارة</w:t>
            </w:r>
            <w:r>
              <w:rPr>
                <w:rStyle w:val="IndexLink"/>
                <w:rtl w:val="true"/>
              </w:rPr>
              <w:tab/>
            </w:r>
            <w:r>
              <w:rPr>
                <w:rStyle w:val="IndexLink"/>
              </w:rPr>
              <w:t>203</w:t>
            </w:r>
          </w:hyperlink>
        </w:p>
        <w:p>
          <w:pPr>
            <w:pStyle w:val="Contents6"/>
            <w:tabs>
              <w:tab w:val="clear" w:pos="7609"/>
              <w:tab w:val="right" w:pos="9026" w:leader="dot"/>
            </w:tabs>
            <w:rPr/>
          </w:pPr>
          <w:hyperlink w:anchor="__RefHeading___Toc7304888_3381743652">
            <w:r>
              <w:rPr>
                <w:webHidden/>
                <w:rStyle w:val="IndexLink"/>
                <w:rtl w:val="true"/>
              </w:rPr>
              <w:t>ما هو المختار حسب الإثبات؟</w:t>
            </w:r>
            <w:r>
              <w:rPr>
                <w:rStyle w:val="IndexLink"/>
                <w:rtl w:val="true"/>
              </w:rPr>
              <w:tab/>
            </w:r>
            <w:r>
              <w:rPr>
                <w:rStyle w:val="IndexLink"/>
              </w:rPr>
              <w:t>205</w:t>
            </w:r>
          </w:hyperlink>
        </w:p>
        <w:p>
          <w:pPr>
            <w:pStyle w:val="Contents5"/>
            <w:tabs>
              <w:tab w:val="clear" w:pos="7892"/>
              <w:tab w:val="right" w:pos="9026" w:leader="dot"/>
            </w:tabs>
            <w:rPr/>
          </w:pPr>
          <w:hyperlink w:anchor="__RefHeading___Toc7304890_3381743652">
            <w:r>
              <w:rPr>
                <w:webHidden/>
                <w:rStyle w:val="IndexLink"/>
                <w:rtl w:val="true"/>
              </w:rPr>
              <w:t>العاشر</w:t>
            </w:r>
            <w:r>
              <w:rPr>
                <w:rStyle w:val="IndexLink"/>
                <w:rtl w:val="true"/>
              </w:rPr>
              <w:t xml:space="preserve">: </w:t>
            </w:r>
            <w:r>
              <w:rPr>
                <w:rStyle w:val="IndexLink"/>
                <w:rtl w:val="true"/>
              </w:rPr>
              <w:t>في ثمرات القولين</w:t>
            </w:r>
            <w:r>
              <w:rPr>
                <w:rStyle w:val="IndexLink"/>
                <w:rtl w:val="true"/>
              </w:rPr>
              <w:tab/>
            </w:r>
            <w:r>
              <w:rPr>
                <w:rStyle w:val="IndexLink"/>
              </w:rPr>
              <w:t>211</w:t>
            </w:r>
          </w:hyperlink>
        </w:p>
        <w:p>
          <w:pPr>
            <w:pStyle w:val="Contents4"/>
            <w:tabs>
              <w:tab w:val="clear" w:pos="8176"/>
              <w:tab w:val="right" w:pos="9026" w:leader="dot"/>
            </w:tabs>
            <w:rPr/>
          </w:pPr>
          <w:hyperlink w:anchor="__RefHeading___Toc7304892_3381743652">
            <w:r>
              <w:rPr>
                <w:webHidden/>
                <w:rStyle w:val="IndexLink"/>
                <w:rtl w:val="true"/>
              </w:rPr>
              <w:t>دليل القائلين بامتناع اجتماع الأمر و النهي</w:t>
            </w:r>
            <w:r>
              <w:rPr>
                <w:rStyle w:val="IndexLink"/>
                <w:rtl w:val="true"/>
              </w:rPr>
              <w:tab/>
            </w:r>
            <w:r>
              <w:rPr>
                <w:rStyle w:val="IndexLink"/>
              </w:rPr>
              <w:t>220</w:t>
            </w:r>
          </w:hyperlink>
        </w:p>
        <w:p>
          <w:pPr>
            <w:pStyle w:val="Contents5"/>
            <w:tabs>
              <w:tab w:val="clear" w:pos="7892"/>
              <w:tab w:val="right" w:pos="9026" w:leader="dot"/>
            </w:tabs>
            <w:rPr/>
          </w:pPr>
          <w:hyperlink w:anchor="__RefHeading___Toc7304894_3381743652">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7304896_3381743652">
            <w:r>
              <w:rPr>
                <w:webHidden/>
                <w:rStyle w:val="IndexLink"/>
                <w:rtl w:val="true"/>
              </w:rPr>
              <w:t>تحليل المقدّمة الأُولى</w:t>
            </w:r>
            <w:r>
              <w:rPr>
                <w:rStyle w:val="IndexLink"/>
                <w:rtl w:val="true"/>
              </w:rPr>
              <w:tab/>
            </w:r>
            <w:r>
              <w:rPr>
                <w:rStyle w:val="IndexLink"/>
              </w:rPr>
              <w:t>221</w:t>
            </w:r>
          </w:hyperlink>
        </w:p>
        <w:p>
          <w:pPr>
            <w:pStyle w:val="Contents5"/>
            <w:tabs>
              <w:tab w:val="clear" w:pos="7892"/>
              <w:tab w:val="right" w:pos="9026" w:leader="dot"/>
            </w:tabs>
            <w:rPr/>
          </w:pPr>
          <w:hyperlink w:anchor="__RefHeading___Toc7304898_3381743652">
            <w:r>
              <w:rPr>
                <w:webHidden/>
                <w:rStyle w:val="IndexLink"/>
                <w:rtl w:val="true"/>
              </w:rPr>
              <w:t>تحليل المقدّمة الثانية</w:t>
            </w:r>
            <w:r>
              <w:rPr>
                <w:rStyle w:val="IndexLink"/>
                <w:rtl w:val="true"/>
              </w:rPr>
              <w:tab/>
            </w:r>
            <w:r>
              <w:rPr>
                <w:rStyle w:val="IndexLink"/>
              </w:rPr>
              <w:t>223</w:t>
            </w:r>
          </w:hyperlink>
        </w:p>
        <w:p>
          <w:pPr>
            <w:pStyle w:val="Contents4"/>
            <w:tabs>
              <w:tab w:val="clear" w:pos="8176"/>
              <w:tab w:val="right" w:pos="9026" w:leader="dot"/>
            </w:tabs>
            <w:rPr/>
          </w:pPr>
          <w:hyperlink w:anchor="__RefHeading___Toc7304900_3381743652">
            <w:r>
              <w:rPr>
                <w:webHidden/>
                <w:rStyle w:val="IndexLink"/>
                <w:rtl w:val="true"/>
              </w:rPr>
              <w:t>أدلة القائلين بجواز الاجتماع</w:t>
            </w:r>
            <w:r>
              <w:rPr>
                <w:rStyle w:val="IndexLink"/>
                <w:rtl w:val="true"/>
              </w:rPr>
              <w:tab/>
            </w:r>
            <w:r>
              <w:rPr>
                <w:rStyle w:val="IndexLink"/>
              </w:rPr>
              <w:t>227</w:t>
            </w:r>
          </w:hyperlink>
        </w:p>
        <w:p>
          <w:pPr>
            <w:pStyle w:val="Contents5"/>
            <w:tabs>
              <w:tab w:val="clear" w:pos="7892"/>
              <w:tab w:val="right" w:pos="9026" w:leader="dot"/>
            </w:tabs>
            <w:rPr/>
          </w:pPr>
          <w:hyperlink w:anchor="__RefHeading___Toc7304902_3381743652">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7304904_3381743652">
            <w:r>
              <w:rPr>
                <w:webHidden/>
                <w:rStyle w:val="IndexLink"/>
                <w:rtl w:val="true"/>
              </w:rPr>
              <w:t>الأول</w:t>
            </w:r>
            <w:r>
              <w:rPr>
                <w:rStyle w:val="IndexLink"/>
                <w:rtl w:val="true"/>
              </w:rPr>
              <w:t xml:space="preserve">: </w:t>
            </w:r>
            <w:r>
              <w:rPr>
                <w:rStyle w:val="IndexLink"/>
                <w:rtl w:val="true"/>
              </w:rPr>
              <w:t>دليل قدماء الأُصوليّين</w:t>
            </w:r>
            <w:r>
              <w:rPr>
                <w:rStyle w:val="IndexLink"/>
                <w:rtl w:val="true"/>
              </w:rPr>
              <w:tab/>
            </w:r>
            <w:r>
              <w:rPr>
                <w:rStyle w:val="IndexLink"/>
              </w:rPr>
              <w:t>228</w:t>
            </w:r>
          </w:hyperlink>
        </w:p>
        <w:p>
          <w:pPr>
            <w:pStyle w:val="Contents5"/>
            <w:tabs>
              <w:tab w:val="clear" w:pos="7892"/>
              <w:tab w:val="right" w:pos="9026" w:leader="dot"/>
            </w:tabs>
            <w:rPr/>
          </w:pPr>
          <w:hyperlink w:anchor="__RefHeading___Toc7304906_3381743652">
            <w:r>
              <w:rPr>
                <w:webHidden/>
                <w:rStyle w:val="IndexLink"/>
                <w:rtl w:val="true"/>
              </w:rPr>
              <w:t>الثاني</w:t>
            </w:r>
            <w:r>
              <w:rPr>
                <w:rStyle w:val="IndexLink"/>
                <w:rtl w:val="true"/>
              </w:rPr>
              <w:t xml:space="preserve">: </w:t>
            </w:r>
            <w:r>
              <w:rPr>
                <w:rStyle w:val="IndexLink"/>
                <w:rtl w:val="true"/>
              </w:rPr>
              <w:t>دليل المحقّق القمّي</w:t>
            </w:r>
            <w:r>
              <w:rPr>
                <w:rStyle w:val="IndexLink"/>
                <w:rtl w:val="true"/>
              </w:rPr>
              <w:tab/>
            </w:r>
            <w:r>
              <w:rPr>
                <w:rStyle w:val="IndexLink"/>
              </w:rPr>
              <w:t>228</w:t>
            </w:r>
          </w:hyperlink>
        </w:p>
        <w:p>
          <w:pPr>
            <w:pStyle w:val="Contents5"/>
            <w:tabs>
              <w:tab w:val="clear" w:pos="7892"/>
              <w:tab w:val="right" w:pos="9026" w:leader="dot"/>
            </w:tabs>
            <w:rPr/>
          </w:pPr>
          <w:hyperlink w:anchor="__RefHeading___Toc7304908_3381743652">
            <w:r>
              <w:rPr>
                <w:webHidden/>
                <w:rStyle w:val="IndexLink"/>
                <w:rtl w:val="true"/>
              </w:rPr>
              <w:t>الثالث</w:t>
            </w:r>
            <w:r>
              <w:rPr>
                <w:rStyle w:val="IndexLink"/>
                <w:rtl w:val="true"/>
              </w:rPr>
              <w:t xml:space="preserve">: </w:t>
            </w:r>
            <w:r>
              <w:rPr>
                <w:rStyle w:val="IndexLink"/>
                <w:rtl w:val="true"/>
              </w:rPr>
              <w:t>دليل المحقّق النائيني</w:t>
            </w:r>
            <w:r>
              <w:rPr>
                <w:rStyle w:val="IndexLink"/>
                <w:rtl w:val="true"/>
              </w:rPr>
              <w:tab/>
            </w:r>
            <w:r>
              <w:rPr>
                <w:rStyle w:val="IndexLink"/>
              </w:rPr>
              <w:t>230</w:t>
            </w:r>
          </w:hyperlink>
        </w:p>
        <w:p>
          <w:pPr>
            <w:pStyle w:val="Contents5"/>
            <w:tabs>
              <w:tab w:val="clear" w:pos="7892"/>
              <w:tab w:val="right" w:pos="9026" w:leader="dot"/>
            </w:tabs>
            <w:rPr/>
          </w:pPr>
          <w:hyperlink w:anchor="__RefHeading___Toc7304910_3381743652">
            <w:r>
              <w:rPr>
                <w:webHidden/>
                <w:rStyle w:val="IndexLink"/>
                <w:rtl w:val="true"/>
              </w:rPr>
              <w:t>الوجه الرابع ما ذكره بعضهم من أنّ الاجتماع لو كان آمريّاً و من قبل المولى، لكان ذلك مستحيلاً،</w:t>
            </w:r>
            <w:r>
              <w:rPr>
                <w:rStyle w:val="IndexLink"/>
                <w:rtl w:val="true"/>
              </w:rPr>
              <w:tab/>
            </w:r>
            <w:r>
              <w:rPr>
                <w:rStyle w:val="IndexLink"/>
              </w:rPr>
              <w:t>236</w:t>
            </w:r>
          </w:hyperlink>
        </w:p>
        <w:p>
          <w:pPr>
            <w:pStyle w:val="Contents5"/>
            <w:tabs>
              <w:tab w:val="clear" w:pos="7892"/>
              <w:tab w:val="right" w:pos="9026" w:leader="dot"/>
            </w:tabs>
            <w:rPr/>
          </w:pPr>
          <w:hyperlink w:anchor="__RefHeading___Toc7304912_3381743652">
            <w:r>
              <w:rPr>
                <w:webHidden/>
                <w:rStyle w:val="IndexLink"/>
                <w:rtl w:val="true"/>
              </w:rPr>
              <w:t>الوجه الخامس للمحقّق البروجردي</w:t>
            </w:r>
            <w:r>
              <w:rPr>
                <w:rStyle w:val="IndexLink"/>
                <w:rtl w:val="true"/>
              </w:rPr>
              <w:tab/>
            </w:r>
            <w:r>
              <w:rPr>
                <w:rStyle w:val="IndexLink"/>
              </w:rPr>
              <w:t>236</w:t>
            </w:r>
          </w:hyperlink>
        </w:p>
        <w:p>
          <w:pPr>
            <w:pStyle w:val="Contents6"/>
            <w:tabs>
              <w:tab w:val="clear" w:pos="7609"/>
              <w:tab w:val="right" w:pos="9026" w:leader="dot"/>
            </w:tabs>
            <w:rPr/>
          </w:pPr>
          <w:hyperlink w:anchor="__RefHeading___Toc7304914_3381743652">
            <w:r>
              <w:rPr>
                <w:webHidden/>
                <w:rStyle w:val="IndexLink"/>
                <w:rtl w:val="true"/>
              </w:rPr>
              <w:t>اشارة</w:t>
            </w:r>
            <w:r>
              <w:rPr>
                <w:rStyle w:val="IndexLink"/>
                <w:rtl w:val="true"/>
              </w:rPr>
              <w:tab/>
            </w:r>
            <w:r>
              <w:rPr>
                <w:rStyle w:val="IndexLink"/>
              </w:rPr>
              <w:t>236</w:t>
            </w:r>
          </w:hyperlink>
        </w:p>
        <w:p>
          <w:pPr>
            <w:pStyle w:val="Contents6"/>
            <w:tabs>
              <w:tab w:val="clear" w:pos="7609"/>
              <w:tab w:val="right" w:pos="9026" w:leader="dot"/>
            </w:tabs>
            <w:rPr/>
          </w:pPr>
          <w:hyperlink w:anchor="__RefHeading___Toc7304916_3381743652">
            <w:r>
              <w:rPr>
                <w:webHidden/>
                <w:rStyle w:val="IndexLink"/>
                <w:rtl w:val="true"/>
              </w:rPr>
              <w:t>المقام الأوّل</w:t>
            </w:r>
            <w:r>
              <w:rPr>
                <w:rStyle w:val="IndexLink"/>
                <w:rtl w:val="true"/>
              </w:rPr>
              <w:t xml:space="preserve">: </w:t>
            </w:r>
            <w:r>
              <w:rPr>
                <w:rStyle w:val="IndexLink"/>
                <w:rtl w:val="true"/>
              </w:rPr>
              <w:t>في إيضاح النظرية بذكر ما تبتني عليه</w:t>
            </w:r>
            <w:r>
              <w:rPr>
                <w:rStyle w:val="IndexLink"/>
                <w:rtl w:val="true"/>
              </w:rPr>
              <w:tab/>
            </w:r>
            <w:r>
              <w:rPr>
                <w:rStyle w:val="IndexLink"/>
              </w:rPr>
              <w:t>237</w:t>
            </w:r>
          </w:hyperlink>
        </w:p>
        <w:p>
          <w:pPr>
            <w:pStyle w:val="Contents6"/>
            <w:tabs>
              <w:tab w:val="clear" w:pos="7609"/>
              <w:tab w:val="right" w:pos="9026" w:leader="dot"/>
            </w:tabs>
            <w:rPr/>
          </w:pPr>
          <w:hyperlink w:anchor="__RefHeading___Toc7304918_3381743652">
            <w:r>
              <w:rPr>
                <w:webHidden/>
                <w:rStyle w:val="IndexLink"/>
                <w:rtl w:val="true"/>
              </w:rPr>
              <w:t>المقام الثاني</w:t>
            </w:r>
            <w:r>
              <w:rPr>
                <w:rStyle w:val="IndexLink"/>
                <w:rtl w:val="true"/>
              </w:rPr>
              <w:t xml:space="preserve">: </w:t>
            </w:r>
            <w:r>
              <w:rPr>
                <w:rStyle w:val="IndexLink"/>
                <w:rtl w:val="true"/>
              </w:rPr>
              <w:t>دفع المحاذير</w:t>
            </w:r>
            <w:r>
              <w:rPr>
                <w:rStyle w:val="IndexLink"/>
                <w:rtl w:val="true"/>
              </w:rPr>
              <w:tab/>
            </w:r>
            <w:r>
              <w:rPr>
                <w:rStyle w:val="IndexLink"/>
              </w:rPr>
              <w:t>239</w:t>
            </w:r>
          </w:hyperlink>
        </w:p>
        <w:p>
          <w:pPr>
            <w:pStyle w:val="Contents6"/>
            <w:tabs>
              <w:tab w:val="clear" w:pos="7609"/>
              <w:tab w:val="right" w:pos="9026" w:leader="dot"/>
            </w:tabs>
            <w:rPr/>
          </w:pPr>
          <w:hyperlink w:anchor="__RefHeading___Toc7304920_3381743652">
            <w:r>
              <w:rPr>
                <w:webHidden/>
                <w:rStyle w:val="IndexLink"/>
              </w:rPr>
              <w:t>1</w:t>
            </w:r>
            <w:r>
              <w:rPr>
                <w:rStyle w:val="IndexLink"/>
                <w:rtl w:val="true"/>
              </w:rPr>
              <w:t xml:space="preserve">. </w:t>
            </w:r>
            <w:r>
              <w:rPr>
                <w:rStyle w:val="IndexLink"/>
                <w:rtl w:val="true"/>
              </w:rPr>
              <w:t>عدم المحذور في مقام الجعل</w:t>
            </w:r>
            <w:r>
              <w:rPr>
                <w:rStyle w:val="IndexLink"/>
                <w:rtl w:val="true"/>
              </w:rPr>
              <w:tab/>
            </w:r>
            <w:r>
              <w:rPr>
                <w:rStyle w:val="IndexLink"/>
              </w:rPr>
              <w:t>240</w:t>
            </w:r>
          </w:hyperlink>
        </w:p>
        <w:p>
          <w:pPr>
            <w:pStyle w:val="Contents6"/>
            <w:tabs>
              <w:tab w:val="clear" w:pos="7609"/>
              <w:tab w:val="right" w:pos="9026" w:leader="dot"/>
            </w:tabs>
            <w:rPr/>
          </w:pPr>
          <w:hyperlink w:anchor="__RefHeading___Toc7304922_3381743652">
            <w:r>
              <w:rPr>
                <w:webHidden/>
                <w:rStyle w:val="IndexLink"/>
              </w:rPr>
              <w:t>2</w:t>
            </w:r>
            <w:r>
              <w:rPr>
                <w:rStyle w:val="IndexLink"/>
                <w:rtl w:val="true"/>
              </w:rPr>
              <w:t xml:space="preserve">. </w:t>
            </w:r>
            <w:r>
              <w:rPr>
                <w:rStyle w:val="IndexLink"/>
                <w:rtl w:val="true"/>
              </w:rPr>
              <w:t>عدم المحذور في مبادئ الأحكام</w:t>
            </w:r>
            <w:r>
              <w:rPr>
                <w:rStyle w:val="IndexLink"/>
                <w:rtl w:val="true"/>
              </w:rPr>
              <w:tab/>
            </w:r>
            <w:r>
              <w:rPr>
                <w:rStyle w:val="IndexLink"/>
              </w:rPr>
              <w:t>240</w:t>
            </w:r>
          </w:hyperlink>
        </w:p>
        <w:p>
          <w:pPr>
            <w:pStyle w:val="Contents6"/>
            <w:tabs>
              <w:tab w:val="clear" w:pos="7609"/>
              <w:tab w:val="right" w:pos="9026" w:leader="dot"/>
            </w:tabs>
            <w:rPr/>
          </w:pPr>
          <w:hyperlink w:anchor="__RefHeading___Toc7304924_3381743652">
            <w:r>
              <w:rPr>
                <w:webHidden/>
                <w:rStyle w:val="IndexLink"/>
              </w:rPr>
              <w:t>3</w:t>
            </w:r>
            <w:r>
              <w:rPr>
                <w:rStyle w:val="IndexLink"/>
                <w:rtl w:val="true"/>
              </w:rPr>
              <w:t xml:space="preserve">. </w:t>
            </w:r>
            <w:r>
              <w:rPr>
                <w:rStyle w:val="IndexLink"/>
                <w:rtl w:val="true"/>
              </w:rPr>
              <w:t>عدم المحذور في مقام الامتثال</w:t>
            </w:r>
            <w:r>
              <w:rPr>
                <w:rStyle w:val="IndexLink"/>
                <w:rtl w:val="true"/>
              </w:rPr>
              <w:tab/>
            </w:r>
            <w:r>
              <w:rPr>
                <w:rStyle w:val="IndexLink"/>
              </w:rPr>
              <w:t>241</w:t>
            </w:r>
          </w:hyperlink>
        </w:p>
        <w:p>
          <w:pPr>
            <w:pStyle w:val="Contents5"/>
            <w:tabs>
              <w:tab w:val="clear" w:pos="7892"/>
              <w:tab w:val="right" w:pos="9026" w:leader="dot"/>
            </w:tabs>
            <w:rPr/>
          </w:pPr>
          <w:hyperlink w:anchor="__RefHeading___Toc7304926_3381743652">
            <w:r>
              <w:rPr>
                <w:webHidden/>
                <w:rStyle w:val="IndexLink"/>
                <w:rtl w:val="true"/>
              </w:rPr>
              <w:t>الوجه السادس</w:t>
            </w:r>
            <w:r>
              <w:rPr>
                <w:rStyle w:val="IndexLink"/>
                <w:rtl w:val="true"/>
              </w:rPr>
              <w:t xml:space="preserve">: </w:t>
            </w:r>
            <w:r>
              <w:rPr>
                <w:rStyle w:val="IndexLink"/>
                <w:rtl w:val="true"/>
              </w:rPr>
              <w:t>استكشاف جواز الاجتماع من عدم ورود النص على عدم جواز الصلاة في المكان و اللباس المغصوبين،</w:t>
            </w:r>
            <w:r>
              <w:rPr>
                <w:rStyle w:val="IndexLink"/>
                <w:rtl w:val="true"/>
              </w:rPr>
              <w:tab/>
            </w:r>
            <w:r>
              <w:rPr>
                <w:rStyle w:val="IndexLink"/>
              </w:rPr>
              <w:t>245</w:t>
            </w:r>
          </w:hyperlink>
        </w:p>
        <w:p>
          <w:pPr>
            <w:pStyle w:val="Contents5"/>
            <w:tabs>
              <w:tab w:val="clear" w:pos="7892"/>
              <w:tab w:val="right" w:pos="9026" w:leader="dot"/>
            </w:tabs>
            <w:rPr/>
          </w:pPr>
          <w:hyperlink w:anchor="__RefHeading___Toc7304928_3381743652">
            <w:r>
              <w:rPr>
                <w:webHidden/>
                <w:rStyle w:val="IndexLink"/>
                <w:rtl w:val="true"/>
              </w:rPr>
              <w:t>الوجه السابع</w:t>
            </w:r>
            <w:r>
              <w:rPr>
                <w:rStyle w:val="IndexLink"/>
                <w:rtl w:val="true"/>
              </w:rPr>
              <w:t xml:space="preserve">: </w:t>
            </w:r>
            <w:r>
              <w:rPr>
                <w:rStyle w:val="IndexLink"/>
                <w:rtl w:val="true"/>
              </w:rPr>
              <w:t>الاستدلال بالعبادات المكروهة</w:t>
            </w:r>
            <w:r>
              <w:rPr>
                <w:rStyle w:val="IndexLink"/>
                <w:rtl w:val="true"/>
              </w:rPr>
              <w:tab/>
            </w:r>
            <w:r>
              <w:rPr>
                <w:rStyle w:val="IndexLink"/>
              </w:rPr>
              <w:t>246</w:t>
            </w:r>
          </w:hyperlink>
        </w:p>
        <w:p>
          <w:pPr>
            <w:pStyle w:val="Contents6"/>
            <w:tabs>
              <w:tab w:val="clear" w:pos="7609"/>
              <w:tab w:val="right" w:pos="9026" w:leader="dot"/>
            </w:tabs>
            <w:rPr/>
          </w:pPr>
          <w:hyperlink w:anchor="__RefHeading___Toc7304930_3381743652">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7304932_3381743652">
            <w:r>
              <w:rPr>
                <w:webHidden/>
                <w:rStyle w:val="IndexLink"/>
                <w:rtl w:val="true"/>
              </w:rPr>
              <w:t>تقسيم العبادات المكروهة على أقسام ثلاثة</w:t>
            </w:r>
            <w:r>
              <w:rPr>
                <w:rStyle w:val="IndexLink"/>
                <w:rtl w:val="true"/>
              </w:rPr>
              <w:tab/>
            </w:r>
            <w:r>
              <w:rPr>
                <w:rStyle w:val="IndexLink"/>
              </w:rPr>
              <w:t>247</w:t>
            </w:r>
          </w:hyperlink>
        </w:p>
        <w:p>
          <w:pPr>
            <w:pStyle w:val="Contents6"/>
            <w:tabs>
              <w:tab w:val="clear" w:pos="7609"/>
              <w:tab w:val="right" w:pos="9026" w:leader="dot"/>
            </w:tabs>
            <w:rPr/>
          </w:pPr>
          <w:hyperlink w:anchor="__RefHeading___Toc7304934_3381743652">
            <w:r>
              <w:rPr>
                <w:webHidden/>
                <w:rStyle w:val="IndexLink"/>
                <w:rtl w:val="true"/>
              </w:rPr>
              <w:t>القسم الأوّل</w:t>
            </w:r>
            <w:r>
              <w:rPr>
                <w:rStyle w:val="IndexLink"/>
                <w:rtl w:val="true"/>
              </w:rPr>
              <w:t xml:space="preserve">: </w:t>
            </w:r>
            <w:r>
              <w:rPr>
                <w:rStyle w:val="IndexLink"/>
                <w:rtl w:val="true"/>
              </w:rPr>
              <w:t>النهي عن عبادة ليس لها بدل</w:t>
            </w:r>
            <w:r>
              <w:rPr>
                <w:rStyle w:val="IndexLink"/>
                <w:rtl w:val="true"/>
              </w:rPr>
              <w:tab/>
            </w:r>
            <w:r>
              <w:rPr>
                <w:rStyle w:val="IndexLink"/>
              </w:rPr>
              <w:t>247</w:t>
            </w:r>
          </w:hyperlink>
        </w:p>
        <w:p>
          <w:pPr>
            <w:pStyle w:val="Contents6"/>
            <w:tabs>
              <w:tab w:val="clear" w:pos="7609"/>
              <w:tab w:val="right" w:pos="9026" w:leader="dot"/>
            </w:tabs>
            <w:rPr/>
          </w:pPr>
          <w:hyperlink w:anchor="__RefHeading___Toc7304936_3381743652">
            <w:r>
              <w:rPr>
                <w:webHidden/>
                <w:rStyle w:val="IndexLink"/>
                <w:rtl w:val="true"/>
              </w:rPr>
              <w:t>القسم الثاني</w:t>
            </w:r>
            <w:r>
              <w:rPr>
                <w:rStyle w:val="IndexLink"/>
                <w:rtl w:val="true"/>
              </w:rPr>
              <w:t xml:space="preserve">: </w:t>
            </w:r>
            <w:r>
              <w:rPr>
                <w:rStyle w:val="IndexLink"/>
                <w:rtl w:val="true"/>
              </w:rPr>
              <w:t>النهي عن عبادة لها بدل</w:t>
            </w:r>
            <w:r>
              <w:rPr>
                <w:rStyle w:val="IndexLink"/>
                <w:rtl w:val="true"/>
              </w:rPr>
              <w:tab/>
            </w:r>
            <w:r>
              <w:rPr>
                <w:rStyle w:val="IndexLink"/>
              </w:rPr>
              <w:t>253</w:t>
            </w:r>
          </w:hyperlink>
        </w:p>
        <w:p>
          <w:pPr>
            <w:pStyle w:val="Contents6"/>
            <w:tabs>
              <w:tab w:val="clear" w:pos="7609"/>
              <w:tab w:val="right" w:pos="9026" w:leader="dot"/>
            </w:tabs>
            <w:rPr/>
          </w:pPr>
          <w:hyperlink w:anchor="__RefHeading___Toc7304938_3381743652">
            <w:r>
              <w:rPr>
                <w:webHidden/>
                <w:rStyle w:val="IndexLink"/>
                <w:rtl w:val="true"/>
              </w:rPr>
              <w:t>إجابة المحقّق الخراساني عن القسم الثاني</w:t>
            </w:r>
            <w:r>
              <w:rPr>
                <w:rStyle w:val="IndexLink"/>
                <w:rtl w:val="true"/>
              </w:rPr>
              <w:tab/>
            </w:r>
            <w:r>
              <w:rPr>
                <w:rStyle w:val="IndexLink"/>
              </w:rPr>
              <w:t>255</w:t>
            </w:r>
          </w:hyperlink>
        </w:p>
        <w:p>
          <w:pPr>
            <w:pStyle w:val="Contents6"/>
            <w:tabs>
              <w:tab w:val="clear" w:pos="7609"/>
              <w:tab w:val="right" w:pos="9026" w:leader="dot"/>
            </w:tabs>
            <w:rPr/>
          </w:pPr>
          <w:hyperlink w:anchor="__RefHeading___Toc7304940_3381743652">
            <w:r>
              <w:rPr>
                <w:webHidden/>
                <w:rStyle w:val="IndexLink"/>
                <w:rtl w:val="true"/>
              </w:rPr>
              <w:t>القسم الثالث</w:t>
            </w:r>
            <w:r>
              <w:rPr>
                <w:rStyle w:val="IndexLink"/>
                <w:rtl w:val="true"/>
              </w:rPr>
              <w:t xml:space="preserve">: </w:t>
            </w:r>
            <w:r>
              <w:rPr>
                <w:rStyle w:val="IndexLink"/>
                <w:rtl w:val="true"/>
              </w:rPr>
              <w:t>تعلّق النهي بشيء خارج عن العبادة</w:t>
            </w:r>
            <w:r>
              <w:rPr>
                <w:rStyle w:val="IndexLink"/>
                <w:rtl w:val="true"/>
              </w:rPr>
              <w:tab/>
            </w:r>
            <w:r>
              <w:rPr>
                <w:rStyle w:val="IndexLink"/>
              </w:rPr>
              <w:t>256</w:t>
            </w:r>
          </w:hyperlink>
        </w:p>
        <w:p>
          <w:pPr>
            <w:pStyle w:val="Contents4"/>
            <w:tabs>
              <w:tab w:val="clear" w:pos="8176"/>
              <w:tab w:val="right" w:pos="9026" w:leader="dot"/>
            </w:tabs>
            <w:rPr/>
          </w:pPr>
          <w:hyperlink w:anchor="__RefHeading___Toc7304942_3381743652">
            <w:r>
              <w:rPr>
                <w:webHidden/>
                <w:rStyle w:val="IndexLink"/>
                <w:rtl w:val="true"/>
              </w:rPr>
              <w:t>تنبيهات</w:t>
            </w:r>
            <w:r>
              <w:rPr>
                <w:rStyle w:val="IndexLink"/>
                <w:rtl w:val="true"/>
              </w:rPr>
              <w:tab/>
            </w:r>
            <w:r>
              <w:rPr>
                <w:rStyle w:val="IndexLink"/>
              </w:rPr>
              <w:t>259</w:t>
            </w:r>
          </w:hyperlink>
        </w:p>
        <w:p>
          <w:pPr>
            <w:pStyle w:val="Contents5"/>
            <w:tabs>
              <w:tab w:val="clear" w:pos="7892"/>
              <w:tab w:val="right" w:pos="9026" w:leader="dot"/>
            </w:tabs>
            <w:rPr/>
          </w:pPr>
          <w:hyperlink w:anchor="__RefHeading___Toc7304944_3381743652">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7304946_3381743652">
            <w:r>
              <w:rPr>
                <w:webHidden/>
                <w:rStyle w:val="IndexLink"/>
                <w:rtl w:val="true"/>
              </w:rPr>
              <w:t>التنبيه الأول في حكم الاضطرار إلى الحرام</w:t>
            </w:r>
            <w:r>
              <w:rPr>
                <w:rStyle w:val="IndexLink"/>
                <w:rtl w:val="true"/>
              </w:rPr>
              <w:tab/>
            </w:r>
            <w:r>
              <w:rPr>
                <w:rStyle w:val="IndexLink"/>
              </w:rPr>
              <w:t>259</w:t>
            </w:r>
          </w:hyperlink>
        </w:p>
        <w:p>
          <w:pPr>
            <w:pStyle w:val="Contents6"/>
            <w:tabs>
              <w:tab w:val="clear" w:pos="7609"/>
              <w:tab w:val="right" w:pos="9026" w:leader="dot"/>
            </w:tabs>
            <w:rPr/>
          </w:pPr>
          <w:hyperlink w:anchor="__RefHeading___Toc7304948_3381743652">
            <w:r>
              <w:rPr>
                <w:webHidden/>
                <w:rStyle w:val="IndexLink"/>
                <w:rtl w:val="true"/>
              </w:rPr>
              <w:t>اشارة</w:t>
            </w:r>
            <w:r>
              <w:rPr>
                <w:rStyle w:val="IndexLink"/>
                <w:rtl w:val="true"/>
              </w:rPr>
              <w:tab/>
            </w:r>
            <w:r>
              <w:rPr>
                <w:rStyle w:val="IndexLink"/>
              </w:rPr>
              <w:t>259</w:t>
            </w:r>
          </w:hyperlink>
        </w:p>
        <w:p>
          <w:pPr>
            <w:pStyle w:val="Contents6"/>
            <w:tabs>
              <w:tab w:val="clear" w:pos="7609"/>
              <w:tab w:val="right" w:pos="9026" w:leader="dot"/>
            </w:tabs>
            <w:rPr/>
          </w:pPr>
          <w:hyperlink w:anchor="__RefHeading___Toc7304950_3381743652">
            <w:r>
              <w:rPr>
                <w:webHidden/>
                <w:rStyle w:val="IndexLink"/>
                <w:rtl w:val="true"/>
              </w:rPr>
              <w:t>الاضطرار إلى ارتكاب الحرام من غير اختيار</w:t>
            </w:r>
            <w:r>
              <w:rPr>
                <w:rStyle w:val="IndexLink"/>
                <w:rtl w:val="true"/>
              </w:rPr>
              <w:tab/>
            </w:r>
            <w:r>
              <w:rPr>
                <w:rStyle w:val="IndexLink"/>
              </w:rPr>
              <w:t>260</w:t>
            </w:r>
          </w:hyperlink>
        </w:p>
        <w:p>
          <w:pPr>
            <w:pStyle w:val="Contents6"/>
            <w:tabs>
              <w:tab w:val="clear" w:pos="7609"/>
              <w:tab w:val="right" w:pos="9026" w:leader="dot"/>
            </w:tabs>
            <w:rPr/>
          </w:pPr>
          <w:hyperlink w:anchor="__RefHeading___Toc7304952_3381743652">
            <w:r>
              <w:rPr>
                <w:webHidden/>
                <w:rStyle w:val="IndexLink"/>
                <w:rtl w:val="true"/>
              </w:rPr>
              <w:t>في عبادة المحبوس المضطر</w:t>
            </w:r>
            <w:r>
              <w:rPr>
                <w:rStyle w:val="IndexLink"/>
                <w:rtl w:val="true"/>
              </w:rPr>
              <w:tab/>
            </w:r>
            <w:r>
              <w:rPr>
                <w:rStyle w:val="IndexLink"/>
              </w:rPr>
              <w:t>261</w:t>
            </w:r>
          </w:hyperlink>
        </w:p>
        <w:p>
          <w:pPr>
            <w:pStyle w:val="Contents6"/>
            <w:tabs>
              <w:tab w:val="clear" w:pos="7609"/>
              <w:tab w:val="right" w:pos="9026" w:leader="dot"/>
            </w:tabs>
            <w:rPr/>
          </w:pPr>
          <w:hyperlink w:anchor="__RefHeading___Toc7304954_3381743652">
            <w:r>
              <w:rPr>
                <w:webHidden/>
                <w:rStyle w:val="IndexLink"/>
                <w:rtl w:val="true"/>
              </w:rPr>
              <w:t>حكم الاضطرار بسوء الاختيار</w:t>
            </w:r>
            <w:r>
              <w:rPr>
                <w:rStyle w:val="IndexLink"/>
                <w:rtl w:val="true"/>
              </w:rPr>
              <w:tab/>
            </w:r>
            <w:r>
              <w:rPr>
                <w:rStyle w:val="IndexLink"/>
              </w:rPr>
              <w:t>264</w:t>
            </w:r>
          </w:hyperlink>
        </w:p>
        <w:p>
          <w:pPr>
            <w:pStyle w:val="Contents6"/>
            <w:tabs>
              <w:tab w:val="clear" w:pos="7609"/>
              <w:tab w:val="right" w:pos="9026" w:leader="dot"/>
            </w:tabs>
            <w:rPr/>
          </w:pPr>
          <w:hyperlink w:anchor="__RefHeading___Toc7304956_3381743652">
            <w:r>
              <w:rPr>
                <w:webHidden/>
                <w:rStyle w:val="IndexLink"/>
                <w:rtl w:val="true"/>
              </w:rPr>
              <w:t>أمّا الأوّل أي حكم الدخول فلا شكّ انّه أمر محرم،</w:t>
            </w:r>
            <w:r>
              <w:rPr>
                <w:rStyle w:val="IndexLink"/>
                <w:rtl w:val="true"/>
              </w:rPr>
              <w:tab/>
            </w:r>
            <w:r>
              <w:rPr>
                <w:rStyle w:val="IndexLink"/>
              </w:rPr>
              <w:t>265</w:t>
            </w:r>
          </w:hyperlink>
        </w:p>
        <w:p>
          <w:pPr>
            <w:pStyle w:val="Contents6"/>
            <w:tabs>
              <w:tab w:val="clear" w:pos="7609"/>
              <w:tab w:val="right" w:pos="9026" w:leader="dot"/>
            </w:tabs>
            <w:rPr/>
          </w:pPr>
          <w:hyperlink w:anchor="__RefHeading___Toc7304958_3381743652">
            <w:r>
              <w:rPr>
                <w:webHidden/>
                <w:rStyle w:val="IndexLink"/>
                <w:rtl w:val="true"/>
              </w:rPr>
              <w:t>الثاني</w:t>
            </w:r>
            <w:r>
              <w:rPr>
                <w:rStyle w:val="IndexLink"/>
                <w:rtl w:val="true"/>
              </w:rPr>
              <w:t xml:space="preserve">: </w:t>
            </w:r>
            <w:r>
              <w:rPr>
                <w:rStyle w:val="IndexLink"/>
                <w:rtl w:val="true"/>
              </w:rPr>
              <w:t>حكم الخروج تكليفاً</w:t>
            </w:r>
            <w:r>
              <w:rPr>
                <w:rStyle w:val="IndexLink"/>
                <w:rtl w:val="true"/>
              </w:rPr>
              <w:tab/>
            </w:r>
            <w:r>
              <w:rPr>
                <w:rStyle w:val="IndexLink"/>
              </w:rPr>
              <w:t>265</w:t>
            </w:r>
          </w:hyperlink>
        </w:p>
        <w:p>
          <w:pPr>
            <w:pStyle w:val="Contents6"/>
            <w:tabs>
              <w:tab w:val="clear" w:pos="7609"/>
              <w:tab w:val="right" w:pos="9026" w:leader="dot"/>
            </w:tabs>
            <w:rPr/>
          </w:pPr>
          <w:hyperlink w:anchor="__RefHeading___Toc7304960_3381743652">
            <w:r>
              <w:rPr>
                <w:webHidden/>
                <w:rStyle w:val="IndexLink"/>
                <w:rtl w:val="true"/>
              </w:rPr>
              <w:t>الأقوال على الترتيب المذكور في صدر البحث</w:t>
            </w:r>
            <w:r>
              <w:rPr>
                <w:rStyle w:val="IndexLink"/>
                <w:rtl w:val="true"/>
              </w:rPr>
              <w:t>.</w:t>
              <w:tab/>
            </w:r>
            <w:r>
              <w:rPr>
                <w:rStyle w:val="IndexLink"/>
              </w:rPr>
              <w:t>268</w:t>
            </w:r>
          </w:hyperlink>
        </w:p>
        <w:p>
          <w:pPr>
            <w:pStyle w:val="Contents6"/>
            <w:tabs>
              <w:tab w:val="clear" w:pos="7609"/>
              <w:tab w:val="right" w:pos="9026" w:leader="dot"/>
            </w:tabs>
            <w:rPr/>
          </w:pPr>
          <w:hyperlink w:anchor="__RefHeading___Toc7304962_3381743652">
            <w:r>
              <w:rPr>
                <w:webHidden/>
                <w:rStyle w:val="IndexLink"/>
                <w:rtl w:val="true"/>
              </w:rPr>
              <w:t>الأوّل</w:t>
            </w:r>
            <w:r>
              <w:rPr>
                <w:rStyle w:val="IndexLink"/>
                <w:rtl w:val="true"/>
              </w:rPr>
              <w:t xml:space="preserve">: </w:t>
            </w:r>
            <w:r>
              <w:rPr>
                <w:rStyle w:val="IndexLink"/>
                <w:rtl w:val="true"/>
              </w:rPr>
              <w:t>الخروج منهي عنه بالنهي الفعلي فقط</w:t>
            </w:r>
            <w:r>
              <w:rPr>
                <w:rStyle w:val="IndexLink"/>
                <w:rtl w:val="true"/>
              </w:rPr>
              <w:tab/>
            </w:r>
            <w:r>
              <w:rPr>
                <w:rStyle w:val="IndexLink"/>
              </w:rPr>
              <w:t>268</w:t>
            </w:r>
          </w:hyperlink>
        </w:p>
        <w:p>
          <w:pPr>
            <w:pStyle w:val="Contents6"/>
            <w:tabs>
              <w:tab w:val="clear" w:pos="7609"/>
              <w:tab w:val="right" w:pos="9026" w:leader="dot"/>
            </w:tabs>
            <w:rPr/>
          </w:pPr>
          <w:hyperlink w:anchor="__RefHeading___Toc7304964_3381743652">
            <w:r>
              <w:rPr>
                <w:webHidden/>
                <w:rStyle w:val="IndexLink"/>
                <w:rtl w:val="true"/>
              </w:rPr>
              <w:t>الثاني</w:t>
            </w:r>
            <w:r>
              <w:rPr>
                <w:rStyle w:val="IndexLink"/>
                <w:rtl w:val="true"/>
              </w:rPr>
              <w:t xml:space="preserve">: </w:t>
            </w:r>
            <w:r>
              <w:rPr>
                <w:rStyle w:val="IndexLink"/>
                <w:rtl w:val="true"/>
              </w:rPr>
              <w:t>الخروج واجب شرعاً</w:t>
            </w:r>
            <w:r>
              <w:rPr>
                <w:rStyle w:val="IndexLink"/>
                <w:rtl w:val="true"/>
              </w:rPr>
              <w:tab/>
            </w:r>
            <w:r>
              <w:rPr>
                <w:rStyle w:val="IndexLink"/>
              </w:rPr>
              <w:t>271</w:t>
            </w:r>
          </w:hyperlink>
        </w:p>
        <w:p>
          <w:pPr>
            <w:pStyle w:val="Contents6"/>
            <w:tabs>
              <w:tab w:val="clear" w:pos="7609"/>
              <w:tab w:val="right" w:pos="9026" w:leader="dot"/>
            </w:tabs>
            <w:rPr/>
          </w:pPr>
          <w:hyperlink w:anchor="__RefHeading___Toc7304966_3381743652">
            <w:r>
              <w:rPr>
                <w:webHidden/>
                <w:rStyle w:val="IndexLink"/>
                <w:rtl w:val="true"/>
              </w:rPr>
              <w:t>القول الثالث</w:t>
            </w:r>
            <w:r>
              <w:rPr>
                <w:rStyle w:val="IndexLink"/>
                <w:rtl w:val="true"/>
              </w:rPr>
              <w:t xml:space="preserve">: </w:t>
            </w:r>
            <w:r>
              <w:rPr>
                <w:rStyle w:val="IndexLink"/>
                <w:rtl w:val="true"/>
              </w:rPr>
              <w:t>مأمور به، و منهي بالنهي الساقط</w:t>
            </w:r>
            <w:r>
              <w:rPr>
                <w:rStyle w:val="IndexLink"/>
                <w:rtl w:val="true"/>
              </w:rPr>
              <w:tab/>
            </w:r>
            <w:r>
              <w:rPr>
                <w:rStyle w:val="IndexLink"/>
              </w:rPr>
              <w:t>275</w:t>
            </w:r>
          </w:hyperlink>
        </w:p>
        <w:p>
          <w:pPr>
            <w:pStyle w:val="Contents6"/>
            <w:tabs>
              <w:tab w:val="clear" w:pos="7609"/>
              <w:tab w:val="right" w:pos="9026" w:leader="dot"/>
            </w:tabs>
            <w:rPr/>
          </w:pPr>
          <w:hyperlink w:anchor="__RefHeading___Toc7304968_3381743652">
            <w:r>
              <w:rPr>
                <w:webHidden/>
                <w:rStyle w:val="IndexLink"/>
                <w:rtl w:val="true"/>
              </w:rPr>
              <w:t>القول الرابع</w:t>
            </w:r>
            <w:r>
              <w:rPr>
                <w:rStyle w:val="IndexLink"/>
                <w:rtl w:val="true"/>
              </w:rPr>
              <w:t xml:space="preserve">: </w:t>
            </w:r>
            <w:r>
              <w:rPr>
                <w:rStyle w:val="IndexLink"/>
                <w:rtl w:val="true"/>
              </w:rPr>
              <w:t>انّه مأمور به و منهيّ عنه</w:t>
            </w:r>
            <w:r>
              <w:rPr>
                <w:rStyle w:val="IndexLink"/>
                <w:rtl w:val="true"/>
              </w:rPr>
              <w:tab/>
            </w:r>
            <w:r>
              <w:rPr>
                <w:rStyle w:val="IndexLink"/>
              </w:rPr>
              <w:t>278</w:t>
            </w:r>
          </w:hyperlink>
        </w:p>
        <w:p>
          <w:pPr>
            <w:pStyle w:val="Contents6"/>
            <w:tabs>
              <w:tab w:val="clear" w:pos="7609"/>
              <w:tab w:val="right" w:pos="9026" w:leader="dot"/>
            </w:tabs>
            <w:rPr/>
          </w:pPr>
          <w:hyperlink w:anchor="__RefHeading___Toc7304970_3381743652">
            <w:r>
              <w:rPr>
                <w:webHidden/>
                <w:rStyle w:val="IndexLink"/>
                <w:rtl w:val="true"/>
              </w:rPr>
              <w:t>القول الخامس</w:t>
            </w:r>
            <w:r>
              <w:rPr>
                <w:rStyle w:val="IndexLink"/>
                <w:rtl w:val="true"/>
              </w:rPr>
              <w:t xml:space="preserve">: </w:t>
            </w:r>
            <w:r>
              <w:rPr>
                <w:rStyle w:val="IndexLink"/>
                <w:rtl w:val="true"/>
              </w:rPr>
              <w:t>ليس محكوماً بحكم فعلاً مع جريان المعصية</w:t>
            </w:r>
            <w:r>
              <w:rPr>
                <w:rStyle w:val="IndexLink"/>
                <w:rtl w:val="true"/>
              </w:rPr>
              <w:tab/>
            </w:r>
            <w:r>
              <w:rPr>
                <w:rStyle w:val="IndexLink"/>
              </w:rPr>
              <w:t>280</w:t>
            </w:r>
          </w:hyperlink>
        </w:p>
        <w:p>
          <w:pPr>
            <w:pStyle w:val="Contents6"/>
            <w:tabs>
              <w:tab w:val="clear" w:pos="7609"/>
              <w:tab w:val="right" w:pos="9026" w:leader="dot"/>
            </w:tabs>
            <w:rPr/>
          </w:pPr>
          <w:hyperlink w:anchor="__RefHeading___Toc7304972_3381743652">
            <w:r>
              <w:rPr>
                <w:webHidden/>
                <w:rStyle w:val="IndexLink"/>
                <w:rtl w:val="true"/>
              </w:rPr>
              <w:t>القول السادس</w:t>
            </w:r>
            <w:r>
              <w:rPr>
                <w:rStyle w:val="IndexLink"/>
                <w:rtl w:val="true"/>
              </w:rPr>
              <w:t xml:space="preserve">: </w:t>
            </w:r>
            <w:r>
              <w:rPr>
                <w:rStyle w:val="IndexLink"/>
                <w:rtl w:val="true"/>
              </w:rPr>
              <w:t>انّه منهي عنه و مأمور به بالترتّب</w:t>
            </w:r>
            <w:r>
              <w:rPr>
                <w:rStyle w:val="IndexLink"/>
                <w:rtl w:val="true"/>
              </w:rPr>
              <w:tab/>
            </w:r>
            <w:r>
              <w:rPr>
                <w:rStyle w:val="IndexLink"/>
              </w:rPr>
              <w:t>280</w:t>
            </w:r>
          </w:hyperlink>
        </w:p>
        <w:p>
          <w:pPr>
            <w:pStyle w:val="Contents6"/>
            <w:tabs>
              <w:tab w:val="clear" w:pos="7609"/>
              <w:tab w:val="right" w:pos="9026" w:leader="dot"/>
            </w:tabs>
            <w:rPr/>
          </w:pPr>
          <w:hyperlink w:anchor="__RefHeading___Toc7304974_3381743652">
            <w:r>
              <w:rPr>
                <w:webHidden/>
                <w:rStyle w:val="IndexLink"/>
                <w:rtl w:val="true"/>
              </w:rPr>
              <w:t>المورد الثالث</w:t>
            </w:r>
            <w:r>
              <w:rPr>
                <w:rStyle w:val="IndexLink"/>
                <w:rtl w:val="true"/>
              </w:rPr>
              <w:t xml:space="preserve">: </w:t>
            </w:r>
            <w:r>
              <w:rPr>
                <w:rStyle w:val="IndexLink"/>
                <w:rtl w:val="true"/>
              </w:rPr>
              <w:t>حكم العبادة حين الخروج</w:t>
            </w:r>
            <w:r>
              <w:rPr>
                <w:rStyle w:val="IndexLink"/>
                <w:rtl w:val="true"/>
              </w:rPr>
              <w:tab/>
            </w:r>
            <w:r>
              <w:rPr>
                <w:rStyle w:val="IndexLink"/>
              </w:rPr>
              <w:t>281</w:t>
            </w:r>
          </w:hyperlink>
        </w:p>
        <w:p>
          <w:pPr>
            <w:pStyle w:val="Contents6"/>
            <w:tabs>
              <w:tab w:val="clear" w:pos="7609"/>
              <w:tab w:val="right" w:pos="9026" w:leader="dot"/>
            </w:tabs>
            <w:rPr/>
          </w:pPr>
          <w:hyperlink w:anchor="__RefHeading___Toc7304976_3381743652">
            <w:r>
              <w:rPr>
                <w:webHidden/>
                <w:rStyle w:val="IndexLink"/>
                <w:rtl w:val="true"/>
              </w:rPr>
              <w:t>حكم الخروج إذا تاب بعد الدخول</w:t>
            </w:r>
            <w:r>
              <w:rPr>
                <w:rStyle w:val="IndexLink"/>
                <w:rtl w:val="true"/>
              </w:rPr>
              <w:tab/>
            </w:r>
            <w:r>
              <w:rPr>
                <w:rStyle w:val="IndexLink"/>
              </w:rPr>
              <w:t>283</w:t>
            </w:r>
          </w:hyperlink>
        </w:p>
        <w:p>
          <w:pPr>
            <w:pStyle w:val="Contents5"/>
            <w:tabs>
              <w:tab w:val="clear" w:pos="7892"/>
              <w:tab w:val="right" w:pos="9026" w:leader="dot"/>
            </w:tabs>
            <w:rPr/>
          </w:pPr>
          <w:hyperlink w:anchor="__RefHeading___Toc7304978_3381743652">
            <w:r>
              <w:rPr>
                <w:webHidden/>
                <w:rStyle w:val="IndexLink"/>
                <w:rtl w:val="true"/>
              </w:rPr>
              <w:t>التنبيه الثاني قد ذكر المحقّق الخراساني في هذا التنبيه أُموراً ثلاثة</w:t>
            </w:r>
            <w:r>
              <w:rPr>
                <w:rStyle w:val="IndexLink"/>
                <w:rtl w:val="true"/>
              </w:rPr>
              <w:t>:</w:t>
              <w:tab/>
            </w:r>
            <w:r>
              <w:rPr>
                <w:rStyle w:val="IndexLink"/>
              </w:rPr>
              <w:t>285</w:t>
            </w:r>
          </w:hyperlink>
        </w:p>
        <w:p>
          <w:pPr>
            <w:pStyle w:val="Contents6"/>
            <w:tabs>
              <w:tab w:val="clear" w:pos="7609"/>
              <w:tab w:val="right" w:pos="9026" w:leader="dot"/>
            </w:tabs>
            <w:rPr/>
          </w:pPr>
          <w:hyperlink w:anchor="__RefHeading___Toc7304980_3381743652">
            <w:r>
              <w:rPr>
                <w:webHidden/>
                <w:rStyle w:val="IndexLink"/>
                <w:rtl w:val="true"/>
              </w:rPr>
              <w:t>اشارة</w:t>
            </w:r>
            <w:r>
              <w:rPr>
                <w:rStyle w:val="IndexLink"/>
                <w:rtl w:val="true"/>
              </w:rPr>
              <w:tab/>
            </w:r>
            <w:r>
              <w:rPr>
                <w:rStyle w:val="IndexLink"/>
              </w:rPr>
              <w:t>285</w:t>
            </w:r>
          </w:hyperlink>
        </w:p>
        <w:p>
          <w:pPr>
            <w:pStyle w:val="Contents6"/>
            <w:tabs>
              <w:tab w:val="clear" w:pos="7609"/>
              <w:tab w:val="right" w:pos="9026" w:leader="dot"/>
            </w:tabs>
            <w:rPr/>
          </w:pPr>
          <w:hyperlink w:anchor="__RefHeading___Toc7304982_3381743652">
            <w:r>
              <w:rPr>
                <w:webHidden/>
                <w:rStyle w:val="IndexLink"/>
                <w:rtl w:val="true"/>
              </w:rPr>
              <w:t>الأوّل</w:t>
            </w:r>
            <w:r>
              <w:rPr>
                <w:rStyle w:val="IndexLink"/>
                <w:rtl w:val="true"/>
              </w:rPr>
              <w:t xml:space="preserve">: </w:t>
            </w:r>
            <w:r>
              <w:rPr>
                <w:rStyle w:val="IndexLink"/>
                <w:rtl w:val="true"/>
              </w:rPr>
              <w:t>النهي أقوى دلالة من الأمر</w:t>
            </w:r>
            <w:r>
              <w:rPr>
                <w:rStyle w:val="IndexLink"/>
                <w:rtl w:val="true"/>
              </w:rPr>
              <w:tab/>
            </w:r>
            <w:r>
              <w:rPr>
                <w:rStyle w:val="IndexLink"/>
              </w:rPr>
              <w:t>286</w:t>
            </w:r>
          </w:hyperlink>
        </w:p>
        <w:p>
          <w:pPr>
            <w:pStyle w:val="Contents6"/>
            <w:tabs>
              <w:tab w:val="clear" w:pos="7609"/>
              <w:tab w:val="right" w:pos="9026" w:leader="dot"/>
            </w:tabs>
            <w:rPr/>
          </w:pPr>
          <w:hyperlink w:anchor="__RefHeading___Toc7304984_3381743652">
            <w:r>
              <w:rPr>
                <w:webHidden/>
                <w:rStyle w:val="IndexLink"/>
                <w:rtl w:val="true"/>
              </w:rPr>
              <w:t>الثاني</w:t>
            </w:r>
            <w:r>
              <w:rPr>
                <w:rStyle w:val="IndexLink"/>
                <w:rtl w:val="true"/>
              </w:rPr>
              <w:t xml:space="preserve">: </w:t>
            </w:r>
            <w:r>
              <w:rPr>
                <w:rStyle w:val="IndexLink"/>
                <w:rtl w:val="true"/>
              </w:rPr>
              <w:t>دفع المفسدة أولى من جلب المنفعة</w:t>
            </w:r>
            <w:r>
              <w:rPr>
                <w:rStyle w:val="IndexLink"/>
                <w:rtl w:val="true"/>
              </w:rPr>
              <w:tab/>
            </w:r>
            <w:r>
              <w:rPr>
                <w:rStyle w:val="IndexLink"/>
              </w:rPr>
              <w:t>290</w:t>
            </w:r>
          </w:hyperlink>
        </w:p>
        <w:p>
          <w:pPr>
            <w:pStyle w:val="Contents6"/>
            <w:tabs>
              <w:tab w:val="clear" w:pos="7609"/>
              <w:tab w:val="right" w:pos="9026" w:leader="dot"/>
            </w:tabs>
            <w:rPr/>
          </w:pPr>
          <w:hyperlink w:anchor="__RefHeading___Toc7304986_3381743652">
            <w:r>
              <w:rPr>
                <w:webHidden/>
                <w:rStyle w:val="IndexLink"/>
                <w:rtl w:val="true"/>
              </w:rPr>
              <w:t>المناقشة في الصغرى</w:t>
            </w:r>
            <w:r>
              <w:rPr>
                <w:rStyle w:val="IndexLink"/>
                <w:rtl w:val="true"/>
              </w:rPr>
              <w:tab/>
            </w:r>
            <w:r>
              <w:rPr>
                <w:rStyle w:val="IndexLink"/>
              </w:rPr>
              <w:t>291</w:t>
            </w:r>
          </w:hyperlink>
        </w:p>
        <w:p>
          <w:pPr>
            <w:pStyle w:val="Contents6"/>
            <w:tabs>
              <w:tab w:val="clear" w:pos="7609"/>
              <w:tab w:val="right" w:pos="9026" w:leader="dot"/>
            </w:tabs>
            <w:rPr/>
          </w:pPr>
          <w:hyperlink w:anchor="__RefHeading___Toc7304988_3381743652">
            <w:r>
              <w:rPr>
                <w:webHidden/>
                <w:rStyle w:val="IndexLink"/>
                <w:rtl w:val="true"/>
              </w:rPr>
              <w:t>المناقشة في الكبرى</w:t>
            </w:r>
            <w:r>
              <w:rPr>
                <w:rStyle w:val="IndexLink"/>
                <w:rtl w:val="true"/>
              </w:rPr>
              <w:tab/>
            </w:r>
            <w:r>
              <w:rPr>
                <w:rStyle w:val="IndexLink"/>
              </w:rPr>
              <w:t>292</w:t>
            </w:r>
          </w:hyperlink>
        </w:p>
        <w:p>
          <w:pPr>
            <w:pStyle w:val="Contents6"/>
            <w:tabs>
              <w:tab w:val="clear" w:pos="7609"/>
              <w:tab w:val="right" w:pos="9026" w:leader="dot"/>
            </w:tabs>
            <w:rPr/>
          </w:pPr>
          <w:hyperlink w:anchor="__RefHeading___Toc7304990_3381743652">
            <w:r>
              <w:rPr>
                <w:webHidden/>
                <w:rStyle w:val="IndexLink"/>
                <w:rtl w:val="true"/>
              </w:rPr>
              <w:t>المرجّح الثالث</w:t>
            </w:r>
            <w:r>
              <w:rPr>
                <w:rStyle w:val="IndexLink"/>
                <w:rtl w:val="true"/>
              </w:rPr>
              <w:t xml:space="preserve">: </w:t>
            </w:r>
            <w:r>
              <w:rPr>
                <w:rStyle w:val="IndexLink"/>
                <w:rtl w:val="true"/>
              </w:rPr>
              <w:t>الاستقراء</w:t>
            </w:r>
            <w:r>
              <w:rPr>
                <w:rStyle w:val="IndexLink"/>
                <w:rtl w:val="true"/>
              </w:rPr>
              <w:tab/>
            </w:r>
            <w:r>
              <w:rPr>
                <w:rStyle w:val="IndexLink"/>
              </w:rPr>
              <w:t>296</w:t>
            </w:r>
          </w:hyperlink>
        </w:p>
        <w:p>
          <w:pPr>
            <w:pStyle w:val="Contents6"/>
            <w:tabs>
              <w:tab w:val="clear" w:pos="7609"/>
              <w:tab w:val="right" w:pos="9026" w:leader="dot"/>
            </w:tabs>
            <w:rPr/>
          </w:pPr>
          <w:hyperlink w:anchor="__RefHeading___Toc7304992_3381743652">
            <w:r>
              <w:rPr>
                <w:webHidden/>
                <w:rStyle w:val="IndexLink"/>
                <w:rtl w:val="true"/>
              </w:rPr>
              <w:t>أجاب عنه المحقّق الخراساني بوجهين</w:t>
            </w:r>
            <w:r>
              <w:rPr>
                <w:rStyle w:val="IndexLink"/>
                <w:rtl w:val="true"/>
              </w:rPr>
              <w:t>:</w:t>
              <w:tab/>
            </w:r>
            <w:r>
              <w:rPr>
                <w:rStyle w:val="IndexLink"/>
              </w:rPr>
              <w:t>297</w:t>
            </w:r>
          </w:hyperlink>
        </w:p>
        <w:p>
          <w:pPr>
            <w:pStyle w:val="Contents6"/>
            <w:tabs>
              <w:tab w:val="clear" w:pos="7609"/>
              <w:tab w:val="right" w:pos="9026" w:leader="dot"/>
            </w:tabs>
            <w:rPr/>
          </w:pPr>
          <w:hyperlink w:anchor="__RefHeading___Toc7304994_3381743652">
            <w:r>
              <w:rPr>
                <w:webHidden/>
                <w:rStyle w:val="IndexLink"/>
              </w:rPr>
              <w:t>1</w:t>
            </w:r>
            <w:r>
              <w:rPr>
                <w:rStyle w:val="IndexLink"/>
                <w:rtl w:val="true"/>
              </w:rPr>
              <w:t xml:space="preserve">. </w:t>
            </w:r>
            <w:r>
              <w:rPr>
                <w:rStyle w:val="IndexLink"/>
                <w:rtl w:val="true"/>
              </w:rPr>
              <w:t>تقديم النهي فيه تعبّدي يختصّ بمورده</w:t>
            </w:r>
            <w:r>
              <w:rPr>
                <w:rStyle w:val="IndexLink"/>
                <w:rtl w:val="true"/>
              </w:rPr>
              <w:tab/>
            </w:r>
            <w:r>
              <w:rPr>
                <w:rStyle w:val="IndexLink"/>
              </w:rPr>
              <w:t>297</w:t>
            </w:r>
          </w:hyperlink>
        </w:p>
        <w:p>
          <w:pPr>
            <w:pStyle w:val="Contents6"/>
            <w:tabs>
              <w:tab w:val="clear" w:pos="7609"/>
              <w:tab w:val="right" w:pos="9026" w:leader="dot"/>
            </w:tabs>
            <w:rPr/>
          </w:pPr>
          <w:hyperlink w:anchor="__RefHeading___Toc7304996_3381743652">
            <w:r>
              <w:rPr>
                <w:webHidden/>
                <w:rStyle w:val="IndexLink"/>
              </w:rPr>
              <w:t>2</w:t>
            </w:r>
            <w:r>
              <w:rPr>
                <w:rStyle w:val="IndexLink"/>
                <w:rtl w:val="true"/>
              </w:rPr>
              <w:t xml:space="preserve">. </w:t>
            </w:r>
            <w:r>
              <w:rPr>
                <w:rStyle w:val="IndexLink"/>
                <w:rtl w:val="true"/>
              </w:rPr>
              <w:t>تقديم النهي لأجل عدم الابتلاء بالنجاسة</w:t>
            </w:r>
            <w:r>
              <w:rPr>
                <w:rStyle w:val="IndexLink"/>
                <w:rtl w:val="true"/>
              </w:rPr>
              <w:tab/>
            </w:r>
            <w:r>
              <w:rPr>
                <w:rStyle w:val="IndexLink"/>
              </w:rPr>
              <w:t>297</w:t>
            </w:r>
          </w:hyperlink>
        </w:p>
        <w:p>
          <w:pPr>
            <w:pStyle w:val="Contents6"/>
            <w:tabs>
              <w:tab w:val="clear" w:pos="7609"/>
              <w:tab w:val="right" w:pos="9026" w:leader="dot"/>
            </w:tabs>
            <w:rPr/>
          </w:pPr>
          <w:hyperlink w:anchor="__RefHeading___Toc7304998_3381743652">
            <w:r>
              <w:rPr>
                <w:webHidden/>
                <w:rStyle w:val="IndexLink"/>
                <w:rtl w:val="true"/>
              </w:rPr>
              <w:t>دراسة أقسام التوضّؤ بماءين مشتبهين</w:t>
            </w:r>
            <w:r>
              <w:rPr>
                <w:rStyle w:val="IndexLink"/>
                <w:rtl w:val="true"/>
              </w:rPr>
              <w:tab/>
            </w:r>
            <w:r>
              <w:rPr>
                <w:rStyle w:val="IndexLink"/>
              </w:rPr>
              <w:t>298</w:t>
            </w:r>
          </w:hyperlink>
        </w:p>
        <w:p>
          <w:pPr>
            <w:pStyle w:val="Contents5"/>
            <w:tabs>
              <w:tab w:val="clear" w:pos="7892"/>
              <w:tab w:val="right" w:pos="9026" w:leader="dot"/>
            </w:tabs>
            <w:rPr/>
          </w:pPr>
          <w:hyperlink w:anchor="__RefHeading___Toc7305000_3381743652">
            <w:r>
              <w:rPr>
                <w:webHidden/>
                <w:rStyle w:val="IndexLink"/>
                <w:rtl w:val="true"/>
              </w:rPr>
              <w:t>التنبيه الثالث هل تعدّد الإضافات كالإكرام المضاف إلى العالم و الفاسق بالأمر بالأوّل و النهي عن الثاني كتعدّد العناوين و الجهات أو لا؟</w:t>
            </w:r>
            <w:r>
              <w:rPr>
                <w:rStyle w:val="IndexLink"/>
                <w:rtl w:val="true"/>
              </w:rPr>
              <w:tab/>
            </w:r>
            <w:r>
              <w:rPr>
                <w:rStyle w:val="IndexLink"/>
              </w:rPr>
              <w:t>302</w:t>
            </w:r>
          </w:hyperlink>
        </w:p>
        <w:p>
          <w:pPr>
            <w:pStyle w:val="Contents3"/>
            <w:tabs>
              <w:tab w:val="clear" w:pos="8459"/>
              <w:tab w:val="right" w:pos="9026" w:leader="dot"/>
            </w:tabs>
            <w:rPr/>
          </w:pPr>
          <w:hyperlink w:anchor="__RefHeading___Toc7305002_3381743652">
            <w:r>
              <w:rPr>
                <w:webHidden/>
                <w:rStyle w:val="IndexLink"/>
                <w:rtl w:val="true"/>
              </w:rPr>
              <w:t>الفصل الثالث في كشف النهي عن الفساد</w:t>
            </w:r>
            <w:r>
              <w:rPr>
                <w:rStyle w:val="IndexLink"/>
                <w:rtl w:val="true"/>
              </w:rPr>
              <w:tab/>
            </w:r>
            <w:r>
              <w:rPr>
                <w:rStyle w:val="IndexLink"/>
              </w:rPr>
              <w:t>303</w:t>
            </w:r>
          </w:hyperlink>
        </w:p>
        <w:p>
          <w:pPr>
            <w:pStyle w:val="Contents4"/>
            <w:tabs>
              <w:tab w:val="clear" w:pos="8176"/>
              <w:tab w:val="right" w:pos="9026" w:leader="dot"/>
            </w:tabs>
            <w:rPr/>
          </w:pPr>
          <w:hyperlink w:anchor="__RefHeading___Toc7305004_3381743652">
            <w:r>
              <w:rPr>
                <w:webHidden/>
                <w:rStyle w:val="IndexLink"/>
                <w:rtl w:val="true"/>
              </w:rPr>
              <w:t>اشارة</w:t>
            </w:r>
            <w:r>
              <w:rPr>
                <w:rStyle w:val="IndexLink"/>
                <w:rtl w:val="true"/>
              </w:rPr>
              <w:tab/>
            </w:r>
            <w:r>
              <w:rPr>
                <w:rStyle w:val="IndexLink"/>
              </w:rPr>
              <w:t>303</w:t>
            </w:r>
          </w:hyperlink>
        </w:p>
        <w:p>
          <w:pPr>
            <w:pStyle w:val="Contents4"/>
            <w:tabs>
              <w:tab w:val="clear" w:pos="8176"/>
              <w:tab w:val="right" w:pos="9026" w:leader="dot"/>
            </w:tabs>
            <w:rPr/>
          </w:pPr>
          <w:hyperlink w:anchor="__RefHeading___Toc7305006_3381743652">
            <w:r>
              <w:rPr>
                <w:webHidden/>
                <w:rStyle w:val="IndexLink"/>
                <w:rtl w:val="true"/>
              </w:rPr>
              <w:t>قبل الدخول في صلب الموضوع نقدّم أُموراً</w:t>
            </w:r>
            <w:r>
              <w:rPr>
                <w:rStyle w:val="IndexLink"/>
                <w:rtl w:val="true"/>
              </w:rPr>
              <w:t>:</w:t>
              <w:tab/>
            </w:r>
            <w:r>
              <w:rPr>
                <w:rStyle w:val="IndexLink"/>
              </w:rPr>
              <w:t>303</w:t>
            </w:r>
          </w:hyperlink>
        </w:p>
        <w:p>
          <w:pPr>
            <w:pStyle w:val="Contents5"/>
            <w:tabs>
              <w:tab w:val="clear" w:pos="7892"/>
              <w:tab w:val="right" w:pos="9026" w:leader="dot"/>
            </w:tabs>
            <w:rPr/>
          </w:pPr>
          <w:hyperlink w:anchor="__RefHeading___Toc7305008_3381743652">
            <w:r>
              <w:rPr>
                <w:webHidden/>
                <w:rStyle w:val="IndexLink"/>
                <w:rtl w:val="true"/>
              </w:rPr>
              <w:t>الأوّل</w:t>
            </w:r>
            <w:r>
              <w:rPr>
                <w:rStyle w:val="IndexLink"/>
                <w:rtl w:val="true"/>
              </w:rPr>
              <w:t xml:space="preserve">: </w:t>
            </w:r>
            <w:r>
              <w:rPr>
                <w:rStyle w:val="IndexLink"/>
                <w:rtl w:val="true"/>
              </w:rPr>
              <w:t>قد اختلفت كلماتهم في عنوان الفصل</w:t>
            </w:r>
            <w:r>
              <w:rPr>
                <w:rStyle w:val="IndexLink"/>
                <w:rtl w:val="true"/>
              </w:rPr>
              <w:tab/>
            </w:r>
            <w:r>
              <w:rPr>
                <w:rStyle w:val="IndexLink"/>
              </w:rPr>
              <w:t>303</w:t>
            </w:r>
          </w:hyperlink>
        </w:p>
        <w:p>
          <w:pPr>
            <w:pStyle w:val="Contents5"/>
            <w:tabs>
              <w:tab w:val="clear" w:pos="7892"/>
              <w:tab w:val="right" w:pos="9026" w:leader="dot"/>
            </w:tabs>
            <w:rPr/>
          </w:pPr>
          <w:hyperlink w:anchor="__RefHeading___Toc7305010_3381743652">
            <w:r>
              <w:rPr>
                <w:webHidden/>
                <w:rStyle w:val="IndexLink"/>
                <w:rtl w:val="true"/>
              </w:rPr>
              <w:t>الثاني</w:t>
            </w:r>
            <w:r>
              <w:rPr>
                <w:rStyle w:val="IndexLink"/>
                <w:rtl w:val="true"/>
              </w:rPr>
              <w:t xml:space="preserve">: </w:t>
            </w:r>
            <w:r>
              <w:rPr>
                <w:rStyle w:val="IndexLink"/>
                <w:rtl w:val="true"/>
              </w:rPr>
              <w:t xml:space="preserve">يتبادر من عبارة </w:t>
            </w:r>
            <w:r>
              <w:rPr>
                <w:rStyle w:val="IndexLink"/>
                <w:rtl w:val="true"/>
              </w:rPr>
              <w:t>«</w:t>
            </w:r>
            <w:r>
              <w:rPr>
                <w:rStyle w:val="IndexLink"/>
                <w:rtl w:val="true"/>
              </w:rPr>
              <w:t>الكفاية</w:t>
            </w:r>
            <w:r>
              <w:rPr>
                <w:rStyle w:val="IndexLink"/>
                <w:rtl w:val="true"/>
              </w:rPr>
              <w:t xml:space="preserve">» </w:t>
            </w:r>
            <w:r>
              <w:rPr>
                <w:rStyle w:val="IndexLink"/>
                <w:rtl w:val="true"/>
              </w:rPr>
              <w:t xml:space="preserve">انّ المسألتين </w:t>
            </w:r>
            <w:r>
              <w:rPr>
                <w:rStyle w:val="IndexLink"/>
                <w:rtl w:val="true"/>
              </w:rPr>
              <w:t>(</w:t>
            </w:r>
            <w:r>
              <w:rPr>
                <w:rStyle w:val="IndexLink"/>
                <w:rtl w:val="true"/>
              </w:rPr>
              <w:t>هذه المسألة و المسألة السابقة</w:t>
            </w:r>
            <w:r>
              <w:rPr>
                <w:rStyle w:val="IndexLink"/>
                <w:rtl w:val="true"/>
              </w:rPr>
              <w:t xml:space="preserve">) </w:t>
            </w:r>
            <w:r>
              <w:rPr>
                <w:rStyle w:val="IndexLink"/>
                <w:rtl w:val="true"/>
              </w:rPr>
              <w:t>متّحدتان جوهراً و مختلفتان في الجهة المبحوث عنها،</w:t>
            </w:r>
            <w:r>
              <w:rPr>
                <w:rStyle w:val="IndexLink"/>
                <w:rtl w:val="true"/>
              </w:rPr>
              <w:tab/>
            </w:r>
            <w:r>
              <w:rPr>
                <w:rStyle w:val="IndexLink"/>
              </w:rPr>
              <w:t>303</w:t>
            </w:r>
          </w:hyperlink>
        </w:p>
        <w:p>
          <w:pPr>
            <w:pStyle w:val="Contents5"/>
            <w:tabs>
              <w:tab w:val="clear" w:pos="7892"/>
              <w:tab w:val="right" w:pos="9026" w:leader="dot"/>
            </w:tabs>
            <w:rPr/>
          </w:pPr>
          <w:hyperlink w:anchor="__RefHeading___Toc7305012_3381743652">
            <w:r>
              <w:rPr>
                <w:webHidden/>
                <w:rStyle w:val="IndexLink"/>
                <w:rtl w:val="true"/>
              </w:rPr>
              <w:t>الثالث</w:t>
            </w:r>
            <w:r>
              <w:rPr>
                <w:rStyle w:val="IndexLink"/>
                <w:rtl w:val="true"/>
              </w:rPr>
              <w:t xml:space="preserve">: </w:t>
            </w:r>
            <w:r>
              <w:rPr>
                <w:rStyle w:val="IndexLink"/>
                <w:rtl w:val="true"/>
              </w:rPr>
              <w:t>انّ البحث في المسألة السابقة عقلي محض،</w:t>
            </w:r>
            <w:r>
              <w:rPr>
                <w:rStyle w:val="IndexLink"/>
                <w:rtl w:val="true"/>
              </w:rPr>
              <w:tab/>
            </w:r>
            <w:r>
              <w:rPr>
                <w:rStyle w:val="IndexLink"/>
              </w:rPr>
              <w:t>304</w:t>
            </w:r>
          </w:hyperlink>
        </w:p>
        <w:p>
          <w:pPr>
            <w:pStyle w:val="Contents5"/>
            <w:tabs>
              <w:tab w:val="clear" w:pos="7892"/>
              <w:tab w:val="right" w:pos="9026" w:leader="dot"/>
            </w:tabs>
            <w:rPr/>
          </w:pPr>
          <w:hyperlink w:anchor="__RefHeading___Toc7305014_3381743652">
            <w:r>
              <w:rPr>
                <w:webHidden/>
                <w:rStyle w:val="IndexLink"/>
                <w:rtl w:val="true"/>
              </w:rPr>
              <w:t>الرابع</w:t>
            </w:r>
            <w:r>
              <w:rPr>
                <w:rStyle w:val="IndexLink"/>
                <w:rtl w:val="true"/>
              </w:rPr>
              <w:t xml:space="preserve">: </w:t>
            </w:r>
            <w:r>
              <w:rPr>
                <w:rStyle w:val="IndexLink"/>
                <w:rtl w:val="true"/>
              </w:rPr>
              <w:t>لا شكّ أنّ المسألة أُصولية،</w:t>
            </w:r>
            <w:r>
              <w:rPr>
                <w:rStyle w:val="IndexLink"/>
                <w:rtl w:val="true"/>
              </w:rPr>
              <w:tab/>
            </w:r>
            <w:r>
              <w:rPr>
                <w:rStyle w:val="IndexLink"/>
              </w:rPr>
              <w:t>305</w:t>
            </w:r>
          </w:hyperlink>
        </w:p>
        <w:p>
          <w:pPr>
            <w:pStyle w:val="Contents5"/>
            <w:tabs>
              <w:tab w:val="clear" w:pos="7892"/>
              <w:tab w:val="right" w:pos="9026" w:leader="dot"/>
            </w:tabs>
            <w:rPr/>
          </w:pPr>
          <w:hyperlink w:anchor="__RefHeading___Toc7305016_3381743652">
            <w:r>
              <w:rPr>
                <w:webHidden/>
                <w:rStyle w:val="IndexLink"/>
                <w:rtl w:val="true"/>
              </w:rPr>
              <w:t>الخامس</w:t>
            </w:r>
            <w:r>
              <w:rPr>
                <w:rStyle w:val="IndexLink"/>
                <w:rtl w:val="true"/>
              </w:rPr>
              <w:t xml:space="preserve">: </w:t>
            </w:r>
            <w:r>
              <w:rPr>
                <w:rStyle w:val="IndexLink"/>
                <w:rtl w:val="true"/>
              </w:rPr>
              <w:t>إنّ للنهي أقساماً و إنّ أيّ قسم من الأقسام مورد للنزاع،</w:t>
            </w:r>
            <w:r>
              <w:rPr>
                <w:rStyle w:val="IndexLink"/>
                <w:rtl w:val="true"/>
              </w:rPr>
              <w:tab/>
            </w:r>
            <w:r>
              <w:rPr>
                <w:rStyle w:val="IndexLink"/>
              </w:rPr>
              <w:t>306</w:t>
            </w:r>
          </w:hyperlink>
        </w:p>
        <w:p>
          <w:pPr>
            <w:pStyle w:val="Contents5"/>
            <w:tabs>
              <w:tab w:val="clear" w:pos="7892"/>
              <w:tab w:val="right" w:pos="9026" w:leader="dot"/>
            </w:tabs>
            <w:rPr/>
          </w:pPr>
          <w:hyperlink w:anchor="__RefHeading___Toc7305018_3381743652">
            <w:r>
              <w:rPr>
                <w:webHidden/>
                <w:rStyle w:val="IndexLink"/>
                <w:rtl w:val="true"/>
              </w:rPr>
              <w:t>السادس</w:t>
            </w:r>
            <w:r>
              <w:rPr>
                <w:rStyle w:val="IndexLink"/>
                <w:rtl w:val="true"/>
              </w:rPr>
              <w:t xml:space="preserve">: </w:t>
            </w:r>
            <w:r>
              <w:rPr>
                <w:rStyle w:val="IndexLink"/>
                <w:rtl w:val="true"/>
              </w:rPr>
              <w:t>في تعريف العبادة و المعاملة</w:t>
            </w:r>
            <w:r>
              <w:rPr>
                <w:rStyle w:val="IndexLink"/>
                <w:rtl w:val="true"/>
              </w:rPr>
              <w:tab/>
            </w:r>
            <w:r>
              <w:rPr>
                <w:rStyle w:val="IndexLink"/>
              </w:rPr>
              <w:t>310</w:t>
            </w:r>
          </w:hyperlink>
        </w:p>
        <w:p>
          <w:pPr>
            <w:pStyle w:val="Contents5"/>
            <w:tabs>
              <w:tab w:val="clear" w:pos="7892"/>
              <w:tab w:val="right" w:pos="9026" w:leader="dot"/>
            </w:tabs>
            <w:rPr/>
          </w:pPr>
          <w:hyperlink w:anchor="__RefHeading___Toc7305020_3381743652">
            <w:r>
              <w:rPr>
                <w:webHidden/>
                <w:rStyle w:val="IndexLink"/>
                <w:rtl w:val="true"/>
              </w:rPr>
              <w:t>السابع</w:t>
            </w:r>
            <w:r>
              <w:rPr>
                <w:rStyle w:val="IndexLink"/>
                <w:rtl w:val="true"/>
              </w:rPr>
              <w:t xml:space="preserve">: </w:t>
            </w:r>
            <w:r>
              <w:rPr>
                <w:rStyle w:val="IndexLink"/>
                <w:rtl w:val="true"/>
              </w:rPr>
              <w:t>في معنى الصحّة و الفساد</w:t>
            </w:r>
            <w:r>
              <w:rPr>
                <w:rStyle w:val="IndexLink"/>
                <w:rtl w:val="true"/>
              </w:rPr>
              <w:tab/>
            </w:r>
            <w:r>
              <w:rPr>
                <w:rStyle w:val="IndexLink"/>
              </w:rPr>
              <w:t>312</w:t>
            </w:r>
          </w:hyperlink>
        </w:p>
        <w:p>
          <w:pPr>
            <w:pStyle w:val="Contents5"/>
            <w:tabs>
              <w:tab w:val="clear" w:pos="7892"/>
              <w:tab w:val="right" w:pos="9026" w:leader="dot"/>
            </w:tabs>
            <w:rPr/>
          </w:pPr>
          <w:hyperlink w:anchor="__RefHeading___Toc7305022_3381743652">
            <w:r>
              <w:rPr>
                <w:webHidden/>
                <w:rStyle w:val="IndexLink"/>
                <w:rtl w:val="true"/>
              </w:rPr>
              <w:t>الثامن</w:t>
            </w:r>
            <w:r>
              <w:rPr>
                <w:rStyle w:val="IndexLink"/>
                <w:rtl w:val="true"/>
              </w:rPr>
              <w:t xml:space="preserve">: </w:t>
            </w:r>
            <w:r>
              <w:rPr>
                <w:rStyle w:val="IndexLink"/>
                <w:rtl w:val="true"/>
              </w:rPr>
              <w:t>هل الصحّة و الفساد مجعولان مطلقاً؟</w:t>
            </w:r>
            <w:r>
              <w:rPr>
                <w:rStyle w:val="IndexLink"/>
                <w:rtl w:val="true"/>
              </w:rPr>
              <w:tab/>
            </w:r>
            <w:r>
              <w:rPr>
                <w:rStyle w:val="IndexLink"/>
              </w:rPr>
              <w:t>315</w:t>
            </w:r>
          </w:hyperlink>
        </w:p>
        <w:p>
          <w:pPr>
            <w:pStyle w:val="Contents6"/>
            <w:tabs>
              <w:tab w:val="clear" w:pos="7609"/>
              <w:tab w:val="right" w:pos="9026" w:leader="dot"/>
            </w:tabs>
            <w:rPr/>
          </w:pPr>
          <w:hyperlink w:anchor="__RefHeading___Toc7305024_3381743652">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7305026_3381743652">
            <w:r>
              <w:rPr>
                <w:webHidden/>
                <w:rStyle w:val="IndexLink"/>
                <w:rtl w:val="true"/>
              </w:rPr>
              <w:t>إكمال</w:t>
            </w:r>
            <w:r>
              <w:rPr>
                <w:rStyle w:val="IndexLink"/>
                <w:rtl w:val="true"/>
              </w:rPr>
              <w:tab/>
            </w:r>
            <w:r>
              <w:rPr>
                <w:rStyle w:val="IndexLink"/>
              </w:rPr>
              <w:t>318</w:t>
            </w:r>
          </w:hyperlink>
        </w:p>
        <w:p>
          <w:pPr>
            <w:pStyle w:val="Contents6"/>
            <w:tabs>
              <w:tab w:val="clear" w:pos="7609"/>
              <w:tab w:val="right" w:pos="9026" w:leader="dot"/>
            </w:tabs>
            <w:rPr/>
          </w:pPr>
          <w:hyperlink w:anchor="__RefHeading___Toc7305028_3381743652">
            <w:r>
              <w:rPr>
                <w:webHidden/>
                <w:rStyle w:val="IndexLink"/>
                <w:rtl w:val="true"/>
              </w:rPr>
              <w:t>الصحّة في المعاملات</w:t>
            </w:r>
            <w:r>
              <w:rPr>
                <w:rStyle w:val="IndexLink"/>
                <w:rtl w:val="true"/>
              </w:rPr>
              <w:tab/>
            </w:r>
            <w:r>
              <w:rPr>
                <w:rStyle w:val="IndexLink"/>
              </w:rPr>
              <w:t>318</w:t>
            </w:r>
          </w:hyperlink>
        </w:p>
        <w:p>
          <w:pPr>
            <w:pStyle w:val="Contents5"/>
            <w:tabs>
              <w:tab w:val="clear" w:pos="7892"/>
              <w:tab w:val="right" w:pos="9026" w:leader="dot"/>
            </w:tabs>
            <w:rPr/>
          </w:pPr>
          <w:hyperlink w:anchor="__RefHeading___Toc7305030_3381743652">
            <w:r>
              <w:rPr>
                <w:webHidden/>
                <w:rStyle w:val="IndexLink"/>
                <w:rtl w:val="true"/>
              </w:rPr>
              <w:t>التاسع</w:t>
            </w:r>
            <w:r>
              <w:rPr>
                <w:rStyle w:val="IndexLink"/>
                <w:rtl w:val="true"/>
              </w:rPr>
              <w:t xml:space="preserve">: </w:t>
            </w:r>
            <w:r>
              <w:rPr>
                <w:rStyle w:val="IndexLink"/>
                <w:rtl w:val="true"/>
              </w:rPr>
              <w:t>ما هو الأصل المعوّل عليه عند الشكّ؟</w:t>
            </w:r>
            <w:r>
              <w:rPr>
                <w:rStyle w:val="IndexLink"/>
                <w:rtl w:val="true"/>
              </w:rPr>
              <w:tab/>
            </w:r>
            <w:r>
              <w:rPr>
                <w:rStyle w:val="IndexLink"/>
              </w:rPr>
              <w:t>320</w:t>
            </w:r>
          </w:hyperlink>
        </w:p>
        <w:p>
          <w:pPr>
            <w:pStyle w:val="Contents6"/>
            <w:tabs>
              <w:tab w:val="clear" w:pos="7609"/>
              <w:tab w:val="right" w:pos="9026" w:leader="dot"/>
            </w:tabs>
            <w:rPr/>
          </w:pPr>
          <w:hyperlink w:anchor="__RefHeading___Toc7305032_3381743652">
            <w:r>
              <w:rPr>
                <w:webHidden/>
                <w:rStyle w:val="IndexLink"/>
                <w:rtl w:val="true"/>
              </w:rPr>
              <w:t>اشارة</w:t>
            </w:r>
            <w:r>
              <w:rPr>
                <w:rStyle w:val="IndexLink"/>
                <w:rtl w:val="true"/>
              </w:rPr>
              <w:tab/>
            </w:r>
            <w:r>
              <w:rPr>
                <w:rStyle w:val="IndexLink"/>
              </w:rPr>
              <w:t>320</w:t>
            </w:r>
          </w:hyperlink>
        </w:p>
        <w:p>
          <w:pPr>
            <w:pStyle w:val="Contents6"/>
            <w:tabs>
              <w:tab w:val="clear" w:pos="7609"/>
              <w:tab w:val="right" w:pos="9026" w:leader="dot"/>
            </w:tabs>
            <w:rPr/>
          </w:pPr>
          <w:hyperlink w:anchor="__RefHeading___Toc7305034_3381743652">
            <w:r>
              <w:rPr>
                <w:webHidden/>
                <w:rStyle w:val="IndexLink"/>
                <w:rtl w:val="true"/>
              </w:rPr>
              <w:t>إذا كان الشكّ في المسألة الفرعية</w:t>
            </w:r>
            <w:r>
              <w:rPr>
                <w:rStyle w:val="IndexLink"/>
                <w:rtl w:val="true"/>
              </w:rPr>
              <w:tab/>
            </w:r>
            <w:r>
              <w:rPr>
                <w:rStyle w:val="IndexLink"/>
              </w:rPr>
              <w:t>321</w:t>
            </w:r>
          </w:hyperlink>
        </w:p>
        <w:p>
          <w:pPr>
            <w:pStyle w:val="Contents6"/>
            <w:tabs>
              <w:tab w:val="clear" w:pos="7609"/>
              <w:tab w:val="right" w:pos="9026" w:leader="dot"/>
            </w:tabs>
            <w:rPr/>
          </w:pPr>
          <w:hyperlink w:anchor="__RefHeading___Toc7305036_3381743652">
            <w:r>
              <w:rPr>
                <w:webHidden/>
                <w:rStyle w:val="IndexLink"/>
                <w:rtl w:val="true"/>
              </w:rPr>
              <w:t>كلام للمحقّق الأصفهاني</w:t>
            </w:r>
            <w:r>
              <w:rPr>
                <w:rStyle w:val="IndexLink"/>
                <w:rtl w:val="true"/>
              </w:rPr>
              <w:tab/>
            </w:r>
            <w:r>
              <w:rPr>
                <w:rStyle w:val="IndexLink"/>
              </w:rPr>
              <w:t>322</w:t>
            </w:r>
          </w:hyperlink>
        </w:p>
        <w:p>
          <w:pPr>
            <w:pStyle w:val="Contents6"/>
            <w:tabs>
              <w:tab w:val="clear" w:pos="7609"/>
              <w:tab w:val="right" w:pos="9026" w:leader="dot"/>
            </w:tabs>
            <w:rPr/>
          </w:pPr>
          <w:hyperlink w:anchor="__RefHeading___Toc7305038_3381743652">
            <w:r>
              <w:rPr>
                <w:webHidden/>
                <w:rStyle w:val="IndexLink"/>
                <w:rtl w:val="true"/>
              </w:rPr>
              <w:t>كلام للمحقّق النائيني</w:t>
            </w:r>
            <w:r>
              <w:rPr>
                <w:rStyle w:val="IndexLink"/>
                <w:rtl w:val="true"/>
              </w:rPr>
              <w:tab/>
            </w:r>
            <w:r>
              <w:rPr>
                <w:rStyle w:val="IndexLink"/>
              </w:rPr>
              <w:t>323</w:t>
            </w:r>
          </w:hyperlink>
        </w:p>
        <w:p>
          <w:pPr>
            <w:pStyle w:val="Contents6"/>
            <w:tabs>
              <w:tab w:val="clear" w:pos="7609"/>
              <w:tab w:val="right" w:pos="9026" w:leader="dot"/>
            </w:tabs>
            <w:rPr/>
          </w:pPr>
          <w:hyperlink w:anchor="__RefHeading___Toc7305040_3381743652">
            <w:r>
              <w:rPr>
                <w:webHidden/>
                <w:rStyle w:val="IndexLink"/>
                <w:rtl w:val="true"/>
              </w:rPr>
              <w:t>كلام للمحقّق الحائري</w:t>
            </w:r>
            <w:r>
              <w:rPr>
                <w:rStyle w:val="IndexLink"/>
                <w:rtl w:val="true"/>
              </w:rPr>
              <w:tab/>
            </w:r>
            <w:r>
              <w:rPr>
                <w:rStyle w:val="IndexLink"/>
              </w:rPr>
              <w:t>324</w:t>
            </w:r>
          </w:hyperlink>
        </w:p>
        <w:p>
          <w:pPr>
            <w:pStyle w:val="Contents5"/>
            <w:tabs>
              <w:tab w:val="clear" w:pos="7892"/>
              <w:tab w:val="right" w:pos="9026" w:leader="dot"/>
            </w:tabs>
            <w:rPr/>
          </w:pPr>
          <w:hyperlink w:anchor="__RefHeading___Toc7305042_3381743652">
            <w:r>
              <w:rPr>
                <w:webHidden/>
                <w:rStyle w:val="IndexLink"/>
                <w:rtl w:val="true"/>
              </w:rPr>
              <w:t>العاشر</w:t>
            </w:r>
            <w:r>
              <w:rPr>
                <w:rStyle w:val="IndexLink"/>
                <w:rtl w:val="true"/>
              </w:rPr>
              <w:t xml:space="preserve">: </w:t>
            </w:r>
            <w:r>
              <w:rPr>
                <w:rStyle w:val="IndexLink"/>
                <w:rtl w:val="true"/>
              </w:rPr>
              <w:t>في أقسام تعلّق النهي بالعبادة</w:t>
            </w:r>
            <w:r>
              <w:rPr>
                <w:rStyle w:val="IndexLink"/>
                <w:rtl w:val="true"/>
              </w:rPr>
              <w:tab/>
            </w:r>
            <w:r>
              <w:rPr>
                <w:rStyle w:val="IndexLink"/>
              </w:rPr>
              <w:t>325</w:t>
            </w:r>
          </w:hyperlink>
        </w:p>
        <w:p>
          <w:pPr>
            <w:pStyle w:val="Contents6"/>
            <w:tabs>
              <w:tab w:val="clear" w:pos="7609"/>
              <w:tab w:val="right" w:pos="9026" w:leader="dot"/>
            </w:tabs>
            <w:rPr/>
          </w:pPr>
          <w:hyperlink w:anchor="__RefHeading___Toc7305044_3381743652">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7305046_3381743652">
            <w:r>
              <w:rPr>
                <w:webHidden/>
                <w:rStyle w:val="IndexLink"/>
              </w:rPr>
              <w:t>1</w:t>
            </w:r>
            <w:r>
              <w:rPr>
                <w:rStyle w:val="IndexLink"/>
                <w:rtl w:val="true"/>
              </w:rPr>
              <w:t xml:space="preserve">. </w:t>
            </w:r>
            <w:r>
              <w:rPr>
                <w:rStyle w:val="IndexLink"/>
                <w:rtl w:val="true"/>
              </w:rPr>
              <w:t>إذا تعلّق النهي بالجزء</w:t>
            </w:r>
            <w:r>
              <w:rPr>
                <w:rStyle w:val="IndexLink"/>
                <w:rtl w:val="true"/>
              </w:rPr>
              <w:tab/>
            </w:r>
            <w:r>
              <w:rPr>
                <w:rStyle w:val="IndexLink"/>
              </w:rPr>
              <w:t>325</w:t>
            </w:r>
          </w:hyperlink>
        </w:p>
        <w:p>
          <w:pPr>
            <w:pStyle w:val="Contents6"/>
            <w:tabs>
              <w:tab w:val="clear" w:pos="7609"/>
              <w:tab w:val="right" w:pos="9026" w:leader="dot"/>
            </w:tabs>
            <w:rPr/>
          </w:pPr>
          <w:hyperlink w:anchor="__RefHeading___Toc7305048_3381743652">
            <w:r>
              <w:rPr>
                <w:webHidden/>
                <w:rStyle w:val="IndexLink"/>
              </w:rPr>
              <w:t>3</w:t>
            </w:r>
            <w:r>
              <w:rPr>
                <w:rStyle w:val="IndexLink"/>
                <w:rtl w:val="true"/>
              </w:rPr>
              <w:t xml:space="preserve">. </w:t>
            </w:r>
            <w:r>
              <w:rPr>
                <w:rStyle w:val="IndexLink"/>
                <w:rtl w:val="true"/>
              </w:rPr>
              <w:t>إذا تعلّق النهي بالوصف اللازم</w:t>
            </w:r>
            <w:r>
              <w:rPr>
                <w:rStyle w:val="IndexLink"/>
                <w:rtl w:val="true"/>
              </w:rPr>
              <w:tab/>
            </w:r>
            <w:r>
              <w:rPr>
                <w:rStyle w:val="IndexLink"/>
              </w:rPr>
              <w:t>330</w:t>
            </w:r>
          </w:hyperlink>
        </w:p>
        <w:p>
          <w:pPr>
            <w:pStyle w:val="Contents6"/>
            <w:tabs>
              <w:tab w:val="clear" w:pos="7609"/>
              <w:tab w:val="right" w:pos="9026" w:leader="dot"/>
            </w:tabs>
            <w:rPr/>
          </w:pPr>
          <w:hyperlink w:anchor="__RefHeading___Toc7305050_3381743652">
            <w:r>
              <w:rPr>
                <w:webHidden/>
                <w:rStyle w:val="IndexLink"/>
              </w:rPr>
              <w:t>4</w:t>
            </w:r>
            <w:r>
              <w:rPr>
                <w:rStyle w:val="IndexLink"/>
                <w:rtl w:val="true"/>
              </w:rPr>
              <w:t xml:space="preserve">. </w:t>
            </w:r>
            <w:r>
              <w:rPr>
                <w:rStyle w:val="IndexLink"/>
                <w:rtl w:val="true"/>
              </w:rPr>
              <w:t>إذا تعلّق النهي بالوصف المفارق</w:t>
            </w:r>
            <w:r>
              <w:rPr>
                <w:rStyle w:val="IndexLink"/>
                <w:rtl w:val="true"/>
              </w:rPr>
              <w:tab/>
            </w:r>
            <w:r>
              <w:rPr>
                <w:rStyle w:val="IndexLink"/>
              </w:rPr>
              <w:t>332</w:t>
            </w:r>
          </w:hyperlink>
        </w:p>
        <w:p>
          <w:pPr>
            <w:pStyle w:val="Contents6"/>
            <w:tabs>
              <w:tab w:val="clear" w:pos="7609"/>
              <w:tab w:val="right" w:pos="9026" w:leader="dot"/>
            </w:tabs>
            <w:rPr/>
          </w:pPr>
          <w:hyperlink w:anchor="__RefHeading___Toc7305052_3381743652">
            <w:r>
              <w:rPr>
                <w:webHidden/>
                <w:rStyle w:val="IndexLink"/>
              </w:rPr>
              <w:t>5</w:t>
            </w:r>
            <w:r>
              <w:rPr>
                <w:rStyle w:val="IndexLink"/>
                <w:rtl w:val="true"/>
              </w:rPr>
              <w:t xml:space="preserve">. </w:t>
            </w:r>
            <w:r>
              <w:rPr>
                <w:rStyle w:val="IndexLink"/>
                <w:rtl w:val="true"/>
              </w:rPr>
              <w:t>إذا تعلّق النهي بالعبادة لأجل أحد هذه النواهي</w:t>
            </w:r>
            <w:r>
              <w:rPr>
                <w:rStyle w:val="IndexLink"/>
                <w:rtl w:val="true"/>
              </w:rPr>
              <w:tab/>
            </w:r>
            <w:r>
              <w:rPr>
                <w:rStyle w:val="IndexLink"/>
              </w:rPr>
              <w:t>332</w:t>
            </w:r>
          </w:hyperlink>
        </w:p>
        <w:p>
          <w:pPr>
            <w:pStyle w:val="Contents4"/>
            <w:tabs>
              <w:tab w:val="clear" w:pos="8176"/>
              <w:tab w:val="right" w:pos="9026" w:leader="dot"/>
            </w:tabs>
            <w:rPr/>
          </w:pPr>
          <w:hyperlink w:anchor="__RefHeading___Toc7305054_3381743652">
            <w:r>
              <w:rPr>
                <w:webHidden/>
                <w:rStyle w:val="IndexLink"/>
                <w:rtl w:val="true"/>
              </w:rPr>
              <w:t>فيقع الكلام في مقامين</w:t>
            </w:r>
            <w:r>
              <w:rPr>
                <w:rStyle w:val="IndexLink"/>
                <w:rtl w:val="true"/>
              </w:rPr>
              <w:t>.</w:t>
              <w:tab/>
            </w:r>
            <w:r>
              <w:rPr>
                <w:rStyle w:val="IndexLink"/>
              </w:rPr>
              <w:t>333</w:t>
            </w:r>
          </w:hyperlink>
        </w:p>
        <w:p>
          <w:pPr>
            <w:pStyle w:val="Contents5"/>
            <w:tabs>
              <w:tab w:val="clear" w:pos="7892"/>
              <w:tab w:val="right" w:pos="9026" w:leader="dot"/>
            </w:tabs>
            <w:rPr/>
          </w:pPr>
          <w:hyperlink w:anchor="__RefHeading___Toc7305056_3381743652">
            <w:r>
              <w:rPr>
                <w:webHidden/>
                <w:rStyle w:val="IndexLink"/>
                <w:rtl w:val="true"/>
              </w:rPr>
              <w:t>المقام الأوّل</w:t>
            </w:r>
            <w:r>
              <w:rPr>
                <w:rStyle w:val="IndexLink"/>
                <w:rtl w:val="true"/>
              </w:rPr>
              <w:t xml:space="preserve">: </w:t>
            </w:r>
            <w:r>
              <w:rPr>
                <w:rStyle w:val="IndexLink"/>
                <w:rtl w:val="true"/>
              </w:rPr>
              <w:t>تعلّق النهي بالعبادة</w:t>
            </w:r>
            <w:r>
              <w:rPr>
                <w:rStyle w:val="IndexLink"/>
                <w:rtl w:val="true"/>
              </w:rPr>
              <w:tab/>
            </w:r>
            <w:r>
              <w:rPr>
                <w:rStyle w:val="IndexLink"/>
              </w:rPr>
              <w:t>333</w:t>
            </w:r>
          </w:hyperlink>
        </w:p>
        <w:p>
          <w:pPr>
            <w:pStyle w:val="Contents6"/>
            <w:tabs>
              <w:tab w:val="clear" w:pos="7609"/>
              <w:tab w:val="right" w:pos="9026" w:leader="dot"/>
            </w:tabs>
            <w:rPr/>
          </w:pPr>
          <w:hyperlink w:anchor="__RefHeading___Toc7305058_3381743652">
            <w:r>
              <w:rPr>
                <w:webHidden/>
                <w:rStyle w:val="IndexLink"/>
                <w:rtl w:val="true"/>
              </w:rPr>
              <w:t>اشارة</w:t>
            </w:r>
            <w:r>
              <w:rPr>
                <w:rStyle w:val="IndexLink"/>
                <w:rtl w:val="true"/>
              </w:rPr>
              <w:tab/>
            </w:r>
            <w:r>
              <w:rPr>
                <w:rStyle w:val="IndexLink"/>
              </w:rPr>
              <w:t>333</w:t>
            </w:r>
          </w:hyperlink>
        </w:p>
        <w:p>
          <w:pPr>
            <w:pStyle w:val="Contents6"/>
            <w:tabs>
              <w:tab w:val="clear" w:pos="7609"/>
              <w:tab w:val="right" w:pos="9026" w:leader="dot"/>
            </w:tabs>
            <w:rPr/>
          </w:pPr>
          <w:hyperlink w:anchor="__RefHeading___Toc7305060_3381743652">
            <w:r>
              <w:rPr>
                <w:webHidden/>
                <w:rStyle w:val="IndexLink"/>
                <w:rtl w:val="true"/>
              </w:rPr>
              <w:t>الأول النهي التحريمي المولوي الذاتي</w:t>
            </w:r>
            <w:r>
              <w:rPr>
                <w:rStyle w:val="IndexLink"/>
                <w:rtl w:val="true"/>
              </w:rPr>
              <w:tab/>
            </w:r>
            <w:r>
              <w:rPr>
                <w:rStyle w:val="IndexLink"/>
              </w:rPr>
              <w:t>334</w:t>
            </w:r>
          </w:hyperlink>
        </w:p>
        <w:p>
          <w:pPr>
            <w:pStyle w:val="Contents6"/>
            <w:tabs>
              <w:tab w:val="clear" w:pos="7609"/>
              <w:tab w:val="right" w:pos="9026" w:leader="dot"/>
            </w:tabs>
            <w:rPr/>
          </w:pPr>
          <w:hyperlink w:anchor="__RefHeading___Toc7305062_3381743652">
            <w:r>
              <w:rPr>
                <w:webHidden/>
                <w:rStyle w:val="IndexLink"/>
                <w:rtl w:val="true"/>
              </w:rPr>
              <w:t>الثاني</w:t>
            </w:r>
            <w:r>
              <w:rPr>
                <w:rStyle w:val="IndexLink"/>
                <w:rtl w:val="true"/>
              </w:rPr>
              <w:t xml:space="preserve">: </w:t>
            </w:r>
            <w:r>
              <w:rPr>
                <w:rStyle w:val="IndexLink"/>
                <w:rtl w:val="true"/>
              </w:rPr>
              <w:t>النهي المولوي التشريعي</w:t>
            </w:r>
            <w:r>
              <w:rPr>
                <w:rStyle w:val="IndexLink"/>
                <w:rtl w:val="true"/>
              </w:rPr>
              <w:tab/>
            </w:r>
            <w:r>
              <w:rPr>
                <w:rStyle w:val="IndexLink"/>
              </w:rPr>
              <w:t>337</w:t>
            </w:r>
          </w:hyperlink>
        </w:p>
        <w:p>
          <w:pPr>
            <w:pStyle w:val="Contents6"/>
            <w:tabs>
              <w:tab w:val="clear" w:pos="7609"/>
              <w:tab w:val="right" w:pos="9026" w:leader="dot"/>
            </w:tabs>
            <w:rPr/>
          </w:pPr>
          <w:hyperlink w:anchor="__RefHeading___Toc7305064_3381743652">
            <w:r>
              <w:rPr>
                <w:webHidden/>
                <w:rStyle w:val="IndexLink"/>
                <w:rtl w:val="true"/>
              </w:rPr>
              <w:t>الثالث</w:t>
            </w:r>
            <w:r>
              <w:rPr>
                <w:rStyle w:val="IndexLink"/>
                <w:rtl w:val="true"/>
              </w:rPr>
              <w:t xml:space="preserve">: </w:t>
            </w:r>
            <w:r>
              <w:rPr>
                <w:rStyle w:val="IndexLink"/>
                <w:rtl w:val="true"/>
              </w:rPr>
              <w:t>النهي الإرشادي</w:t>
            </w:r>
            <w:r>
              <w:rPr>
                <w:rStyle w:val="IndexLink"/>
                <w:rtl w:val="true"/>
              </w:rPr>
              <w:tab/>
            </w:r>
            <w:r>
              <w:rPr>
                <w:rStyle w:val="IndexLink"/>
              </w:rPr>
              <w:t>338</w:t>
            </w:r>
          </w:hyperlink>
        </w:p>
        <w:p>
          <w:pPr>
            <w:pStyle w:val="Contents5"/>
            <w:tabs>
              <w:tab w:val="clear" w:pos="7892"/>
              <w:tab w:val="right" w:pos="9026" w:leader="dot"/>
            </w:tabs>
            <w:rPr/>
          </w:pPr>
          <w:hyperlink w:anchor="__RefHeading___Toc7305066_3381743652">
            <w:r>
              <w:rPr>
                <w:webHidden/>
                <w:rStyle w:val="IndexLink"/>
                <w:rtl w:val="true"/>
              </w:rPr>
              <w:t>المقام الثاني دلالة النهي على الفساد في المعاملات</w:t>
            </w:r>
            <w:r>
              <w:rPr>
                <w:rStyle w:val="IndexLink"/>
                <w:rtl w:val="true"/>
              </w:rPr>
              <w:tab/>
            </w:r>
            <w:r>
              <w:rPr>
                <w:rStyle w:val="IndexLink"/>
              </w:rPr>
              <w:t>339</w:t>
            </w:r>
          </w:hyperlink>
        </w:p>
        <w:p>
          <w:pPr>
            <w:pStyle w:val="Contents6"/>
            <w:tabs>
              <w:tab w:val="clear" w:pos="7609"/>
              <w:tab w:val="right" w:pos="9026" w:leader="dot"/>
            </w:tabs>
            <w:rPr/>
          </w:pPr>
          <w:hyperlink w:anchor="__RefHeading___Toc7305068_3381743652">
            <w:r>
              <w:rPr>
                <w:webHidden/>
                <w:rStyle w:val="IndexLink"/>
                <w:rtl w:val="true"/>
              </w:rPr>
              <w:t>اشارة</w:t>
            </w:r>
            <w:r>
              <w:rPr>
                <w:rStyle w:val="IndexLink"/>
                <w:rtl w:val="true"/>
              </w:rPr>
              <w:tab/>
            </w:r>
            <w:r>
              <w:rPr>
                <w:rStyle w:val="IndexLink"/>
              </w:rPr>
              <w:t>339</w:t>
            </w:r>
          </w:hyperlink>
        </w:p>
        <w:p>
          <w:pPr>
            <w:pStyle w:val="Contents6"/>
            <w:tabs>
              <w:tab w:val="clear" w:pos="7609"/>
              <w:tab w:val="right" w:pos="9026" w:leader="dot"/>
            </w:tabs>
            <w:rPr/>
          </w:pPr>
          <w:hyperlink w:anchor="__RefHeading___Toc7305070_3381743652">
            <w:r>
              <w:rPr>
                <w:webHidden/>
                <w:rStyle w:val="IndexLink"/>
                <w:rtl w:val="true"/>
              </w:rPr>
              <w:t>إكمال</w:t>
            </w:r>
            <w:r>
              <w:rPr>
                <w:rStyle w:val="IndexLink"/>
                <w:rtl w:val="true"/>
              </w:rPr>
              <w:t xml:space="preserve">: </w:t>
            </w:r>
            <w:r>
              <w:rPr>
                <w:rStyle w:val="IndexLink"/>
                <w:rtl w:val="true"/>
              </w:rPr>
              <w:t>الاستدلال بصحيحة زرارة</w:t>
            </w:r>
            <w:r>
              <w:rPr>
                <w:rStyle w:val="IndexLink"/>
                <w:rtl w:val="true"/>
              </w:rPr>
              <w:tab/>
            </w:r>
            <w:r>
              <w:rPr>
                <w:rStyle w:val="IndexLink"/>
              </w:rPr>
              <w:t>343</w:t>
            </w:r>
          </w:hyperlink>
        </w:p>
        <w:p>
          <w:pPr>
            <w:pStyle w:val="Contents6"/>
            <w:tabs>
              <w:tab w:val="clear" w:pos="7609"/>
              <w:tab w:val="right" w:pos="9026" w:leader="dot"/>
            </w:tabs>
            <w:rPr/>
          </w:pPr>
          <w:hyperlink w:anchor="__RefHeading___Toc7305072_3381743652">
            <w:r>
              <w:rPr>
                <w:webHidden/>
                <w:rStyle w:val="IndexLink"/>
                <w:rtl w:val="true"/>
              </w:rPr>
              <w:t>تذنيب</w:t>
            </w:r>
            <w:r>
              <w:rPr>
                <w:rStyle w:val="IndexLink"/>
                <w:rtl w:val="true"/>
              </w:rPr>
              <w:t xml:space="preserve">: </w:t>
            </w:r>
            <w:r>
              <w:rPr>
                <w:rStyle w:val="IndexLink"/>
                <w:rtl w:val="true"/>
              </w:rPr>
              <w:t>في ملازمة النهي للصحّة</w:t>
            </w:r>
            <w:r>
              <w:rPr>
                <w:rStyle w:val="IndexLink"/>
                <w:rtl w:val="true"/>
              </w:rPr>
              <w:tab/>
            </w:r>
            <w:r>
              <w:rPr>
                <w:rStyle w:val="IndexLink"/>
              </w:rPr>
              <w:t>347</w:t>
            </w:r>
          </w:hyperlink>
        </w:p>
        <w:p>
          <w:pPr>
            <w:pStyle w:val="Contents6"/>
            <w:tabs>
              <w:tab w:val="clear" w:pos="7609"/>
              <w:tab w:val="right" w:pos="9026" w:leader="dot"/>
            </w:tabs>
            <w:rPr/>
          </w:pPr>
          <w:hyperlink w:anchor="__RefHeading___Toc7305074_3381743652">
            <w:r>
              <w:rPr>
                <w:webHidden/>
                <w:rStyle w:val="IndexLink"/>
                <w:rtl w:val="true"/>
              </w:rPr>
              <w:t>المحقّق القمي نقل في المقام بيانين</w:t>
            </w:r>
            <w:r>
              <w:rPr>
                <w:rStyle w:val="IndexLink"/>
                <w:rtl w:val="true"/>
              </w:rPr>
              <w:tab/>
            </w:r>
            <w:r>
              <w:rPr>
                <w:rStyle w:val="IndexLink"/>
              </w:rPr>
              <w:t>348</w:t>
            </w:r>
          </w:hyperlink>
        </w:p>
        <w:p>
          <w:pPr>
            <w:pStyle w:val="Contents6"/>
            <w:tabs>
              <w:tab w:val="clear" w:pos="7609"/>
              <w:tab w:val="right" w:pos="9026" w:leader="dot"/>
            </w:tabs>
            <w:rPr/>
          </w:pPr>
          <w:hyperlink w:anchor="__RefHeading___Toc7305076_3381743652">
            <w:r>
              <w:rPr>
                <w:webHidden/>
                <w:rStyle w:val="IndexLink"/>
                <w:rtl w:val="true"/>
              </w:rPr>
              <w:t>الأوّل</w:t>
            </w:r>
            <w:r>
              <w:rPr>
                <w:rStyle w:val="IndexLink"/>
                <w:rtl w:val="true"/>
              </w:rPr>
              <w:t xml:space="preserve">: </w:t>
            </w:r>
            <w:r>
              <w:rPr>
                <w:rStyle w:val="IndexLink"/>
                <w:rtl w:val="true"/>
              </w:rPr>
              <w:t>المنهي عنه هو الصوم الشرعي لا اللغوي</w:t>
            </w:r>
            <w:r>
              <w:rPr>
                <w:rStyle w:val="IndexLink"/>
                <w:rtl w:val="true"/>
              </w:rPr>
              <w:tab/>
            </w:r>
            <w:r>
              <w:rPr>
                <w:rStyle w:val="IndexLink"/>
              </w:rPr>
              <w:t>348</w:t>
            </w:r>
          </w:hyperlink>
        </w:p>
        <w:p>
          <w:pPr>
            <w:pStyle w:val="Contents6"/>
            <w:tabs>
              <w:tab w:val="clear" w:pos="7609"/>
              <w:tab w:val="right" w:pos="9026" w:leader="dot"/>
            </w:tabs>
            <w:rPr/>
          </w:pPr>
          <w:hyperlink w:anchor="__RefHeading___Toc7305078_3381743652">
            <w:r>
              <w:rPr>
                <w:webHidden/>
                <w:rStyle w:val="IndexLink"/>
                <w:rtl w:val="true"/>
              </w:rPr>
              <w:t>الثاني</w:t>
            </w:r>
            <w:r>
              <w:rPr>
                <w:rStyle w:val="IndexLink"/>
                <w:rtl w:val="true"/>
              </w:rPr>
              <w:t xml:space="preserve">: </w:t>
            </w:r>
            <w:r>
              <w:rPr>
                <w:rStyle w:val="IndexLink"/>
                <w:rtl w:val="true"/>
              </w:rPr>
              <w:t>الحرمة الذاتية لا تتعلّق بالفاسد</w:t>
            </w:r>
            <w:r>
              <w:rPr>
                <w:rStyle w:val="IndexLink"/>
                <w:rtl w:val="true"/>
              </w:rPr>
              <w:tab/>
            </w:r>
            <w:r>
              <w:rPr>
                <w:rStyle w:val="IndexLink"/>
              </w:rPr>
              <w:t>349</w:t>
            </w:r>
          </w:hyperlink>
        </w:p>
        <w:p>
          <w:pPr>
            <w:pStyle w:val="Contents6"/>
            <w:tabs>
              <w:tab w:val="clear" w:pos="7609"/>
              <w:tab w:val="right" w:pos="9026" w:leader="dot"/>
            </w:tabs>
            <w:rPr/>
          </w:pPr>
          <w:hyperlink w:anchor="__RefHeading___Toc7305080_3381743652">
            <w:r>
              <w:rPr>
                <w:webHidden/>
                <w:rStyle w:val="IndexLink"/>
                <w:rtl w:val="true"/>
              </w:rPr>
              <w:t>إجابة المحقّق الخراساني في مورد المعاملات</w:t>
            </w:r>
            <w:r>
              <w:rPr>
                <w:rStyle w:val="IndexLink"/>
                <w:rtl w:val="true"/>
              </w:rPr>
              <w:tab/>
            </w:r>
            <w:r>
              <w:rPr>
                <w:rStyle w:val="IndexLink"/>
              </w:rPr>
              <w:t>350</w:t>
            </w:r>
          </w:hyperlink>
        </w:p>
        <w:p>
          <w:pPr>
            <w:pStyle w:val="Contents6"/>
            <w:tabs>
              <w:tab w:val="clear" w:pos="7609"/>
              <w:tab w:val="right" w:pos="9026" w:leader="dot"/>
            </w:tabs>
            <w:rPr/>
          </w:pPr>
          <w:hyperlink w:anchor="__RefHeading___Toc7305082_3381743652">
            <w:r>
              <w:rPr>
                <w:webHidden/>
                <w:rStyle w:val="IndexLink"/>
                <w:rtl w:val="true"/>
              </w:rPr>
              <w:t>فروع فقهية</w:t>
            </w:r>
            <w:r>
              <w:rPr>
                <w:rStyle w:val="IndexLink"/>
                <w:rtl w:val="true"/>
              </w:rPr>
              <w:tab/>
            </w:r>
            <w:r>
              <w:rPr>
                <w:rStyle w:val="IndexLink"/>
              </w:rPr>
              <w:t>352</w:t>
            </w:r>
          </w:hyperlink>
        </w:p>
        <w:p>
          <w:pPr>
            <w:pStyle w:val="Contents2"/>
            <w:tabs>
              <w:tab w:val="clear" w:pos="8743"/>
              <w:tab w:val="right" w:pos="9026" w:leader="dot"/>
            </w:tabs>
            <w:rPr/>
          </w:pPr>
          <w:hyperlink w:anchor="__RefHeading___Toc7305084_3381743652">
            <w:r>
              <w:rPr>
                <w:webHidden/>
                <w:rStyle w:val="IndexLink"/>
                <w:rtl w:val="true"/>
              </w:rPr>
              <w:t>المقصد الثالث المفاهيم</w:t>
            </w:r>
            <w:r>
              <w:rPr>
                <w:rStyle w:val="IndexLink"/>
                <w:rtl w:val="true"/>
              </w:rPr>
              <w:tab/>
            </w:r>
            <w:r>
              <w:rPr>
                <w:rStyle w:val="IndexLink"/>
              </w:rPr>
              <w:t>357</w:t>
            </w:r>
          </w:hyperlink>
        </w:p>
        <w:p>
          <w:pPr>
            <w:pStyle w:val="Contents3"/>
            <w:tabs>
              <w:tab w:val="clear" w:pos="8459"/>
              <w:tab w:val="right" w:pos="9026" w:leader="dot"/>
            </w:tabs>
            <w:rPr/>
          </w:pPr>
          <w:hyperlink w:anchor="__RefHeading___Toc7305086_3381743652">
            <w:r>
              <w:rPr>
                <w:webHidden/>
                <w:rStyle w:val="IndexLink"/>
                <w:rtl w:val="true"/>
              </w:rPr>
              <w:t>و قبل الدخول في صلب المقصود نقدّم أُموراً</w:t>
            </w:r>
            <w:r>
              <w:rPr>
                <w:rStyle w:val="IndexLink"/>
                <w:rtl w:val="true"/>
              </w:rPr>
              <w:t>:</w:t>
              <w:tab/>
            </w:r>
            <w:r>
              <w:rPr>
                <w:rStyle w:val="IndexLink"/>
              </w:rPr>
              <w:t>357</w:t>
            </w:r>
          </w:hyperlink>
        </w:p>
        <w:p>
          <w:pPr>
            <w:pStyle w:val="Contents4"/>
            <w:tabs>
              <w:tab w:val="clear" w:pos="8176"/>
              <w:tab w:val="right" w:pos="9026" w:leader="dot"/>
            </w:tabs>
            <w:rPr/>
          </w:pPr>
          <w:hyperlink w:anchor="__RefHeading___Toc7305088_3381743652">
            <w:r>
              <w:rPr>
                <w:webHidden/>
                <w:rStyle w:val="IndexLink"/>
                <w:rtl w:val="true"/>
              </w:rPr>
              <w:t>الأوّل</w:t>
            </w:r>
            <w:r>
              <w:rPr>
                <w:rStyle w:val="IndexLink"/>
                <w:rtl w:val="true"/>
              </w:rPr>
              <w:t xml:space="preserve">: </w:t>
            </w:r>
            <w:r>
              <w:rPr>
                <w:rStyle w:val="IndexLink"/>
                <w:rtl w:val="true"/>
              </w:rPr>
              <w:t>المنطوق و المفهوم من أوصاف المدلول</w:t>
            </w:r>
            <w:r>
              <w:rPr>
                <w:rStyle w:val="IndexLink"/>
                <w:rtl w:val="true"/>
              </w:rPr>
              <w:tab/>
            </w:r>
            <w:r>
              <w:rPr>
                <w:rStyle w:val="IndexLink"/>
              </w:rPr>
              <w:t>357</w:t>
            </w:r>
          </w:hyperlink>
        </w:p>
        <w:p>
          <w:pPr>
            <w:pStyle w:val="Contents4"/>
            <w:tabs>
              <w:tab w:val="clear" w:pos="8176"/>
              <w:tab w:val="right" w:pos="9026" w:leader="dot"/>
            </w:tabs>
            <w:rPr/>
          </w:pPr>
          <w:hyperlink w:anchor="__RefHeading___Toc7305090_3381743652">
            <w:r>
              <w:rPr>
                <w:webHidden/>
                <w:rStyle w:val="IndexLink"/>
                <w:rtl w:val="true"/>
              </w:rPr>
              <w:t>الثاني</w:t>
            </w:r>
            <w:r>
              <w:rPr>
                <w:rStyle w:val="IndexLink"/>
                <w:rtl w:val="true"/>
              </w:rPr>
              <w:t xml:space="preserve">: </w:t>
            </w:r>
            <w:r>
              <w:rPr>
                <w:rStyle w:val="IndexLink"/>
                <w:rtl w:val="true"/>
              </w:rPr>
              <w:t>تعريف المفهوم</w:t>
            </w:r>
            <w:r>
              <w:rPr>
                <w:rStyle w:val="IndexLink"/>
                <w:rtl w:val="true"/>
              </w:rPr>
              <w:tab/>
            </w:r>
            <w:r>
              <w:rPr>
                <w:rStyle w:val="IndexLink"/>
              </w:rPr>
              <w:t>358</w:t>
            </w:r>
          </w:hyperlink>
        </w:p>
        <w:p>
          <w:pPr>
            <w:pStyle w:val="Contents5"/>
            <w:tabs>
              <w:tab w:val="clear" w:pos="7892"/>
              <w:tab w:val="right" w:pos="9026" w:leader="dot"/>
            </w:tabs>
            <w:rPr/>
          </w:pPr>
          <w:hyperlink w:anchor="__RefHeading___Toc7305092_3381743652">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7305094_3381743652">
            <w:r>
              <w:rPr>
                <w:webHidden/>
                <w:rStyle w:val="IndexLink"/>
                <w:rtl w:val="true"/>
              </w:rPr>
              <w:t>تعريف المحقّق الخراساني للمفهوم</w:t>
            </w:r>
            <w:r>
              <w:rPr>
                <w:rStyle w:val="IndexLink"/>
                <w:rtl w:val="true"/>
              </w:rPr>
              <w:tab/>
            </w:r>
            <w:r>
              <w:rPr>
                <w:rStyle w:val="IndexLink"/>
              </w:rPr>
              <w:t>360</w:t>
            </w:r>
          </w:hyperlink>
        </w:p>
        <w:p>
          <w:pPr>
            <w:pStyle w:val="Contents4"/>
            <w:tabs>
              <w:tab w:val="clear" w:pos="8176"/>
              <w:tab w:val="right" w:pos="9026" w:leader="dot"/>
            </w:tabs>
            <w:rPr/>
          </w:pPr>
          <w:hyperlink w:anchor="__RefHeading___Toc7305096_3381743652">
            <w:r>
              <w:rPr>
                <w:webHidden/>
                <w:rStyle w:val="IndexLink"/>
                <w:rtl w:val="true"/>
              </w:rPr>
              <w:t>الثالث</w:t>
            </w:r>
            <w:r>
              <w:rPr>
                <w:rStyle w:val="IndexLink"/>
                <w:rtl w:val="true"/>
              </w:rPr>
              <w:t xml:space="preserve">: </w:t>
            </w:r>
            <w:r>
              <w:rPr>
                <w:rStyle w:val="IndexLink"/>
                <w:rtl w:val="true"/>
              </w:rPr>
              <w:t>حصر المداليل في المنطوق و المفهوم</w:t>
            </w:r>
            <w:r>
              <w:rPr>
                <w:rStyle w:val="IndexLink"/>
                <w:rtl w:val="true"/>
              </w:rPr>
              <w:tab/>
            </w:r>
            <w:r>
              <w:rPr>
                <w:rStyle w:val="IndexLink"/>
              </w:rPr>
              <w:t>361</w:t>
            </w:r>
          </w:hyperlink>
        </w:p>
        <w:p>
          <w:pPr>
            <w:pStyle w:val="Contents5"/>
            <w:tabs>
              <w:tab w:val="clear" w:pos="7892"/>
              <w:tab w:val="right" w:pos="9026" w:leader="dot"/>
            </w:tabs>
            <w:rPr/>
          </w:pPr>
          <w:hyperlink w:anchor="__RefHeading___Toc7305098_3381743652">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7305100_3381743652">
            <w:r>
              <w:rPr>
                <w:webHidden/>
                <w:rStyle w:val="IndexLink"/>
                <w:rtl w:val="true"/>
              </w:rPr>
              <w:t>وجود اصطلاحين في لفظ المفهوم</w:t>
            </w:r>
            <w:r>
              <w:rPr>
                <w:rStyle w:val="IndexLink"/>
                <w:rtl w:val="true"/>
              </w:rPr>
              <w:tab/>
            </w:r>
            <w:r>
              <w:rPr>
                <w:rStyle w:val="IndexLink"/>
              </w:rPr>
              <w:t>364</w:t>
            </w:r>
          </w:hyperlink>
        </w:p>
        <w:p>
          <w:pPr>
            <w:pStyle w:val="Contents4"/>
            <w:tabs>
              <w:tab w:val="clear" w:pos="8176"/>
              <w:tab w:val="right" w:pos="9026" w:leader="dot"/>
            </w:tabs>
            <w:rPr/>
          </w:pPr>
          <w:hyperlink w:anchor="__RefHeading___Toc7305102_3381743652">
            <w:r>
              <w:rPr>
                <w:webHidden/>
                <w:rStyle w:val="IndexLink"/>
                <w:rtl w:val="true"/>
              </w:rPr>
              <w:t>الرابع</w:t>
            </w:r>
            <w:r>
              <w:rPr>
                <w:rStyle w:val="IndexLink"/>
                <w:rtl w:val="true"/>
              </w:rPr>
              <w:t xml:space="preserve">: </w:t>
            </w:r>
            <w:r>
              <w:rPr>
                <w:rStyle w:val="IndexLink"/>
                <w:rtl w:val="true"/>
              </w:rPr>
              <w:t>مسلك القدماء و المتأخّرين في استفادة المفهوم</w:t>
            </w:r>
            <w:r>
              <w:rPr>
                <w:rStyle w:val="IndexLink"/>
                <w:rtl w:val="true"/>
              </w:rPr>
              <w:tab/>
            </w:r>
            <w:r>
              <w:rPr>
                <w:rStyle w:val="IndexLink"/>
              </w:rPr>
              <w:t>364</w:t>
            </w:r>
          </w:hyperlink>
        </w:p>
        <w:p>
          <w:pPr>
            <w:pStyle w:val="Contents4"/>
            <w:tabs>
              <w:tab w:val="clear" w:pos="8176"/>
              <w:tab w:val="right" w:pos="9026" w:leader="dot"/>
            </w:tabs>
            <w:rPr/>
          </w:pPr>
          <w:hyperlink w:anchor="__RefHeading___Toc7305104_3381743652">
            <w:r>
              <w:rPr>
                <w:webHidden/>
                <w:rStyle w:val="IndexLink"/>
                <w:rtl w:val="true"/>
              </w:rPr>
              <w:t>الخامس</w:t>
            </w:r>
            <w:r>
              <w:rPr>
                <w:rStyle w:val="IndexLink"/>
                <w:rtl w:val="true"/>
              </w:rPr>
              <w:t xml:space="preserve">: </w:t>
            </w:r>
            <w:r>
              <w:rPr>
                <w:rStyle w:val="IndexLink"/>
                <w:rtl w:val="true"/>
              </w:rPr>
              <w:t>النزاع صغروي لا كبروي</w:t>
            </w:r>
            <w:r>
              <w:rPr>
                <w:rStyle w:val="IndexLink"/>
                <w:rtl w:val="true"/>
              </w:rPr>
              <w:tab/>
            </w:r>
            <w:r>
              <w:rPr>
                <w:rStyle w:val="IndexLink"/>
              </w:rPr>
              <w:t>367</w:t>
            </w:r>
          </w:hyperlink>
        </w:p>
        <w:p>
          <w:pPr>
            <w:pStyle w:val="Contents4"/>
            <w:tabs>
              <w:tab w:val="clear" w:pos="8176"/>
              <w:tab w:val="right" w:pos="9026" w:leader="dot"/>
            </w:tabs>
            <w:rPr/>
          </w:pPr>
          <w:hyperlink w:anchor="__RefHeading___Toc7305106_3381743652">
            <w:r>
              <w:rPr>
                <w:webHidden/>
                <w:rStyle w:val="IndexLink"/>
                <w:rtl w:val="true"/>
              </w:rPr>
              <w:t>السادس</w:t>
            </w:r>
            <w:r>
              <w:rPr>
                <w:rStyle w:val="IndexLink"/>
                <w:rtl w:val="true"/>
              </w:rPr>
              <w:t xml:space="preserve">: </w:t>
            </w:r>
            <w:r>
              <w:rPr>
                <w:rStyle w:val="IndexLink"/>
                <w:rtl w:val="true"/>
              </w:rPr>
              <w:t>في مفهوم الموافقة</w:t>
            </w:r>
            <w:r>
              <w:rPr>
                <w:rStyle w:val="IndexLink"/>
                <w:rtl w:val="true"/>
              </w:rPr>
              <w:tab/>
            </w:r>
            <w:r>
              <w:rPr>
                <w:rStyle w:val="IndexLink"/>
              </w:rPr>
              <w:t>368</w:t>
            </w:r>
          </w:hyperlink>
        </w:p>
        <w:p>
          <w:pPr>
            <w:pStyle w:val="Contents4"/>
            <w:tabs>
              <w:tab w:val="clear" w:pos="8176"/>
              <w:tab w:val="right" w:pos="9026" w:leader="dot"/>
            </w:tabs>
            <w:rPr/>
          </w:pPr>
          <w:hyperlink w:anchor="__RefHeading___Toc7305108_3381743652">
            <w:r>
              <w:rPr>
                <w:webHidden/>
                <w:rStyle w:val="IndexLink"/>
                <w:rtl w:val="true"/>
              </w:rPr>
              <w:t>السابع</w:t>
            </w:r>
            <w:r>
              <w:rPr>
                <w:rStyle w:val="IndexLink"/>
                <w:rtl w:val="true"/>
              </w:rPr>
              <w:t xml:space="preserve">: </w:t>
            </w:r>
            <w:r>
              <w:rPr>
                <w:rStyle w:val="IndexLink"/>
                <w:rtl w:val="true"/>
              </w:rPr>
              <w:t>في الشرط المحقّق للموضوع</w:t>
            </w:r>
            <w:r>
              <w:rPr>
                <w:rStyle w:val="IndexLink"/>
                <w:rtl w:val="true"/>
              </w:rPr>
              <w:tab/>
            </w:r>
            <w:r>
              <w:rPr>
                <w:rStyle w:val="IndexLink"/>
              </w:rPr>
              <w:t>369</w:t>
            </w:r>
          </w:hyperlink>
        </w:p>
        <w:p>
          <w:pPr>
            <w:pStyle w:val="Contents3"/>
            <w:tabs>
              <w:tab w:val="clear" w:pos="8459"/>
              <w:tab w:val="right" w:pos="9026" w:leader="dot"/>
            </w:tabs>
            <w:rPr/>
          </w:pPr>
          <w:hyperlink w:anchor="__RefHeading___Toc7305110_3381743652">
            <w:r>
              <w:rPr>
                <w:webHidden/>
                <w:rStyle w:val="IndexLink"/>
                <w:rtl w:val="true"/>
              </w:rPr>
              <w:t>الفصل الأوّل مفهوم الشرط</w:t>
            </w:r>
            <w:r>
              <w:rPr>
                <w:rStyle w:val="IndexLink"/>
                <w:rtl w:val="true"/>
              </w:rPr>
              <w:tab/>
            </w:r>
            <w:r>
              <w:rPr>
                <w:rStyle w:val="IndexLink"/>
              </w:rPr>
              <w:t>370</w:t>
            </w:r>
          </w:hyperlink>
        </w:p>
        <w:p>
          <w:pPr>
            <w:pStyle w:val="Contents4"/>
            <w:tabs>
              <w:tab w:val="clear" w:pos="8176"/>
              <w:tab w:val="right" w:pos="9026" w:leader="dot"/>
            </w:tabs>
            <w:rPr/>
          </w:pPr>
          <w:hyperlink w:anchor="__RefHeading___Toc7305112_3381743652">
            <w:r>
              <w:rPr>
                <w:webHidden/>
                <w:rStyle w:val="IndexLink"/>
                <w:rtl w:val="true"/>
              </w:rPr>
              <w:t>اشارة</w:t>
            </w:r>
            <w:r>
              <w:rPr>
                <w:rStyle w:val="IndexLink"/>
                <w:rtl w:val="true"/>
              </w:rPr>
              <w:tab/>
            </w:r>
            <w:r>
              <w:rPr>
                <w:rStyle w:val="IndexLink"/>
              </w:rPr>
              <w:t>370</w:t>
            </w:r>
          </w:hyperlink>
        </w:p>
        <w:p>
          <w:pPr>
            <w:pStyle w:val="Contents4"/>
            <w:tabs>
              <w:tab w:val="clear" w:pos="8176"/>
              <w:tab w:val="right" w:pos="9026" w:leader="dot"/>
            </w:tabs>
            <w:rPr/>
          </w:pPr>
          <w:hyperlink w:anchor="__RefHeading___Toc7305114_3381743652">
            <w:r>
              <w:rPr>
                <w:webHidden/>
                <w:rStyle w:val="IndexLink"/>
                <w:rtl w:val="true"/>
              </w:rPr>
              <w:t>وجوه على كون ترتّب الجزاء على الشرط بنحو العلّة المنحصرة و النقاش فيها</w:t>
            </w:r>
            <w:r>
              <w:rPr>
                <w:rStyle w:val="IndexLink"/>
                <w:rtl w:val="true"/>
              </w:rPr>
              <w:tab/>
            </w:r>
            <w:r>
              <w:rPr>
                <w:rStyle w:val="IndexLink"/>
              </w:rPr>
              <w:t>371</w:t>
            </w:r>
          </w:hyperlink>
        </w:p>
        <w:p>
          <w:pPr>
            <w:pStyle w:val="Contents5"/>
            <w:tabs>
              <w:tab w:val="clear" w:pos="7892"/>
              <w:tab w:val="right" w:pos="9026" w:leader="dot"/>
            </w:tabs>
            <w:rPr/>
          </w:pPr>
          <w:hyperlink w:anchor="__RefHeading___Toc7305116_3381743652">
            <w:r>
              <w:rPr>
                <w:webHidden/>
                <w:rStyle w:val="IndexLink"/>
                <w:rtl w:val="true"/>
              </w:rPr>
              <w:t>اشارة</w:t>
            </w:r>
            <w:r>
              <w:rPr>
                <w:rStyle w:val="IndexLink"/>
                <w:rtl w:val="true"/>
              </w:rPr>
              <w:tab/>
            </w:r>
            <w:r>
              <w:rPr>
                <w:rStyle w:val="IndexLink"/>
              </w:rPr>
              <w:t>371</w:t>
            </w:r>
          </w:hyperlink>
        </w:p>
        <w:p>
          <w:pPr>
            <w:pStyle w:val="Contents5"/>
            <w:tabs>
              <w:tab w:val="clear" w:pos="7892"/>
              <w:tab w:val="right" w:pos="9026" w:leader="dot"/>
            </w:tabs>
            <w:rPr/>
          </w:pPr>
          <w:hyperlink w:anchor="__RefHeading___Toc7305118_3381743652">
            <w:r>
              <w:rPr>
                <w:webHidden/>
                <w:rStyle w:val="IndexLink"/>
                <w:rtl w:val="true"/>
              </w:rPr>
              <w:t>الأوّل</w:t>
            </w:r>
            <w:r>
              <w:rPr>
                <w:rStyle w:val="IndexLink"/>
                <w:rtl w:val="true"/>
              </w:rPr>
              <w:t xml:space="preserve">: </w:t>
            </w:r>
            <w:r>
              <w:rPr>
                <w:rStyle w:val="IndexLink"/>
                <w:rtl w:val="true"/>
              </w:rPr>
              <w:t>التبادر</w:t>
            </w:r>
            <w:r>
              <w:rPr>
                <w:rStyle w:val="IndexLink"/>
                <w:rtl w:val="true"/>
              </w:rPr>
              <w:tab/>
            </w:r>
            <w:r>
              <w:rPr>
                <w:rStyle w:val="IndexLink"/>
              </w:rPr>
              <w:t>371</w:t>
            </w:r>
          </w:hyperlink>
        </w:p>
        <w:p>
          <w:pPr>
            <w:pStyle w:val="Contents5"/>
            <w:tabs>
              <w:tab w:val="clear" w:pos="7892"/>
              <w:tab w:val="right" w:pos="9026" w:leader="dot"/>
            </w:tabs>
            <w:rPr/>
          </w:pPr>
          <w:hyperlink w:anchor="__RefHeading___Toc7305120_3381743652">
            <w:r>
              <w:rPr>
                <w:webHidden/>
                <w:rStyle w:val="IndexLink"/>
                <w:rtl w:val="true"/>
              </w:rPr>
              <w:t>الثاني</w:t>
            </w:r>
            <w:r>
              <w:rPr>
                <w:rStyle w:val="IndexLink"/>
                <w:rtl w:val="true"/>
              </w:rPr>
              <w:t xml:space="preserve">: </w:t>
            </w:r>
            <w:r>
              <w:rPr>
                <w:rStyle w:val="IndexLink"/>
                <w:rtl w:val="true"/>
              </w:rPr>
              <w:t>الانصراف</w:t>
            </w:r>
            <w:r>
              <w:rPr>
                <w:rStyle w:val="IndexLink"/>
                <w:rtl w:val="true"/>
              </w:rPr>
              <w:tab/>
            </w:r>
            <w:r>
              <w:rPr>
                <w:rStyle w:val="IndexLink"/>
              </w:rPr>
              <w:t>372</w:t>
            </w:r>
          </w:hyperlink>
        </w:p>
        <w:p>
          <w:pPr>
            <w:pStyle w:val="Contents5"/>
            <w:tabs>
              <w:tab w:val="clear" w:pos="7892"/>
              <w:tab w:val="right" w:pos="9026" w:leader="dot"/>
            </w:tabs>
            <w:rPr/>
          </w:pPr>
          <w:hyperlink w:anchor="__RefHeading___Toc7305122_3381743652">
            <w:r>
              <w:rPr>
                <w:webHidden/>
                <w:rStyle w:val="IndexLink"/>
                <w:rtl w:val="true"/>
              </w:rPr>
              <w:t>الثالث</w:t>
            </w:r>
            <w:r>
              <w:rPr>
                <w:rStyle w:val="IndexLink"/>
                <w:rtl w:val="true"/>
              </w:rPr>
              <w:t xml:space="preserve">: </w:t>
            </w:r>
            <w:r>
              <w:rPr>
                <w:rStyle w:val="IndexLink"/>
                <w:rtl w:val="true"/>
              </w:rPr>
              <w:t>التمسّك بالإطلاق</w:t>
            </w:r>
            <w:r>
              <w:rPr>
                <w:rStyle w:val="IndexLink"/>
                <w:rtl w:val="true"/>
              </w:rPr>
              <w:tab/>
            </w:r>
            <w:r>
              <w:rPr>
                <w:rStyle w:val="IndexLink"/>
              </w:rPr>
              <w:t>372</w:t>
            </w:r>
          </w:hyperlink>
        </w:p>
        <w:p>
          <w:pPr>
            <w:pStyle w:val="Contents6"/>
            <w:tabs>
              <w:tab w:val="clear" w:pos="7609"/>
              <w:tab w:val="right" w:pos="9026" w:leader="dot"/>
            </w:tabs>
            <w:rPr/>
          </w:pPr>
          <w:hyperlink w:anchor="__RefHeading___Toc7305124_3381743652">
            <w:r>
              <w:rPr>
                <w:webHidden/>
                <w:rStyle w:val="IndexLink"/>
                <w:rtl w:val="true"/>
              </w:rPr>
              <w:t>اشارة</w:t>
            </w:r>
            <w:r>
              <w:rPr>
                <w:rStyle w:val="IndexLink"/>
                <w:rtl w:val="true"/>
              </w:rPr>
              <w:tab/>
            </w:r>
            <w:r>
              <w:rPr>
                <w:rStyle w:val="IndexLink"/>
              </w:rPr>
              <w:t>372</w:t>
            </w:r>
          </w:hyperlink>
        </w:p>
        <w:p>
          <w:pPr>
            <w:pStyle w:val="Contents6"/>
            <w:tabs>
              <w:tab w:val="clear" w:pos="7609"/>
              <w:tab w:val="right" w:pos="9026" w:leader="dot"/>
            </w:tabs>
            <w:rPr/>
          </w:pPr>
          <w:hyperlink w:anchor="__RefHeading___Toc7305126_3381743652">
            <w:r>
              <w:rPr>
                <w:webHidden/>
                <w:rStyle w:val="IndexLink"/>
                <w:rtl w:val="true"/>
              </w:rPr>
              <w:t>الأوّل</w:t>
            </w:r>
            <w:r>
              <w:rPr>
                <w:rStyle w:val="IndexLink"/>
                <w:rtl w:val="true"/>
              </w:rPr>
              <w:t xml:space="preserve">: </w:t>
            </w:r>
            <w:r>
              <w:rPr>
                <w:rStyle w:val="IndexLink"/>
                <w:rtl w:val="true"/>
              </w:rPr>
              <w:t>الانحصار مقتضى إطلاق أداة الشرط</w:t>
            </w:r>
            <w:r>
              <w:rPr>
                <w:rStyle w:val="IndexLink"/>
                <w:rtl w:val="true"/>
              </w:rPr>
              <w:tab/>
            </w:r>
            <w:r>
              <w:rPr>
                <w:rStyle w:val="IndexLink"/>
              </w:rPr>
              <w:t>372</w:t>
            </w:r>
          </w:hyperlink>
        </w:p>
        <w:p>
          <w:pPr>
            <w:pStyle w:val="Contents6"/>
            <w:tabs>
              <w:tab w:val="clear" w:pos="7609"/>
              <w:tab w:val="right" w:pos="9026" w:leader="dot"/>
            </w:tabs>
            <w:rPr/>
          </w:pPr>
          <w:hyperlink w:anchor="__RefHeading___Toc7305128_3381743652">
            <w:r>
              <w:rPr>
                <w:webHidden/>
                <w:rStyle w:val="IndexLink"/>
                <w:rtl w:val="true"/>
              </w:rPr>
              <w:t>الثاني</w:t>
            </w:r>
            <w:r>
              <w:rPr>
                <w:rStyle w:val="IndexLink"/>
                <w:rtl w:val="true"/>
              </w:rPr>
              <w:t xml:space="preserve">: </w:t>
            </w:r>
            <w:r>
              <w:rPr>
                <w:rStyle w:val="IndexLink"/>
                <w:rtl w:val="true"/>
              </w:rPr>
              <w:t>الانحصار مقتضى إطلاق فعل الشرط</w:t>
            </w:r>
            <w:r>
              <w:rPr>
                <w:rStyle w:val="IndexLink"/>
                <w:rtl w:val="true"/>
              </w:rPr>
              <w:tab/>
            </w:r>
            <w:r>
              <w:rPr>
                <w:rStyle w:val="IndexLink"/>
              </w:rPr>
              <w:t>375</w:t>
            </w:r>
          </w:hyperlink>
        </w:p>
        <w:p>
          <w:pPr>
            <w:pStyle w:val="Contents6"/>
            <w:tabs>
              <w:tab w:val="clear" w:pos="7609"/>
              <w:tab w:val="right" w:pos="9026" w:leader="dot"/>
            </w:tabs>
            <w:rPr/>
          </w:pPr>
          <w:hyperlink w:anchor="__RefHeading___Toc7305130_3381743652">
            <w:r>
              <w:rPr>
                <w:webHidden/>
                <w:rStyle w:val="IndexLink"/>
                <w:rtl w:val="true"/>
              </w:rPr>
              <w:t>الوجه الثالث</w:t>
            </w:r>
            <w:r>
              <w:rPr>
                <w:rStyle w:val="IndexLink"/>
                <w:rtl w:val="true"/>
              </w:rPr>
              <w:t xml:space="preserve">: </w:t>
            </w:r>
            <w:r>
              <w:rPr>
                <w:rStyle w:val="IndexLink"/>
                <w:rtl w:val="true"/>
              </w:rPr>
              <w:t>التمسّك بإطلاق الشرط بتقريب انّ مقتضى إطلاقه، انحصارُه</w:t>
            </w:r>
            <w:r>
              <w:rPr>
                <w:rStyle w:val="IndexLink"/>
                <w:rtl w:val="true"/>
              </w:rPr>
              <w:tab/>
            </w:r>
            <w:r>
              <w:rPr>
                <w:rStyle w:val="IndexLink"/>
              </w:rPr>
              <w:t>377</w:t>
            </w:r>
          </w:hyperlink>
        </w:p>
        <w:p>
          <w:pPr>
            <w:pStyle w:val="Contents5"/>
            <w:tabs>
              <w:tab w:val="clear" w:pos="7892"/>
              <w:tab w:val="right" w:pos="9026" w:leader="dot"/>
            </w:tabs>
            <w:rPr/>
          </w:pPr>
          <w:hyperlink w:anchor="__RefHeading___Toc7305132_3381743652">
            <w:r>
              <w:rPr>
                <w:webHidden/>
                <w:rStyle w:val="IndexLink"/>
                <w:rtl w:val="true"/>
              </w:rPr>
              <w:t>الوجه السادس</w:t>
            </w:r>
            <w:r>
              <w:rPr>
                <w:rStyle w:val="IndexLink"/>
                <w:rtl w:val="true"/>
              </w:rPr>
              <w:t>:</w:t>
              <w:tab/>
            </w:r>
            <w:r>
              <w:rPr>
                <w:rStyle w:val="IndexLink"/>
              </w:rPr>
              <w:t>380</w:t>
            </w:r>
          </w:hyperlink>
        </w:p>
        <w:p>
          <w:pPr>
            <w:pStyle w:val="Contents5"/>
            <w:tabs>
              <w:tab w:val="clear" w:pos="7892"/>
              <w:tab w:val="right" w:pos="9026" w:leader="dot"/>
            </w:tabs>
            <w:rPr/>
          </w:pPr>
          <w:hyperlink w:anchor="__RefHeading___Toc7305134_3381743652">
            <w:r>
              <w:rPr>
                <w:webHidden/>
                <w:rStyle w:val="IndexLink"/>
                <w:rtl w:val="true"/>
              </w:rPr>
              <w:t>السابع</w:t>
            </w:r>
            <w:r>
              <w:rPr>
                <w:rStyle w:val="IndexLink"/>
                <w:rtl w:val="true"/>
              </w:rPr>
              <w:t xml:space="preserve">: </w:t>
            </w:r>
            <w:r>
              <w:rPr>
                <w:rStyle w:val="IndexLink"/>
                <w:rtl w:val="true"/>
              </w:rPr>
              <w:t>ما ذكره المحقّق النائيني على ما في تقريراته،</w:t>
            </w:r>
            <w:r>
              <w:rPr>
                <w:rStyle w:val="IndexLink"/>
                <w:rtl w:val="true"/>
              </w:rPr>
              <w:tab/>
            </w:r>
            <w:r>
              <w:rPr>
                <w:rStyle w:val="IndexLink"/>
              </w:rPr>
              <w:t>381</w:t>
            </w:r>
          </w:hyperlink>
        </w:p>
        <w:p>
          <w:pPr>
            <w:pStyle w:val="Contents4"/>
            <w:tabs>
              <w:tab w:val="clear" w:pos="8176"/>
              <w:tab w:val="right" w:pos="9026" w:leader="dot"/>
            </w:tabs>
            <w:rPr/>
          </w:pPr>
          <w:hyperlink w:anchor="__RefHeading___Toc7305136_3381743652">
            <w:r>
              <w:rPr>
                <w:webHidden/>
                <w:rStyle w:val="IndexLink"/>
                <w:rtl w:val="true"/>
              </w:rPr>
              <w:t>نظرية المحقّق البروجردي</w:t>
            </w:r>
            <w:r>
              <w:rPr>
                <w:rStyle w:val="IndexLink"/>
                <w:rtl w:val="true"/>
              </w:rPr>
              <w:tab/>
            </w:r>
            <w:r>
              <w:rPr>
                <w:rStyle w:val="IndexLink"/>
              </w:rPr>
              <w:t>382</w:t>
            </w:r>
          </w:hyperlink>
        </w:p>
        <w:p>
          <w:pPr>
            <w:pStyle w:val="Contents4"/>
            <w:tabs>
              <w:tab w:val="clear" w:pos="8176"/>
              <w:tab w:val="right" w:pos="9026" w:leader="dot"/>
            </w:tabs>
            <w:rPr/>
          </w:pPr>
          <w:hyperlink w:anchor="__RefHeading___Toc7305138_3381743652">
            <w:r>
              <w:rPr>
                <w:webHidden/>
                <w:rStyle w:val="IndexLink"/>
                <w:rtl w:val="true"/>
              </w:rPr>
              <w:t>ما هو المختار في المقام؟</w:t>
            </w:r>
            <w:r>
              <w:rPr>
                <w:rStyle w:val="IndexLink"/>
                <w:rtl w:val="true"/>
              </w:rPr>
              <w:tab/>
            </w:r>
            <w:r>
              <w:rPr>
                <w:rStyle w:val="IndexLink"/>
              </w:rPr>
              <w:t>383</w:t>
            </w:r>
          </w:hyperlink>
        </w:p>
        <w:p>
          <w:pPr>
            <w:pStyle w:val="Contents4"/>
            <w:tabs>
              <w:tab w:val="clear" w:pos="8176"/>
              <w:tab w:val="right" w:pos="9026" w:leader="dot"/>
            </w:tabs>
            <w:rPr/>
          </w:pPr>
          <w:hyperlink w:anchor="__RefHeading___Toc7305140_3381743652">
            <w:r>
              <w:rPr>
                <w:webHidden/>
                <w:rStyle w:val="IndexLink"/>
                <w:rtl w:val="true"/>
              </w:rPr>
              <w:t>تنبيهات</w:t>
            </w:r>
            <w:r>
              <w:rPr>
                <w:rStyle w:val="IndexLink"/>
                <w:rtl w:val="true"/>
              </w:rPr>
              <w:tab/>
            </w:r>
            <w:r>
              <w:rPr>
                <w:rStyle w:val="IndexLink"/>
              </w:rPr>
              <w:t>387</w:t>
            </w:r>
          </w:hyperlink>
        </w:p>
        <w:p>
          <w:pPr>
            <w:pStyle w:val="Contents5"/>
            <w:tabs>
              <w:tab w:val="clear" w:pos="7892"/>
              <w:tab w:val="right" w:pos="9026" w:leader="dot"/>
            </w:tabs>
            <w:rPr/>
          </w:pPr>
          <w:hyperlink w:anchor="__RefHeading___Toc7305142_3381743652">
            <w:r>
              <w:rPr>
                <w:webHidden/>
                <w:rStyle w:val="IndexLink"/>
                <w:rtl w:val="true"/>
              </w:rPr>
              <w:t>التنبيه الأوّل المفهوم هو انتفاء سنخ الحكم لا شخصه</w:t>
            </w:r>
            <w:r>
              <w:rPr>
                <w:rStyle w:val="IndexLink"/>
                <w:rtl w:val="true"/>
              </w:rPr>
              <w:tab/>
            </w:r>
            <w:r>
              <w:rPr>
                <w:rStyle w:val="IndexLink"/>
              </w:rPr>
              <w:t>387</w:t>
            </w:r>
          </w:hyperlink>
        </w:p>
        <w:p>
          <w:pPr>
            <w:pStyle w:val="Contents6"/>
            <w:tabs>
              <w:tab w:val="clear" w:pos="7609"/>
              <w:tab w:val="right" w:pos="9026" w:leader="dot"/>
            </w:tabs>
            <w:rPr/>
          </w:pPr>
          <w:hyperlink w:anchor="__RefHeading___Toc7305144_3381743652">
            <w:r>
              <w:rPr>
                <w:webHidden/>
                <w:rStyle w:val="IndexLink"/>
                <w:rtl w:val="true"/>
              </w:rPr>
              <w:t>اشارة</w:t>
            </w:r>
            <w:r>
              <w:rPr>
                <w:rStyle w:val="IndexLink"/>
                <w:rtl w:val="true"/>
              </w:rPr>
              <w:tab/>
            </w:r>
            <w:r>
              <w:rPr>
                <w:rStyle w:val="IndexLink"/>
              </w:rPr>
              <w:t>387</w:t>
            </w:r>
          </w:hyperlink>
        </w:p>
        <w:p>
          <w:pPr>
            <w:pStyle w:val="Contents6"/>
            <w:tabs>
              <w:tab w:val="clear" w:pos="7609"/>
              <w:tab w:val="right" w:pos="9026" w:leader="dot"/>
            </w:tabs>
            <w:rPr/>
          </w:pPr>
          <w:hyperlink w:anchor="__RefHeading___Toc7305146_3381743652">
            <w:r>
              <w:rPr>
                <w:webHidden/>
                <w:rStyle w:val="IndexLink"/>
                <w:rtl w:val="true"/>
              </w:rPr>
              <w:t>إشكال و إجابة</w:t>
            </w:r>
            <w:r>
              <w:rPr>
                <w:rStyle w:val="IndexLink"/>
                <w:rtl w:val="true"/>
              </w:rPr>
              <w:tab/>
            </w:r>
            <w:r>
              <w:rPr>
                <w:rStyle w:val="IndexLink"/>
              </w:rPr>
              <w:t>390</w:t>
            </w:r>
          </w:hyperlink>
        </w:p>
        <w:p>
          <w:pPr>
            <w:pStyle w:val="Contents5"/>
            <w:tabs>
              <w:tab w:val="clear" w:pos="7892"/>
              <w:tab w:val="right" w:pos="9026" w:leader="dot"/>
            </w:tabs>
            <w:rPr/>
          </w:pPr>
          <w:hyperlink w:anchor="__RefHeading___Toc7305148_3381743652">
            <w:r>
              <w:rPr>
                <w:webHidden/>
                <w:rStyle w:val="IndexLink"/>
                <w:rtl w:val="true"/>
              </w:rPr>
              <w:t>التنبيه الثاني إذا تعدّد الشرط و اتّحد الجزاء</w:t>
            </w:r>
            <w:r>
              <w:rPr>
                <w:rStyle w:val="IndexLink"/>
                <w:rtl w:val="true"/>
              </w:rPr>
              <w:tab/>
            </w:r>
            <w:r>
              <w:rPr>
                <w:rStyle w:val="IndexLink"/>
              </w:rPr>
              <w:t>394</w:t>
            </w:r>
          </w:hyperlink>
        </w:p>
        <w:p>
          <w:pPr>
            <w:pStyle w:val="Contents6"/>
            <w:tabs>
              <w:tab w:val="clear" w:pos="7609"/>
              <w:tab w:val="right" w:pos="9026" w:leader="dot"/>
            </w:tabs>
            <w:rPr/>
          </w:pPr>
          <w:hyperlink w:anchor="__RefHeading___Toc7305150_3381743652">
            <w:r>
              <w:rPr>
                <w:webHidden/>
                <w:rStyle w:val="IndexLink"/>
                <w:rtl w:val="true"/>
              </w:rPr>
              <w:t>اشارة</w:t>
            </w:r>
            <w:r>
              <w:rPr>
                <w:rStyle w:val="IndexLink"/>
                <w:rtl w:val="true"/>
              </w:rPr>
              <w:tab/>
            </w:r>
            <w:r>
              <w:rPr>
                <w:rStyle w:val="IndexLink"/>
              </w:rPr>
              <w:t>394</w:t>
            </w:r>
          </w:hyperlink>
        </w:p>
        <w:p>
          <w:pPr>
            <w:pStyle w:val="Contents6"/>
            <w:tabs>
              <w:tab w:val="clear" w:pos="7609"/>
              <w:tab w:val="right" w:pos="9026" w:leader="dot"/>
            </w:tabs>
            <w:rPr/>
          </w:pPr>
          <w:hyperlink w:anchor="__RefHeading___Toc7305152_3381743652">
            <w:r>
              <w:rPr>
                <w:webHidden/>
                <w:rStyle w:val="IndexLink"/>
                <w:rtl w:val="true"/>
              </w:rPr>
              <w:t>وجوه لرفع التعارض بين مفهوم إحدى القضيتين مع منطوق الأخرى</w:t>
            </w:r>
            <w:r>
              <w:rPr>
                <w:rStyle w:val="IndexLink"/>
                <w:rtl w:val="true"/>
              </w:rPr>
              <w:tab/>
            </w:r>
            <w:r>
              <w:rPr>
                <w:rStyle w:val="IndexLink"/>
              </w:rPr>
              <w:t>394</w:t>
            </w:r>
          </w:hyperlink>
        </w:p>
        <w:p>
          <w:pPr>
            <w:pStyle w:val="Contents6"/>
            <w:tabs>
              <w:tab w:val="clear" w:pos="7609"/>
              <w:tab w:val="right" w:pos="9026" w:leader="dot"/>
            </w:tabs>
            <w:rPr/>
          </w:pPr>
          <w:hyperlink w:anchor="__RefHeading___Toc7305154_3381743652">
            <w:r>
              <w:rPr>
                <w:webHidden/>
                <w:rStyle w:val="IndexLink"/>
              </w:rPr>
              <w:t>1</w:t>
            </w:r>
            <w:r>
              <w:rPr>
                <w:rStyle w:val="IndexLink"/>
                <w:rtl w:val="true"/>
              </w:rPr>
              <w:t xml:space="preserve">. </w:t>
            </w:r>
            <w:r>
              <w:rPr>
                <w:rStyle w:val="IndexLink"/>
                <w:rtl w:val="true"/>
              </w:rPr>
              <w:t>تخصيص مفهوم كلّ بمنطوق الآخر</w:t>
            </w:r>
            <w:r>
              <w:rPr>
                <w:rStyle w:val="IndexLink"/>
                <w:rtl w:val="true"/>
              </w:rPr>
              <w:tab/>
            </w:r>
            <w:r>
              <w:rPr>
                <w:rStyle w:val="IndexLink"/>
              </w:rPr>
              <w:t>395</w:t>
            </w:r>
          </w:hyperlink>
        </w:p>
        <w:p>
          <w:pPr>
            <w:pStyle w:val="Contents6"/>
            <w:tabs>
              <w:tab w:val="clear" w:pos="7609"/>
              <w:tab w:val="right" w:pos="9026" w:leader="dot"/>
            </w:tabs>
            <w:rPr/>
          </w:pPr>
          <w:hyperlink w:anchor="__RefHeading___Toc7305156_3381743652">
            <w:r>
              <w:rPr>
                <w:webHidden/>
                <w:rStyle w:val="IndexLink"/>
              </w:rPr>
              <w:t>2</w:t>
            </w:r>
            <w:r>
              <w:rPr>
                <w:rStyle w:val="IndexLink"/>
                <w:rtl w:val="true"/>
              </w:rPr>
              <w:t xml:space="preserve">. </w:t>
            </w:r>
            <w:r>
              <w:rPr>
                <w:rStyle w:val="IndexLink"/>
                <w:rtl w:val="true"/>
              </w:rPr>
              <w:t>تقييد منطوق كلّ بالآخر</w:t>
            </w:r>
            <w:r>
              <w:rPr>
                <w:rStyle w:val="IndexLink"/>
                <w:rtl w:val="true"/>
              </w:rPr>
              <w:tab/>
            </w:r>
            <w:r>
              <w:rPr>
                <w:rStyle w:val="IndexLink"/>
              </w:rPr>
              <w:t>395</w:t>
            </w:r>
          </w:hyperlink>
        </w:p>
        <w:p>
          <w:pPr>
            <w:pStyle w:val="Contents6"/>
            <w:tabs>
              <w:tab w:val="clear" w:pos="7609"/>
              <w:tab w:val="right" w:pos="9026" w:leader="dot"/>
            </w:tabs>
            <w:rPr/>
          </w:pPr>
          <w:hyperlink w:anchor="__RefHeading___Toc7305158_3381743652">
            <w:r>
              <w:rPr>
                <w:webHidden/>
                <w:rStyle w:val="IndexLink"/>
                <w:rtl w:val="true"/>
              </w:rPr>
              <w:t>الثالث</w:t>
            </w:r>
            <w:r>
              <w:rPr>
                <w:rStyle w:val="IndexLink"/>
                <w:rtl w:val="true"/>
              </w:rPr>
              <w:t xml:space="preserve">: </w:t>
            </w:r>
            <w:r>
              <w:rPr>
                <w:rStyle w:val="IndexLink"/>
                <w:rtl w:val="true"/>
              </w:rPr>
              <w:t>رفع اليد عن المفهوم منهما</w:t>
            </w:r>
            <w:r>
              <w:rPr>
                <w:rStyle w:val="IndexLink"/>
                <w:rtl w:val="true"/>
              </w:rPr>
              <w:tab/>
            </w:r>
            <w:r>
              <w:rPr>
                <w:rStyle w:val="IndexLink"/>
              </w:rPr>
              <w:t>398</w:t>
            </w:r>
          </w:hyperlink>
        </w:p>
        <w:p>
          <w:pPr>
            <w:pStyle w:val="Contents6"/>
            <w:tabs>
              <w:tab w:val="clear" w:pos="7609"/>
              <w:tab w:val="right" w:pos="9026" w:leader="dot"/>
            </w:tabs>
            <w:rPr/>
          </w:pPr>
          <w:hyperlink w:anchor="__RefHeading___Toc7305160_3381743652">
            <w:r>
              <w:rPr>
                <w:webHidden/>
                <w:rStyle w:val="IndexLink"/>
                <w:rtl w:val="true"/>
              </w:rPr>
              <w:t>الرابع</w:t>
            </w:r>
            <w:r>
              <w:rPr>
                <w:rStyle w:val="IndexLink"/>
                <w:rtl w:val="true"/>
              </w:rPr>
              <w:t xml:space="preserve">: </w:t>
            </w:r>
            <w:r>
              <w:rPr>
                <w:rStyle w:val="IndexLink"/>
                <w:rtl w:val="true"/>
              </w:rPr>
              <w:t>جعل الشرط هو القدر المشترك</w:t>
            </w:r>
            <w:r>
              <w:rPr>
                <w:rStyle w:val="IndexLink"/>
                <w:rtl w:val="true"/>
              </w:rPr>
              <w:tab/>
            </w:r>
            <w:r>
              <w:rPr>
                <w:rStyle w:val="IndexLink"/>
              </w:rPr>
              <w:t>399</w:t>
            </w:r>
          </w:hyperlink>
        </w:p>
        <w:p>
          <w:pPr>
            <w:pStyle w:val="Contents6"/>
            <w:tabs>
              <w:tab w:val="clear" w:pos="7609"/>
              <w:tab w:val="right" w:pos="9026" w:leader="dot"/>
            </w:tabs>
            <w:rPr/>
          </w:pPr>
          <w:hyperlink w:anchor="__RefHeading___Toc7305162_3381743652">
            <w:r>
              <w:rPr>
                <w:webHidden/>
                <w:rStyle w:val="IndexLink"/>
                <w:rtl w:val="true"/>
              </w:rPr>
              <w:t>الخامس</w:t>
            </w:r>
            <w:r>
              <w:rPr>
                <w:rStyle w:val="IndexLink"/>
                <w:rtl w:val="true"/>
              </w:rPr>
              <w:t xml:space="preserve">: </w:t>
            </w:r>
            <w:r>
              <w:rPr>
                <w:rStyle w:val="IndexLink"/>
                <w:rtl w:val="true"/>
              </w:rPr>
              <w:t>رفع اليد عن مفهوم إحدى القضيتين</w:t>
            </w:r>
            <w:r>
              <w:rPr>
                <w:rStyle w:val="IndexLink"/>
                <w:rtl w:val="true"/>
              </w:rPr>
              <w:tab/>
            </w:r>
            <w:r>
              <w:rPr>
                <w:rStyle w:val="IndexLink"/>
              </w:rPr>
              <w:t>400</w:t>
            </w:r>
          </w:hyperlink>
        </w:p>
        <w:p>
          <w:pPr>
            <w:pStyle w:val="Contents5"/>
            <w:tabs>
              <w:tab w:val="clear" w:pos="7892"/>
              <w:tab w:val="right" w:pos="9026" w:leader="dot"/>
            </w:tabs>
            <w:rPr/>
          </w:pPr>
          <w:hyperlink w:anchor="__RefHeading___Toc7305164_3381743652">
            <w:r>
              <w:rPr>
                <w:webHidden/>
                <w:rStyle w:val="IndexLink"/>
                <w:rtl w:val="true"/>
              </w:rPr>
              <w:t>التنبيه الثالث تداخل الأسباب و المسببات</w:t>
            </w:r>
            <w:r>
              <w:rPr>
                <w:rStyle w:val="IndexLink"/>
                <w:rtl w:val="true"/>
              </w:rPr>
              <w:tab/>
            </w:r>
            <w:r>
              <w:rPr>
                <w:rStyle w:val="IndexLink"/>
              </w:rPr>
              <w:t>402</w:t>
            </w:r>
          </w:hyperlink>
        </w:p>
        <w:p>
          <w:pPr>
            <w:pStyle w:val="Contents6"/>
            <w:tabs>
              <w:tab w:val="clear" w:pos="7609"/>
              <w:tab w:val="right" w:pos="9026" w:leader="dot"/>
            </w:tabs>
            <w:rPr/>
          </w:pPr>
          <w:hyperlink w:anchor="__RefHeading___Toc7305166_3381743652">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7305168_3381743652">
            <w:r>
              <w:rPr>
                <w:webHidden/>
                <w:rStyle w:val="IndexLink"/>
                <w:rtl w:val="true"/>
              </w:rPr>
              <w:t>الموضع الأوّل حكم الأسباب من حيث التداخل و عدمه</w:t>
            </w:r>
            <w:r>
              <w:rPr>
                <w:rStyle w:val="IndexLink"/>
                <w:rtl w:val="true"/>
              </w:rPr>
              <w:tab/>
            </w:r>
            <w:r>
              <w:rPr>
                <w:rStyle w:val="IndexLink"/>
              </w:rPr>
              <w:t>405</w:t>
            </w:r>
          </w:hyperlink>
        </w:p>
        <w:p>
          <w:pPr>
            <w:pStyle w:val="Contents6"/>
            <w:tabs>
              <w:tab w:val="clear" w:pos="7609"/>
              <w:tab w:val="right" w:pos="9026" w:leader="dot"/>
            </w:tabs>
            <w:rPr/>
          </w:pPr>
          <w:hyperlink w:anchor="__RefHeading___Toc7305170_3381743652">
            <w:r>
              <w:rPr>
                <w:webHidden/>
                <w:rStyle w:val="IndexLink"/>
                <w:rtl w:val="true"/>
              </w:rPr>
              <w:t>إطلاق الشرط يقتضي عدم التداخل</w:t>
            </w:r>
            <w:r>
              <w:rPr>
                <w:rStyle w:val="IndexLink"/>
                <w:rtl w:val="true"/>
              </w:rPr>
              <w:tab/>
            </w:r>
            <w:r>
              <w:rPr>
                <w:rStyle w:val="IndexLink"/>
              </w:rPr>
              <w:t>405</w:t>
            </w:r>
          </w:hyperlink>
        </w:p>
        <w:p>
          <w:pPr>
            <w:pStyle w:val="Contents6"/>
            <w:tabs>
              <w:tab w:val="clear" w:pos="7609"/>
              <w:tab w:val="right" w:pos="9026" w:leader="dot"/>
            </w:tabs>
            <w:rPr/>
          </w:pPr>
          <w:hyperlink w:anchor="__RefHeading___Toc7305172_3381743652">
            <w:r>
              <w:rPr>
                <w:webHidden/>
                <w:rStyle w:val="IndexLink"/>
                <w:rtl w:val="true"/>
              </w:rPr>
              <w:t>دليل القائل بالتداخل إطلاق الجزاء</w:t>
            </w:r>
            <w:r>
              <w:rPr>
                <w:rStyle w:val="IndexLink"/>
                <w:rtl w:val="true"/>
              </w:rPr>
              <w:tab/>
            </w:r>
            <w:r>
              <w:rPr>
                <w:rStyle w:val="IndexLink"/>
              </w:rPr>
              <w:t>406</w:t>
            </w:r>
          </w:hyperlink>
        </w:p>
        <w:p>
          <w:pPr>
            <w:pStyle w:val="Contents6"/>
            <w:tabs>
              <w:tab w:val="clear" w:pos="7609"/>
              <w:tab w:val="right" w:pos="9026" w:leader="dot"/>
            </w:tabs>
            <w:rPr/>
          </w:pPr>
          <w:hyperlink w:anchor="__RefHeading___Toc7305174_3381743652">
            <w:r>
              <w:rPr>
                <w:webHidden/>
                <w:rStyle w:val="IndexLink"/>
                <w:rtl w:val="true"/>
              </w:rPr>
              <w:t>تخلّص القائل بالتداخل عن الإشكال</w:t>
            </w:r>
            <w:r>
              <w:rPr>
                <w:rStyle w:val="IndexLink"/>
                <w:rtl w:val="true"/>
              </w:rPr>
              <w:tab/>
            </w:r>
            <w:r>
              <w:rPr>
                <w:rStyle w:val="IndexLink"/>
              </w:rPr>
              <w:t>406</w:t>
            </w:r>
          </w:hyperlink>
        </w:p>
        <w:p>
          <w:pPr>
            <w:pStyle w:val="Contents6"/>
            <w:tabs>
              <w:tab w:val="clear" w:pos="7609"/>
              <w:tab w:val="right" w:pos="9026" w:leader="dot"/>
            </w:tabs>
            <w:rPr/>
          </w:pPr>
          <w:hyperlink w:anchor="__RefHeading___Toc7305176_3381743652">
            <w:r>
              <w:rPr>
                <w:webHidden/>
                <w:rStyle w:val="IndexLink"/>
                <w:rtl w:val="true"/>
              </w:rPr>
              <w:t>تخلّص القائل بعدم التداخل عن الإشكال</w:t>
            </w:r>
            <w:r>
              <w:rPr>
                <w:rStyle w:val="IndexLink"/>
                <w:rtl w:val="true"/>
              </w:rPr>
              <w:tab/>
            </w:r>
            <w:r>
              <w:rPr>
                <w:rStyle w:val="IndexLink"/>
              </w:rPr>
              <w:t>407</w:t>
            </w:r>
          </w:hyperlink>
        </w:p>
        <w:p>
          <w:pPr>
            <w:pStyle w:val="Contents6"/>
            <w:tabs>
              <w:tab w:val="clear" w:pos="7609"/>
              <w:tab w:val="right" w:pos="9026" w:leader="dot"/>
            </w:tabs>
            <w:rPr/>
          </w:pPr>
          <w:hyperlink w:anchor="__RefHeading___Toc7305178_3381743652">
            <w:r>
              <w:rPr>
                <w:webHidden/>
                <w:rStyle w:val="IndexLink"/>
                <w:rtl w:val="true"/>
              </w:rPr>
              <w:t>ترجيح ظهور القضية الشرطية على إطلاق الجزاء</w:t>
            </w:r>
            <w:r>
              <w:rPr>
                <w:rStyle w:val="IndexLink"/>
                <w:rtl w:val="true"/>
              </w:rPr>
              <w:tab/>
            </w:r>
            <w:r>
              <w:rPr>
                <w:rStyle w:val="IndexLink"/>
              </w:rPr>
              <w:t>408</w:t>
            </w:r>
          </w:hyperlink>
        </w:p>
        <w:p>
          <w:pPr>
            <w:pStyle w:val="Contents6"/>
            <w:tabs>
              <w:tab w:val="clear" w:pos="7609"/>
              <w:tab w:val="right" w:pos="9026" w:leader="dot"/>
            </w:tabs>
            <w:rPr/>
          </w:pPr>
          <w:hyperlink w:anchor="__RefHeading___Toc7305180_3381743652">
            <w:r>
              <w:rPr>
                <w:webHidden/>
                <w:rStyle w:val="IndexLink"/>
                <w:rtl w:val="true"/>
              </w:rPr>
              <w:t>وجوه لترجيح ظهور القضية الشرطية في الحدوث عند الحدوث، الذي هو الأساس لعدم التداخل في الأسباب</w:t>
            </w:r>
            <w:r>
              <w:rPr>
                <w:rStyle w:val="IndexLink"/>
                <w:rtl w:val="true"/>
              </w:rPr>
              <w:tab/>
            </w:r>
            <w:r>
              <w:rPr>
                <w:rStyle w:val="IndexLink"/>
              </w:rPr>
              <w:t>408</w:t>
            </w:r>
          </w:hyperlink>
        </w:p>
        <w:p>
          <w:pPr>
            <w:pStyle w:val="Contents6"/>
            <w:tabs>
              <w:tab w:val="clear" w:pos="7609"/>
              <w:tab w:val="right" w:pos="9026" w:leader="dot"/>
            </w:tabs>
            <w:rPr/>
          </w:pPr>
          <w:hyperlink w:anchor="__RefHeading___Toc7305182_3381743652">
            <w:r>
              <w:rPr>
                <w:webHidden/>
                <w:rStyle w:val="IndexLink"/>
                <w:rtl w:val="true"/>
              </w:rPr>
              <w:t>الأوّل</w:t>
            </w:r>
            <w:r>
              <w:rPr>
                <w:rStyle w:val="IndexLink"/>
                <w:rtl w:val="true"/>
              </w:rPr>
              <w:t xml:space="preserve">: </w:t>
            </w:r>
            <w:r>
              <w:rPr>
                <w:rStyle w:val="IndexLink"/>
                <w:rtl w:val="true"/>
              </w:rPr>
              <w:t>ما ذكره المحقّق الخراساني تبعاً للشيخ الأعظم</w:t>
            </w:r>
            <w:r>
              <w:rPr>
                <w:rStyle w:val="IndexLink"/>
                <w:rtl w:val="true"/>
              </w:rPr>
              <w:tab/>
            </w:r>
            <w:r>
              <w:rPr>
                <w:rStyle w:val="IndexLink"/>
              </w:rPr>
              <w:t>408</w:t>
            </w:r>
          </w:hyperlink>
        </w:p>
        <w:p>
          <w:pPr>
            <w:pStyle w:val="Contents6"/>
            <w:tabs>
              <w:tab w:val="clear" w:pos="7609"/>
              <w:tab w:val="right" w:pos="9026" w:leader="dot"/>
            </w:tabs>
            <w:rPr/>
          </w:pPr>
          <w:hyperlink w:anchor="__RefHeading___Toc7305184_3381743652">
            <w:r>
              <w:rPr>
                <w:webHidden/>
                <w:rStyle w:val="IndexLink"/>
                <w:rtl w:val="true"/>
              </w:rPr>
              <w:t>الثاني ما أفاده المحقّق الاصفهاني</w:t>
            </w:r>
            <w:r>
              <w:rPr>
                <w:rStyle w:val="IndexLink"/>
                <w:rtl w:val="true"/>
              </w:rPr>
              <w:t>:</w:t>
              <w:tab/>
            </w:r>
            <w:r>
              <w:rPr>
                <w:rStyle w:val="IndexLink"/>
              </w:rPr>
              <w:t>410</w:t>
            </w:r>
          </w:hyperlink>
        </w:p>
        <w:p>
          <w:pPr>
            <w:pStyle w:val="Contents6"/>
            <w:tabs>
              <w:tab w:val="clear" w:pos="7609"/>
              <w:tab w:val="right" w:pos="9026" w:leader="dot"/>
            </w:tabs>
            <w:rPr/>
          </w:pPr>
          <w:hyperlink w:anchor="__RefHeading___Toc7305186_3381743652">
            <w:r>
              <w:rPr>
                <w:webHidden/>
                <w:rStyle w:val="IndexLink"/>
                <w:rtl w:val="true"/>
              </w:rPr>
              <w:t>الثالث</w:t>
            </w:r>
            <w:r>
              <w:rPr>
                <w:rStyle w:val="IndexLink"/>
                <w:rtl w:val="true"/>
              </w:rPr>
              <w:t xml:space="preserve">: </w:t>
            </w:r>
            <w:r>
              <w:rPr>
                <w:rStyle w:val="IndexLink"/>
                <w:rtl w:val="true"/>
              </w:rPr>
              <w:t>ما أفاده المحقّق النائيني</w:t>
            </w:r>
            <w:r>
              <w:rPr>
                <w:rStyle w:val="IndexLink"/>
                <w:rtl w:val="true"/>
              </w:rPr>
              <w:tab/>
            </w:r>
            <w:r>
              <w:rPr>
                <w:rStyle w:val="IndexLink"/>
              </w:rPr>
              <w:t>410</w:t>
            </w:r>
          </w:hyperlink>
        </w:p>
        <w:p>
          <w:pPr>
            <w:pStyle w:val="Contents6"/>
            <w:tabs>
              <w:tab w:val="clear" w:pos="7609"/>
              <w:tab w:val="right" w:pos="9026" w:leader="dot"/>
            </w:tabs>
            <w:rPr/>
          </w:pPr>
          <w:hyperlink w:anchor="__RefHeading___Toc7305188_3381743652">
            <w:r>
              <w:rPr>
                <w:webHidden/>
                <w:rStyle w:val="IndexLink"/>
                <w:rtl w:val="true"/>
              </w:rPr>
              <w:t>الرابع</w:t>
            </w:r>
            <w:r>
              <w:rPr>
                <w:rStyle w:val="IndexLink"/>
                <w:rtl w:val="true"/>
              </w:rPr>
              <w:t xml:space="preserve">: </w:t>
            </w:r>
            <w:r>
              <w:rPr>
                <w:rStyle w:val="IndexLink"/>
                <w:rtl w:val="true"/>
              </w:rPr>
              <w:t>ما اعتمد عليه السيد الأُستاذ</w:t>
            </w:r>
            <w:r>
              <w:rPr>
                <w:rStyle w:val="IndexLink"/>
                <w:rtl w:val="true"/>
              </w:rPr>
              <w:tab/>
            </w:r>
            <w:r>
              <w:rPr>
                <w:rStyle w:val="IndexLink"/>
              </w:rPr>
              <w:t>412</w:t>
            </w:r>
          </w:hyperlink>
        </w:p>
        <w:p>
          <w:pPr>
            <w:pStyle w:val="Contents6"/>
            <w:tabs>
              <w:tab w:val="clear" w:pos="7609"/>
              <w:tab w:val="right" w:pos="9026" w:leader="dot"/>
            </w:tabs>
            <w:rPr/>
          </w:pPr>
          <w:hyperlink w:anchor="__RefHeading___Toc7305190_3381743652">
            <w:r>
              <w:rPr>
                <w:webHidden/>
                <w:rStyle w:val="IndexLink"/>
                <w:rtl w:val="true"/>
              </w:rPr>
              <w:t>ترجيح إطلاق الجزاء على الشرط</w:t>
            </w:r>
            <w:r>
              <w:rPr>
                <w:rStyle w:val="IndexLink"/>
                <w:rtl w:val="true"/>
              </w:rPr>
              <w:tab/>
            </w:r>
            <w:r>
              <w:rPr>
                <w:rStyle w:val="IndexLink"/>
              </w:rPr>
              <w:t>413</w:t>
            </w:r>
          </w:hyperlink>
        </w:p>
        <w:p>
          <w:pPr>
            <w:pStyle w:val="Contents6"/>
            <w:tabs>
              <w:tab w:val="clear" w:pos="7609"/>
              <w:tab w:val="right" w:pos="9026" w:leader="dot"/>
            </w:tabs>
            <w:rPr/>
          </w:pPr>
          <w:hyperlink w:anchor="__RefHeading___Toc7305192_3381743652">
            <w:r>
              <w:rPr>
                <w:webHidden/>
                <w:rStyle w:val="IndexLink"/>
                <w:rtl w:val="true"/>
              </w:rPr>
              <w:t>بقيت هنا أُمور</w:t>
            </w:r>
            <w:r>
              <w:rPr>
                <w:rStyle w:val="IndexLink"/>
                <w:rtl w:val="true"/>
              </w:rPr>
              <w:t>:</w:t>
              <w:tab/>
            </w:r>
            <w:r>
              <w:rPr>
                <w:rStyle w:val="IndexLink"/>
              </w:rPr>
              <w:t>414</w:t>
            </w:r>
          </w:hyperlink>
        </w:p>
        <w:p>
          <w:pPr>
            <w:pStyle w:val="Contents6"/>
            <w:tabs>
              <w:tab w:val="clear" w:pos="7609"/>
              <w:tab w:val="right" w:pos="9026" w:leader="dot"/>
            </w:tabs>
            <w:rPr/>
          </w:pPr>
          <w:hyperlink w:anchor="__RefHeading___Toc7305194_3381743652">
            <w:r>
              <w:rPr>
                <w:webHidden/>
                <w:rStyle w:val="IndexLink"/>
                <w:rtl w:val="true"/>
              </w:rPr>
              <w:t>الأوّل</w:t>
            </w:r>
            <w:r>
              <w:rPr>
                <w:rStyle w:val="IndexLink"/>
                <w:rtl w:val="true"/>
              </w:rPr>
              <w:t xml:space="preserve">: </w:t>
            </w:r>
            <w:r>
              <w:rPr>
                <w:rStyle w:val="IndexLink"/>
                <w:rtl w:val="true"/>
              </w:rPr>
              <w:t>التفصيل بين كون الأسباب معرفات أو مؤثّرات</w:t>
            </w:r>
            <w:r>
              <w:rPr>
                <w:rStyle w:val="IndexLink"/>
                <w:rtl w:val="true"/>
              </w:rPr>
              <w:tab/>
            </w:r>
            <w:r>
              <w:rPr>
                <w:rStyle w:val="IndexLink"/>
              </w:rPr>
              <w:t>414</w:t>
            </w:r>
          </w:hyperlink>
        </w:p>
        <w:p>
          <w:pPr>
            <w:pStyle w:val="Contents6"/>
            <w:tabs>
              <w:tab w:val="clear" w:pos="7609"/>
              <w:tab w:val="right" w:pos="9026" w:leader="dot"/>
            </w:tabs>
            <w:rPr/>
          </w:pPr>
          <w:hyperlink w:anchor="__RefHeading___Toc7305196_3381743652">
            <w:r>
              <w:rPr>
                <w:webHidden/>
                <w:rStyle w:val="IndexLink"/>
                <w:rtl w:val="true"/>
              </w:rPr>
              <w:t>الثاني</w:t>
            </w:r>
            <w:r>
              <w:rPr>
                <w:rStyle w:val="IndexLink"/>
                <w:rtl w:val="true"/>
              </w:rPr>
              <w:t xml:space="preserve">: </w:t>
            </w:r>
            <w:r>
              <w:rPr>
                <w:rStyle w:val="IndexLink"/>
                <w:rtl w:val="true"/>
              </w:rPr>
              <w:t>التفصيل بين وحدة الأسباب جنساً و عدمها</w:t>
            </w:r>
            <w:r>
              <w:rPr>
                <w:rStyle w:val="IndexLink"/>
                <w:rtl w:val="true"/>
              </w:rPr>
              <w:tab/>
            </w:r>
            <w:r>
              <w:rPr>
                <w:rStyle w:val="IndexLink"/>
              </w:rPr>
              <w:t>416</w:t>
            </w:r>
          </w:hyperlink>
        </w:p>
        <w:p>
          <w:pPr>
            <w:pStyle w:val="Contents6"/>
            <w:tabs>
              <w:tab w:val="clear" w:pos="7609"/>
              <w:tab w:val="right" w:pos="9026" w:leader="dot"/>
            </w:tabs>
            <w:rPr/>
          </w:pPr>
          <w:hyperlink w:anchor="__RefHeading___Toc7305198_3381743652">
            <w:r>
              <w:rPr>
                <w:webHidden/>
                <w:rStyle w:val="IndexLink"/>
                <w:rtl w:val="true"/>
              </w:rPr>
              <w:t>الثالث</w:t>
            </w:r>
            <w:r>
              <w:rPr>
                <w:rStyle w:val="IndexLink"/>
                <w:rtl w:val="true"/>
              </w:rPr>
              <w:t xml:space="preserve">: </w:t>
            </w:r>
            <w:r>
              <w:rPr>
                <w:rStyle w:val="IndexLink"/>
                <w:rtl w:val="true"/>
              </w:rPr>
              <w:t>إذا شكّ في مقتضى الأدلّة الاجتهادية</w:t>
            </w:r>
            <w:r>
              <w:rPr>
                <w:rStyle w:val="IndexLink"/>
                <w:rtl w:val="true"/>
              </w:rPr>
              <w:tab/>
            </w:r>
            <w:r>
              <w:rPr>
                <w:rStyle w:val="IndexLink"/>
              </w:rPr>
              <w:t>419</w:t>
            </w:r>
          </w:hyperlink>
        </w:p>
        <w:p>
          <w:pPr>
            <w:pStyle w:val="Contents6"/>
            <w:tabs>
              <w:tab w:val="clear" w:pos="7609"/>
              <w:tab w:val="right" w:pos="9026" w:leader="dot"/>
            </w:tabs>
            <w:rPr/>
          </w:pPr>
          <w:hyperlink w:anchor="__RefHeading___Toc7305200_3381743652">
            <w:r>
              <w:rPr>
                <w:webHidden/>
                <w:rStyle w:val="IndexLink"/>
                <w:rtl w:val="true"/>
              </w:rPr>
              <w:t>الموضع الثاني في تداخل المسببات و عدمه</w:t>
            </w:r>
            <w:r>
              <w:rPr>
                <w:rStyle w:val="IndexLink"/>
                <w:rtl w:val="true"/>
              </w:rPr>
              <w:tab/>
            </w:r>
            <w:r>
              <w:rPr>
                <w:rStyle w:val="IndexLink"/>
              </w:rPr>
              <w:t>420</w:t>
            </w:r>
          </w:hyperlink>
        </w:p>
        <w:p>
          <w:pPr>
            <w:pStyle w:val="Contents6"/>
            <w:tabs>
              <w:tab w:val="clear" w:pos="7609"/>
              <w:tab w:val="right" w:pos="9026" w:leader="dot"/>
            </w:tabs>
            <w:rPr/>
          </w:pPr>
          <w:hyperlink w:anchor="__RefHeading___Toc7305202_3381743652">
            <w:r>
              <w:rPr>
                <w:webHidden/>
                <w:rStyle w:val="IndexLink"/>
              </w:rPr>
              <w:t>1</w:t>
            </w:r>
            <w:r>
              <w:rPr>
                <w:rStyle w:val="IndexLink"/>
                <w:rtl w:val="true"/>
              </w:rPr>
              <w:t xml:space="preserve">. </w:t>
            </w:r>
            <w:r>
              <w:rPr>
                <w:rStyle w:val="IndexLink"/>
                <w:rtl w:val="true"/>
              </w:rPr>
              <w:t>إمكان التداخل ثبوتاً و عدمه</w:t>
            </w:r>
            <w:r>
              <w:rPr>
                <w:rStyle w:val="IndexLink"/>
                <w:rtl w:val="true"/>
              </w:rPr>
              <w:tab/>
            </w:r>
            <w:r>
              <w:rPr>
                <w:rStyle w:val="IndexLink"/>
              </w:rPr>
              <w:t>421</w:t>
            </w:r>
          </w:hyperlink>
        </w:p>
        <w:p>
          <w:pPr>
            <w:pStyle w:val="Contents6"/>
            <w:tabs>
              <w:tab w:val="clear" w:pos="7609"/>
              <w:tab w:val="right" w:pos="9026" w:leader="dot"/>
            </w:tabs>
            <w:rPr/>
          </w:pPr>
          <w:hyperlink w:anchor="__RefHeading___Toc7305204_3381743652">
            <w:r>
              <w:rPr>
                <w:webHidden/>
                <w:rStyle w:val="IndexLink"/>
              </w:rPr>
              <w:t>2</w:t>
            </w:r>
            <w:r>
              <w:rPr>
                <w:rStyle w:val="IndexLink"/>
                <w:rtl w:val="true"/>
              </w:rPr>
              <w:t xml:space="preserve">. </w:t>
            </w:r>
            <w:r>
              <w:rPr>
                <w:rStyle w:val="IndexLink"/>
                <w:rtl w:val="true"/>
              </w:rPr>
              <w:t>ما هو مقتضى الأدلة إثباتاً؟</w:t>
            </w:r>
            <w:r>
              <w:rPr>
                <w:rStyle w:val="IndexLink"/>
                <w:rtl w:val="true"/>
              </w:rPr>
              <w:tab/>
            </w:r>
            <w:r>
              <w:rPr>
                <w:rStyle w:val="IndexLink"/>
              </w:rPr>
              <w:t>422</w:t>
            </w:r>
          </w:hyperlink>
        </w:p>
        <w:p>
          <w:pPr>
            <w:pStyle w:val="Contents6"/>
            <w:tabs>
              <w:tab w:val="clear" w:pos="7609"/>
              <w:tab w:val="right" w:pos="9026" w:leader="dot"/>
            </w:tabs>
            <w:rPr/>
          </w:pPr>
          <w:hyperlink w:anchor="__RefHeading___Toc7305206_3381743652">
            <w:r>
              <w:rPr>
                <w:webHidden/>
                <w:rStyle w:val="IndexLink"/>
                <w:rtl w:val="true"/>
              </w:rPr>
              <w:t>حجّة القائل بعدم التداخل</w:t>
            </w:r>
            <w:r>
              <w:rPr>
                <w:rStyle w:val="IndexLink"/>
                <w:rtl w:val="true"/>
              </w:rPr>
              <w:tab/>
            </w:r>
            <w:r>
              <w:rPr>
                <w:rStyle w:val="IndexLink"/>
              </w:rPr>
              <w:t>423</w:t>
            </w:r>
          </w:hyperlink>
        </w:p>
        <w:p>
          <w:pPr>
            <w:pStyle w:val="Contents6"/>
            <w:tabs>
              <w:tab w:val="clear" w:pos="7609"/>
              <w:tab w:val="right" w:pos="9026" w:leader="dot"/>
            </w:tabs>
            <w:rPr/>
          </w:pPr>
          <w:hyperlink w:anchor="__RefHeading___Toc7305208_3381743652">
            <w:r>
              <w:rPr>
                <w:webHidden/>
                <w:rStyle w:val="IndexLink"/>
                <w:rtl w:val="true"/>
              </w:rPr>
              <w:t>حجّة القائل بالتداخل</w:t>
            </w:r>
            <w:r>
              <w:rPr>
                <w:rStyle w:val="IndexLink"/>
                <w:rtl w:val="true"/>
              </w:rPr>
              <w:tab/>
            </w:r>
            <w:r>
              <w:rPr>
                <w:rStyle w:val="IndexLink"/>
              </w:rPr>
              <w:t>425</w:t>
            </w:r>
          </w:hyperlink>
        </w:p>
        <w:p>
          <w:pPr>
            <w:pStyle w:val="Contents6"/>
            <w:tabs>
              <w:tab w:val="clear" w:pos="7609"/>
              <w:tab w:val="right" w:pos="9026" w:leader="dot"/>
            </w:tabs>
            <w:rPr/>
          </w:pPr>
          <w:hyperlink w:anchor="__RefHeading___Toc7305210_3381743652">
            <w:r>
              <w:rPr>
                <w:webHidden/>
                <w:rStyle w:val="IndexLink"/>
                <w:rtl w:val="true"/>
              </w:rPr>
              <w:t>بعض الفروع المترتّبة على مسألة التداخل و عدمه</w:t>
            </w:r>
            <w:r>
              <w:rPr>
                <w:rStyle w:val="IndexLink"/>
                <w:rtl w:val="true"/>
              </w:rPr>
              <w:tab/>
            </w:r>
            <w:r>
              <w:rPr>
                <w:rStyle w:val="IndexLink"/>
              </w:rPr>
              <w:t>426</w:t>
            </w:r>
          </w:hyperlink>
        </w:p>
        <w:p>
          <w:pPr>
            <w:pStyle w:val="Contents6"/>
            <w:tabs>
              <w:tab w:val="clear" w:pos="7609"/>
              <w:tab w:val="right" w:pos="9026" w:leader="dot"/>
            </w:tabs>
            <w:rPr/>
          </w:pPr>
          <w:hyperlink w:anchor="__RefHeading___Toc7305212_3381743652">
            <w:r>
              <w:rPr>
                <w:webHidden/>
                <w:rStyle w:val="IndexLink"/>
                <w:rtl w:val="true"/>
              </w:rPr>
              <w:t>السالبة الكلية و مفهومها</w:t>
            </w:r>
            <w:r>
              <w:rPr>
                <w:rStyle w:val="IndexLink"/>
                <w:rtl w:val="true"/>
              </w:rPr>
              <w:tab/>
            </w:r>
            <w:r>
              <w:rPr>
                <w:rStyle w:val="IndexLink"/>
              </w:rPr>
              <w:t>428</w:t>
            </w:r>
          </w:hyperlink>
        </w:p>
        <w:p>
          <w:pPr>
            <w:pStyle w:val="Contents3"/>
            <w:tabs>
              <w:tab w:val="clear" w:pos="8459"/>
              <w:tab w:val="right" w:pos="9026" w:leader="dot"/>
            </w:tabs>
            <w:rPr/>
          </w:pPr>
          <w:hyperlink w:anchor="__RefHeading___Toc7305214_3381743652">
            <w:r>
              <w:rPr>
                <w:webHidden/>
                <w:rStyle w:val="IndexLink"/>
                <w:rtl w:val="true"/>
              </w:rPr>
              <w:t>الفصل الثاني مفهوم الوصف</w:t>
            </w:r>
            <w:r>
              <w:rPr>
                <w:rStyle w:val="IndexLink"/>
                <w:rtl w:val="true"/>
              </w:rPr>
              <w:tab/>
            </w:r>
            <w:r>
              <w:rPr>
                <w:rStyle w:val="IndexLink"/>
              </w:rPr>
              <w:t>433</w:t>
            </w:r>
          </w:hyperlink>
        </w:p>
        <w:p>
          <w:pPr>
            <w:pStyle w:val="Contents4"/>
            <w:tabs>
              <w:tab w:val="clear" w:pos="8176"/>
              <w:tab w:val="right" w:pos="9026" w:leader="dot"/>
            </w:tabs>
            <w:rPr/>
          </w:pPr>
          <w:hyperlink w:anchor="__RefHeading___Toc7305216_3381743652">
            <w:r>
              <w:rPr>
                <w:webHidden/>
                <w:rStyle w:val="IndexLink"/>
                <w:rtl w:val="true"/>
              </w:rPr>
              <w:t>و قبل الدخول في صلب الموضوع نقدّم أُموراً</w:t>
            </w:r>
            <w:r>
              <w:rPr>
                <w:rStyle w:val="IndexLink"/>
                <w:rtl w:val="true"/>
              </w:rPr>
              <w:t>:</w:t>
              <w:tab/>
            </w:r>
            <w:r>
              <w:rPr>
                <w:rStyle w:val="IndexLink"/>
              </w:rPr>
              <w:t>433</w:t>
            </w:r>
          </w:hyperlink>
        </w:p>
        <w:p>
          <w:pPr>
            <w:pStyle w:val="Contents5"/>
            <w:tabs>
              <w:tab w:val="clear" w:pos="7892"/>
              <w:tab w:val="right" w:pos="9026" w:leader="dot"/>
            </w:tabs>
            <w:rPr/>
          </w:pPr>
          <w:hyperlink w:anchor="__RefHeading___Toc7305218_3381743652">
            <w:r>
              <w:rPr>
                <w:webHidden/>
                <w:rStyle w:val="IndexLink"/>
                <w:rtl w:val="true"/>
              </w:rPr>
              <w:t>الأوّل</w:t>
            </w:r>
            <w:r>
              <w:rPr>
                <w:rStyle w:val="IndexLink"/>
                <w:rtl w:val="true"/>
              </w:rPr>
              <w:t xml:space="preserve">: </w:t>
            </w:r>
            <w:r>
              <w:rPr>
                <w:rStyle w:val="IndexLink"/>
                <w:rtl w:val="true"/>
              </w:rPr>
              <w:t>في تعريف مفهوم الوصف</w:t>
            </w:r>
            <w:r>
              <w:rPr>
                <w:rStyle w:val="IndexLink"/>
                <w:rtl w:val="true"/>
              </w:rPr>
              <w:tab/>
            </w:r>
            <w:r>
              <w:rPr>
                <w:rStyle w:val="IndexLink"/>
              </w:rPr>
              <w:t>433</w:t>
            </w:r>
          </w:hyperlink>
        </w:p>
        <w:p>
          <w:pPr>
            <w:pStyle w:val="Contents5"/>
            <w:tabs>
              <w:tab w:val="clear" w:pos="7892"/>
              <w:tab w:val="right" w:pos="9026" w:leader="dot"/>
            </w:tabs>
            <w:rPr/>
          </w:pPr>
          <w:hyperlink w:anchor="__RefHeading___Toc7305220_3381743652">
            <w:r>
              <w:rPr>
                <w:webHidden/>
                <w:rStyle w:val="IndexLink"/>
                <w:rtl w:val="true"/>
              </w:rPr>
              <w:t>الثاني</w:t>
            </w:r>
            <w:r>
              <w:rPr>
                <w:rStyle w:val="IndexLink"/>
                <w:rtl w:val="true"/>
              </w:rPr>
              <w:t xml:space="preserve">: </w:t>
            </w:r>
            <w:r>
              <w:rPr>
                <w:rStyle w:val="IndexLink"/>
                <w:rtl w:val="true"/>
              </w:rPr>
              <w:t>تحديد محلّ النزاع</w:t>
            </w:r>
            <w:r>
              <w:rPr>
                <w:rStyle w:val="IndexLink"/>
                <w:rtl w:val="true"/>
              </w:rPr>
              <w:tab/>
            </w:r>
            <w:r>
              <w:rPr>
                <w:rStyle w:val="IndexLink"/>
              </w:rPr>
              <w:t>434</w:t>
            </w:r>
          </w:hyperlink>
        </w:p>
        <w:p>
          <w:pPr>
            <w:pStyle w:val="Contents5"/>
            <w:tabs>
              <w:tab w:val="clear" w:pos="7892"/>
              <w:tab w:val="right" w:pos="9026" w:leader="dot"/>
            </w:tabs>
            <w:rPr/>
          </w:pPr>
          <w:hyperlink w:anchor="__RefHeading___Toc7305222_3381743652">
            <w:r>
              <w:rPr>
                <w:webHidden/>
                <w:rStyle w:val="IndexLink"/>
                <w:rtl w:val="true"/>
              </w:rPr>
              <w:t>الثالث</w:t>
            </w:r>
            <w:r>
              <w:rPr>
                <w:rStyle w:val="IndexLink"/>
                <w:rtl w:val="true"/>
              </w:rPr>
              <w:t xml:space="preserve">: </w:t>
            </w:r>
            <w:r>
              <w:rPr>
                <w:rStyle w:val="IndexLink"/>
                <w:rtl w:val="true"/>
              </w:rPr>
              <w:t>أقسام الوصف</w:t>
            </w:r>
            <w:r>
              <w:rPr>
                <w:rStyle w:val="IndexLink"/>
                <w:rtl w:val="true"/>
              </w:rPr>
              <w:tab/>
            </w:r>
            <w:r>
              <w:rPr>
                <w:rStyle w:val="IndexLink"/>
              </w:rPr>
              <w:t>436</w:t>
            </w:r>
          </w:hyperlink>
        </w:p>
        <w:p>
          <w:pPr>
            <w:pStyle w:val="Contents5"/>
            <w:tabs>
              <w:tab w:val="clear" w:pos="7892"/>
              <w:tab w:val="right" w:pos="9026" w:leader="dot"/>
            </w:tabs>
            <w:rPr/>
          </w:pPr>
          <w:hyperlink w:anchor="__RefHeading___Toc7305224_3381743652">
            <w:r>
              <w:rPr>
                <w:webHidden/>
                <w:rStyle w:val="IndexLink"/>
                <w:rtl w:val="true"/>
              </w:rPr>
              <w:t>الرابع</w:t>
            </w:r>
            <w:r>
              <w:rPr>
                <w:rStyle w:val="IndexLink"/>
                <w:rtl w:val="true"/>
              </w:rPr>
              <w:t xml:space="preserve">: </w:t>
            </w:r>
            <w:r>
              <w:rPr>
                <w:rStyle w:val="IndexLink"/>
                <w:rtl w:val="true"/>
              </w:rPr>
              <w:t>ما هو المراد من الوصف؟</w:t>
            </w:r>
            <w:r>
              <w:rPr>
                <w:rStyle w:val="IndexLink"/>
                <w:rtl w:val="true"/>
              </w:rPr>
              <w:tab/>
            </w:r>
            <w:r>
              <w:rPr>
                <w:rStyle w:val="IndexLink"/>
              </w:rPr>
              <w:t>437</w:t>
            </w:r>
          </w:hyperlink>
        </w:p>
        <w:p>
          <w:pPr>
            <w:pStyle w:val="Contents4"/>
            <w:tabs>
              <w:tab w:val="clear" w:pos="8176"/>
              <w:tab w:val="right" w:pos="9026" w:leader="dot"/>
            </w:tabs>
            <w:rPr/>
          </w:pPr>
          <w:hyperlink w:anchor="__RefHeading___Toc7305226_3381743652">
            <w:r>
              <w:rPr>
                <w:webHidden/>
                <w:rStyle w:val="IndexLink"/>
                <w:rtl w:val="true"/>
              </w:rPr>
              <w:t>أدلّة القائلين بحجّية مفهوم الوصف</w:t>
            </w:r>
            <w:r>
              <w:rPr>
                <w:rStyle w:val="IndexLink"/>
                <w:rtl w:val="true"/>
              </w:rPr>
              <w:tab/>
            </w:r>
            <w:r>
              <w:rPr>
                <w:rStyle w:val="IndexLink"/>
              </w:rPr>
              <w:t>438</w:t>
            </w:r>
          </w:hyperlink>
        </w:p>
        <w:p>
          <w:pPr>
            <w:pStyle w:val="Contents5"/>
            <w:tabs>
              <w:tab w:val="clear" w:pos="7892"/>
              <w:tab w:val="right" w:pos="9026" w:leader="dot"/>
            </w:tabs>
            <w:rPr/>
          </w:pPr>
          <w:hyperlink w:anchor="__RefHeading___Toc7305228_3381743652">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7305230_3381743652">
            <w:r>
              <w:rPr>
                <w:webHidden/>
                <w:rStyle w:val="IndexLink"/>
              </w:rPr>
              <w:t>1</w:t>
            </w:r>
            <w:r>
              <w:rPr>
                <w:rStyle w:val="IndexLink"/>
                <w:rtl w:val="true"/>
              </w:rPr>
              <w:t xml:space="preserve">. </w:t>
            </w:r>
            <w:r>
              <w:rPr>
                <w:rStyle w:val="IndexLink"/>
                <w:rtl w:val="true"/>
              </w:rPr>
              <w:t>التبادر</w:t>
            </w:r>
            <w:r>
              <w:rPr>
                <w:rStyle w:val="IndexLink"/>
                <w:rtl w:val="true"/>
              </w:rPr>
              <w:tab/>
            </w:r>
            <w:r>
              <w:rPr>
                <w:rStyle w:val="IndexLink"/>
              </w:rPr>
              <w:t>438</w:t>
            </w:r>
          </w:hyperlink>
        </w:p>
        <w:p>
          <w:pPr>
            <w:pStyle w:val="Contents5"/>
            <w:tabs>
              <w:tab w:val="clear" w:pos="7892"/>
              <w:tab w:val="right" w:pos="9026" w:leader="dot"/>
            </w:tabs>
            <w:rPr/>
          </w:pPr>
          <w:hyperlink w:anchor="__RefHeading___Toc7305232_3381743652">
            <w:r>
              <w:rPr>
                <w:webHidden/>
                <w:rStyle w:val="IndexLink"/>
              </w:rPr>
              <w:t>2</w:t>
            </w:r>
            <w:r>
              <w:rPr>
                <w:rStyle w:val="IndexLink"/>
                <w:rtl w:val="true"/>
              </w:rPr>
              <w:t xml:space="preserve">. </w:t>
            </w:r>
            <w:r>
              <w:rPr>
                <w:rStyle w:val="IndexLink"/>
                <w:rtl w:val="true"/>
              </w:rPr>
              <w:t>لزوم اللغوية</w:t>
            </w:r>
            <w:r>
              <w:rPr>
                <w:rStyle w:val="IndexLink"/>
                <w:rtl w:val="true"/>
              </w:rPr>
              <w:tab/>
            </w:r>
            <w:r>
              <w:rPr>
                <w:rStyle w:val="IndexLink"/>
              </w:rPr>
              <w:t>438</w:t>
            </w:r>
          </w:hyperlink>
        </w:p>
        <w:p>
          <w:pPr>
            <w:pStyle w:val="Contents5"/>
            <w:tabs>
              <w:tab w:val="clear" w:pos="7892"/>
              <w:tab w:val="right" w:pos="9026" w:leader="dot"/>
            </w:tabs>
            <w:rPr/>
          </w:pPr>
          <w:hyperlink w:anchor="__RefHeading___Toc7305234_3381743652">
            <w:r>
              <w:rPr>
                <w:webHidden/>
                <w:rStyle w:val="IndexLink"/>
              </w:rPr>
              <w:t>3</w:t>
            </w:r>
            <w:r>
              <w:rPr>
                <w:rStyle w:val="IndexLink"/>
                <w:rtl w:val="true"/>
              </w:rPr>
              <w:t xml:space="preserve">. </w:t>
            </w:r>
            <w:r>
              <w:rPr>
                <w:rStyle w:val="IndexLink"/>
                <w:rtl w:val="true"/>
              </w:rPr>
              <w:t>الأصل في القيد أن يكون احترازياً</w:t>
            </w:r>
            <w:r>
              <w:rPr>
                <w:rStyle w:val="IndexLink"/>
                <w:rtl w:val="true"/>
              </w:rPr>
              <w:tab/>
            </w:r>
            <w:r>
              <w:rPr>
                <w:rStyle w:val="IndexLink"/>
              </w:rPr>
              <w:t>439</w:t>
            </w:r>
          </w:hyperlink>
        </w:p>
        <w:p>
          <w:pPr>
            <w:pStyle w:val="Contents5"/>
            <w:tabs>
              <w:tab w:val="clear" w:pos="7892"/>
              <w:tab w:val="right" w:pos="9026" w:leader="dot"/>
            </w:tabs>
            <w:rPr/>
          </w:pPr>
          <w:hyperlink w:anchor="__RefHeading___Toc7305236_3381743652">
            <w:r>
              <w:rPr>
                <w:webHidden/>
                <w:rStyle w:val="IndexLink"/>
              </w:rPr>
              <w:t>4</w:t>
            </w:r>
            <w:r>
              <w:rPr>
                <w:rStyle w:val="IndexLink"/>
                <w:rtl w:val="true"/>
              </w:rPr>
              <w:t xml:space="preserve">. </w:t>
            </w:r>
            <w:r>
              <w:rPr>
                <w:rStyle w:val="IndexLink"/>
                <w:rtl w:val="true"/>
              </w:rPr>
              <w:t>فهم أبي عبيدة و هو من أهل اللسان</w:t>
            </w:r>
            <w:r>
              <w:rPr>
                <w:rStyle w:val="IndexLink"/>
                <w:rtl w:val="true"/>
              </w:rPr>
              <w:tab/>
            </w:r>
            <w:r>
              <w:rPr>
                <w:rStyle w:val="IndexLink"/>
              </w:rPr>
              <w:t>441</w:t>
            </w:r>
          </w:hyperlink>
        </w:p>
        <w:p>
          <w:pPr>
            <w:pStyle w:val="Contents5"/>
            <w:tabs>
              <w:tab w:val="clear" w:pos="7892"/>
              <w:tab w:val="right" w:pos="9026" w:leader="dot"/>
            </w:tabs>
            <w:rPr/>
          </w:pPr>
          <w:hyperlink w:anchor="__RefHeading___Toc7305238_3381743652">
            <w:r>
              <w:rPr>
                <w:webHidden/>
                <w:rStyle w:val="IndexLink"/>
              </w:rPr>
              <w:t>5</w:t>
            </w:r>
            <w:r>
              <w:rPr>
                <w:rStyle w:val="IndexLink"/>
                <w:rtl w:val="true"/>
              </w:rPr>
              <w:t xml:space="preserve">. </w:t>
            </w:r>
            <w:r>
              <w:rPr>
                <w:rStyle w:val="IndexLink"/>
                <w:rtl w:val="true"/>
              </w:rPr>
              <w:t>لو لم يكن للوصف مفهوم لما صحّ حمل المطلق على المقيّد</w:t>
            </w:r>
            <w:r>
              <w:rPr>
                <w:rStyle w:val="IndexLink"/>
                <w:rtl w:val="true"/>
              </w:rPr>
              <w:tab/>
            </w:r>
            <w:r>
              <w:rPr>
                <w:rStyle w:val="IndexLink"/>
              </w:rPr>
              <w:t>441</w:t>
            </w:r>
          </w:hyperlink>
        </w:p>
        <w:p>
          <w:pPr>
            <w:pStyle w:val="Contents5"/>
            <w:tabs>
              <w:tab w:val="clear" w:pos="7892"/>
              <w:tab w:val="right" w:pos="9026" w:leader="dot"/>
            </w:tabs>
            <w:rPr/>
          </w:pPr>
          <w:hyperlink w:anchor="__RefHeading___Toc7305240_3381743652">
            <w:r>
              <w:rPr>
                <w:webHidden/>
                <w:rStyle w:val="IndexLink"/>
              </w:rPr>
              <w:t>6</w:t>
            </w:r>
            <w:r>
              <w:rPr>
                <w:rStyle w:val="IndexLink"/>
                <w:rtl w:val="true"/>
              </w:rPr>
              <w:t xml:space="preserve">. </w:t>
            </w:r>
            <w:r>
              <w:rPr>
                <w:rStyle w:val="IndexLink"/>
                <w:rtl w:val="true"/>
              </w:rPr>
              <w:t>ظهور الجملة في مدخلية الوصف بما هو هو لا بجامعه</w:t>
            </w:r>
            <w:r>
              <w:rPr>
                <w:rStyle w:val="IndexLink"/>
                <w:rtl w:val="true"/>
              </w:rPr>
              <w:tab/>
            </w:r>
            <w:r>
              <w:rPr>
                <w:rStyle w:val="IndexLink"/>
              </w:rPr>
              <w:t>442</w:t>
            </w:r>
          </w:hyperlink>
        </w:p>
        <w:p>
          <w:pPr>
            <w:pStyle w:val="Contents4"/>
            <w:tabs>
              <w:tab w:val="clear" w:pos="8176"/>
              <w:tab w:val="right" w:pos="9026" w:leader="dot"/>
            </w:tabs>
            <w:rPr/>
          </w:pPr>
          <w:hyperlink w:anchor="__RefHeading___Toc7305242_3381743652">
            <w:r>
              <w:rPr>
                <w:webHidden/>
                <w:rStyle w:val="IndexLink"/>
                <w:rtl w:val="true"/>
              </w:rPr>
              <w:t>تفصيل المحقّق النائيني</w:t>
            </w:r>
            <w:r>
              <w:rPr>
                <w:rStyle w:val="IndexLink"/>
                <w:rtl w:val="true"/>
              </w:rPr>
              <w:tab/>
            </w:r>
            <w:r>
              <w:rPr>
                <w:rStyle w:val="IndexLink"/>
              </w:rPr>
              <w:t>443</w:t>
            </w:r>
          </w:hyperlink>
        </w:p>
        <w:p>
          <w:pPr>
            <w:pStyle w:val="Contents4"/>
            <w:tabs>
              <w:tab w:val="clear" w:pos="8176"/>
              <w:tab w:val="right" w:pos="9026" w:leader="dot"/>
            </w:tabs>
            <w:rPr/>
          </w:pPr>
          <w:hyperlink w:anchor="__RefHeading___Toc7305244_3381743652">
            <w:r>
              <w:rPr>
                <w:webHidden/>
                <w:rStyle w:val="IndexLink"/>
                <w:rtl w:val="true"/>
              </w:rPr>
              <w:t>دراسة أدلّة النافي للمفهوم</w:t>
            </w:r>
            <w:r>
              <w:rPr>
                <w:rStyle w:val="IndexLink"/>
                <w:rtl w:val="true"/>
              </w:rPr>
              <w:tab/>
            </w:r>
            <w:r>
              <w:rPr>
                <w:rStyle w:val="IndexLink"/>
              </w:rPr>
              <w:t>443</w:t>
            </w:r>
          </w:hyperlink>
        </w:p>
        <w:p>
          <w:pPr>
            <w:pStyle w:val="Contents5"/>
            <w:tabs>
              <w:tab w:val="clear" w:pos="7892"/>
              <w:tab w:val="right" w:pos="9026" w:leader="dot"/>
            </w:tabs>
            <w:rPr/>
          </w:pPr>
          <w:hyperlink w:anchor="__RefHeading___Toc7305246_3381743652">
            <w:r>
              <w:rPr>
                <w:webHidden/>
                <w:rStyle w:val="IndexLink"/>
                <w:rtl w:val="true"/>
              </w:rPr>
              <w:t>اشارة</w:t>
            </w:r>
            <w:r>
              <w:rPr>
                <w:rStyle w:val="IndexLink"/>
                <w:rtl w:val="true"/>
              </w:rPr>
              <w:tab/>
            </w:r>
            <w:r>
              <w:rPr>
                <w:rStyle w:val="IndexLink"/>
              </w:rPr>
              <w:t>443</w:t>
            </w:r>
          </w:hyperlink>
        </w:p>
        <w:p>
          <w:pPr>
            <w:pStyle w:val="Contents5"/>
            <w:tabs>
              <w:tab w:val="clear" w:pos="7892"/>
              <w:tab w:val="right" w:pos="9026" w:leader="dot"/>
            </w:tabs>
            <w:rPr/>
          </w:pPr>
          <w:hyperlink w:anchor="__RefHeading___Toc7305248_3381743652">
            <w:r>
              <w:rPr>
                <w:webHidden/>
                <w:rStyle w:val="IndexLink"/>
                <w:rtl w:val="true"/>
              </w:rPr>
              <w:t>الأوّل</w:t>
            </w:r>
            <w:r>
              <w:rPr>
                <w:rStyle w:val="IndexLink"/>
                <w:rtl w:val="true"/>
              </w:rPr>
              <w:t xml:space="preserve">: </w:t>
            </w:r>
            <w:r>
              <w:rPr>
                <w:rStyle w:val="IndexLink"/>
                <w:rtl w:val="true"/>
              </w:rPr>
              <w:t>ما نقله المحقّق القمي من قولهم</w:t>
            </w:r>
            <w:r>
              <w:rPr>
                <w:rStyle w:val="IndexLink"/>
                <w:rtl w:val="true"/>
              </w:rPr>
              <w:t xml:space="preserve">: </w:t>
            </w:r>
            <w:r>
              <w:rPr>
                <w:rStyle w:val="IndexLink"/>
                <w:rtl w:val="true"/>
              </w:rPr>
              <w:t>إنّه لو دل لدلّ بإحدى الدلالات الثلاث و كلّها منتفية</w:t>
            </w:r>
            <w:r>
              <w:rPr>
                <w:rStyle w:val="IndexLink"/>
                <w:rtl w:val="true"/>
              </w:rPr>
              <w:t>.</w:t>
              <w:tab/>
            </w:r>
            <w:r>
              <w:rPr>
                <w:rStyle w:val="IndexLink"/>
              </w:rPr>
              <w:t>443</w:t>
            </w:r>
          </w:hyperlink>
        </w:p>
        <w:p>
          <w:pPr>
            <w:pStyle w:val="Contents5"/>
            <w:tabs>
              <w:tab w:val="clear" w:pos="7892"/>
              <w:tab w:val="right" w:pos="9026" w:leader="dot"/>
            </w:tabs>
            <w:rPr/>
          </w:pPr>
          <w:hyperlink w:anchor="__RefHeading___Toc7305250_3381743652">
            <w:r>
              <w:rPr>
                <w:webHidden/>
                <w:rStyle w:val="IndexLink"/>
                <w:rtl w:val="true"/>
              </w:rPr>
              <w:t>الثاني</w:t>
            </w:r>
            <w:r>
              <w:rPr>
                <w:rStyle w:val="IndexLink"/>
                <w:rtl w:val="true"/>
              </w:rPr>
              <w:t xml:space="preserve">: </w:t>
            </w:r>
            <w:r>
              <w:rPr>
                <w:rStyle w:val="IndexLink"/>
                <w:rtl w:val="true"/>
              </w:rPr>
              <w:t>الاستدلال بقوله سبحانه</w:t>
            </w:r>
            <w:r>
              <w:rPr>
                <w:rStyle w:val="IndexLink"/>
                <w:rtl w:val="true"/>
              </w:rPr>
              <w:t>: (</w:t>
            </w:r>
            <w:r>
              <w:rPr>
                <w:rStyle w:val="IndexLink"/>
                <w:rtl w:val="true"/>
              </w:rPr>
              <w:t xml:space="preserve">وَ رَبائِبُكُمُ اللاّتِي فِي حُجُورِكُمْ مِنْ نِسائِكُمُ اللاّتِي دَخَلْتُمْ بِهِنَّ </w:t>
            </w:r>
            <w:r>
              <w:rPr>
                <w:rStyle w:val="IndexLink"/>
                <w:rtl w:val="true"/>
              </w:rPr>
              <w:t>)</w:t>
              <w:tab/>
            </w:r>
            <w:r>
              <w:rPr>
                <w:rStyle w:val="IndexLink"/>
              </w:rPr>
              <w:t>444</w:t>
            </w:r>
          </w:hyperlink>
        </w:p>
        <w:p>
          <w:pPr>
            <w:pStyle w:val="Contents3"/>
            <w:tabs>
              <w:tab w:val="clear" w:pos="8459"/>
              <w:tab w:val="right" w:pos="9026" w:leader="dot"/>
            </w:tabs>
            <w:rPr/>
          </w:pPr>
          <w:hyperlink w:anchor="__RefHeading___Toc7305252_3381743652">
            <w:r>
              <w:rPr>
                <w:webHidden/>
                <w:rStyle w:val="IndexLink"/>
                <w:rtl w:val="true"/>
              </w:rPr>
              <w:t>الفصل الثالث في مفهوم الغاية</w:t>
            </w:r>
            <w:r>
              <w:rPr>
                <w:rStyle w:val="IndexLink"/>
                <w:rtl w:val="true"/>
              </w:rPr>
              <w:tab/>
            </w:r>
            <w:r>
              <w:rPr>
                <w:rStyle w:val="IndexLink"/>
              </w:rPr>
              <w:t>445</w:t>
            </w:r>
          </w:hyperlink>
        </w:p>
        <w:p>
          <w:pPr>
            <w:pStyle w:val="Contents4"/>
            <w:tabs>
              <w:tab w:val="clear" w:pos="8176"/>
              <w:tab w:val="right" w:pos="9026" w:leader="dot"/>
            </w:tabs>
            <w:rPr/>
          </w:pPr>
          <w:hyperlink w:anchor="__RefHeading___Toc7305254_3381743652">
            <w:r>
              <w:rPr>
                <w:webHidden/>
                <w:rStyle w:val="IndexLink"/>
                <w:rtl w:val="true"/>
              </w:rPr>
              <w:t>اشارة</w:t>
            </w:r>
            <w:r>
              <w:rPr>
                <w:rStyle w:val="IndexLink"/>
                <w:rtl w:val="true"/>
              </w:rPr>
              <w:tab/>
            </w:r>
            <w:r>
              <w:rPr>
                <w:rStyle w:val="IndexLink"/>
              </w:rPr>
              <w:t>445</w:t>
            </w:r>
          </w:hyperlink>
        </w:p>
        <w:p>
          <w:pPr>
            <w:pStyle w:val="Contents4"/>
            <w:tabs>
              <w:tab w:val="clear" w:pos="8176"/>
              <w:tab w:val="right" w:pos="9026" w:leader="dot"/>
            </w:tabs>
            <w:rPr/>
          </w:pPr>
          <w:hyperlink w:anchor="__RefHeading___Toc7305256_3381743652">
            <w:r>
              <w:rPr>
                <w:webHidden/>
                <w:rStyle w:val="IndexLink"/>
                <w:rtl w:val="true"/>
              </w:rPr>
              <w:t>المقام الأوّل</w:t>
            </w:r>
            <w:r>
              <w:rPr>
                <w:rStyle w:val="IndexLink"/>
                <w:rtl w:val="true"/>
              </w:rPr>
              <w:t xml:space="preserve">: </w:t>
            </w:r>
            <w:r>
              <w:rPr>
                <w:rStyle w:val="IndexLink"/>
                <w:rtl w:val="true"/>
              </w:rPr>
              <w:t>هل الغاية تدلّ على ارتفاع الحكم عمّا بعد الغاية بناء على دخول الغاية في المغيّى؟ أو عنها و عن ما بعدها بناء على خروجها؟</w:t>
            </w:r>
            <w:r>
              <w:rPr>
                <w:rStyle w:val="IndexLink"/>
                <w:rtl w:val="true"/>
              </w:rPr>
              <w:tab/>
            </w:r>
            <w:r>
              <w:rPr>
                <w:rStyle w:val="IndexLink"/>
              </w:rPr>
              <w:t>445</w:t>
            </w:r>
          </w:hyperlink>
        </w:p>
        <w:p>
          <w:pPr>
            <w:pStyle w:val="Contents5"/>
            <w:tabs>
              <w:tab w:val="clear" w:pos="7892"/>
              <w:tab w:val="right" w:pos="9026" w:leader="dot"/>
            </w:tabs>
            <w:rPr/>
          </w:pPr>
          <w:hyperlink w:anchor="__RefHeading___Toc7305258_3381743652">
            <w:r>
              <w:rPr>
                <w:webHidden/>
                <w:rStyle w:val="IndexLink"/>
                <w:rtl w:val="true"/>
              </w:rPr>
              <w:t>اشارة</w:t>
            </w:r>
            <w:r>
              <w:rPr>
                <w:rStyle w:val="IndexLink"/>
                <w:rtl w:val="true"/>
              </w:rPr>
              <w:tab/>
            </w:r>
            <w:r>
              <w:rPr>
                <w:rStyle w:val="IndexLink"/>
              </w:rPr>
              <w:t>445</w:t>
            </w:r>
          </w:hyperlink>
        </w:p>
        <w:p>
          <w:pPr>
            <w:pStyle w:val="Contents5"/>
            <w:tabs>
              <w:tab w:val="clear" w:pos="7892"/>
              <w:tab w:val="right" w:pos="9026" w:leader="dot"/>
            </w:tabs>
            <w:rPr/>
          </w:pPr>
          <w:hyperlink w:anchor="__RefHeading___Toc7305260_3381743652">
            <w:r>
              <w:rPr>
                <w:webHidden/>
                <w:rStyle w:val="IndexLink"/>
                <w:rtl w:val="true"/>
              </w:rPr>
              <w:t>نظريتنا في الموضوع</w:t>
            </w:r>
            <w:r>
              <w:rPr>
                <w:rStyle w:val="IndexLink"/>
                <w:rtl w:val="true"/>
              </w:rPr>
              <w:tab/>
            </w:r>
            <w:r>
              <w:rPr>
                <w:rStyle w:val="IndexLink"/>
              </w:rPr>
              <w:t>451</w:t>
            </w:r>
          </w:hyperlink>
        </w:p>
        <w:p>
          <w:pPr>
            <w:pStyle w:val="Contents4"/>
            <w:tabs>
              <w:tab w:val="clear" w:pos="8176"/>
              <w:tab w:val="right" w:pos="9026" w:leader="dot"/>
            </w:tabs>
            <w:rPr/>
          </w:pPr>
          <w:hyperlink w:anchor="__RefHeading___Toc7305262_3381743652">
            <w:r>
              <w:rPr>
                <w:webHidden/>
                <w:rStyle w:val="IndexLink"/>
                <w:rtl w:val="true"/>
              </w:rPr>
              <w:t>المقام الثاني في دخول الغاية في حكم المغيّى و عدمه</w:t>
            </w:r>
            <w:r>
              <w:rPr>
                <w:rStyle w:val="IndexLink"/>
                <w:rtl w:val="true"/>
              </w:rPr>
              <w:tab/>
            </w:r>
            <w:r>
              <w:rPr>
                <w:rStyle w:val="IndexLink"/>
              </w:rPr>
              <w:t>452</w:t>
            </w:r>
          </w:hyperlink>
        </w:p>
        <w:p>
          <w:pPr>
            <w:pStyle w:val="Contents3"/>
            <w:tabs>
              <w:tab w:val="clear" w:pos="8459"/>
              <w:tab w:val="right" w:pos="9026" w:leader="dot"/>
            </w:tabs>
            <w:rPr/>
          </w:pPr>
          <w:hyperlink w:anchor="__RefHeading___Toc7305264_3381743652">
            <w:r>
              <w:rPr>
                <w:webHidden/>
                <w:rStyle w:val="IndexLink"/>
                <w:rtl w:val="true"/>
              </w:rPr>
              <w:t>الفصل الرابع مفهوم الحصر</w:t>
            </w:r>
            <w:r>
              <w:rPr>
                <w:rStyle w:val="IndexLink"/>
                <w:rtl w:val="true"/>
              </w:rPr>
              <w:tab/>
            </w:r>
            <w:r>
              <w:rPr>
                <w:rStyle w:val="IndexLink"/>
              </w:rPr>
              <w:t>458</w:t>
            </w:r>
          </w:hyperlink>
        </w:p>
        <w:p>
          <w:pPr>
            <w:pStyle w:val="Contents4"/>
            <w:tabs>
              <w:tab w:val="clear" w:pos="8176"/>
              <w:tab w:val="right" w:pos="9026" w:leader="dot"/>
            </w:tabs>
            <w:rPr/>
          </w:pPr>
          <w:hyperlink w:anchor="__RefHeading___Toc7305266_3381743652">
            <w:r>
              <w:rPr>
                <w:webHidden/>
                <w:rStyle w:val="IndexLink"/>
                <w:rtl w:val="true"/>
              </w:rPr>
              <w:t>المشهور انّ الأُمور التالية تفيد الحصر</w:t>
            </w:r>
            <w:r>
              <w:rPr>
                <w:rStyle w:val="IndexLink"/>
                <w:rtl w:val="true"/>
              </w:rPr>
              <w:t>:</w:t>
              <w:tab/>
            </w:r>
            <w:r>
              <w:rPr>
                <w:rStyle w:val="IndexLink"/>
              </w:rPr>
              <w:t>458</w:t>
            </w:r>
          </w:hyperlink>
        </w:p>
        <w:p>
          <w:pPr>
            <w:pStyle w:val="Contents5"/>
            <w:tabs>
              <w:tab w:val="clear" w:pos="7892"/>
              <w:tab w:val="right" w:pos="9026" w:leader="dot"/>
            </w:tabs>
            <w:rPr/>
          </w:pPr>
          <w:hyperlink w:anchor="__RefHeading___Toc7305268_3381743652">
            <w:r>
              <w:rPr>
                <w:webHidden/>
                <w:rStyle w:val="IndexLink"/>
                <w:rtl w:val="true"/>
              </w:rPr>
              <w:t>اشارة</w:t>
            </w:r>
            <w:r>
              <w:rPr>
                <w:rStyle w:val="IndexLink"/>
                <w:rtl w:val="true"/>
              </w:rPr>
              <w:tab/>
            </w:r>
            <w:r>
              <w:rPr>
                <w:rStyle w:val="IndexLink"/>
              </w:rPr>
              <w:t>458</w:t>
            </w:r>
          </w:hyperlink>
        </w:p>
        <w:p>
          <w:pPr>
            <w:pStyle w:val="Contents5"/>
            <w:tabs>
              <w:tab w:val="clear" w:pos="7892"/>
              <w:tab w:val="right" w:pos="9026" w:leader="dot"/>
            </w:tabs>
            <w:rPr/>
          </w:pPr>
          <w:hyperlink w:anchor="__RefHeading___Toc7305270_3381743652">
            <w:r>
              <w:rPr>
                <w:webHidden/>
                <w:rStyle w:val="IndexLink"/>
              </w:rPr>
              <w:t>1</w:t>
            </w:r>
            <w:r>
              <w:rPr>
                <w:rStyle w:val="IndexLink"/>
                <w:rtl w:val="true"/>
              </w:rPr>
              <w:t xml:space="preserve">. </w:t>
            </w:r>
            <w:r>
              <w:rPr>
                <w:rStyle w:val="IndexLink"/>
                <w:rtl w:val="true"/>
              </w:rPr>
              <w:t xml:space="preserve">الكلام في </w:t>
            </w:r>
            <w:r>
              <w:rPr>
                <w:rStyle w:val="IndexLink"/>
                <w:rtl w:val="true"/>
              </w:rPr>
              <w:t>«</w:t>
            </w:r>
            <w:r>
              <w:rPr>
                <w:rStyle w:val="IndexLink"/>
                <w:rtl w:val="true"/>
              </w:rPr>
              <w:t>إلاّ</w:t>
            </w:r>
            <w:r>
              <w:rPr>
                <w:rStyle w:val="IndexLink"/>
                <w:rtl w:val="true"/>
              </w:rPr>
              <w:t xml:space="preserve">» </w:t>
            </w:r>
            <w:r>
              <w:rPr>
                <w:rStyle w:val="IndexLink"/>
                <w:rtl w:val="true"/>
              </w:rPr>
              <w:t>الاستثنائية</w:t>
            </w:r>
            <w:r>
              <w:rPr>
                <w:rStyle w:val="IndexLink"/>
                <w:rtl w:val="true"/>
              </w:rPr>
              <w:tab/>
            </w:r>
            <w:r>
              <w:rPr>
                <w:rStyle w:val="IndexLink"/>
              </w:rPr>
              <w:t>458</w:t>
            </w:r>
          </w:hyperlink>
        </w:p>
        <w:p>
          <w:pPr>
            <w:pStyle w:val="Contents6"/>
            <w:tabs>
              <w:tab w:val="clear" w:pos="7609"/>
              <w:tab w:val="right" w:pos="9026" w:leader="dot"/>
            </w:tabs>
            <w:rPr/>
          </w:pPr>
          <w:hyperlink w:anchor="__RefHeading___Toc7305272_3381743652">
            <w:r>
              <w:rPr>
                <w:webHidden/>
                <w:rStyle w:val="IndexLink"/>
                <w:rtl w:val="true"/>
              </w:rPr>
              <w:t>اشارة</w:t>
            </w:r>
            <w:r>
              <w:rPr>
                <w:rStyle w:val="IndexLink"/>
                <w:rtl w:val="true"/>
              </w:rPr>
              <w:tab/>
            </w:r>
            <w:r>
              <w:rPr>
                <w:rStyle w:val="IndexLink"/>
              </w:rPr>
              <w:t>458</w:t>
            </w:r>
          </w:hyperlink>
        </w:p>
        <w:p>
          <w:pPr>
            <w:pStyle w:val="Contents6"/>
            <w:tabs>
              <w:tab w:val="clear" w:pos="7609"/>
              <w:tab w:val="right" w:pos="9026" w:leader="dot"/>
            </w:tabs>
            <w:rPr/>
          </w:pPr>
          <w:hyperlink w:anchor="__RefHeading___Toc7305274_3381743652">
            <w:r>
              <w:rPr>
                <w:webHidden/>
                <w:rStyle w:val="IndexLink"/>
                <w:rtl w:val="true"/>
              </w:rPr>
              <w:t>أ</w:t>
            </w:r>
            <w:r>
              <w:rPr>
                <w:rStyle w:val="IndexLink"/>
                <w:rtl w:val="true"/>
              </w:rPr>
              <w:t xml:space="preserve">. </w:t>
            </w:r>
            <w:r>
              <w:rPr>
                <w:rStyle w:val="IndexLink"/>
                <w:rtl w:val="true"/>
              </w:rPr>
              <w:t>الاستثناء من النفي إثبات و من الإثبات نفي</w:t>
            </w:r>
            <w:r>
              <w:rPr>
                <w:rStyle w:val="IndexLink"/>
                <w:rtl w:val="true"/>
              </w:rPr>
              <w:tab/>
            </w:r>
            <w:r>
              <w:rPr>
                <w:rStyle w:val="IndexLink"/>
              </w:rPr>
              <w:t>458</w:t>
            </w:r>
          </w:hyperlink>
        </w:p>
        <w:p>
          <w:pPr>
            <w:pStyle w:val="Contents6"/>
            <w:tabs>
              <w:tab w:val="clear" w:pos="7609"/>
              <w:tab w:val="right" w:pos="9026" w:leader="dot"/>
            </w:tabs>
            <w:rPr/>
          </w:pPr>
          <w:hyperlink w:anchor="__RefHeading___Toc7305276_3381743652">
            <w:r>
              <w:rPr>
                <w:webHidden/>
                <w:rStyle w:val="IndexLink"/>
                <w:rtl w:val="true"/>
              </w:rPr>
              <w:t>ب</w:t>
            </w:r>
            <w:r>
              <w:rPr>
                <w:rStyle w:val="IndexLink"/>
                <w:rtl w:val="true"/>
              </w:rPr>
              <w:t xml:space="preserve">. </w:t>
            </w:r>
            <w:r>
              <w:rPr>
                <w:rStyle w:val="IndexLink"/>
                <w:rtl w:val="true"/>
              </w:rPr>
              <w:t>دلالته على الحصر</w:t>
            </w:r>
            <w:r>
              <w:rPr>
                <w:rStyle w:val="IndexLink"/>
                <w:rtl w:val="true"/>
              </w:rPr>
              <w:tab/>
            </w:r>
            <w:r>
              <w:rPr>
                <w:rStyle w:val="IndexLink"/>
              </w:rPr>
              <w:t>460</w:t>
            </w:r>
          </w:hyperlink>
        </w:p>
        <w:p>
          <w:pPr>
            <w:pStyle w:val="Contents6"/>
            <w:tabs>
              <w:tab w:val="clear" w:pos="7609"/>
              <w:tab w:val="right" w:pos="9026" w:leader="dot"/>
            </w:tabs>
            <w:rPr/>
          </w:pPr>
          <w:hyperlink w:anchor="__RefHeading___Toc7305278_3381743652">
            <w:r>
              <w:rPr>
                <w:webHidden/>
                <w:rStyle w:val="IndexLink"/>
              </w:rPr>
              <w:t>1</w:t>
            </w:r>
            <w:r>
              <w:rPr>
                <w:rStyle w:val="IndexLink"/>
                <w:rtl w:val="true"/>
              </w:rPr>
              <w:t xml:space="preserve">. </w:t>
            </w:r>
            <w:r>
              <w:rPr>
                <w:rStyle w:val="IndexLink"/>
                <w:rtl w:val="true"/>
              </w:rPr>
              <w:t>تبادر الحصر</w:t>
            </w:r>
            <w:r>
              <w:rPr>
                <w:rStyle w:val="IndexLink"/>
                <w:rtl w:val="true"/>
              </w:rPr>
              <w:tab/>
            </w:r>
            <w:r>
              <w:rPr>
                <w:rStyle w:val="IndexLink"/>
              </w:rPr>
              <w:t>461</w:t>
            </w:r>
          </w:hyperlink>
        </w:p>
        <w:p>
          <w:pPr>
            <w:pStyle w:val="Contents6"/>
            <w:tabs>
              <w:tab w:val="clear" w:pos="7609"/>
              <w:tab w:val="right" w:pos="9026" w:leader="dot"/>
            </w:tabs>
            <w:rPr/>
          </w:pPr>
          <w:hyperlink w:anchor="__RefHeading___Toc7305280_3381743652">
            <w:r>
              <w:rPr>
                <w:webHidden/>
                <w:rStyle w:val="IndexLink"/>
              </w:rPr>
              <w:t>2</w:t>
            </w:r>
            <w:r>
              <w:rPr>
                <w:rStyle w:val="IndexLink"/>
                <w:rtl w:val="true"/>
              </w:rPr>
              <w:t xml:space="preserve">. </w:t>
            </w:r>
            <w:r>
              <w:rPr>
                <w:rStyle w:val="IndexLink"/>
                <w:rtl w:val="true"/>
              </w:rPr>
              <w:t>دلالة كلمة الإخلاص على الحصر</w:t>
            </w:r>
            <w:r>
              <w:rPr>
                <w:rStyle w:val="IndexLink"/>
                <w:rtl w:val="true"/>
              </w:rPr>
              <w:tab/>
            </w:r>
            <w:r>
              <w:rPr>
                <w:rStyle w:val="IndexLink"/>
              </w:rPr>
              <w:t>462</w:t>
            </w:r>
          </w:hyperlink>
        </w:p>
        <w:p>
          <w:pPr>
            <w:pStyle w:val="Contents6"/>
            <w:tabs>
              <w:tab w:val="clear" w:pos="7609"/>
              <w:tab w:val="right" w:pos="9026" w:leader="dot"/>
            </w:tabs>
            <w:rPr/>
          </w:pPr>
          <w:hyperlink w:anchor="__RefHeading___Toc7305282_3381743652">
            <w:r>
              <w:rPr>
                <w:webHidden/>
                <w:rStyle w:val="IndexLink"/>
                <w:rtl w:val="true"/>
              </w:rPr>
              <w:t>ج</w:t>
            </w:r>
            <w:r>
              <w:rPr>
                <w:rStyle w:val="IndexLink"/>
                <w:rtl w:val="true"/>
              </w:rPr>
              <w:t xml:space="preserve">. </w:t>
            </w:r>
            <w:r>
              <w:rPr>
                <w:rStyle w:val="IndexLink"/>
                <w:rtl w:val="true"/>
              </w:rPr>
              <w:t>هل الدلالة على الحصر دلالة مفهومية؟</w:t>
            </w:r>
            <w:r>
              <w:rPr>
                <w:rStyle w:val="IndexLink"/>
                <w:rtl w:val="true"/>
              </w:rPr>
              <w:tab/>
            </w:r>
            <w:r>
              <w:rPr>
                <w:rStyle w:val="IndexLink"/>
              </w:rPr>
              <w:t>462</w:t>
            </w:r>
          </w:hyperlink>
        </w:p>
        <w:p>
          <w:pPr>
            <w:pStyle w:val="Contents6"/>
            <w:tabs>
              <w:tab w:val="clear" w:pos="7609"/>
              <w:tab w:val="right" w:pos="9026" w:leader="dot"/>
            </w:tabs>
            <w:rPr/>
          </w:pPr>
          <w:hyperlink w:anchor="__RefHeading___Toc7305284_3381743652">
            <w:r>
              <w:rPr>
                <w:webHidden/>
                <w:rStyle w:val="IndexLink"/>
                <w:rtl w:val="true"/>
              </w:rPr>
              <w:t>بحث حول كلمة الإخلاص</w:t>
            </w:r>
            <w:r>
              <w:rPr>
                <w:rStyle w:val="IndexLink"/>
                <w:rtl w:val="true"/>
              </w:rPr>
              <w:tab/>
            </w:r>
            <w:r>
              <w:rPr>
                <w:rStyle w:val="IndexLink"/>
              </w:rPr>
              <w:t>464</w:t>
            </w:r>
          </w:hyperlink>
        </w:p>
        <w:p>
          <w:pPr>
            <w:pStyle w:val="Contents6"/>
            <w:tabs>
              <w:tab w:val="clear" w:pos="7609"/>
              <w:tab w:val="right" w:pos="9026" w:leader="dot"/>
            </w:tabs>
            <w:rPr/>
          </w:pPr>
          <w:hyperlink w:anchor="__RefHeading___Toc7305286_3381743652">
            <w:r>
              <w:rPr>
                <w:webHidden/>
                <w:rStyle w:val="IndexLink"/>
                <w:rtl w:val="true"/>
              </w:rPr>
              <w:t>الإشكال في تقدير خبر لا</w:t>
            </w:r>
            <w:r>
              <w:rPr>
                <w:rStyle w:val="IndexLink"/>
                <w:rtl w:val="true"/>
              </w:rPr>
              <w:tab/>
            </w:r>
            <w:r>
              <w:rPr>
                <w:rStyle w:val="IndexLink"/>
              </w:rPr>
              <w:t>464</w:t>
            </w:r>
          </w:hyperlink>
        </w:p>
        <w:p>
          <w:pPr>
            <w:pStyle w:val="Contents6"/>
            <w:tabs>
              <w:tab w:val="clear" w:pos="7609"/>
              <w:tab w:val="right" w:pos="9026" w:leader="dot"/>
            </w:tabs>
            <w:rPr/>
          </w:pPr>
          <w:hyperlink w:anchor="__RefHeading___Toc7305288_3381743652">
            <w:r>
              <w:rPr>
                <w:webHidden/>
                <w:rStyle w:val="IndexLink"/>
                <w:rtl w:val="true"/>
              </w:rPr>
              <w:t>و قد أُجيب بوجوه</w:t>
            </w:r>
            <w:r>
              <w:rPr>
                <w:rStyle w:val="IndexLink"/>
                <w:rtl w:val="true"/>
              </w:rPr>
              <w:t>:</w:t>
              <w:tab/>
            </w:r>
            <w:r>
              <w:rPr>
                <w:rStyle w:val="IndexLink"/>
              </w:rPr>
              <w:t>464</w:t>
            </w:r>
          </w:hyperlink>
        </w:p>
        <w:p>
          <w:pPr>
            <w:pStyle w:val="Contents6"/>
            <w:tabs>
              <w:tab w:val="clear" w:pos="7609"/>
              <w:tab w:val="right" w:pos="9026" w:leader="dot"/>
            </w:tabs>
            <w:rPr/>
          </w:pPr>
          <w:hyperlink w:anchor="__RefHeading___Toc7305290_3381743652">
            <w:r>
              <w:rPr>
                <w:webHidden/>
                <w:rStyle w:val="IndexLink"/>
              </w:rPr>
              <w:t>1</w:t>
            </w:r>
            <w:r>
              <w:rPr>
                <w:rStyle w:val="IndexLink"/>
                <w:rtl w:val="true"/>
              </w:rPr>
              <w:t xml:space="preserve">. </w:t>
            </w:r>
            <w:r>
              <w:rPr>
                <w:rStyle w:val="IndexLink"/>
                <w:rtl w:val="true"/>
              </w:rPr>
              <w:t>انّ لفظ</w:t>
            </w:r>
            <w:r>
              <w:rPr>
                <w:rStyle w:val="IndexLink"/>
                <w:rtl w:val="true"/>
              </w:rPr>
              <w:t xml:space="preserve">» </w:t>
            </w:r>
            <w:r>
              <w:rPr>
                <w:rStyle w:val="IndexLink"/>
                <w:rtl w:val="true"/>
              </w:rPr>
              <w:t xml:space="preserve">لا </w:t>
            </w:r>
            <w:r>
              <w:rPr>
                <w:rStyle w:val="IndexLink"/>
                <w:rtl w:val="true"/>
              </w:rPr>
              <w:t>«</w:t>
            </w:r>
            <w:r>
              <w:rPr>
                <w:rStyle w:val="IndexLink"/>
                <w:rtl w:val="true"/>
              </w:rPr>
              <w:t>اسميّة غنية عن الخبر</w:t>
            </w:r>
            <w:r>
              <w:rPr>
                <w:rStyle w:val="IndexLink"/>
                <w:rtl w:val="true"/>
              </w:rPr>
              <w:tab/>
            </w:r>
            <w:r>
              <w:rPr>
                <w:rStyle w:val="IndexLink"/>
              </w:rPr>
              <w:t>464</w:t>
            </w:r>
          </w:hyperlink>
        </w:p>
        <w:p>
          <w:pPr>
            <w:pStyle w:val="Contents6"/>
            <w:tabs>
              <w:tab w:val="clear" w:pos="7609"/>
              <w:tab w:val="right" w:pos="9026" w:leader="dot"/>
            </w:tabs>
            <w:rPr/>
          </w:pPr>
          <w:hyperlink w:anchor="__RefHeading___Toc7305292_3381743652">
            <w:r>
              <w:rPr>
                <w:webHidden/>
                <w:rStyle w:val="IndexLink"/>
              </w:rPr>
              <w:t>2</w:t>
            </w:r>
            <w:r>
              <w:rPr>
                <w:rStyle w:val="IndexLink"/>
                <w:rtl w:val="true"/>
              </w:rPr>
              <w:t xml:space="preserve">. </w:t>
            </w:r>
            <w:r>
              <w:rPr>
                <w:rStyle w:val="IndexLink"/>
                <w:rtl w:val="true"/>
              </w:rPr>
              <w:t>الإله بمعنى واجب الوجود</w:t>
            </w:r>
            <w:r>
              <w:rPr>
                <w:rStyle w:val="IndexLink"/>
                <w:rtl w:val="true"/>
              </w:rPr>
              <w:tab/>
            </w:r>
            <w:r>
              <w:rPr>
                <w:rStyle w:val="IndexLink"/>
              </w:rPr>
              <w:t>466</w:t>
            </w:r>
          </w:hyperlink>
        </w:p>
        <w:p>
          <w:pPr>
            <w:pStyle w:val="Contents6"/>
            <w:tabs>
              <w:tab w:val="clear" w:pos="7609"/>
              <w:tab w:val="right" w:pos="9026" w:leader="dot"/>
            </w:tabs>
            <w:rPr/>
          </w:pPr>
          <w:hyperlink w:anchor="__RefHeading___Toc7305294_3381743652">
            <w:r>
              <w:rPr>
                <w:webHidden/>
                <w:rStyle w:val="IndexLink"/>
              </w:rPr>
              <w:t>3</w:t>
            </w:r>
            <w:r>
              <w:rPr>
                <w:rStyle w:val="IndexLink"/>
                <w:rtl w:val="true"/>
              </w:rPr>
              <w:t xml:space="preserve">. </w:t>
            </w:r>
            <w:r>
              <w:rPr>
                <w:rStyle w:val="IndexLink"/>
                <w:rtl w:val="true"/>
              </w:rPr>
              <w:t>المقصود حصر العبادة في اللّه لا إثبات وجوده</w:t>
            </w:r>
            <w:r>
              <w:rPr>
                <w:rStyle w:val="IndexLink"/>
                <w:rtl w:val="true"/>
              </w:rPr>
              <w:tab/>
            </w:r>
            <w:r>
              <w:rPr>
                <w:rStyle w:val="IndexLink"/>
              </w:rPr>
              <w:t>466</w:t>
            </w:r>
          </w:hyperlink>
        </w:p>
        <w:p>
          <w:pPr>
            <w:pStyle w:val="Contents6"/>
            <w:tabs>
              <w:tab w:val="clear" w:pos="7609"/>
              <w:tab w:val="right" w:pos="9026" w:leader="dot"/>
            </w:tabs>
            <w:rPr/>
          </w:pPr>
          <w:hyperlink w:anchor="__RefHeading___Toc7305296_3381743652">
            <w:r>
              <w:rPr>
                <w:webHidden/>
                <w:rStyle w:val="IndexLink"/>
              </w:rPr>
              <w:t>4</w:t>
            </w:r>
            <w:r>
              <w:rPr>
                <w:rStyle w:val="IndexLink"/>
                <w:rtl w:val="true"/>
              </w:rPr>
              <w:t xml:space="preserve">. </w:t>
            </w:r>
            <w:r>
              <w:rPr>
                <w:rStyle w:val="IndexLink"/>
                <w:rtl w:val="true"/>
              </w:rPr>
              <w:t>الكلمة مشتملة على عقد واحد و هو عقد النفي</w:t>
            </w:r>
            <w:r>
              <w:rPr>
                <w:rStyle w:val="IndexLink"/>
                <w:rtl w:val="true"/>
              </w:rPr>
              <w:tab/>
            </w:r>
            <w:r>
              <w:rPr>
                <w:rStyle w:val="IndexLink"/>
              </w:rPr>
              <w:t>467</w:t>
            </w:r>
          </w:hyperlink>
        </w:p>
        <w:p>
          <w:pPr>
            <w:pStyle w:val="Contents6"/>
            <w:tabs>
              <w:tab w:val="clear" w:pos="7609"/>
              <w:tab w:val="right" w:pos="9026" w:leader="dot"/>
            </w:tabs>
            <w:rPr/>
          </w:pPr>
          <w:hyperlink w:anchor="__RefHeading___Toc7305298_3381743652">
            <w:r>
              <w:rPr>
                <w:webHidden/>
                <w:rStyle w:val="IndexLink"/>
              </w:rPr>
              <w:t>5</w:t>
            </w:r>
            <w:r>
              <w:rPr>
                <w:rStyle w:val="IndexLink"/>
                <w:rtl w:val="true"/>
              </w:rPr>
              <w:t xml:space="preserve">. </w:t>
            </w:r>
            <w:r>
              <w:rPr>
                <w:rStyle w:val="IndexLink"/>
                <w:rtl w:val="true"/>
              </w:rPr>
              <w:t>الهدف نفي الفعلية و إثباتها</w:t>
            </w:r>
            <w:r>
              <w:rPr>
                <w:rStyle w:val="IndexLink"/>
                <w:rtl w:val="true"/>
              </w:rPr>
              <w:tab/>
            </w:r>
            <w:r>
              <w:rPr>
                <w:rStyle w:val="IndexLink"/>
              </w:rPr>
              <w:t>467</w:t>
            </w:r>
          </w:hyperlink>
        </w:p>
        <w:p>
          <w:pPr>
            <w:pStyle w:val="Contents5"/>
            <w:tabs>
              <w:tab w:val="clear" w:pos="7892"/>
              <w:tab w:val="right" w:pos="9026" w:leader="dot"/>
            </w:tabs>
            <w:rPr/>
          </w:pPr>
          <w:hyperlink w:anchor="__RefHeading___Toc7305300_3381743652">
            <w:r>
              <w:rPr>
                <w:webHidden/>
                <w:rStyle w:val="IndexLink"/>
              </w:rPr>
              <w:t>2</w:t>
            </w:r>
            <w:r>
              <w:rPr>
                <w:rStyle w:val="IndexLink"/>
                <w:rtl w:val="true"/>
              </w:rPr>
              <w:t xml:space="preserve">. </w:t>
            </w:r>
            <w:r>
              <w:rPr>
                <w:rStyle w:val="IndexLink"/>
                <w:rtl w:val="true"/>
              </w:rPr>
              <w:t xml:space="preserve">من أدوات الحصر لفظة </w:t>
            </w:r>
            <w:r>
              <w:rPr>
                <w:rStyle w:val="IndexLink"/>
                <w:rtl w:val="true"/>
              </w:rPr>
              <w:t>«</w:t>
            </w:r>
            <w:r>
              <w:rPr>
                <w:rStyle w:val="IndexLink"/>
                <w:rtl w:val="true"/>
              </w:rPr>
              <w:t>إنّما</w:t>
            </w:r>
            <w:r>
              <w:rPr>
                <w:rStyle w:val="IndexLink"/>
                <w:rtl w:val="true"/>
              </w:rPr>
              <w:t>»</w:t>
              <w:tab/>
            </w:r>
            <w:r>
              <w:rPr>
                <w:rStyle w:val="IndexLink"/>
              </w:rPr>
              <w:t>468</w:t>
            </w:r>
          </w:hyperlink>
        </w:p>
        <w:p>
          <w:pPr>
            <w:pStyle w:val="Contents6"/>
            <w:tabs>
              <w:tab w:val="clear" w:pos="7609"/>
              <w:tab w:val="right" w:pos="9026" w:leader="dot"/>
            </w:tabs>
            <w:rPr/>
          </w:pPr>
          <w:hyperlink w:anchor="__RefHeading___Toc7305302_3381743652">
            <w:r>
              <w:rPr>
                <w:webHidden/>
                <w:rStyle w:val="IndexLink"/>
                <w:rtl w:val="true"/>
              </w:rPr>
              <w:t>اشارة</w:t>
            </w:r>
            <w:r>
              <w:rPr>
                <w:rStyle w:val="IndexLink"/>
                <w:rtl w:val="true"/>
              </w:rPr>
              <w:tab/>
            </w:r>
            <w:r>
              <w:rPr>
                <w:rStyle w:val="IndexLink"/>
              </w:rPr>
              <w:t>468</w:t>
            </w:r>
          </w:hyperlink>
        </w:p>
        <w:p>
          <w:pPr>
            <w:pStyle w:val="Contents6"/>
            <w:tabs>
              <w:tab w:val="clear" w:pos="7609"/>
              <w:tab w:val="right" w:pos="9026" w:leader="dot"/>
            </w:tabs>
            <w:rPr/>
          </w:pPr>
          <w:hyperlink w:anchor="__RefHeading___Toc7305304_3381743652">
            <w:r>
              <w:rPr>
                <w:webHidden/>
                <w:rStyle w:val="IndexLink"/>
                <w:rtl w:val="true"/>
              </w:rPr>
              <w:t>دليل النافي لإفادة الحصر</w:t>
            </w:r>
            <w:r>
              <w:rPr>
                <w:rStyle w:val="IndexLink"/>
                <w:rtl w:val="true"/>
              </w:rPr>
              <w:tab/>
            </w:r>
            <w:r>
              <w:rPr>
                <w:rStyle w:val="IndexLink"/>
              </w:rPr>
              <w:t>470</w:t>
            </w:r>
          </w:hyperlink>
        </w:p>
        <w:p>
          <w:pPr>
            <w:pStyle w:val="Contents5"/>
            <w:tabs>
              <w:tab w:val="clear" w:pos="7892"/>
              <w:tab w:val="right" w:pos="9026" w:leader="dot"/>
            </w:tabs>
            <w:rPr/>
          </w:pPr>
          <w:hyperlink w:anchor="__RefHeading___Toc7305306_3381743652">
            <w:r>
              <w:rPr>
                <w:webHidden/>
                <w:rStyle w:val="IndexLink"/>
              </w:rPr>
              <w:t>3</w:t>
            </w:r>
            <w:r>
              <w:rPr>
                <w:rStyle w:val="IndexLink"/>
                <w:rtl w:val="true"/>
              </w:rPr>
              <w:t xml:space="preserve">. </w:t>
            </w:r>
            <w:r>
              <w:rPr>
                <w:rStyle w:val="IndexLink"/>
                <w:rtl w:val="true"/>
              </w:rPr>
              <w:t>بل الإضرابية</w:t>
            </w:r>
            <w:r>
              <w:rPr>
                <w:rStyle w:val="IndexLink"/>
                <w:rtl w:val="true"/>
              </w:rPr>
              <w:tab/>
            </w:r>
            <w:r>
              <w:rPr>
                <w:rStyle w:val="IndexLink"/>
              </w:rPr>
              <w:t>472</w:t>
            </w:r>
          </w:hyperlink>
        </w:p>
        <w:p>
          <w:pPr>
            <w:pStyle w:val="Contents5"/>
            <w:tabs>
              <w:tab w:val="clear" w:pos="7892"/>
              <w:tab w:val="right" w:pos="9026" w:leader="dot"/>
            </w:tabs>
            <w:rPr/>
          </w:pPr>
          <w:hyperlink w:anchor="__RefHeading___Toc7305308_3381743652">
            <w:r>
              <w:rPr>
                <w:webHidden/>
                <w:rStyle w:val="IndexLink"/>
              </w:rPr>
              <w:t>4</w:t>
            </w:r>
            <w:r>
              <w:rPr>
                <w:rStyle w:val="IndexLink"/>
                <w:rtl w:val="true"/>
              </w:rPr>
              <w:t xml:space="preserve">. </w:t>
            </w:r>
            <w:r>
              <w:rPr>
                <w:rStyle w:val="IndexLink"/>
                <w:rtl w:val="true"/>
              </w:rPr>
              <w:t>من أدوات الحصر تقديم ما حقّه التأخير</w:t>
            </w:r>
            <w:r>
              <w:rPr>
                <w:rStyle w:val="IndexLink"/>
                <w:rtl w:val="true"/>
              </w:rPr>
              <w:tab/>
            </w:r>
            <w:r>
              <w:rPr>
                <w:rStyle w:val="IndexLink"/>
              </w:rPr>
              <w:t>475</w:t>
            </w:r>
          </w:hyperlink>
        </w:p>
        <w:p>
          <w:pPr>
            <w:pStyle w:val="Contents5"/>
            <w:tabs>
              <w:tab w:val="clear" w:pos="7892"/>
              <w:tab w:val="right" w:pos="9026" w:leader="dot"/>
            </w:tabs>
            <w:rPr/>
          </w:pPr>
          <w:hyperlink w:anchor="__RefHeading___Toc7305310_3381743652">
            <w:r>
              <w:rPr>
                <w:webHidden/>
                <w:rStyle w:val="IndexLink"/>
              </w:rPr>
              <w:t>5</w:t>
            </w:r>
            <w:r>
              <w:rPr>
                <w:rStyle w:val="IndexLink"/>
                <w:rtl w:val="true"/>
              </w:rPr>
              <w:t xml:space="preserve">. </w:t>
            </w:r>
            <w:r>
              <w:rPr>
                <w:rStyle w:val="IndexLink"/>
                <w:rtl w:val="true"/>
              </w:rPr>
              <w:t>اشتمال المسند إليه على اللام</w:t>
            </w:r>
            <w:r>
              <w:rPr>
                <w:rStyle w:val="IndexLink"/>
                <w:rtl w:val="true"/>
              </w:rPr>
              <w:tab/>
            </w:r>
            <w:r>
              <w:rPr>
                <w:rStyle w:val="IndexLink"/>
              </w:rPr>
              <w:t>475</w:t>
            </w:r>
          </w:hyperlink>
        </w:p>
        <w:p>
          <w:pPr>
            <w:pStyle w:val="Contents6"/>
            <w:tabs>
              <w:tab w:val="clear" w:pos="7609"/>
              <w:tab w:val="right" w:pos="9026" w:leader="dot"/>
            </w:tabs>
            <w:rPr/>
          </w:pPr>
          <w:hyperlink w:anchor="__RefHeading___Toc7305312_3381743652">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7305314_3381743652">
            <w:r>
              <w:rPr>
                <w:webHidden/>
                <w:rStyle w:val="IndexLink"/>
              </w:rPr>
              <w:t>1</w:t>
            </w:r>
            <w:r>
              <w:rPr>
                <w:rStyle w:val="IndexLink"/>
                <w:rtl w:val="true"/>
              </w:rPr>
              <w:t xml:space="preserve">. </w:t>
            </w:r>
            <w:r>
              <w:rPr>
                <w:rStyle w:val="IndexLink"/>
                <w:rtl w:val="true"/>
              </w:rPr>
              <w:t>لام الجنس فيما إذا كان الحمل شائعاً</w:t>
            </w:r>
            <w:r>
              <w:rPr>
                <w:rStyle w:val="IndexLink"/>
                <w:rtl w:val="true"/>
              </w:rPr>
              <w:tab/>
            </w:r>
            <w:r>
              <w:rPr>
                <w:rStyle w:val="IndexLink"/>
              </w:rPr>
              <w:t>476</w:t>
            </w:r>
          </w:hyperlink>
        </w:p>
        <w:p>
          <w:pPr>
            <w:pStyle w:val="Contents6"/>
            <w:tabs>
              <w:tab w:val="clear" w:pos="7609"/>
              <w:tab w:val="right" w:pos="9026" w:leader="dot"/>
            </w:tabs>
            <w:rPr/>
          </w:pPr>
          <w:hyperlink w:anchor="__RefHeading___Toc7305316_3381743652">
            <w:r>
              <w:rPr>
                <w:webHidden/>
                <w:rStyle w:val="IndexLink"/>
              </w:rPr>
              <w:t>2</w:t>
            </w:r>
            <w:r>
              <w:rPr>
                <w:rStyle w:val="IndexLink"/>
                <w:rtl w:val="true"/>
              </w:rPr>
              <w:t xml:space="preserve">. </w:t>
            </w:r>
            <w:r>
              <w:rPr>
                <w:rStyle w:val="IndexLink"/>
                <w:rtl w:val="true"/>
              </w:rPr>
              <w:t>لام الجنس إذا كان الحمل أوّلياً</w:t>
            </w:r>
            <w:r>
              <w:rPr>
                <w:rStyle w:val="IndexLink"/>
                <w:rtl w:val="true"/>
              </w:rPr>
              <w:tab/>
            </w:r>
            <w:r>
              <w:rPr>
                <w:rStyle w:val="IndexLink"/>
              </w:rPr>
              <w:t>477</w:t>
            </w:r>
          </w:hyperlink>
        </w:p>
        <w:p>
          <w:pPr>
            <w:pStyle w:val="Contents6"/>
            <w:tabs>
              <w:tab w:val="clear" w:pos="7609"/>
              <w:tab w:val="right" w:pos="9026" w:leader="dot"/>
            </w:tabs>
            <w:rPr/>
          </w:pPr>
          <w:hyperlink w:anchor="__RefHeading___Toc7305318_3381743652">
            <w:r>
              <w:rPr>
                <w:webHidden/>
                <w:rStyle w:val="IndexLink"/>
              </w:rPr>
              <w:t>3</w:t>
            </w:r>
            <w:r>
              <w:rPr>
                <w:rStyle w:val="IndexLink"/>
                <w:rtl w:val="true"/>
              </w:rPr>
              <w:t xml:space="preserve">. </w:t>
            </w:r>
            <w:r>
              <w:rPr>
                <w:rStyle w:val="IndexLink"/>
                <w:rtl w:val="true"/>
              </w:rPr>
              <w:t>لام العهد</w:t>
            </w:r>
            <w:r>
              <w:rPr>
                <w:rStyle w:val="IndexLink"/>
                <w:rtl w:val="true"/>
              </w:rPr>
              <w:tab/>
            </w:r>
            <w:r>
              <w:rPr>
                <w:rStyle w:val="IndexLink"/>
              </w:rPr>
              <w:t>477</w:t>
            </w:r>
          </w:hyperlink>
        </w:p>
        <w:p>
          <w:pPr>
            <w:pStyle w:val="Contents6"/>
            <w:tabs>
              <w:tab w:val="clear" w:pos="7609"/>
              <w:tab w:val="right" w:pos="9026" w:leader="dot"/>
            </w:tabs>
            <w:rPr/>
          </w:pPr>
          <w:hyperlink w:anchor="__RefHeading___Toc7305320_3381743652">
            <w:r>
              <w:rPr>
                <w:webHidden/>
                <w:rStyle w:val="IndexLink"/>
              </w:rPr>
              <w:t>4</w:t>
            </w:r>
            <w:r>
              <w:rPr>
                <w:rStyle w:val="IndexLink"/>
                <w:rtl w:val="true"/>
              </w:rPr>
              <w:t xml:space="preserve">. </w:t>
            </w:r>
            <w:r>
              <w:rPr>
                <w:rStyle w:val="IndexLink"/>
                <w:rtl w:val="true"/>
              </w:rPr>
              <w:t>لام الاستغراق</w:t>
            </w:r>
            <w:r>
              <w:rPr>
                <w:rStyle w:val="IndexLink"/>
                <w:rtl w:val="true"/>
              </w:rPr>
              <w:tab/>
            </w:r>
            <w:r>
              <w:rPr>
                <w:rStyle w:val="IndexLink"/>
              </w:rPr>
              <w:t>477</w:t>
            </w:r>
          </w:hyperlink>
        </w:p>
        <w:p>
          <w:pPr>
            <w:pStyle w:val="Contents4"/>
            <w:tabs>
              <w:tab w:val="clear" w:pos="8176"/>
              <w:tab w:val="right" w:pos="9026" w:leader="dot"/>
            </w:tabs>
            <w:rPr/>
          </w:pPr>
          <w:hyperlink w:anchor="__RefHeading___Toc7305322_3381743652">
            <w:r>
              <w:rPr>
                <w:webHidden/>
                <w:rStyle w:val="IndexLink"/>
                <w:rtl w:val="true"/>
              </w:rPr>
              <w:t>بعض أدوات الحصر</w:t>
            </w:r>
            <w:r>
              <w:rPr>
                <w:rStyle w:val="IndexLink"/>
                <w:rtl w:val="true"/>
              </w:rPr>
              <w:tab/>
            </w:r>
            <w:r>
              <w:rPr>
                <w:rStyle w:val="IndexLink"/>
              </w:rPr>
              <w:t>478</w:t>
            </w:r>
          </w:hyperlink>
        </w:p>
        <w:p>
          <w:pPr>
            <w:pStyle w:val="Contents3"/>
            <w:tabs>
              <w:tab w:val="clear" w:pos="8459"/>
              <w:tab w:val="right" w:pos="9026" w:leader="dot"/>
            </w:tabs>
            <w:rPr/>
          </w:pPr>
          <w:hyperlink w:anchor="__RefHeading___Toc7305324_3381743652">
            <w:r>
              <w:rPr>
                <w:webHidden/>
                <w:rStyle w:val="IndexLink"/>
                <w:rtl w:val="true"/>
              </w:rPr>
              <w:t>الفصل الخامس مفهوم اللقب</w:t>
            </w:r>
            <w:r>
              <w:rPr>
                <w:rStyle w:val="IndexLink"/>
                <w:rtl w:val="true"/>
              </w:rPr>
              <w:tab/>
            </w:r>
            <w:r>
              <w:rPr>
                <w:rStyle w:val="IndexLink"/>
              </w:rPr>
              <w:t>479</w:t>
            </w:r>
          </w:hyperlink>
        </w:p>
        <w:p>
          <w:pPr>
            <w:pStyle w:val="Contents3"/>
            <w:tabs>
              <w:tab w:val="clear" w:pos="8459"/>
              <w:tab w:val="right" w:pos="9026" w:leader="dot"/>
            </w:tabs>
            <w:rPr/>
          </w:pPr>
          <w:hyperlink w:anchor="__RefHeading___Toc7305326_3381743652">
            <w:r>
              <w:rPr>
                <w:webHidden/>
                <w:rStyle w:val="IndexLink"/>
                <w:rtl w:val="true"/>
              </w:rPr>
              <w:t>الفصل السادس مفهوم العدد</w:t>
            </w:r>
            <w:r>
              <w:rPr>
                <w:rStyle w:val="IndexLink"/>
                <w:rtl w:val="true"/>
              </w:rPr>
              <w:tab/>
            </w:r>
            <w:r>
              <w:rPr>
                <w:rStyle w:val="IndexLink"/>
              </w:rPr>
              <w:t>481</w:t>
            </w:r>
          </w:hyperlink>
        </w:p>
        <w:p>
          <w:pPr>
            <w:pStyle w:val="Contents3"/>
            <w:tabs>
              <w:tab w:val="clear" w:pos="8459"/>
              <w:tab w:val="right" w:pos="9026" w:leader="dot"/>
            </w:tabs>
            <w:rPr/>
          </w:pPr>
          <w:hyperlink w:anchor="__RefHeading___Toc7305328_3381743652">
            <w:r>
              <w:rPr>
                <w:webHidden/>
                <w:rStyle w:val="IndexLink"/>
                <w:rtl w:val="true"/>
              </w:rPr>
              <w:t>تطبيقات</w:t>
            </w:r>
            <w:r>
              <w:rPr>
                <w:rStyle w:val="IndexLink"/>
                <w:rtl w:val="true"/>
              </w:rPr>
              <w:tab/>
            </w:r>
            <w:r>
              <w:rPr>
                <w:rStyle w:val="IndexLink"/>
              </w:rPr>
              <w:t>483</w:t>
            </w:r>
          </w:hyperlink>
        </w:p>
        <w:p>
          <w:pPr>
            <w:pStyle w:val="Contents4"/>
            <w:tabs>
              <w:tab w:val="clear" w:pos="8176"/>
              <w:tab w:val="right" w:pos="9026" w:leader="dot"/>
            </w:tabs>
            <w:rPr/>
          </w:pPr>
          <w:hyperlink w:anchor="__RefHeading___Toc7305330_3381743652">
            <w:r>
              <w:rPr>
                <w:webHidden/>
                <w:rStyle w:val="IndexLink"/>
                <w:rtl w:val="true"/>
              </w:rPr>
              <w:t>اشارة</w:t>
            </w:r>
            <w:r>
              <w:rPr>
                <w:rStyle w:val="IndexLink"/>
                <w:rtl w:val="true"/>
              </w:rPr>
              <w:tab/>
            </w:r>
            <w:r>
              <w:rPr>
                <w:rStyle w:val="IndexLink"/>
              </w:rPr>
              <w:t>483</w:t>
            </w:r>
          </w:hyperlink>
        </w:p>
        <w:p>
          <w:pPr>
            <w:pStyle w:val="Contents4"/>
            <w:tabs>
              <w:tab w:val="clear" w:pos="8176"/>
              <w:tab w:val="right" w:pos="9026" w:leader="dot"/>
            </w:tabs>
            <w:rPr/>
          </w:pPr>
          <w:hyperlink w:anchor="__RefHeading___Toc7305332_3381743652">
            <w:r>
              <w:rPr>
                <w:webHidden/>
                <w:rStyle w:val="IndexLink"/>
                <w:rtl w:val="true"/>
              </w:rPr>
              <w:t>فرعان مبنيان على إفادة إلاّ للحصر</w:t>
            </w:r>
            <w:r>
              <w:rPr>
                <w:rStyle w:val="IndexLink"/>
                <w:rtl w:val="true"/>
              </w:rPr>
              <w:tab/>
            </w:r>
            <w:r>
              <w:rPr>
                <w:rStyle w:val="IndexLink"/>
              </w:rPr>
              <w:t>483</w:t>
            </w:r>
          </w:hyperlink>
        </w:p>
        <w:p>
          <w:pPr>
            <w:pStyle w:val="Contents4"/>
            <w:tabs>
              <w:tab w:val="clear" w:pos="8176"/>
              <w:tab w:val="right" w:pos="9026" w:leader="dot"/>
            </w:tabs>
            <w:rPr/>
          </w:pPr>
          <w:hyperlink w:anchor="__RefHeading___Toc7305334_3381743652">
            <w:r>
              <w:rPr>
                <w:webHidden/>
                <w:rStyle w:val="IndexLink"/>
                <w:rtl w:val="true"/>
              </w:rPr>
              <w:t>فرعان مبنيان على إفادة</w:t>
            </w:r>
            <w:r>
              <w:rPr>
                <w:rStyle w:val="IndexLink"/>
                <w:rtl w:val="true"/>
              </w:rPr>
              <w:t xml:space="preserve">» </w:t>
            </w:r>
            <w:r>
              <w:rPr>
                <w:rStyle w:val="IndexLink"/>
                <w:rtl w:val="true"/>
              </w:rPr>
              <w:t xml:space="preserve">إنّما </w:t>
            </w:r>
            <w:r>
              <w:rPr>
                <w:rStyle w:val="IndexLink"/>
                <w:rtl w:val="true"/>
              </w:rPr>
              <w:t>«</w:t>
            </w:r>
            <w:r>
              <w:rPr>
                <w:rStyle w:val="IndexLink"/>
                <w:rtl w:val="true"/>
              </w:rPr>
              <w:t>للحصر</w:t>
            </w:r>
            <w:r>
              <w:rPr>
                <w:rStyle w:val="IndexLink"/>
                <w:rtl w:val="true"/>
              </w:rPr>
              <w:tab/>
            </w:r>
            <w:r>
              <w:rPr>
                <w:rStyle w:val="IndexLink"/>
              </w:rPr>
              <w:t>484</w:t>
            </w:r>
          </w:hyperlink>
        </w:p>
        <w:p>
          <w:pPr>
            <w:pStyle w:val="Contents4"/>
            <w:tabs>
              <w:tab w:val="clear" w:pos="8176"/>
              <w:tab w:val="right" w:pos="9026" w:leader="dot"/>
            </w:tabs>
            <w:rPr/>
          </w:pPr>
          <w:hyperlink w:anchor="__RefHeading___Toc7305336_3381743652">
            <w:r>
              <w:rPr>
                <w:webHidden/>
                <w:rStyle w:val="IndexLink"/>
                <w:rtl w:val="true"/>
              </w:rPr>
              <w:t>فروع مبنية على مفهوم العدد</w:t>
            </w:r>
            <w:r>
              <w:rPr>
                <w:rStyle w:val="IndexLink"/>
                <w:rtl w:val="true"/>
              </w:rPr>
              <w:tab/>
            </w:r>
            <w:r>
              <w:rPr>
                <w:rStyle w:val="IndexLink"/>
              </w:rPr>
              <w:t>485</w:t>
            </w:r>
          </w:hyperlink>
        </w:p>
        <w:p>
          <w:pPr>
            <w:pStyle w:val="Contents4"/>
            <w:tabs>
              <w:tab w:val="clear" w:pos="8176"/>
              <w:tab w:val="right" w:pos="9026" w:leader="dot"/>
            </w:tabs>
            <w:rPr/>
          </w:pPr>
          <w:hyperlink w:anchor="__RefHeading___Toc7305338_3381743652">
            <w:r>
              <w:rPr>
                <w:webHidden/>
                <w:rStyle w:val="IndexLink"/>
                <w:rtl w:val="true"/>
              </w:rPr>
              <w:t>فروع لها صلة بمفهوم اللقب</w:t>
            </w:r>
            <w:r>
              <w:rPr>
                <w:rStyle w:val="IndexLink"/>
                <w:rtl w:val="true"/>
              </w:rPr>
              <w:tab/>
            </w:r>
            <w:r>
              <w:rPr>
                <w:rStyle w:val="IndexLink"/>
              </w:rPr>
              <w:t>486</w:t>
            </w:r>
          </w:hyperlink>
        </w:p>
        <w:p>
          <w:pPr>
            <w:pStyle w:val="Contents2"/>
            <w:tabs>
              <w:tab w:val="clear" w:pos="8743"/>
              <w:tab w:val="right" w:pos="9026" w:leader="dot"/>
            </w:tabs>
            <w:rPr/>
          </w:pPr>
          <w:hyperlink w:anchor="__RefHeading___Toc7305340_3381743652">
            <w:r>
              <w:rPr>
                <w:webHidden/>
                <w:rStyle w:val="IndexLink"/>
                <w:rtl w:val="true"/>
              </w:rPr>
              <w:t>المقصد الرابع العام و الخاص</w:t>
            </w:r>
            <w:r>
              <w:rPr>
                <w:rStyle w:val="IndexLink"/>
                <w:rtl w:val="true"/>
              </w:rPr>
              <w:tab/>
            </w:r>
            <w:r>
              <w:rPr>
                <w:rStyle w:val="IndexLink"/>
              </w:rPr>
              <w:t>489</w:t>
            </w:r>
          </w:hyperlink>
        </w:p>
        <w:p>
          <w:pPr>
            <w:pStyle w:val="Contents3"/>
            <w:tabs>
              <w:tab w:val="clear" w:pos="8459"/>
              <w:tab w:val="right" w:pos="9026" w:leader="dot"/>
            </w:tabs>
            <w:rPr/>
          </w:pPr>
          <w:hyperlink w:anchor="__RefHeading___Toc7305342_3381743652">
            <w:r>
              <w:rPr>
                <w:webHidden/>
                <w:rStyle w:val="IndexLink"/>
                <w:rtl w:val="true"/>
              </w:rPr>
              <w:t>و قبل الدخول في صلب الموضوع نقدّم أُموراً</w:t>
            </w:r>
            <w:r>
              <w:rPr>
                <w:rStyle w:val="IndexLink"/>
                <w:rtl w:val="true"/>
              </w:rPr>
              <w:t>:</w:t>
              <w:tab/>
            </w:r>
            <w:r>
              <w:rPr>
                <w:rStyle w:val="IndexLink"/>
              </w:rPr>
              <w:t>489</w:t>
            </w:r>
          </w:hyperlink>
        </w:p>
        <w:p>
          <w:pPr>
            <w:pStyle w:val="Contents4"/>
            <w:tabs>
              <w:tab w:val="clear" w:pos="8176"/>
              <w:tab w:val="right" w:pos="9026" w:leader="dot"/>
            </w:tabs>
            <w:rPr/>
          </w:pPr>
          <w:hyperlink w:anchor="__RefHeading___Toc7305344_3381743652">
            <w:r>
              <w:rPr>
                <w:webHidden/>
                <w:rStyle w:val="IndexLink"/>
                <w:rtl w:val="true"/>
              </w:rPr>
              <w:t>الاول</w:t>
            </w:r>
            <w:r>
              <w:rPr>
                <w:rStyle w:val="IndexLink"/>
                <w:rtl w:val="true"/>
              </w:rPr>
              <w:t xml:space="preserve">: </w:t>
            </w:r>
            <w:r>
              <w:rPr>
                <w:rStyle w:val="IndexLink"/>
                <w:rtl w:val="true"/>
              </w:rPr>
              <w:t>الأُمور الاعتبارية و التعريف الحقيقي</w:t>
            </w:r>
            <w:r>
              <w:rPr>
                <w:rStyle w:val="IndexLink"/>
                <w:rtl w:val="true"/>
              </w:rPr>
              <w:tab/>
            </w:r>
            <w:r>
              <w:rPr>
                <w:rStyle w:val="IndexLink"/>
              </w:rPr>
              <w:t>489</w:t>
            </w:r>
          </w:hyperlink>
        </w:p>
        <w:p>
          <w:pPr>
            <w:pStyle w:val="Contents4"/>
            <w:tabs>
              <w:tab w:val="clear" w:pos="8176"/>
              <w:tab w:val="right" w:pos="9026" w:leader="dot"/>
            </w:tabs>
            <w:rPr/>
          </w:pPr>
          <w:hyperlink w:anchor="__RefHeading___Toc7305346_3381743652">
            <w:r>
              <w:rPr>
                <w:webHidden/>
                <w:rStyle w:val="IndexLink"/>
                <w:rtl w:val="true"/>
              </w:rPr>
              <w:t>الثاني</w:t>
            </w:r>
            <w:r>
              <w:rPr>
                <w:rStyle w:val="IndexLink"/>
                <w:rtl w:val="true"/>
              </w:rPr>
              <w:t xml:space="preserve">: </w:t>
            </w:r>
            <w:r>
              <w:rPr>
                <w:rStyle w:val="IndexLink"/>
                <w:rtl w:val="true"/>
              </w:rPr>
              <w:t>تعريف العام</w:t>
            </w:r>
            <w:r>
              <w:rPr>
                <w:rStyle w:val="IndexLink"/>
                <w:rtl w:val="true"/>
              </w:rPr>
              <w:tab/>
            </w:r>
            <w:r>
              <w:rPr>
                <w:rStyle w:val="IndexLink"/>
              </w:rPr>
              <w:t>491</w:t>
            </w:r>
          </w:hyperlink>
        </w:p>
        <w:p>
          <w:pPr>
            <w:pStyle w:val="Contents5"/>
            <w:tabs>
              <w:tab w:val="clear" w:pos="7892"/>
              <w:tab w:val="right" w:pos="9026" w:leader="dot"/>
            </w:tabs>
            <w:rPr/>
          </w:pPr>
          <w:hyperlink w:anchor="__RefHeading___Toc7305348_3381743652">
            <w:r>
              <w:rPr>
                <w:webHidden/>
                <w:rStyle w:val="IndexLink"/>
                <w:rtl w:val="true"/>
              </w:rPr>
              <w:t>اشارة</w:t>
            </w:r>
            <w:r>
              <w:rPr>
                <w:rStyle w:val="IndexLink"/>
                <w:rtl w:val="true"/>
              </w:rPr>
              <w:tab/>
            </w:r>
            <w:r>
              <w:rPr>
                <w:rStyle w:val="IndexLink"/>
              </w:rPr>
              <w:t>491</w:t>
            </w:r>
          </w:hyperlink>
        </w:p>
        <w:p>
          <w:pPr>
            <w:pStyle w:val="Contents5"/>
            <w:tabs>
              <w:tab w:val="clear" w:pos="7892"/>
              <w:tab w:val="right" w:pos="9026" w:leader="dot"/>
            </w:tabs>
            <w:rPr/>
          </w:pPr>
          <w:hyperlink w:anchor="__RefHeading___Toc7305350_3381743652">
            <w:r>
              <w:rPr>
                <w:webHidden/>
                <w:rStyle w:val="IndexLink"/>
              </w:rPr>
              <w:t>1</w:t>
            </w:r>
            <w:r>
              <w:rPr>
                <w:rStyle w:val="IndexLink"/>
                <w:rtl w:val="true"/>
              </w:rPr>
              <w:t xml:space="preserve">. </w:t>
            </w:r>
            <w:r>
              <w:rPr>
                <w:rStyle w:val="IndexLink"/>
                <w:rtl w:val="true"/>
              </w:rPr>
              <w:t>شمول الحكم لجميع أفراد مدخوله</w:t>
            </w:r>
            <w:r>
              <w:rPr>
                <w:rStyle w:val="IndexLink"/>
                <w:rtl w:val="true"/>
              </w:rPr>
              <w:tab/>
            </w:r>
            <w:r>
              <w:rPr>
                <w:rStyle w:val="IndexLink"/>
              </w:rPr>
              <w:t>491</w:t>
            </w:r>
          </w:hyperlink>
        </w:p>
        <w:p>
          <w:pPr>
            <w:pStyle w:val="Contents5"/>
            <w:tabs>
              <w:tab w:val="clear" w:pos="7892"/>
              <w:tab w:val="right" w:pos="9026" w:leader="dot"/>
            </w:tabs>
            <w:rPr/>
          </w:pPr>
          <w:hyperlink w:anchor="__RefHeading___Toc7305352_3381743652">
            <w:r>
              <w:rPr>
                <w:webHidden/>
                <w:rStyle w:val="IndexLink"/>
              </w:rPr>
              <w:t>2</w:t>
            </w:r>
            <w:r>
              <w:rPr>
                <w:rStyle w:val="IndexLink"/>
                <w:rtl w:val="true"/>
              </w:rPr>
              <w:t xml:space="preserve">. </w:t>
            </w:r>
            <w:r>
              <w:rPr>
                <w:rStyle w:val="IndexLink"/>
                <w:rtl w:val="true"/>
              </w:rPr>
              <w:t>شمول المفهوم لجميع ما يصلح أن ينطبق عليه</w:t>
            </w:r>
            <w:r>
              <w:rPr>
                <w:rStyle w:val="IndexLink"/>
                <w:rtl w:val="true"/>
              </w:rPr>
              <w:tab/>
            </w:r>
            <w:r>
              <w:rPr>
                <w:rStyle w:val="IndexLink"/>
              </w:rPr>
              <w:t>491</w:t>
            </w:r>
          </w:hyperlink>
        </w:p>
        <w:p>
          <w:pPr>
            <w:pStyle w:val="Contents4"/>
            <w:tabs>
              <w:tab w:val="clear" w:pos="8176"/>
              <w:tab w:val="right" w:pos="9026" w:leader="dot"/>
            </w:tabs>
            <w:rPr/>
          </w:pPr>
          <w:hyperlink w:anchor="__RefHeading___Toc7305354_3381743652">
            <w:r>
              <w:rPr>
                <w:webHidden/>
                <w:rStyle w:val="IndexLink"/>
                <w:rtl w:val="true"/>
              </w:rPr>
              <w:t>الثالث</w:t>
            </w:r>
            <w:r>
              <w:rPr>
                <w:rStyle w:val="IndexLink"/>
                <w:rtl w:val="true"/>
              </w:rPr>
              <w:t xml:space="preserve">: </w:t>
            </w:r>
            <w:r>
              <w:rPr>
                <w:rStyle w:val="IndexLink"/>
                <w:rtl w:val="true"/>
              </w:rPr>
              <w:t>أقسام العام</w:t>
            </w:r>
            <w:r>
              <w:rPr>
                <w:rStyle w:val="IndexLink"/>
                <w:rtl w:val="true"/>
              </w:rPr>
              <w:tab/>
            </w:r>
            <w:r>
              <w:rPr>
                <w:rStyle w:val="IndexLink"/>
              </w:rPr>
              <w:t>492</w:t>
            </w:r>
          </w:hyperlink>
        </w:p>
        <w:p>
          <w:pPr>
            <w:pStyle w:val="Contents5"/>
            <w:tabs>
              <w:tab w:val="clear" w:pos="7892"/>
              <w:tab w:val="right" w:pos="9026" w:leader="dot"/>
            </w:tabs>
            <w:rPr/>
          </w:pPr>
          <w:hyperlink w:anchor="__RefHeading___Toc7305356_3381743652">
            <w:r>
              <w:rPr>
                <w:webHidden/>
                <w:rStyle w:val="IndexLink"/>
                <w:rtl w:val="true"/>
              </w:rPr>
              <w:t>اشارة</w:t>
            </w:r>
            <w:r>
              <w:rPr>
                <w:rStyle w:val="IndexLink"/>
                <w:rtl w:val="true"/>
              </w:rPr>
              <w:tab/>
            </w:r>
            <w:r>
              <w:rPr>
                <w:rStyle w:val="IndexLink"/>
              </w:rPr>
              <w:t>492</w:t>
            </w:r>
          </w:hyperlink>
        </w:p>
        <w:p>
          <w:pPr>
            <w:pStyle w:val="Contents5"/>
            <w:tabs>
              <w:tab w:val="clear" w:pos="7892"/>
              <w:tab w:val="right" w:pos="9026" w:leader="dot"/>
            </w:tabs>
            <w:rPr/>
          </w:pPr>
          <w:hyperlink w:anchor="__RefHeading___Toc7305358_3381743652">
            <w:r>
              <w:rPr>
                <w:webHidden/>
                <w:rStyle w:val="IndexLink"/>
                <w:rtl w:val="true"/>
              </w:rPr>
              <w:t>نظرية المحقّق الخراساني انقسام العام إلى ثلاثة</w:t>
            </w:r>
            <w:r>
              <w:rPr>
                <w:rStyle w:val="IndexLink"/>
                <w:rtl w:val="true"/>
              </w:rPr>
              <w:tab/>
            </w:r>
            <w:r>
              <w:rPr>
                <w:rStyle w:val="IndexLink"/>
              </w:rPr>
              <w:t>493</w:t>
            </w:r>
          </w:hyperlink>
        </w:p>
        <w:p>
          <w:pPr>
            <w:pStyle w:val="Contents4"/>
            <w:tabs>
              <w:tab w:val="clear" w:pos="8176"/>
              <w:tab w:val="right" w:pos="9026" w:leader="dot"/>
            </w:tabs>
            <w:rPr/>
          </w:pPr>
          <w:hyperlink w:anchor="__RefHeading___Toc7305360_3381743652">
            <w:r>
              <w:rPr>
                <w:webHidden/>
                <w:rStyle w:val="IndexLink"/>
                <w:rtl w:val="true"/>
              </w:rPr>
              <w:t>الرابع</w:t>
            </w:r>
            <w:r>
              <w:rPr>
                <w:rStyle w:val="IndexLink"/>
                <w:rtl w:val="true"/>
              </w:rPr>
              <w:t xml:space="preserve">: </w:t>
            </w:r>
            <w:r>
              <w:rPr>
                <w:rStyle w:val="IndexLink"/>
                <w:rtl w:val="true"/>
              </w:rPr>
              <w:t>البدلي من أقسام العام</w:t>
            </w:r>
            <w:r>
              <w:rPr>
                <w:rStyle w:val="IndexLink"/>
                <w:rtl w:val="true"/>
              </w:rPr>
              <w:tab/>
            </w:r>
            <w:r>
              <w:rPr>
                <w:rStyle w:val="IndexLink"/>
              </w:rPr>
              <w:t>495</w:t>
            </w:r>
          </w:hyperlink>
        </w:p>
        <w:p>
          <w:pPr>
            <w:pStyle w:val="Contents4"/>
            <w:tabs>
              <w:tab w:val="clear" w:pos="8176"/>
              <w:tab w:val="right" w:pos="9026" w:leader="dot"/>
            </w:tabs>
            <w:rPr/>
          </w:pPr>
          <w:hyperlink w:anchor="__RefHeading___Toc7305362_3381743652">
            <w:r>
              <w:rPr>
                <w:webHidden/>
                <w:rStyle w:val="IndexLink"/>
                <w:rtl w:val="true"/>
              </w:rPr>
              <w:t>الخامس</w:t>
            </w:r>
            <w:r>
              <w:rPr>
                <w:rStyle w:val="IndexLink"/>
                <w:rtl w:val="true"/>
              </w:rPr>
              <w:t xml:space="preserve">: </w:t>
            </w:r>
            <w:r>
              <w:rPr>
                <w:rStyle w:val="IndexLink"/>
                <w:rtl w:val="true"/>
              </w:rPr>
              <w:t>دوران الأمر بين أحد الأقسام الثلاثة</w:t>
            </w:r>
            <w:r>
              <w:rPr>
                <w:rStyle w:val="IndexLink"/>
                <w:rtl w:val="true"/>
              </w:rPr>
              <w:tab/>
            </w:r>
            <w:r>
              <w:rPr>
                <w:rStyle w:val="IndexLink"/>
              </w:rPr>
              <w:t>496</w:t>
            </w:r>
          </w:hyperlink>
        </w:p>
        <w:p>
          <w:pPr>
            <w:pStyle w:val="Contents4"/>
            <w:tabs>
              <w:tab w:val="clear" w:pos="8176"/>
              <w:tab w:val="right" w:pos="9026" w:leader="dot"/>
            </w:tabs>
            <w:rPr/>
          </w:pPr>
          <w:hyperlink w:anchor="__RefHeading___Toc7305364_3381743652">
            <w:r>
              <w:rPr>
                <w:webHidden/>
                <w:rStyle w:val="IndexLink"/>
                <w:rtl w:val="true"/>
              </w:rPr>
              <w:t>السادس</w:t>
            </w:r>
            <w:r>
              <w:rPr>
                <w:rStyle w:val="IndexLink"/>
                <w:rtl w:val="true"/>
              </w:rPr>
              <w:t xml:space="preserve">: </w:t>
            </w:r>
            <w:r>
              <w:rPr>
                <w:rStyle w:val="IndexLink"/>
                <w:rtl w:val="true"/>
              </w:rPr>
              <w:t>الفرق بين العام و المطلق</w:t>
            </w:r>
            <w:r>
              <w:rPr>
                <w:rStyle w:val="IndexLink"/>
                <w:rtl w:val="true"/>
              </w:rPr>
              <w:tab/>
            </w:r>
            <w:r>
              <w:rPr>
                <w:rStyle w:val="IndexLink"/>
              </w:rPr>
              <w:t>497</w:t>
            </w:r>
          </w:hyperlink>
        </w:p>
        <w:p>
          <w:pPr>
            <w:pStyle w:val="Contents4"/>
            <w:tabs>
              <w:tab w:val="clear" w:pos="8176"/>
              <w:tab w:val="right" w:pos="9026" w:leader="dot"/>
            </w:tabs>
            <w:rPr/>
          </w:pPr>
          <w:hyperlink w:anchor="__RefHeading___Toc7305366_3381743652">
            <w:r>
              <w:rPr>
                <w:webHidden/>
                <w:rStyle w:val="IndexLink"/>
                <w:rtl w:val="true"/>
              </w:rPr>
              <w:t>السابع</w:t>
            </w:r>
            <w:r>
              <w:rPr>
                <w:rStyle w:val="IndexLink"/>
                <w:rtl w:val="true"/>
              </w:rPr>
              <w:t xml:space="preserve">: </w:t>
            </w:r>
            <w:r>
              <w:rPr>
                <w:rStyle w:val="IndexLink"/>
                <w:rtl w:val="true"/>
              </w:rPr>
              <w:t>حكم العشرة و أمثالها</w:t>
            </w:r>
            <w:r>
              <w:rPr>
                <w:rStyle w:val="IndexLink"/>
                <w:rtl w:val="true"/>
              </w:rPr>
              <w:tab/>
            </w:r>
            <w:r>
              <w:rPr>
                <w:rStyle w:val="IndexLink"/>
              </w:rPr>
              <w:t>498</w:t>
            </w:r>
          </w:hyperlink>
        </w:p>
        <w:p>
          <w:pPr>
            <w:pStyle w:val="Contents3"/>
            <w:tabs>
              <w:tab w:val="clear" w:pos="8459"/>
              <w:tab w:val="right" w:pos="9026" w:leader="dot"/>
            </w:tabs>
            <w:rPr/>
          </w:pPr>
          <w:hyperlink w:anchor="__RefHeading___Toc7305368_3381743652">
            <w:r>
              <w:rPr>
                <w:webHidden/>
                <w:rStyle w:val="IndexLink"/>
                <w:rtl w:val="true"/>
              </w:rPr>
              <w:t>الفصل الأوّل للعام صيغة تخصّه</w:t>
            </w:r>
            <w:r>
              <w:rPr>
                <w:rStyle w:val="IndexLink"/>
                <w:rtl w:val="true"/>
              </w:rPr>
              <w:tab/>
            </w:r>
            <w:r>
              <w:rPr>
                <w:rStyle w:val="IndexLink"/>
              </w:rPr>
              <w:t>499</w:t>
            </w:r>
          </w:hyperlink>
        </w:p>
        <w:p>
          <w:pPr>
            <w:pStyle w:val="Contents4"/>
            <w:tabs>
              <w:tab w:val="clear" w:pos="8176"/>
              <w:tab w:val="right" w:pos="9026" w:leader="dot"/>
            </w:tabs>
            <w:rPr/>
          </w:pPr>
          <w:hyperlink w:anchor="__RefHeading___Toc7305370_3381743652">
            <w:r>
              <w:rPr>
                <w:webHidden/>
                <w:rStyle w:val="IndexLink"/>
                <w:rtl w:val="true"/>
              </w:rPr>
              <w:t>اشارة</w:t>
            </w:r>
            <w:r>
              <w:rPr>
                <w:rStyle w:val="IndexLink"/>
                <w:rtl w:val="true"/>
              </w:rPr>
              <w:tab/>
            </w:r>
            <w:r>
              <w:rPr>
                <w:rStyle w:val="IndexLink"/>
              </w:rPr>
              <w:t>499</w:t>
            </w:r>
          </w:hyperlink>
        </w:p>
        <w:p>
          <w:pPr>
            <w:pStyle w:val="Contents4"/>
            <w:tabs>
              <w:tab w:val="clear" w:pos="8176"/>
              <w:tab w:val="right" w:pos="9026" w:leader="dot"/>
            </w:tabs>
            <w:rPr/>
          </w:pPr>
          <w:hyperlink w:anchor="__RefHeading___Toc7305372_3381743652">
            <w:r>
              <w:rPr>
                <w:webHidden/>
                <w:rStyle w:val="IndexLink"/>
                <w:rtl w:val="true"/>
              </w:rPr>
              <w:t>الأوّل</w:t>
            </w:r>
            <w:r>
              <w:rPr>
                <w:rStyle w:val="IndexLink"/>
                <w:rtl w:val="true"/>
              </w:rPr>
              <w:t xml:space="preserve">: </w:t>
            </w:r>
            <w:r>
              <w:rPr>
                <w:rStyle w:val="IndexLink"/>
                <w:rtl w:val="true"/>
              </w:rPr>
              <w:t>النكرة في سياق النفي أو النهي</w:t>
            </w:r>
            <w:r>
              <w:rPr>
                <w:rStyle w:val="IndexLink"/>
                <w:rtl w:val="true"/>
              </w:rPr>
              <w:tab/>
            </w:r>
            <w:r>
              <w:rPr>
                <w:rStyle w:val="IndexLink"/>
              </w:rPr>
              <w:t>501</w:t>
            </w:r>
          </w:hyperlink>
        </w:p>
        <w:p>
          <w:pPr>
            <w:pStyle w:val="Contents5"/>
            <w:tabs>
              <w:tab w:val="clear" w:pos="7892"/>
              <w:tab w:val="right" w:pos="9026" w:leader="dot"/>
            </w:tabs>
            <w:rPr/>
          </w:pPr>
          <w:hyperlink w:anchor="__RefHeading___Toc7305374_3381743652">
            <w:r>
              <w:rPr>
                <w:webHidden/>
                <w:rStyle w:val="IndexLink"/>
                <w:rtl w:val="true"/>
              </w:rPr>
              <w:t>اشارة</w:t>
            </w:r>
            <w:r>
              <w:rPr>
                <w:rStyle w:val="IndexLink"/>
                <w:rtl w:val="true"/>
              </w:rPr>
              <w:tab/>
            </w:r>
            <w:r>
              <w:rPr>
                <w:rStyle w:val="IndexLink"/>
              </w:rPr>
              <w:t>501</w:t>
            </w:r>
          </w:hyperlink>
        </w:p>
        <w:p>
          <w:pPr>
            <w:pStyle w:val="Contents5"/>
            <w:tabs>
              <w:tab w:val="clear" w:pos="7892"/>
              <w:tab w:val="right" w:pos="9026" w:leader="dot"/>
            </w:tabs>
            <w:rPr/>
          </w:pPr>
          <w:hyperlink w:anchor="__RefHeading___Toc7305376_3381743652">
            <w:r>
              <w:rPr>
                <w:webHidden/>
                <w:rStyle w:val="IndexLink"/>
                <w:rtl w:val="true"/>
              </w:rPr>
              <w:t>يلاحظ عليه بأمرين</w:t>
            </w:r>
            <w:r>
              <w:rPr>
                <w:rStyle w:val="IndexLink"/>
                <w:rtl w:val="true"/>
              </w:rPr>
              <w:t>:</w:t>
              <w:tab/>
            </w:r>
            <w:r>
              <w:rPr>
                <w:rStyle w:val="IndexLink"/>
              </w:rPr>
              <w:t>502</w:t>
            </w:r>
          </w:hyperlink>
        </w:p>
        <w:p>
          <w:pPr>
            <w:pStyle w:val="Contents4"/>
            <w:tabs>
              <w:tab w:val="clear" w:pos="8176"/>
              <w:tab w:val="right" w:pos="9026" w:leader="dot"/>
            </w:tabs>
            <w:rPr/>
          </w:pPr>
          <w:hyperlink w:anchor="__RefHeading___Toc7305378_3381743652">
            <w:r>
              <w:rPr>
                <w:webHidden/>
                <w:rStyle w:val="IndexLink"/>
                <w:rtl w:val="true"/>
              </w:rPr>
              <w:t>الثاني</w:t>
            </w:r>
            <w:r>
              <w:rPr>
                <w:rStyle w:val="IndexLink"/>
                <w:rtl w:val="true"/>
              </w:rPr>
              <w:t xml:space="preserve">: </w:t>
            </w:r>
            <w:r>
              <w:rPr>
                <w:rStyle w:val="IndexLink"/>
                <w:rtl w:val="true"/>
              </w:rPr>
              <w:t>لفظة كلّ أو ما يعادلها</w:t>
            </w:r>
            <w:r>
              <w:rPr>
                <w:rStyle w:val="IndexLink"/>
                <w:rtl w:val="true"/>
              </w:rPr>
              <w:tab/>
            </w:r>
            <w:r>
              <w:rPr>
                <w:rStyle w:val="IndexLink"/>
              </w:rPr>
              <w:t>505</w:t>
            </w:r>
          </w:hyperlink>
        </w:p>
        <w:p>
          <w:pPr>
            <w:pStyle w:val="Contents4"/>
            <w:tabs>
              <w:tab w:val="clear" w:pos="8176"/>
              <w:tab w:val="right" w:pos="9026" w:leader="dot"/>
            </w:tabs>
            <w:rPr/>
          </w:pPr>
          <w:hyperlink w:anchor="__RefHeading___Toc7305380_3381743652">
            <w:r>
              <w:rPr>
                <w:webHidden/>
                <w:rStyle w:val="IndexLink"/>
                <w:rtl w:val="true"/>
              </w:rPr>
              <w:t>الثالث</w:t>
            </w:r>
            <w:r>
              <w:rPr>
                <w:rStyle w:val="IndexLink"/>
                <w:rtl w:val="true"/>
              </w:rPr>
              <w:t xml:space="preserve">: </w:t>
            </w:r>
            <w:r>
              <w:rPr>
                <w:rStyle w:val="IndexLink"/>
                <w:rtl w:val="true"/>
              </w:rPr>
              <w:t>الجمع المحلّى باللام</w:t>
            </w:r>
            <w:r>
              <w:rPr>
                <w:rStyle w:val="IndexLink"/>
                <w:rtl w:val="true"/>
              </w:rPr>
              <w:tab/>
            </w:r>
            <w:r>
              <w:rPr>
                <w:rStyle w:val="IndexLink"/>
              </w:rPr>
              <w:t>505</w:t>
            </w:r>
          </w:hyperlink>
        </w:p>
        <w:p>
          <w:pPr>
            <w:pStyle w:val="Contents4"/>
            <w:tabs>
              <w:tab w:val="clear" w:pos="8176"/>
              <w:tab w:val="right" w:pos="9026" w:leader="dot"/>
            </w:tabs>
            <w:rPr/>
          </w:pPr>
          <w:hyperlink w:anchor="__RefHeading___Toc7305382_3381743652">
            <w:r>
              <w:rPr>
                <w:webHidden/>
                <w:rStyle w:val="IndexLink"/>
                <w:rtl w:val="true"/>
              </w:rPr>
              <w:t>الرابع</w:t>
            </w:r>
            <w:r>
              <w:rPr>
                <w:rStyle w:val="IndexLink"/>
                <w:rtl w:val="true"/>
              </w:rPr>
              <w:t xml:space="preserve">: </w:t>
            </w:r>
            <w:r>
              <w:rPr>
                <w:rStyle w:val="IndexLink"/>
                <w:rtl w:val="true"/>
              </w:rPr>
              <w:t>المفرد المحلّى باللام</w:t>
            </w:r>
            <w:r>
              <w:rPr>
                <w:rStyle w:val="IndexLink"/>
                <w:rtl w:val="true"/>
              </w:rPr>
              <w:tab/>
            </w:r>
            <w:r>
              <w:rPr>
                <w:rStyle w:val="IndexLink"/>
              </w:rPr>
              <w:t>507</w:t>
            </w:r>
          </w:hyperlink>
        </w:p>
        <w:p>
          <w:pPr>
            <w:pStyle w:val="Contents3"/>
            <w:tabs>
              <w:tab w:val="clear" w:pos="8459"/>
              <w:tab w:val="right" w:pos="9026" w:leader="dot"/>
            </w:tabs>
            <w:rPr/>
          </w:pPr>
          <w:hyperlink w:anchor="__RefHeading___Toc7305384_3381743652">
            <w:r>
              <w:rPr>
                <w:webHidden/>
                <w:rStyle w:val="IndexLink"/>
                <w:rtl w:val="true"/>
              </w:rPr>
              <w:t>الفصل الثاني تخصيص العام لا يوجب المجازية</w:t>
            </w:r>
            <w:r>
              <w:rPr>
                <w:rStyle w:val="IndexLink"/>
                <w:rtl w:val="true"/>
              </w:rPr>
              <w:tab/>
            </w:r>
            <w:r>
              <w:rPr>
                <w:rStyle w:val="IndexLink"/>
              </w:rPr>
              <w:t>509</w:t>
            </w:r>
          </w:hyperlink>
        </w:p>
        <w:p>
          <w:pPr>
            <w:pStyle w:val="Contents4"/>
            <w:tabs>
              <w:tab w:val="clear" w:pos="8176"/>
              <w:tab w:val="right" w:pos="9026" w:leader="dot"/>
            </w:tabs>
            <w:rPr/>
          </w:pPr>
          <w:hyperlink w:anchor="__RefHeading___Toc7305386_3381743652">
            <w:r>
              <w:rPr>
                <w:webHidden/>
                <w:rStyle w:val="IndexLink"/>
                <w:rtl w:val="true"/>
              </w:rPr>
              <w:t>اشارة</w:t>
            </w:r>
            <w:r>
              <w:rPr>
                <w:rStyle w:val="IndexLink"/>
                <w:rtl w:val="true"/>
              </w:rPr>
              <w:tab/>
            </w:r>
            <w:r>
              <w:rPr>
                <w:rStyle w:val="IndexLink"/>
              </w:rPr>
              <w:t>509</w:t>
            </w:r>
          </w:hyperlink>
        </w:p>
        <w:p>
          <w:pPr>
            <w:pStyle w:val="Contents4"/>
            <w:tabs>
              <w:tab w:val="clear" w:pos="8176"/>
              <w:tab w:val="right" w:pos="9026" w:leader="dot"/>
            </w:tabs>
            <w:rPr/>
          </w:pPr>
          <w:hyperlink w:anchor="__RefHeading___Toc7305388_3381743652">
            <w:r>
              <w:rPr>
                <w:webHidden/>
                <w:rStyle w:val="IndexLink"/>
              </w:rPr>
              <w:t>1</w:t>
            </w:r>
            <w:r>
              <w:rPr>
                <w:rStyle w:val="IndexLink"/>
                <w:rtl w:val="true"/>
              </w:rPr>
              <w:t xml:space="preserve">. </w:t>
            </w:r>
            <w:r>
              <w:rPr>
                <w:rStyle w:val="IndexLink"/>
                <w:rtl w:val="true"/>
              </w:rPr>
              <w:t>المخصص المتّصل و تعدد الدال و المدلول</w:t>
            </w:r>
            <w:r>
              <w:rPr>
                <w:rStyle w:val="IndexLink"/>
                <w:rtl w:val="true"/>
              </w:rPr>
              <w:tab/>
            </w:r>
            <w:r>
              <w:rPr>
                <w:rStyle w:val="IndexLink"/>
              </w:rPr>
              <w:t>510</w:t>
            </w:r>
          </w:hyperlink>
        </w:p>
        <w:p>
          <w:pPr>
            <w:pStyle w:val="Contents4"/>
            <w:tabs>
              <w:tab w:val="clear" w:pos="8176"/>
              <w:tab w:val="right" w:pos="9026" w:leader="dot"/>
            </w:tabs>
            <w:rPr/>
          </w:pPr>
          <w:hyperlink w:anchor="__RefHeading___Toc7305390_3381743652">
            <w:r>
              <w:rPr>
                <w:webHidden/>
                <w:rStyle w:val="IndexLink"/>
              </w:rPr>
              <w:t>2</w:t>
            </w:r>
            <w:r>
              <w:rPr>
                <w:rStyle w:val="IndexLink"/>
                <w:rtl w:val="true"/>
              </w:rPr>
              <w:t xml:space="preserve">. </w:t>
            </w:r>
            <w:r>
              <w:rPr>
                <w:rStyle w:val="IndexLink"/>
                <w:rtl w:val="true"/>
              </w:rPr>
              <w:t>المخصص المنفصل و الإرادة الاستعمالية</w:t>
            </w:r>
            <w:r>
              <w:rPr>
                <w:rStyle w:val="IndexLink"/>
                <w:rtl w:val="true"/>
              </w:rPr>
              <w:tab/>
            </w:r>
            <w:r>
              <w:rPr>
                <w:rStyle w:val="IndexLink"/>
              </w:rPr>
              <w:t>511</w:t>
            </w:r>
          </w:hyperlink>
        </w:p>
        <w:p>
          <w:pPr>
            <w:pStyle w:val="Contents5"/>
            <w:tabs>
              <w:tab w:val="clear" w:pos="7892"/>
              <w:tab w:val="right" w:pos="9026" w:leader="dot"/>
            </w:tabs>
            <w:rPr/>
          </w:pPr>
          <w:hyperlink w:anchor="__RefHeading___Toc7305392_3381743652">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7305394_3381743652">
            <w:r>
              <w:rPr>
                <w:webHidden/>
                <w:rStyle w:val="IndexLink"/>
                <w:rtl w:val="true"/>
              </w:rPr>
              <w:t>مخالف للظهور أو مخالف للحجّية</w:t>
            </w:r>
            <w:r>
              <w:rPr>
                <w:rStyle w:val="IndexLink"/>
                <w:rtl w:val="true"/>
              </w:rPr>
              <w:tab/>
            </w:r>
            <w:r>
              <w:rPr>
                <w:rStyle w:val="IndexLink"/>
              </w:rPr>
              <w:t>513</w:t>
            </w:r>
          </w:hyperlink>
        </w:p>
        <w:p>
          <w:pPr>
            <w:pStyle w:val="Contents3"/>
            <w:tabs>
              <w:tab w:val="clear" w:pos="8459"/>
              <w:tab w:val="right" w:pos="9026" w:leader="dot"/>
            </w:tabs>
            <w:rPr/>
          </w:pPr>
          <w:hyperlink w:anchor="__RefHeading___Toc7305396_3381743652">
            <w:r>
              <w:rPr>
                <w:webHidden/>
                <w:rStyle w:val="IndexLink"/>
                <w:rtl w:val="true"/>
              </w:rPr>
              <w:t>الفصل الثالث العام المخصص حجّة في الباقي</w:t>
            </w:r>
            <w:r>
              <w:rPr>
                <w:rStyle w:val="IndexLink"/>
                <w:rtl w:val="true"/>
              </w:rPr>
              <w:tab/>
            </w:r>
            <w:r>
              <w:rPr>
                <w:rStyle w:val="IndexLink"/>
              </w:rPr>
              <w:t>515</w:t>
            </w:r>
          </w:hyperlink>
        </w:p>
        <w:p>
          <w:pPr>
            <w:pStyle w:val="Contents4"/>
            <w:tabs>
              <w:tab w:val="clear" w:pos="8176"/>
              <w:tab w:val="right" w:pos="9026" w:leader="dot"/>
            </w:tabs>
            <w:rPr/>
          </w:pPr>
          <w:hyperlink w:anchor="__RefHeading___Toc7305398_3381743652">
            <w:r>
              <w:rPr>
                <w:webHidden/>
                <w:rStyle w:val="IndexLink"/>
                <w:rtl w:val="true"/>
              </w:rPr>
              <w:t>اشارة</w:t>
            </w:r>
            <w:r>
              <w:rPr>
                <w:rStyle w:val="IndexLink"/>
                <w:rtl w:val="true"/>
              </w:rPr>
              <w:tab/>
            </w:r>
            <w:r>
              <w:rPr>
                <w:rStyle w:val="IndexLink"/>
              </w:rPr>
              <w:t>515</w:t>
            </w:r>
          </w:hyperlink>
        </w:p>
        <w:p>
          <w:pPr>
            <w:pStyle w:val="Contents4"/>
            <w:tabs>
              <w:tab w:val="clear" w:pos="8176"/>
              <w:tab w:val="right" w:pos="9026" w:leader="dot"/>
            </w:tabs>
            <w:rPr/>
          </w:pPr>
          <w:hyperlink w:anchor="__RefHeading___Toc7305400_3381743652">
            <w:r>
              <w:rPr>
                <w:webHidden/>
                <w:rStyle w:val="IndexLink"/>
                <w:rtl w:val="true"/>
              </w:rPr>
              <w:t>دليل القائل بعدم حجّية العام في الباقي</w:t>
            </w:r>
            <w:r>
              <w:rPr>
                <w:rStyle w:val="IndexLink"/>
                <w:rtl w:val="true"/>
              </w:rPr>
              <w:tab/>
            </w:r>
            <w:r>
              <w:rPr>
                <w:rStyle w:val="IndexLink"/>
              </w:rPr>
              <w:t>516</w:t>
            </w:r>
          </w:hyperlink>
        </w:p>
        <w:p>
          <w:pPr>
            <w:pStyle w:val="Contents4"/>
            <w:tabs>
              <w:tab w:val="clear" w:pos="8176"/>
              <w:tab w:val="right" w:pos="9026" w:leader="dot"/>
            </w:tabs>
            <w:rPr/>
          </w:pPr>
          <w:hyperlink w:anchor="__RefHeading___Toc7305402_3381743652">
            <w:r>
              <w:rPr>
                <w:webHidden/>
                <w:rStyle w:val="IndexLink"/>
                <w:rtl w:val="true"/>
              </w:rPr>
              <w:t>و قد أُجيب عن الاستدلال بوجوه نأتي بها</w:t>
            </w:r>
            <w:r>
              <w:rPr>
                <w:rStyle w:val="IndexLink"/>
                <w:rtl w:val="true"/>
              </w:rPr>
              <w:t>:</w:t>
              <w:tab/>
            </w:r>
            <w:r>
              <w:rPr>
                <w:rStyle w:val="IndexLink"/>
              </w:rPr>
              <w:t>516</w:t>
            </w:r>
          </w:hyperlink>
        </w:p>
        <w:p>
          <w:pPr>
            <w:pStyle w:val="Contents5"/>
            <w:tabs>
              <w:tab w:val="clear" w:pos="7892"/>
              <w:tab w:val="right" w:pos="9026" w:leader="dot"/>
            </w:tabs>
            <w:rPr/>
          </w:pPr>
          <w:hyperlink w:anchor="__RefHeading___Toc7305404_3381743652">
            <w:r>
              <w:rPr>
                <w:webHidden/>
                <w:rStyle w:val="IndexLink"/>
              </w:rPr>
              <w:t>1</w:t>
            </w:r>
            <w:r>
              <w:rPr>
                <w:rStyle w:val="IndexLink"/>
                <w:rtl w:val="true"/>
              </w:rPr>
              <w:t xml:space="preserve">. </w:t>
            </w:r>
            <w:r>
              <w:rPr>
                <w:rStyle w:val="IndexLink"/>
                <w:rtl w:val="true"/>
              </w:rPr>
              <w:t>انّ الباقي أقرب المجازات، فإذا تعدّدت الحقيقة فأقرب المجازات أولى</w:t>
            </w:r>
            <w:r>
              <w:rPr>
                <w:rStyle w:val="IndexLink"/>
                <w:rtl w:val="true"/>
              </w:rPr>
              <w:t>.</w:t>
              <w:tab/>
            </w:r>
            <w:r>
              <w:rPr>
                <w:rStyle w:val="IndexLink"/>
              </w:rPr>
              <w:t>516</w:t>
            </w:r>
          </w:hyperlink>
        </w:p>
        <w:p>
          <w:pPr>
            <w:pStyle w:val="Contents5"/>
            <w:tabs>
              <w:tab w:val="clear" w:pos="7892"/>
              <w:tab w:val="right" w:pos="9026" w:leader="dot"/>
            </w:tabs>
            <w:rPr/>
          </w:pPr>
          <w:hyperlink w:anchor="__RefHeading___Toc7305406_3381743652">
            <w:r>
              <w:rPr>
                <w:webHidden/>
                <w:rStyle w:val="IndexLink"/>
              </w:rPr>
              <w:t>2</w:t>
            </w:r>
            <w:r>
              <w:rPr>
                <w:rStyle w:val="IndexLink"/>
                <w:rtl w:val="true"/>
              </w:rPr>
              <w:t xml:space="preserve">. </w:t>
            </w:r>
            <w:r>
              <w:rPr>
                <w:rStyle w:val="IndexLink"/>
                <w:rtl w:val="true"/>
              </w:rPr>
              <w:t>ما ذكره الشيخ الأنصاري</w:t>
            </w:r>
            <w:r>
              <w:rPr>
                <w:rStyle w:val="IndexLink"/>
                <w:rtl w:val="true"/>
              </w:rPr>
              <w:tab/>
            </w:r>
            <w:r>
              <w:rPr>
                <w:rStyle w:val="IndexLink"/>
              </w:rPr>
              <w:t>516</w:t>
            </w:r>
          </w:hyperlink>
        </w:p>
        <w:p>
          <w:pPr>
            <w:pStyle w:val="Contents6"/>
            <w:tabs>
              <w:tab w:val="clear" w:pos="7609"/>
              <w:tab w:val="right" w:pos="9026" w:leader="dot"/>
            </w:tabs>
            <w:rPr/>
          </w:pPr>
          <w:hyperlink w:anchor="__RefHeading___Toc7305408_3381743652">
            <w:r>
              <w:rPr>
                <w:webHidden/>
                <w:rStyle w:val="IndexLink"/>
                <w:rtl w:val="true"/>
              </w:rPr>
              <w:t>اشارة</w:t>
            </w:r>
            <w:r>
              <w:rPr>
                <w:rStyle w:val="IndexLink"/>
                <w:rtl w:val="true"/>
              </w:rPr>
              <w:tab/>
            </w:r>
            <w:r>
              <w:rPr>
                <w:rStyle w:val="IndexLink"/>
              </w:rPr>
              <w:t>516</w:t>
            </w:r>
          </w:hyperlink>
        </w:p>
        <w:p>
          <w:pPr>
            <w:pStyle w:val="Contents6"/>
            <w:tabs>
              <w:tab w:val="clear" w:pos="7609"/>
              <w:tab w:val="right" w:pos="9026" w:leader="dot"/>
            </w:tabs>
            <w:rPr/>
          </w:pPr>
          <w:hyperlink w:anchor="__RefHeading___Toc7305410_3381743652">
            <w:r>
              <w:rPr>
                <w:webHidden/>
                <w:rStyle w:val="IndexLink"/>
                <w:rtl w:val="true"/>
              </w:rPr>
              <w:t>و أورد عليه المحقّق الخراساني بوجهين</w:t>
            </w:r>
            <w:r>
              <w:rPr>
                <w:rStyle w:val="IndexLink"/>
                <w:rtl w:val="true"/>
              </w:rPr>
              <w:t>:</w:t>
              <w:tab/>
            </w:r>
            <w:r>
              <w:rPr>
                <w:rStyle w:val="IndexLink"/>
              </w:rPr>
              <w:t>517</w:t>
            </w:r>
          </w:hyperlink>
        </w:p>
        <w:p>
          <w:pPr>
            <w:pStyle w:val="Contents6"/>
            <w:tabs>
              <w:tab w:val="clear" w:pos="7609"/>
              <w:tab w:val="right" w:pos="9026" w:leader="dot"/>
            </w:tabs>
            <w:rPr/>
          </w:pPr>
          <w:hyperlink w:anchor="__RefHeading___Toc7305412_3381743652">
            <w:r>
              <w:rPr>
                <w:webHidden/>
                <w:rStyle w:val="IndexLink"/>
                <w:rtl w:val="true"/>
              </w:rPr>
              <w:t>أ</w:t>
            </w:r>
            <w:r>
              <w:rPr>
                <w:rStyle w:val="IndexLink"/>
                <w:rtl w:val="true"/>
              </w:rPr>
              <w:t xml:space="preserve">. </w:t>
            </w:r>
            <w:r>
              <w:rPr>
                <w:rStyle w:val="IndexLink"/>
                <w:rtl w:val="true"/>
              </w:rPr>
              <w:t>حمله على الباقي ترجيح بلا مرجّح</w:t>
            </w:r>
            <w:r>
              <w:rPr>
                <w:rStyle w:val="IndexLink"/>
                <w:rtl w:val="true"/>
              </w:rPr>
              <w:tab/>
            </w:r>
            <w:r>
              <w:rPr>
                <w:rStyle w:val="IndexLink"/>
              </w:rPr>
              <w:t>517</w:t>
            </w:r>
          </w:hyperlink>
        </w:p>
        <w:p>
          <w:pPr>
            <w:pStyle w:val="Contents6"/>
            <w:tabs>
              <w:tab w:val="clear" w:pos="7609"/>
              <w:tab w:val="right" w:pos="9026" w:leader="dot"/>
            </w:tabs>
            <w:rPr/>
          </w:pPr>
          <w:hyperlink w:anchor="__RefHeading___Toc7305414_3381743652">
            <w:r>
              <w:rPr>
                <w:webHidden/>
                <w:rStyle w:val="IndexLink"/>
                <w:rtl w:val="true"/>
              </w:rPr>
              <w:t>ب</w:t>
            </w:r>
            <w:r>
              <w:rPr>
                <w:rStyle w:val="IndexLink"/>
                <w:rtl w:val="true"/>
              </w:rPr>
              <w:t xml:space="preserve">. </w:t>
            </w:r>
            <w:r>
              <w:rPr>
                <w:rStyle w:val="IndexLink"/>
                <w:rtl w:val="true"/>
              </w:rPr>
              <w:t>فقد المقتضي للحمل</w:t>
            </w:r>
            <w:r>
              <w:rPr>
                <w:rStyle w:val="IndexLink"/>
                <w:rtl w:val="true"/>
              </w:rPr>
              <w:tab/>
            </w:r>
            <w:r>
              <w:rPr>
                <w:rStyle w:val="IndexLink"/>
              </w:rPr>
              <w:t>517</w:t>
            </w:r>
          </w:hyperlink>
        </w:p>
        <w:p>
          <w:pPr>
            <w:pStyle w:val="Contents5"/>
            <w:tabs>
              <w:tab w:val="clear" w:pos="7892"/>
              <w:tab w:val="right" w:pos="9026" w:leader="dot"/>
            </w:tabs>
            <w:rPr/>
          </w:pPr>
          <w:hyperlink w:anchor="__RefHeading___Toc7305416_3381743652">
            <w:r>
              <w:rPr>
                <w:webHidden/>
                <w:rStyle w:val="IndexLink"/>
              </w:rPr>
              <w:t>3</w:t>
            </w:r>
            <w:r>
              <w:rPr>
                <w:rStyle w:val="IndexLink"/>
                <w:rtl w:val="true"/>
              </w:rPr>
              <w:t xml:space="preserve">. </w:t>
            </w:r>
            <w:r>
              <w:rPr>
                <w:rStyle w:val="IndexLink"/>
                <w:rtl w:val="true"/>
              </w:rPr>
              <w:t>إجابة المحقّق الخراساني عن الاستدلال</w:t>
            </w:r>
            <w:r>
              <w:rPr>
                <w:rStyle w:val="IndexLink"/>
                <w:rtl w:val="true"/>
              </w:rPr>
              <w:tab/>
            </w:r>
            <w:r>
              <w:rPr>
                <w:rStyle w:val="IndexLink"/>
              </w:rPr>
              <w:t>518</w:t>
            </w:r>
          </w:hyperlink>
        </w:p>
        <w:p>
          <w:pPr>
            <w:pStyle w:val="Contents3"/>
            <w:tabs>
              <w:tab w:val="clear" w:pos="8459"/>
              <w:tab w:val="right" w:pos="9026" w:leader="dot"/>
            </w:tabs>
            <w:rPr/>
          </w:pPr>
          <w:hyperlink w:anchor="__RefHeading___Toc7305418_3381743652">
            <w:r>
              <w:rPr>
                <w:webHidden/>
                <w:rStyle w:val="IndexLink"/>
                <w:rtl w:val="true"/>
              </w:rPr>
              <w:t>الفصل الرابع في حجّية العام في مورد إجمال المخصص مفهوماً</w:t>
            </w:r>
            <w:r>
              <w:rPr>
                <w:rStyle w:val="IndexLink"/>
                <w:rtl w:val="true"/>
              </w:rPr>
              <w:tab/>
            </w:r>
            <w:r>
              <w:rPr>
                <w:rStyle w:val="IndexLink"/>
              </w:rPr>
              <w:t>521</w:t>
            </w:r>
          </w:hyperlink>
        </w:p>
        <w:p>
          <w:pPr>
            <w:pStyle w:val="Contents4"/>
            <w:tabs>
              <w:tab w:val="clear" w:pos="8176"/>
              <w:tab w:val="right" w:pos="9026" w:leader="dot"/>
            </w:tabs>
            <w:rPr/>
          </w:pPr>
          <w:hyperlink w:anchor="__RefHeading___Toc7305420_3381743652">
            <w:r>
              <w:rPr>
                <w:webHidden/>
                <w:rStyle w:val="IndexLink"/>
                <w:rtl w:val="true"/>
              </w:rPr>
              <w:t>اشارة</w:t>
            </w:r>
            <w:r>
              <w:rPr>
                <w:rStyle w:val="IndexLink"/>
                <w:rtl w:val="true"/>
              </w:rPr>
              <w:tab/>
            </w:r>
            <w:r>
              <w:rPr>
                <w:rStyle w:val="IndexLink"/>
              </w:rPr>
              <w:t>521</w:t>
            </w:r>
          </w:hyperlink>
        </w:p>
        <w:p>
          <w:pPr>
            <w:pStyle w:val="Contents4"/>
            <w:tabs>
              <w:tab w:val="clear" w:pos="8176"/>
              <w:tab w:val="right" w:pos="9026" w:leader="dot"/>
            </w:tabs>
            <w:rPr/>
          </w:pPr>
          <w:hyperlink w:anchor="__RefHeading___Toc7305422_3381743652">
            <w:r>
              <w:rPr>
                <w:webHidden/>
                <w:rStyle w:val="IndexLink"/>
              </w:rPr>
              <w:t>1</w:t>
            </w:r>
            <w:r>
              <w:rPr>
                <w:rStyle w:val="IndexLink"/>
                <w:rtl w:val="true"/>
              </w:rPr>
              <w:t xml:space="preserve">. </w:t>
            </w:r>
            <w:r>
              <w:rPr>
                <w:rStyle w:val="IndexLink"/>
                <w:rtl w:val="true"/>
              </w:rPr>
              <w:t>المخصص اللفظي المتصل الدائر بين الأقلّ و الأكثر</w:t>
            </w:r>
            <w:r>
              <w:rPr>
                <w:rStyle w:val="IndexLink"/>
                <w:rtl w:val="true"/>
              </w:rPr>
              <w:tab/>
            </w:r>
            <w:r>
              <w:rPr>
                <w:rStyle w:val="IndexLink"/>
              </w:rPr>
              <w:t>522</w:t>
            </w:r>
          </w:hyperlink>
        </w:p>
        <w:p>
          <w:pPr>
            <w:pStyle w:val="Contents4"/>
            <w:tabs>
              <w:tab w:val="clear" w:pos="8176"/>
              <w:tab w:val="right" w:pos="9026" w:leader="dot"/>
            </w:tabs>
            <w:rPr/>
          </w:pPr>
          <w:hyperlink w:anchor="__RefHeading___Toc7305424_3381743652">
            <w:r>
              <w:rPr>
                <w:webHidden/>
                <w:rStyle w:val="IndexLink"/>
              </w:rPr>
              <w:t>2</w:t>
            </w:r>
            <w:r>
              <w:rPr>
                <w:rStyle w:val="IndexLink"/>
                <w:rtl w:val="true"/>
              </w:rPr>
              <w:t xml:space="preserve">. </w:t>
            </w:r>
            <w:r>
              <w:rPr>
                <w:rStyle w:val="IndexLink"/>
                <w:rtl w:val="true"/>
              </w:rPr>
              <w:t>المخصص اللفظي المنفصل الدائر بين الأقل و الأكثر</w:t>
            </w:r>
            <w:r>
              <w:rPr>
                <w:rStyle w:val="IndexLink"/>
                <w:rtl w:val="true"/>
              </w:rPr>
              <w:tab/>
            </w:r>
            <w:r>
              <w:rPr>
                <w:rStyle w:val="IndexLink"/>
              </w:rPr>
              <w:t>523</w:t>
            </w:r>
          </w:hyperlink>
        </w:p>
        <w:p>
          <w:pPr>
            <w:pStyle w:val="Contents4"/>
            <w:tabs>
              <w:tab w:val="clear" w:pos="8176"/>
              <w:tab w:val="right" w:pos="9026" w:leader="dot"/>
            </w:tabs>
            <w:rPr/>
          </w:pPr>
          <w:hyperlink w:anchor="__RefHeading___Toc7305426_3381743652">
            <w:r>
              <w:rPr>
                <w:webHidden/>
                <w:rStyle w:val="IndexLink"/>
              </w:rPr>
              <w:t>3</w:t>
            </w:r>
            <w:r>
              <w:rPr>
                <w:rStyle w:val="IndexLink"/>
                <w:rtl w:val="true"/>
              </w:rPr>
              <w:t xml:space="preserve">. </w:t>
            </w:r>
            <w:r>
              <w:rPr>
                <w:rStyle w:val="IndexLink"/>
                <w:rtl w:val="true"/>
              </w:rPr>
              <w:t>المخصص اللفظي المتصل الدائر أمره بين المتباينين</w:t>
            </w:r>
            <w:r>
              <w:rPr>
                <w:rStyle w:val="IndexLink"/>
                <w:rtl w:val="true"/>
              </w:rPr>
              <w:tab/>
            </w:r>
            <w:r>
              <w:rPr>
                <w:rStyle w:val="IndexLink"/>
              </w:rPr>
              <w:t>528</w:t>
            </w:r>
          </w:hyperlink>
        </w:p>
        <w:p>
          <w:pPr>
            <w:pStyle w:val="Contents4"/>
            <w:tabs>
              <w:tab w:val="clear" w:pos="8176"/>
              <w:tab w:val="right" w:pos="9026" w:leader="dot"/>
            </w:tabs>
            <w:rPr/>
          </w:pPr>
          <w:hyperlink w:anchor="__RefHeading___Toc7305428_3381743652">
            <w:r>
              <w:rPr>
                <w:webHidden/>
                <w:rStyle w:val="IndexLink"/>
              </w:rPr>
              <w:t>4</w:t>
            </w:r>
            <w:r>
              <w:rPr>
                <w:rStyle w:val="IndexLink"/>
                <w:rtl w:val="true"/>
              </w:rPr>
              <w:t xml:space="preserve">. </w:t>
            </w:r>
            <w:r>
              <w:rPr>
                <w:rStyle w:val="IndexLink"/>
                <w:rtl w:val="true"/>
              </w:rPr>
              <w:t>المخصّص اللفظي المنفصل المجمل الدائر أمره بين المتباينين</w:t>
            </w:r>
            <w:r>
              <w:rPr>
                <w:rStyle w:val="IndexLink"/>
                <w:rtl w:val="true"/>
              </w:rPr>
              <w:tab/>
            </w:r>
            <w:r>
              <w:rPr>
                <w:rStyle w:val="IndexLink"/>
              </w:rPr>
              <w:t>528</w:t>
            </w:r>
          </w:hyperlink>
        </w:p>
        <w:p>
          <w:pPr>
            <w:pStyle w:val="Contents3"/>
            <w:tabs>
              <w:tab w:val="clear" w:pos="8459"/>
              <w:tab w:val="right" w:pos="9026" w:leader="dot"/>
            </w:tabs>
            <w:rPr/>
          </w:pPr>
          <w:hyperlink w:anchor="__RefHeading___Toc7305430_3381743652">
            <w:r>
              <w:rPr>
                <w:webHidden/>
                <w:rStyle w:val="IndexLink"/>
                <w:rtl w:val="true"/>
              </w:rPr>
              <w:t>الفصل الخامس المخصّص اللفظي المجمل مصداقاً</w:t>
            </w:r>
            <w:r>
              <w:rPr>
                <w:rStyle w:val="IndexLink"/>
                <w:rtl w:val="true"/>
              </w:rPr>
              <w:tab/>
            </w:r>
            <w:r>
              <w:rPr>
                <w:rStyle w:val="IndexLink"/>
              </w:rPr>
              <w:t>530</w:t>
            </w:r>
          </w:hyperlink>
        </w:p>
        <w:p>
          <w:pPr>
            <w:pStyle w:val="Contents4"/>
            <w:tabs>
              <w:tab w:val="clear" w:pos="8176"/>
              <w:tab w:val="right" w:pos="9026" w:leader="dot"/>
            </w:tabs>
            <w:rPr/>
          </w:pPr>
          <w:hyperlink w:anchor="__RefHeading___Toc7305432_3381743652">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7305434_3381743652">
            <w:r>
              <w:rPr>
                <w:webHidden/>
                <w:rStyle w:val="IndexLink"/>
                <w:rtl w:val="true"/>
              </w:rPr>
              <w:t>أدلة المجوزين</w:t>
            </w:r>
            <w:r>
              <w:rPr>
                <w:rStyle w:val="IndexLink"/>
                <w:rtl w:val="true"/>
              </w:rPr>
              <w:tab/>
            </w:r>
            <w:r>
              <w:rPr>
                <w:rStyle w:val="IndexLink"/>
              </w:rPr>
              <w:t>531</w:t>
            </w:r>
          </w:hyperlink>
        </w:p>
        <w:p>
          <w:pPr>
            <w:pStyle w:val="Contents5"/>
            <w:tabs>
              <w:tab w:val="clear" w:pos="7892"/>
              <w:tab w:val="right" w:pos="9026" w:leader="dot"/>
            </w:tabs>
            <w:rPr/>
          </w:pPr>
          <w:hyperlink w:anchor="__RefHeading___Toc7305436_3381743652">
            <w:r>
              <w:rPr>
                <w:webHidden/>
                <w:rStyle w:val="IndexLink"/>
                <w:rtl w:val="true"/>
              </w:rPr>
              <w:t>الأوّل</w:t>
            </w:r>
            <w:r>
              <w:rPr>
                <w:rStyle w:val="IndexLink"/>
                <w:rtl w:val="true"/>
              </w:rPr>
              <w:t xml:space="preserve">: </w:t>
            </w:r>
            <w:r>
              <w:rPr>
                <w:rStyle w:val="IndexLink"/>
                <w:rtl w:val="true"/>
              </w:rPr>
              <w:t>مزاحمة الحجّة بغير الحجّة</w:t>
            </w:r>
            <w:r>
              <w:rPr>
                <w:rStyle w:val="IndexLink"/>
                <w:rtl w:val="true"/>
              </w:rPr>
              <w:tab/>
            </w:r>
            <w:r>
              <w:rPr>
                <w:rStyle w:val="IndexLink"/>
              </w:rPr>
              <w:t>531</w:t>
            </w:r>
          </w:hyperlink>
        </w:p>
        <w:p>
          <w:pPr>
            <w:pStyle w:val="Contents5"/>
            <w:tabs>
              <w:tab w:val="clear" w:pos="7892"/>
              <w:tab w:val="right" w:pos="9026" w:leader="dot"/>
            </w:tabs>
            <w:rPr/>
          </w:pPr>
          <w:hyperlink w:anchor="__RefHeading___Toc7305438_3381743652">
            <w:r>
              <w:rPr>
                <w:webHidden/>
                <w:rStyle w:val="IndexLink"/>
                <w:rtl w:val="true"/>
              </w:rPr>
              <w:t>الثاني</w:t>
            </w:r>
            <w:r>
              <w:rPr>
                <w:rStyle w:val="IndexLink"/>
                <w:rtl w:val="true"/>
              </w:rPr>
              <w:t xml:space="preserve">: </w:t>
            </w:r>
            <w:r>
              <w:rPr>
                <w:rStyle w:val="IndexLink"/>
                <w:rtl w:val="true"/>
              </w:rPr>
              <w:t>التمسّك بالعموم الأحوالي</w:t>
            </w:r>
            <w:r>
              <w:rPr>
                <w:rStyle w:val="IndexLink"/>
                <w:rtl w:val="true"/>
              </w:rPr>
              <w:tab/>
            </w:r>
            <w:r>
              <w:rPr>
                <w:rStyle w:val="IndexLink"/>
              </w:rPr>
              <w:t>533</w:t>
            </w:r>
          </w:hyperlink>
        </w:p>
        <w:p>
          <w:pPr>
            <w:pStyle w:val="Contents5"/>
            <w:tabs>
              <w:tab w:val="clear" w:pos="7892"/>
              <w:tab w:val="right" w:pos="9026" w:leader="dot"/>
            </w:tabs>
            <w:rPr/>
          </w:pPr>
          <w:hyperlink w:anchor="__RefHeading___Toc7305440_3381743652">
            <w:r>
              <w:rPr>
                <w:webHidden/>
                <w:rStyle w:val="IndexLink"/>
                <w:rtl w:val="true"/>
              </w:rPr>
              <w:t>الثالث</w:t>
            </w:r>
            <w:r>
              <w:rPr>
                <w:rStyle w:val="IndexLink"/>
                <w:rtl w:val="true"/>
              </w:rPr>
              <w:t xml:space="preserve">: </w:t>
            </w:r>
            <w:r>
              <w:rPr>
                <w:rStyle w:val="IndexLink"/>
                <w:rtl w:val="true"/>
              </w:rPr>
              <w:t>استصحاب حكم العام</w:t>
            </w:r>
            <w:r>
              <w:rPr>
                <w:rStyle w:val="IndexLink"/>
                <w:rtl w:val="true"/>
              </w:rPr>
              <w:tab/>
            </w:r>
            <w:r>
              <w:rPr>
                <w:rStyle w:val="IndexLink"/>
              </w:rPr>
              <w:t>534</w:t>
            </w:r>
          </w:hyperlink>
        </w:p>
        <w:p>
          <w:pPr>
            <w:pStyle w:val="Contents5"/>
            <w:tabs>
              <w:tab w:val="clear" w:pos="7892"/>
              <w:tab w:val="right" w:pos="9026" w:leader="dot"/>
            </w:tabs>
            <w:rPr/>
          </w:pPr>
          <w:hyperlink w:anchor="__RefHeading___Toc7305442_3381743652">
            <w:r>
              <w:rPr>
                <w:webHidden/>
                <w:rStyle w:val="IndexLink"/>
                <w:rtl w:val="true"/>
              </w:rPr>
              <w:t>الرابع</w:t>
            </w:r>
            <w:r>
              <w:rPr>
                <w:rStyle w:val="IndexLink"/>
                <w:rtl w:val="true"/>
              </w:rPr>
              <w:t xml:space="preserve">: </w:t>
            </w:r>
            <w:r>
              <w:rPr>
                <w:rStyle w:val="IndexLink"/>
                <w:rtl w:val="true"/>
              </w:rPr>
              <w:t>التمسّك بقاعدة المقتضي و المانع</w:t>
            </w:r>
            <w:r>
              <w:rPr>
                <w:rStyle w:val="IndexLink"/>
                <w:rtl w:val="true"/>
              </w:rPr>
              <w:tab/>
            </w:r>
            <w:r>
              <w:rPr>
                <w:rStyle w:val="IndexLink"/>
              </w:rPr>
              <w:t>535</w:t>
            </w:r>
          </w:hyperlink>
        </w:p>
        <w:p>
          <w:pPr>
            <w:pStyle w:val="Contents4"/>
            <w:tabs>
              <w:tab w:val="clear" w:pos="8176"/>
              <w:tab w:val="right" w:pos="9026" w:leader="dot"/>
            </w:tabs>
            <w:rPr/>
          </w:pPr>
          <w:hyperlink w:anchor="__RefHeading___Toc7305444_3381743652">
            <w:r>
              <w:rPr>
                <w:webHidden/>
                <w:rStyle w:val="IndexLink"/>
                <w:rtl w:val="true"/>
              </w:rPr>
              <w:t>المخصّص اللبّي و الشكّ في الشبهة المصداقية</w:t>
            </w:r>
            <w:r>
              <w:rPr>
                <w:rStyle w:val="IndexLink"/>
                <w:rtl w:val="true"/>
              </w:rPr>
              <w:tab/>
            </w:r>
            <w:r>
              <w:rPr>
                <w:rStyle w:val="IndexLink"/>
              </w:rPr>
              <w:t>536</w:t>
            </w:r>
          </w:hyperlink>
        </w:p>
        <w:p>
          <w:pPr>
            <w:pStyle w:val="Contents4"/>
            <w:tabs>
              <w:tab w:val="clear" w:pos="8176"/>
              <w:tab w:val="right" w:pos="9026" w:leader="dot"/>
            </w:tabs>
            <w:rPr/>
          </w:pPr>
          <w:hyperlink w:anchor="__RefHeading___Toc7305446_3381743652">
            <w:r>
              <w:rPr>
                <w:webHidden/>
                <w:rStyle w:val="IndexLink"/>
                <w:rtl w:val="true"/>
              </w:rPr>
              <w:t>تفاصيل ثلاثة في المسألة</w:t>
            </w:r>
            <w:r>
              <w:rPr>
                <w:rStyle w:val="IndexLink"/>
                <w:rtl w:val="true"/>
              </w:rPr>
              <w:tab/>
            </w:r>
            <w:r>
              <w:rPr>
                <w:rStyle w:val="IndexLink"/>
              </w:rPr>
              <w:t>539</w:t>
            </w:r>
          </w:hyperlink>
        </w:p>
        <w:p>
          <w:pPr>
            <w:pStyle w:val="Contents5"/>
            <w:tabs>
              <w:tab w:val="clear" w:pos="7892"/>
              <w:tab w:val="right" w:pos="9026" w:leader="dot"/>
            </w:tabs>
            <w:rPr/>
          </w:pPr>
          <w:hyperlink w:anchor="__RefHeading___Toc7305448_3381743652">
            <w:r>
              <w:rPr>
                <w:webHidden/>
                <w:rStyle w:val="IndexLink"/>
                <w:rtl w:val="true"/>
              </w:rPr>
              <w:t>اشارة</w:t>
            </w:r>
            <w:r>
              <w:rPr>
                <w:rStyle w:val="IndexLink"/>
                <w:rtl w:val="true"/>
              </w:rPr>
              <w:tab/>
            </w:r>
            <w:r>
              <w:rPr>
                <w:rStyle w:val="IndexLink"/>
              </w:rPr>
              <w:t>539</w:t>
            </w:r>
          </w:hyperlink>
        </w:p>
        <w:p>
          <w:pPr>
            <w:pStyle w:val="Contents5"/>
            <w:tabs>
              <w:tab w:val="clear" w:pos="7892"/>
              <w:tab w:val="right" w:pos="9026" w:leader="dot"/>
            </w:tabs>
            <w:rPr/>
          </w:pPr>
          <w:hyperlink w:anchor="__RefHeading___Toc7305450_3381743652">
            <w:r>
              <w:rPr>
                <w:webHidden/>
                <w:rStyle w:val="IndexLink"/>
              </w:rPr>
              <w:t>1</w:t>
            </w:r>
            <w:r>
              <w:rPr>
                <w:rStyle w:val="IndexLink"/>
                <w:rtl w:val="true"/>
              </w:rPr>
              <w:t xml:space="preserve">. </w:t>
            </w:r>
            <w:r>
              <w:rPr>
                <w:rStyle w:val="IndexLink"/>
                <w:rtl w:val="true"/>
              </w:rPr>
              <w:t>التفصيل بين مخصّص يوجب التنويع و ما لا يوجب</w:t>
            </w:r>
            <w:r>
              <w:rPr>
                <w:rStyle w:val="IndexLink"/>
                <w:rtl w:val="true"/>
              </w:rPr>
              <w:tab/>
            </w:r>
            <w:r>
              <w:rPr>
                <w:rStyle w:val="IndexLink"/>
              </w:rPr>
              <w:t>539</w:t>
            </w:r>
          </w:hyperlink>
        </w:p>
        <w:p>
          <w:pPr>
            <w:pStyle w:val="Contents5"/>
            <w:tabs>
              <w:tab w:val="clear" w:pos="7892"/>
              <w:tab w:val="right" w:pos="9026" w:leader="dot"/>
            </w:tabs>
            <w:rPr/>
          </w:pPr>
          <w:hyperlink w:anchor="__RefHeading___Toc7305452_3381743652">
            <w:r>
              <w:rPr>
                <w:webHidden/>
                <w:rStyle w:val="IndexLink"/>
              </w:rPr>
              <w:t>2</w:t>
            </w:r>
            <w:r>
              <w:rPr>
                <w:rStyle w:val="IndexLink"/>
                <w:rtl w:val="true"/>
              </w:rPr>
              <w:t xml:space="preserve">. </w:t>
            </w:r>
            <w:r>
              <w:rPr>
                <w:rStyle w:val="IndexLink"/>
                <w:rtl w:val="true"/>
              </w:rPr>
              <w:t>التفصيل بين القيد و الملاك</w:t>
            </w:r>
            <w:r>
              <w:rPr>
                <w:rStyle w:val="IndexLink"/>
                <w:rtl w:val="true"/>
              </w:rPr>
              <w:tab/>
            </w:r>
            <w:r>
              <w:rPr>
                <w:rStyle w:val="IndexLink"/>
              </w:rPr>
              <w:t>541</w:t>
            </w:r>
          </w:hyperlink>
        </w:p>
        <w:p>
          <w:pPr>
            <w:pStyle w:val="Contents5"/>
            <w:tabs>
              <w:tab w:val="clear" w:pos="7892"/>
              <w:tab w:val="right" w:pos="9026" w:leader="dot"/>
            </w:tabs>
            <w:rPr/>
          </w:pPr>
          <w:hyperlink w:anchor="__RefHeading___Toc7305454_3381743652">
            <w:r>
              <w:rPr>
                <w:webHidden/>
                <w:rStyle w:val="IndexLink"/>
              </w:rPr>
              <w:t>3</w:t>
            </w:r>
            <w:r>
              <w:rPr>
                <w:rStyle w:val="IndexLink"/>
                <w:rtl w:val="true"/>
              </w:rPr>
              <w:t xml:space="preserve">. </w:t>
            </w:r>
            <w:r>
              <w:rPr>
                <w:rStyle w:val="IndexLink"/>
                <w:rtl w:val="true"/>
              </w:rPr>
              <w:t>التفصيل بين ما إذا كان الفساد هو الأصل و عدمه</w:t>
            </w:r>
            <w:r>
              <w:rPr>
                <w:rStyle w:val="IndexLink"/>
                <w:rtl w:val="true"/>
              </w:rPr>
              <w:tab/>
            </w:r>
            <w:r>
              <w:rPr>
                <w:rStyle w:val="IndexLink"/>
              </w:rPr>
              <w:t>544</w:t>
            </w:r>
          </w:hyperlink>
        </w:p>
        <w:p>
          <w:pPr>
            <w:pStyle w:val="Contents3"/>
            <w:tabs>
              <w:tab w:val="clear" w:pos="8459"/>
              <w:tab w:val="right" w:pos="9026" w:leader="dot"/>
            </w:tabs>
            <w:rPr/>
          </w:pPr>
          <w:hyperlink w:anchor="__RefHeading___Toc7305456_3381743652">
            <w:r>
              <w:rPr>
                <w:webHidden/>
                <w:rStyle w:val="IndexLink"/>
                <w:rtl w:val="true"/>
              </w:rPr>
              <w:t>الفصل السادس إحراز ما بقي تحت العام بالأصل العملي</w:t>
            </w:r>
            <w:r>
              <w:rPr>
                <w:rStyle w:val="IndexLink"/>
                <w:rtl w:val="true"/>
              </w:rPr>
              <w:tab/>
            </w:r>
            <w:r>
              <w:rPr>
                <w:rStyle w:val="IndexLink"/>
              </w:rPr>
              <w:t>549</w:t>
            </w:r>
          </w:hyperlink>
        </w:p>
        <w:p>
          <w:pPr>
            <w:pStyle w:val="Contents4"/>
            <w:tabs>
              <w:tab w:val="clear" w:pos="8176"/>
              <w:tab w:val="right" w:pos="9026" w:leader="dot"/>
            </w:tabs>
            <w:rPr/>
          </w:pPr>
          <w:hyperlink w:anchor="__RefHeading___Toc7305458_3381743652">
            <w:r>
              <w:rPr>
                <w:webHidden/>
                <w:rStyle w:val="IndexLink"/>
                <w:rtl w:val="true"/>
              </w:rPr>
              <w:t>اشارة</w:t>
            </w:r>
            <w:r>
              <w:rPr>
                <w:rStyle w:val="IndexLink"/>
                <w:rtl w:val="true"/>
              </w:rPr>
              <w:tab/>
            </w:r>
            <w:r>
              <w:rPr>
                <w:rStyle w:val="IndexLink"/>
              </w:rPr>
              <w:t>549</w:t>
            </w:r>
          </w:hyperlink>
        </w:p>
        <w:p>
          <w:pPr>
            <w:pStyle w:val="Contents4"/>
            <w:tabs>
              <w:tab w:val="clear" w:pos="8176"/>
              <w:tab w:val="right" w:pos="9026" w:leader="dot"/>
            </w:tabs>
            <w:rPr/>
          </w:pPr>
          <w:hyperlink w:anchor="__RefHeading___Toc7305460_3381743652">
            <w:r>
              <w:rPr>
                <w:webHidden/>
                <w:rStyle w:val="IndexLink"/>
                <w:rtl w:val="true"/>
              </w:rPr>
              <w:t>مناقشة نظرية المحقّق الخراساني</w:t>
            </w:r>
            <w:r>
              <w:rPr>
                <w:rStyle w:val="IndexLink"/>
                <w:rtl w:val="true"/>
              </w:rPr>
              <w:tab/>
            </w:r>
            <w:r>
              <w:rPr>
                <w:rStyle w:val="IndexLink"/>
              </w:rPr>
              <w:t>552</w:t>
            </w:r>
          </w:hyperlink>
        </w:p>
        <w:p>
          <w:pPr>
            <w:pStyle w:val="Contents4"/>
            <w:tabs>
              <w:tab w:val="clear" w:pos="8176"/>
              <w:tab w:val="right" w:pos="9026" w:leader="dot"/>
            </w:tabs>
            <w:rPr/>
          </w:pPr>
          <w:hyperlink w:anchor="__RefHeading___Toc7305462_3381743652">
            <w:r>
              <w:rPr>
                <w:webHidden/>
                <w:rStyle w:val="IndexLink"/>
                <w:rtl w:val="true"/>
              </w:rPr>
              <w:t>الكلام في مقام الإثبات</w:t>
            </w:r>
            <w:r>
              <w:rPr>
                <w:rStyle w:val="IndexLink"/>
                <w:rtl w:val="true"/>
              </w:rPr>
              <w:tab/>
            </w:r>
            <w:r>
              <w:rPr>
                <w:rStyle w:val="IndexLink"/>
              </w:rPr>
              <w:t>554</w:t>
            </w:r>
          </w:hyperlink>
        </w:p>
        <w:p>
          <w:pPr>
            <w:pStyle w:val="Contents4"/>
            <w:tabs>
              <w:tab w:val="clear" w:pos="8176"/>
              <w:tab w:val="right" w:pos="9026" w:leader="dot"/>
            </w:tabs>
            <w:rPr/>
          </w:pPr>
          <w:hyperlink w:anchor="__RefHeading___Toc7305464_3381743652">
            <w:r>
              <w:rPr>
                <w:webHidden/>
                <w:rStyle w:val="IndexLink"/>
                <w:rtl w:val="true"/>
              </w:rPr>
              <w:t>التفصيل بين القيد المقسِّم و المقارن</w:t>
            </w:r>
            <w:r>
              <w:rPr>
                <w:rStyle w:val="IndexLink"/>
                <w:rtl w:val="true"/>
              </w:rPr>
              <w:tab/>
            </w:r>
            <w:r>
              <w:rPr>
                <w:rStyle w:val="IndexLink"/>
              </w:rPr>
              <w:t>557</w:t>
            </w:r>
          </w:hyperlink>
        </w:p>
        <w:p>
          <w:pPr>
            <w:pStyle w:val="Contents5"/>
            <w:tabs>
              <w:tab w:val="clear" w:pos="7892"/>
              <w:tab w:val="right" w:pos="9026" w:leader="dot"/>
            </w:tabs>
            <w:rPr/>
          </w:pPr>
          <w:hyperlink w:anchor="__RefHeading___Toc7305466_3381743652">
            <w:r>
              <w:rPr>
                <w:webHidden/>
                <w:rStyle w:val="IndexLink"/>
                <w:rtl w:val="true"/>
              </w:rPr>
              <w:t>اشارة</w:t>
            </w:r>
            <w:r>
              <w:rPr>
                <w:rStyle w:val="IndexLink"/>
                <w:rtl w:val="true"/>
              </w:rPr>
              <w:tab/>
            </w:r>
            <w:r>
              <w:rPr>
                <w:rStyle w:val="IndexLink"/>
              </w:rPr>
              <w:t>557</w:t>
            </w:r>
          </w:hyperlink>
        </w:p>
        <w:p>
          <w:pPr>
            <w:pStyle w:val="Contents5"/>
            <w:tabs>
              <w:tab w:val="clear" w:pos="7892"/>
              <w:tab w:val="right" w:pos="9026" w:leader="dot"/>
            </w:tabs>
            <w:rPr/>
          </w:pPr>
          <w:hyperlink w:anchor="__RefHeading___Toc7305468_3381743652">
            <w:r>
              <w:rPr>
                <w:webHidden/>
                <w:rStyle w:val="IndexLink"/>
                <w:rtl w:val="true"/>
              </w:rPr>
              <w:t>و إيضاح مقصوده رهن الكلام في موضعين</w:t>
            </w:r>
            <w:r>
              <w:rPr>
                <w:rStyle w:val="IndexLink"/>
                <w:rtl w:val="true"/>
              </w:rPr>
              <w:t>:</w:t>
              <w:tab/>
            </w:r>
            <w:r>
              <w:rPr>
                <w:rStyle w:val="IndexLink"/>
              </w:rPr>
              <w:t>557</w:t>
            </w:r>
          </w:hyperlink>
        </w:p>
        <w:p>
          <w:pPr>
            <w:pStyle w:val="Contents6"/>
            <w:tabs>
              <w:tab w:val="clear" w:pos="7609"/>
              <w:tab w:val="right" w:pos="9026" w:leader="dot"/>
            </w:tabs>
            <w:rPr/>
          </w:pPr>
          <w:hyperlink w:anchor="__RefHeading___Toc7305470_3381743652">
            <w:r>
              <w:rPr>
                <w:webHidden/>
                <w:rStyle w:val="IndexLink"/>
                <w:rtl w:val="true"/>
              </w:rPr>
              <w:t>الأوّل</w:t>
            </w:r>
            <w:r>
              <w:rPr>
                <w:rStyle w:val="IndexLink"/>
                <w:rtl w:val="true"/>
              </w:rPr>
              <w:t xml:space="preserve">: </w:t>
            </w:r>
            <w:r>
              <w:rPr>
                <w:rStyle w:val="IndexLink"/>
                <w:rtl w:val="true"/>
              </w:rPr>
              <w:t>ما هو المراد من القيد المقسِّم و المقارن؟</w:t>
            </w:r>
            <w:r>
              <w:rPr>
                <w:rStyle w:val="IndexLink"/>
                <w:rtl w:val="true"/>
              </w:rPr>
              <w:tab/>
            </w:r>
            <w:r>
              <w:rPr>
                <w:rStyle w:val="IndexLink"/>
              </w:rPr>
              <w:t>557</w:t>
            </w:r>
          </w:hyperlink>
        </w:p>
        <w:p>
          <w:pPr>
            <w:pStyle w:val="Contents6"/>
            <w:tabs>
              <w:tab w:val="clear" w:pos="7609"/>
              <w:tab w:val="right" w:pos="9026" w:leader="dot"/>
            </w:tabs>
            <w:rPr/>
          </w:pPr>
          <w:hyperlink w:anchor="__RefHeading___Toc7305472_3381743652">
            <w:r>
              <w:rPr>
                <w:webHidden/>
                <w:rStyle w:val="IndexLink"/>
                <w:rtl w:val="true"/>
              </w:rPr>
              <w:t>الثاني</w:t>
            </w:r>
            <w:r>
              <w:rPr>
                <w:rStyle w:val="IndexLink"/>
                <w:rtl w:val="true"/>
              </w:rPr>
              <w:t xml:space="preserve">: </w:t>
            </w:r>
            <w:r>
              <w:rPr>
                <w:rStyle w:val="IndexLink"/>
                <w:rtl w:val="true"/>
              </w:rPr>
              <w:t>ما هو الوجه في التفريق بين المقسِّم و المقارن؟</w:t>
            </w:r>
            <w:r>
              <w:rPr>
                <w:rStyle w:val="IndexLink"/>
                <w:rtl w:val="true"/>
              </w:rPr>
              <w:tab/>
            </w:r>
            <w:r>
              <w:rPr>
                <w:rStyle w:val="IndexLink"/>
              </w:rPr>
              <w:t>558</w:t>
            </w:r>
          </w:hyperlink>
        </w:p>
        <w:p>
          <w:pPr>
            <w:pStyle w:val="Contents4"/>
            <w:tabs>
              <w:tab w:val="clear" w:pos="8176"/>
              <w:tab w:val="right" w:pos="9026" w:leader="dot"/>
            </w:tabs>
            <w:rPr/>
          </w:pPr>
          <w:hyperlink w:anchor="__RefHeading___Toc7305474_3381743652">
            <w:r>
              <w:rPr>
                <w:webHidden/>
                <w:rStyle w:val="IndexLink"/>
                <w:rtl w:val="true"/>
              </w:rPr>
              <w:t>إحياء نظرية المحقّق الخراساني</w:t>
            </w:r>
            <w:r>
              <w:rPr>
                <w:rStyle w:val="IndexLink"/>
                <w:rtl w:val="true"/>
              </w:rPr>
              <w:tab/>
            </w:r>
            <w:r>
              <w:rPr>
                <w:rStyle w:val="IndexLink"/>
              </w:rPr>
              <w:t>560</w:t>
            </w:r>
          </w:hyperlink>
        </w:p>
        <w:p>
          <w:pPr>
            <w:pStyle w:val="Contents4"/>
            <w:tabs>
              <w:tab w:val="clear" w:pos="8176"/>
              <w:tab w:val="right" w:pos="9026" w:leader="dot"/>
            </w:tabs>
            <w:rPr/>
          </w:pPr>
          <w:hyperlink w:anchor="__RefHeading___Toc7305476_3381743652">
            <w:r>
              <w:rPr>
                <w:webHidden/>
                <w:rStyle w:val="IndexLink"/>
                <w:rtl w:val="true"/>
              </w:rPr>
              <w:t>ما هو المرجع إذا لم يكن الأصل العدمي حجّة؟</w:t>
            </w:r>
            <w:r>
              <w:rPr>
                <w:rStyle w:val="IndexLink"/>
                <w:rtl w:val="true"/>
              </w:rPr>
              <w:tab/>
            </w:r>
            <w:r>
              <w:rPr>
                <w:rStyle w:val="IndexLink"/>
              </w:rPr>
              <w:t>563</w:t>
            </w:r>
          </w:hyperlink>
        </w:p>
        <w:p>
          <w:pPr>
            <w:pStyle w:val="Contents3"/>
            <w:tabs>
              <w:tab w:val="clear" w:pos="8459"/>
              <w:tab w:val="right" w:pos="9026" w:leader="dot"/>
            </w:tabs>
            <w:rPr/>
          </w:pPr>
          <w:hyperlink w:anchor="__RefHeading___Toc7305478_3381743652">
            <w:r>
              <w:rPr>
                <w:webHidden/>
                <w:rStyle w:val="IndexLink"/>
                <w:rtl w:val="true"/>
              </w:rPr>
              <w:t>الفصل السابع إحراز حال الفرد المشتبه بالعنوان الثانوي</w:t>
            </w:r>
            <w:r>
              <w:rPr>
                <w:rStyle w:val="IndexLink"/>
                <w:rtl w:val="true"/>
              </w:rPr>
              <w:tab/>
            </w:r>
            <w:r>
              <w:rPr>
                <w:rStyle w:val="IndexLink"/>
              </w:rPr>
              <w:t>565</w:t>
            </w:r>
          </w:hyperlink>
        </w:p>
        <w:p>
          <w:pPr>
            <w:pStyle w:val="Contents4"/>
            <w:tabs>
              <w:tab w:val="clear" w:pos="8176"/>
              <w:tab w:val="right" w:pos="9026" w:leader="dot"/>
            </w:tabs>
            <w:rPr/>
          </w:pPr>
          <w:hyperlink w:anchor="__RefHeading___Toc7305480_3381743652">
            <w:r>
              <w:rPr>
                <w:webHidden/>
                <w:rStyle w:val="IndexLink"/>
                <w:rtl w:val="true"/>
              </w:rPr>
              <w:t>اشارة</w:t>
            </w:r>
            <w:r>
              <w:rPr>
                <w:rStyle w:val="IndexLink"/>
                <w:rtl w:val="true"/>
              </w:rPr>
              <w:tab/>
            </w:r>
            <w:r>
              <w:rPr>
                <w:rStyle w:val="IndexLink"/>
              </w:rPr>
              <w:t>565</w:t>
            </w:r>
          </w:hyperlink>
        </w:p>
        <w:p>
          <w:pPr>
            <w:pStyle w:val="Contents4"/>
            <w:tabs>
              <w:tab w:val="clear" w:pos="8176"/>
              <w:tab w:val="right" w:pos="9026" w:leader="dot"/>
            </w:tabs>
            <w:rPr/>
          </w:pPr>
          <w:hyperlink w:anchor="__RefHeading___Toc7305482_3381743652">
            <w:r>
              <w:rPr>
                <w:webHidden/>
                <w:rStyle w:val="IndexLink"/>
                <w:rtl w:val="true"/>
              </w:rPr>
              <w:t>الأوّل</w:t>
            </w:r>
            <w:r>
              <w:rPr>
                <w:rStyle w:val="IndexLink"/>
                <w:rtl w:val="true"/>
              </w:rPr>
              <w:t xml:space="preserve">: </w:t>
            </w:r>
            <w:r>
              <w:rPr>
                <w:rStyle w:val="IndexLink"/>
                <w:rtl w:val="true"/>
              </w:rPr>
              <w:t>اشتراط الرجحان في متعلّق النذر</w:t>
            </w:r>
            <w:r>
              <w:rPr>
                <w:rStyle w:val="IndexLink"/>
                <w:rtl w:val="true"/>
              </w:rPr>
              <w:tab/>
            </w:r>
            <w:r>
              <w:rPr>
                <w:rStyle w:val="IndexLink"/>
              </w:rPr>
              <w:t>570</w:t>
            </w:r>
          </w:hyperlink>
        </w:p>
        <w:p>
          <w:pPr>
            <w:pStyle w:val="Contents4"/>
            <w:tabs>
              <w:tab w:val="clear" w:pos="8176"/>
              <w:tab w:val="right" w:pos="9026" w:leader="dot"/>
            </w:tabs>
            <w:rPr/>
          </w:pPr>
          <w:hyperlink w:anchor="__RefHeading___Toc7305484_3381743652">
            <w:r>
              <w:rPr>
                <w:webHidden/>
                <w:rStyle w:val="IndexLink"/>
                <w:rtl w:val="true"/>
              </w:rPr>
              <w:t>الثاني</w:t>
            </w:r>
            <w:r>
              <w:rPr>
                <w:rStyle w:val="IndexLink"/>
                <w:rtl w:val="true"/>
              </w:rPr>
              <w:t xml:space="preserve">: </w:t>
            </w:r>
            <w:r>
              <w:rPr>
                <w:rStyle w:val="IndexLink"/>
                <w:rtl w:val="true"/>
              </w:rPr>
              <w:t>الأمر النذري كالأمر الإجاري توصّلي</w:t>
            </w:r>
            <w:r>
              <w:rPr>
                <w:rStyle w:val="IndexLink"/>
                <w:rtl w:val="true"/>
              </w:rPr>
              <w:tab/>
            </w:r>
            <w:r>
              <w:rPr>
                <w:rStyle w:val="IndexLink"/>
              </w:rPr>
              <w:t>572</w:t>
            </w:r>
          </w:hyperlink>
        </w:p>
        <w:p>
          <w:pPr>
            <w:pStyle w:val="Contents3"/>
            <w:tabs>
              <w:tab w:val="clear" w:pos="8459"/>
              <w:tab w:val="right" w:pos="9026" w:leader="dot"/>
            </w:tabs>
            <w:rPr/>
          </w:pPr>
          <w:hyperlink w:anchor="__RefHeading___Toc7305486_3381743652">
            <w:r>
              <w:rPr>
                <w:webHidden/>
                <w:rStyle w:val="IndexLink"/>
                <w:rtl w:val="true"/>
              </w:rPr>
              <w:t>الفصل الثامن إحراز حال الفرد المشتبه بالأصل اللفظي</w:t>
            </w:r>
            <w:r>
              <w:rPr>
                <w:rStyle w:val="IndexLink"/>
                <w:rtl w:val="true"/>
              </w:rPr>
              <w:tab/>
            </w:r>
            <w:r>
              <w:rPr>
                <w:rStyle w:val="IndexLink"/>
              </w:rPr>
              <w:t>576</w:t>
            </w:r>
          </w:hyperlink>
        </w:p>
        <w:p>
          <w:pPr>
            <w:pStyle w:val="Contents4"/>
            <w:tabs>
              <w:tab w:val="clear" w:pos="8176"/>
              <w:tab w:val="right" w:pos="9026" w:leader="dot"/>
            </w:tabs>
            <w:rPr/>
          </w:pPr>
          <w:hyperlink w:anchor="__RefHeading___Toc7305488_3381743652">
            <w:r>
              <w:rPr>
                <w:webHidden/>
                <w:rStyle w:val="IndexLink"/>
                <w:rtl w:val="true"/>
              </w:rPr>
              <w:t>اشارة</w:t>
            </w:r>
            <w:r>
              <w:rPr>
                <w:rStyle w:val="IndexLink"/>
                <w:rtl w:val="true"/>
              </w:rPr>
              <w:tab/>
            </w:r>
            <w:r>
              <w:rPr>
                <w:rStyle w:val="IndexLink"/>
              </w:rPr>
              <w:t>576</w:t>
            </w:r>
          </w:hyperlink>
        </w:p>
        <w:p>
          <w:pPr>
            <w:pStyle w:val="Contents4"/>
            <w:tabs>
              <w:tab w:val="clear" w:pos="8176"/>
              <w:tab w:val="right" w:pos="9026" w:leader="dot"/>
            </w:tabs>
            <w:rPr/>
          </w:pPr>
          <w:hyperlink w:anchor="__RefHeading___Toc7305490_3381743652">
            <w:r>
              <w:rPr>
                <w:webHidden/>
                <w:rStyle w:val="IndexLink"/>
                <w:rtl w:val="true"/>
              </w:rPr>
              <w:t>الصورة الأُولى</w:t>
            </w:r>
            <w:r>
              <w:rPr>
                <w:rStyle w:val="IndexLink"/>
                <w:rtl w:val="true"/>
              </w:rPr>
              <w:t xml:space="preserve">: </w:t>
            </w:r>
            <w:r>
              <w:rPr>
                <w:rStyle w:val="IndexLink"/>
                <w:rtl w:val="true"/>
              </w:rPr>
              <w:t>إذا ورد قوله</w:t>
            </w:r>
            <w:r>
              <w:rPr>
                <w:rStyle w:val="IndexLink"/>
                <w:rtl w:val="true"/>
              </w:rPr>
              <w:t xml:space="preserve">: </w:t>
            </w:r>
            <w:r>
              <w:rPr>
                <w:rStyle w:val="IndexLink"/>
                <w:rtl w:val="true"/>
              </w:rPr>
              <w:t>أكرم العلماء، و علم من الخارج حرمة إكرام زيد،</w:t>
            </w:r>
            <w:r>
              <w:rPr>
                <w:rStyle w:val="IndexLink"/>
                <w:rtl w:val="true"/>
              </w:rPr>
              <w:tab/>
            </w:r>
            <w:r>
              <w:rPr>
                <w:rStyle w:val="IndexLink"/>
              </w:rPr>
              <w:t>576</w:t>
            </w:r>
          </w:hyperlink>
        </w:p>
        <w:p>
          <w:pPr>
            <w:pStyle w:val="Contents4"/>
            <w:tabs>
              <w:tab w:val="clear" w:pos="8176"/>
              <w:tab w:val="right" w:pos="9026" w:leader="dot"/>
            </w:tabs>
            <w:rPr/>
          </w:pPr>
          <w:hyperlink w:anchor="__RefHeading___Toc7305492_3381743652">
            <w:r>
              <w:rPr>
                <w:webHidden/>
                <w:rStyle w:val="IndexLink"/>
                <w:rtl w:val="true"/>
              </w:rPr>
              <w:t>الصورة الثانية للمسألة</w:t>
            </w:r>
            <w:r>
              <w:rPr>
                <w:rStyle w:val="IndexLink"/>
                <w:rtl w:val="true"/>
              </w:rPr>
              <w:tab/>
            </w:r>
            <w:r>
              <w:rPr>
                <w:rStyle w:val="IndexLink"/>
              </w:rPr>
              <w:t>579</w:t>
            </w:r>
          </w:hyperlink>
        </w:p>
        <w:p>
          <w:pPr>
            <w:pStyle w:val="Contents3"/>
            <w:tabs>
              <w:tab w:val="clear" w:pos="8459"/>
              <w:tab w:val="right" w:pos="9026" w:leader="dot"/>
            </w:tabs>
            <w:rPr/>
          </w:pPr>
          <w:hyperlink w:anchor="__RefHeading___Toc7305494_3381743652">
            <w:r>
              <w:rPr>
                <w:webHidden/>
                <w:rStyle w:val="IndexLink"/>
                <w:rtl w:val="true"/>
              </w:rPr>
              <w:t>الفصل التاسع لزوم الفحص عن المخصّص</w:t>
            </w:r>
            <w:r>
              <w:rPr>
                <w:rStyle w:val="IndexLink"/>
                <w:rtl w:val="true"/>
              </w:rPr>
              <w:tab/>
            </w:r>
            <w:r>
              <w:rPr>
                <w:rStyle w:val="IndexLink"/>
              </w:rPr>
              <w:t>581</w:t>
            </w:r>
          </w:hyperlink>
        </w:p>
        <w:p>
          <w:pPr>
            <w:pStyle w:val="Contents4"/>
            <w:tabs>
              <w:tab w:val="clear" w:pos="8176"/>
              <w:tab w:val="right" w:pos="9026" w:leader="dot"/>
            </w:tabs>
            <w:rPr/>
          </w:pPr>
          <w:hyperlink w:anchor="__RefHeading___Toc7305496_3381743652">
            <w:r>
              <w:rPr>
                <w:webHidden/>
                <w:rStyle w:val="IndexLink"/>
                <w:rtl w:val="true"/>
              </w:rPr>
              <w:t>اشارة</w:t>
            </w:r>
            <w:r>
              <w:rPr>
                <w:rStyle w:val="IndexLink"/>
                <w:rtl w:val="true"/>
              </w:rPr>
              <w:tab/>
            </w:r>
            <w:r>
              <w:rPr>
                <w:rStyle w:val="IndexLink"/>
              </w:rPr>
              <w:t>581</w:t>
            </w:r>
          </w:hyperlink>
        </w:p>
        <w:p>
          <w:pPr>
            <w:pStyle w:val="Contents4"/>
            <w:tabs>
              <w:tab w:val="clear" w:pos="8176"/>
              <w:tab w:val="right" w:pos="9026" w:leader="dot"/>
            </w:tabs>
            <w:rPr/>
          </w:pPr>
          <w:hyperlink w:anchor="__RefHeading___Toc7305498_3381743652">
            <w:r>
              <w:rPr>
                <w:webHidden/>
                <w:rStyle w:val="IndexLink"/>
                <w:rtl w:val="true"/>
              </w:rPr>
              <w:t>و قد ذكروا هنا وجوهاً ثلاثة لاتفاق العلماء على وجوب الفحص عن المخصص</w:t>
            </w:r>
            <w:r>
              <w:rPr>
                <w:rStyle w:val="IndexLink"/>
                <w:rtl w:val="true"/>
              </w:rPr>
              <w:tab/>
            </w:r>
            <w:r>
              <w:rPr>
                <w:rStyle w:val="IndexLink"/>
              </w:rPr>
              <w:t>582</w:t>
            </w:r>
          </w:hyperlink>
        </w:p>
        <w:p>
          <w:pPr>
            <w:pStyle w:val="Contents5"/>
            <w:tabs>
              <w:tab w:val="clear" w:pos="7892"/>
              <w:tab w:val="right" w:pos="9026" w:leader="dot"/>
            </w:tabs>
            <w:rPr/>
          </w:pPr>
          <w:hyperlink w:anchor="__RefHeading___Toc7305500_3381743652">
            <w:r>
              <w:rPr>
                <w:webHidden/>
                <w:rStyle w:val="IndexLink"/>
                <w:rtl w:val="true"/>
              </w:rPr>
              <w:t>اشارة</w:t>
            </w:r>
            <w:r>
              <w:rPr>
                <w:rStyle w:val="IndexLink"/>
                <w:rtl w:val="true"/>
              </w:rPr>
              <w:tab/>
            </w:r>
            <w:r>
              <w:rPr>
                <w:rStyle w:val="IndexLink"/>
              </w:rPr>
              <w:t>582</w:t>
            </w:r>
          </w:hyperlink>
        </w:p>
        <w:p>
          <w:pPr>
            <w:pStyle w:val="Contents5"/>
            <w:tabs>
              <w:tab w:val="clear" w:pos="7892"/>
              <w:tab w:val="right" w:pos="9026" w:leader="dot"/>
            </w:tabs>
            <w:rPr/>
          </w:pPr>
          <w:hyperlink w:anchor="__RefHeading___Toc7305502_3381743652">
            <w:r>
              <w:rPr>
                <w:webHidden/>
                <w:rStyle w:val="IndexLink"/>
                <w:rtl w:val="true"/>
              </w:rPr>
              <w:t>الأوّل</w:t>
            </w:r>
            <w:r>
              <w:rPr>
                <w:rStyle w:val="IndexLink"/>
                <w:rtl w:val="true"/>
              </w:rPr>
              <w:t xml:space="preserve">: </w:t>
            </w:r>
            <w:r>
              <w:rPr>
                <w:rStyle w:val="IndexLink"/>
                <w:rtl w:val="true"/>
              </w:rPr>
              <w:t>وقوع العام في مظان التخصيص</w:t>
            </w:r>
            <w:r>
              <w:rPr>
                <w:rStyle w:val="IndexLink"/>
                <w:rtl w:val="true"/>
              </w:rPr>
              <w:tab/>
            </w:r>
            <w:r>
              <w:rPr>
                <w:rStyle w:val="IndexLink"/>
              </w:rPr>
              <w:t>582</w:t>
            </w:r>
          </w:hyperlink>
        </w:p>
        <w:p>
          <w:pPr>
            <w:pStyle w:val="Contents5"/>
            <w:tabs>
              <w:tab w:val="clear" w:pos="7892"/>
              <w:tab w:val="right" w:pos="9026" w:leader="dot"/>
            </w:tabs>
            <w:rPr/>
          </w:pPr>
          <w:hyperlink w:anchor="__RefHeading___Toc7305504_3381743652">
            <w:r>
              <w:rPr>
                <w:webHidden/>
                <w:rStyle w:val="IndexLink"/>
                <w:rtl w:val="true"/>
              </w:rPr>
              <w:t>الثاني</w:t>
            </w:r>
            <w:r>
              <w:rPr>
                <w:rStyle w:val="IndexLink"/>
                <w:rtl w:val="true"/>
              </w:rPr>
              <w:t xml:space="preserve">: </w:t>
            </w:r>
            <w:r>
              <w:rPr>
                <w:rStyle w:val="IndexLink"/>
                <w:rtl w:val="true"/>
              </w:rPr>
              <w:t>الظن الشخصي بالتكليف رهن الفحص</w:t>
            </w:r>
            <w:r>
              <w:rPr>
                <w:rStyle w:val="IndexLink"/>
                <w:rtl w:val="true"/>
              </w:rPr>
              <w:tab/>
            </w:r>
            <w:r>
              <w:rPr>
                <w:rStyle w:val="IndexLink"/>
              </w:rPr>
              <w:t>584</w:t>
            </w:r>
          </w:hyperlink>
        </w:p>
        <w:p>
          <w:pPr>
            <w:pStyle w:val="Contents5"/>
            <w:tabs>
              <w:tab w:val="clear" w:pos="7892"/>
              <w:tab w:val="right" w:pos="9026" w:leader="dot"/>
            </w:tabs>
            <w:rPr/>
          </w:pPr>
          <w:hyperlink w:anchor="__RefHeading___Toc7305506_3381743652">
            <w:r>
              <w:rPr>
                <w:webHidden/>
                <w:rStyle w:val="IndexLink"/>
                <w:rtl w:val="true"/>
              </w:rPr>
              <w:t>الثالث</w:t>
            </w:r>
            <w:r>
              <w:rPr>
                <w:rStyle w:val="IndexLink"/>
                <w:rtl w:val="true"/>
              </w:rPr>
              <w:t xml:space="preserve">: </w:t>
            </w:r>
            <w:r>
              <w:rPr>
                <w:rStyle w:val="IndexLink"/>
                <w:rtl w:val="true"/>
              </w:rPr>
              <w:t>وجود العلم الإجمالي بالمخصّص</w:t>
            </w:r>
            <w:r>
              <w:rPr>
                <w:rStyle w:val="IndexLink"/>
                <w:rtl w:val="true"/>
              </w:rPr>
              <w:tab/>
            </w:r>
            <w:r>
              <w:rPr>
                <w:rStyle w:val="IndexLink"/>
              </w:rPr>
              <w:t>585</w:t>
            </w:r>
          </w:hyperlink>
        </w:p>
        <w:p>
          <w:pPr>
            <w:pStyle w:val="Contents4"/>
            <w:tabs>
              <w:tab w:val="clear" w:pos="8176"/>
              <w:tab w:val="right" w:pos="9026" w:leader="dot"/>
            </w:tabs>
            <w:rPr/>
          </w:pPr>
          <w:hyperlink w:anchor="__RefHeading___Toc7305508_3381743652">
            <w:r>
              <w:rPr>
                <w:webHidden/>
                <w:rStyle w:val="IndexLink"/>
                <w:rtl w:val="true"/>
              </w:rPr>
              <w:t>هل الفحص عن المخصّص فحص عن المزاحم أو المتمم للحجّية؟</w:t>
            </w:r>
            <w:r>
              <w:rPr>
                <w:rStyle w:val="IndexLink"/>
                <w:rtl w:val="true"/>
              </w:rPr>
              <w:tab/>
            </w:r>
            <w:r>
              <w:rPr>
                <w:rStyle w:val="IndexLink"/>
              </w:rPr>
              <w:t>588</w:t>
            </w:r>
          </w:hyperlink>
        </w:p>
        <w:p>
          <w:pPr>
            <w:pStyle w:val="Contents4"/>
            <w:tabs>
              <w:tab w:val="clear" w:pos="8176"/>
              <w:tab w:val="right" w:pos="9026" w:leader="dot"/>
            </w:tabs>
            <w:rPr/>
          </w:pPr>
          <w:hyperlink w:anchor="__RefHeading___Toc7305510_3381743652">
            <w:r>
              <w:rPr>
                <w:webHidden/>
                <w:rStyle w:val="IndexLink"/>
                <w:rtl w:val="true"/>
              </w:rPr>
              <w:t>مقدار الفحص</w:t>
            </w:r>
            <w:r>
              <w:rPr>
                <w:rStyle w:val="IndexLink"/>
                <w:rtl w:val="true"/>
              </w:rPr>
              <w:tab/>
            </w:r>
            <w:r>
              <w:rPr>
                <w:rStyle w:val="IndexLink"/>
              </w:rPr>
              <w:t>590</w:t>
            </w:r>
          </w:hyperlink>
        </w:p>
        <w:p>
          <w:pPr>
            <w:pStyle w:val="Contents3"/>
            <w:tabs>
              <w:tab w:val="clear" w:pos="8459"/>
              <w:tab w:val="right" w:pos="9026" w:leader="dot"/>
            </w:tabs>
            <w:rPr/>
          </w:pPr>
          <w:hyperlink w:anchor="__RefHeading___Toc7305512_3381743652">
            <w:r>
              <w:rPr>
                <w:webHidden/>
                <w:rStyle w:val="IndexLink"/>
                <w:rtl w:val="true"/>
              </w:rPr>
              <w:t>الفصل العاشر في الخطابات الشفاهية</w:t>
            </w:r>
            <w:r>
              <w:rPr>
                <w:rStyle w:val="IndexLink"/>
                <w:rtl w:val="true"/>
              </w:rPr>
              <w:tab/>
            </w:r>
            <w:r>
              <w:rPr>
                <w:rStyle w:val="IndexLink"/>
              </w:rPr>
              <w:t>591</w:t>
            </w:r>
          </w:hyperlink>
        </w:p>
        <w:p>
          <w:pPr>
            <w:pStyle w:val="Contents4"/>
            <w:tabs>
              <w:tab w:val="clear" w:pos="8176"/>
              <w:tab w:val="right" w:pos="9026" w:leader="dot"/>
            </w:tabs>
            <w:rPr/>
          </w:pPr>
          <w:hyperlink w:anchor="__RefHeading___Toc7305514_3381743652">
            <w:r>
              <w:rPr>
                <w:webHidden/>
                <w:rStyle w:val="IndexLink"/>
                <w:rtl w:val="true"/>
              </w:rPr>
              <w:t>اشارة</w:t>
            </w:r>
            <w:r>
              <w:rPr>
                <w:rStyle w:val="IndexLink"/>
                <w:rtl w:val="true"/>
              </w:rPr>
              <w:tab/>
            </w:r>
            <w:r>
              <w:rPr>
                <w:rStyle w:val="IndexLink"/>
              </w:rPr>
              <w:t>591</w:t>
            </w:r>
          </w:hyperlink>
        </w:p>
        <w:p>
          <w:pPr>
            <w:pStyle w:val="Contents4"/>
            <w:tabs>
              <w:tab w:val="clear" w:pos="8176"/>
              <w:tab w:val="right" w:pos="9026" w:leader="dot"/>
            </w:tabs>
            <w:rPr/>
          </w:pPr>
          <w:hyperlink w:anchor="__RefHeading___Toc7305516_3381743652">
            <w:r>
              <w:rPr>
                <w:webHidden/>
                <w:rStyle w:val="IndexLink"/>
                <w:rtl w:val="true"/>
              </w:rPr>
              <w:t>فلنبحث عن الجهات الثلاث</w:t>
            </w:r>
            <w:r>
              <w:rPr>
                <w:rStyle w:val="IndexLink"/>
                <w:rtl w:val="true"/>
              </w:rPr>
              <w:t>.</w:t>
              <w:tab/>
            </w:r>
            <w:r>
              <w:rPr>
                <w:rStyle w:val="IndexLink"/>
              </w:rPr>
              <w:t>591</w:t>
            </w:r>
          </w:hyperlink>
        </w:p>
        <w:p>
          <w:pPr>
            <w:pStyle w:val="Contents5"/>
            <w:tabs>
              <w:tab w:val="clear" w:pos="7892"/>
              <w:tab w:val="right" w:pos="9026" w:leader="dot"/>
            </w:tabs>
            <w:rPr/>
          </w:pPr>
          <w:hyperlink w:anchor="__RefHeading___Toc7305518_3381743652">
            <w:r>
              <w:rPr>
                <w:webHidden/>
                <w:rStyle w:val="IndexLink"/>
                <w:rtl w:val="true"/>
              </w:rPr>
              <w:t>اشارة</w:t>
            </w:r>
            <w:r>
              <w:rPr>
                <w:rStyle w:val="IndexLink"/>
                <w:rtl w:val="true"/>
              </w:rPr>
              <w:tab/>
            </w:r>
            <w:r>
              <w:rPr>
                <w:rStyle w:val="IndexLink"/>
              </w:rPr>
              <w:t>591</w:t>
            </w:r>
          </w:hyperlink>
        </w:p>
        <w:p>
          <w:pPr>
            <w:pStyle w:val="Contents5"/>
            <w:tabs>
              <w:tab w:val="clear" w:pos="7892"/>
              <w:tab w:val="right" w:pos="9026" w:leader="dot"/>
            </w:tabs>
            <w:rPr/>
          </w:pPr>
          <w:hyperlink w:anchor="__RefHeading___Toc7305520_3381743652">
            <w:r>
              <w:rPr>
                <w:webHidden/>
                <w:rStyle w:val="IndexLink"/>
                <w:rtl w:val="true"/>
              </w:rPr>
              <w:t>الجهة الأُولى</w:t>
            </w:r>
            <w:r>
              <w:rPr>
                <w:rStyle w:val="IndexLink"/>
                <w:rtl w:val="true"/>
              </w:rPr>
              <w:t xml:space="preserve">: </w:t>
            </w:r>
            <w:r>
              <w:rPr>
                <w:rStyle w:val="IndexLink"/>
                <w:rtl w:val="true"/>
              </w:rPr>
              <w:t>في صحّة تكليف المعدوم و عدمها</w:t>
            </w:r>
            <w:r>
              <w:rPr>
                <w:rStyle w:val="IndexLink"/>
                <w:rtl w:val="true"/>
              </w:rPr>
              <w:tab/>
            </w:r>
            <w:r>
              <w:rPr>
                <w:rStyle w:val="IndexLink"/>
              </w:rPr>
              <w:t>592</w:t>
            </w:r>
          </w:hyperlink>
        </w:p>
        <w:p>
          <w:pPr>
            <w:pStyle w:val="Contents6"/>
            <w:tabs>
              <w:tab w:val="clear" w:pos="7609"/>
              <w:tab w:val="right" w:pos="9026" w:leader="dot"/>
            </w:tabs>
            <w:rPr/>
          </w:pPr>
          <w:hyperlink w:anchor="__RefHeading___Toc7305522_3381743652">
            <w:r>
              <w:rPr>
                <w:webHidden/>
                <w:rStyle w:val="IndexLink"/>
                <w:rtl w:val="true"/>
              </w:rPr>
              <w:t>اشارة</w:t>
            </w:r>
            <w:r>
              <w:rPr>
                <w:rStyle w:val="IndexLink"/>
                <w:rtl w:val="true"/>
              </w:rPr>
              <w:tab/>
            </w:r>
            <w:r>
              <w:rPr>
                <w:rStyle w:val="IndexLink"/>
              </w:rPr>
              <w:t>592</w:t>
            </w:r>
          </w:hyperlink>
        </w:p>
        <w:p>
          <w:pPr>
            <w:pStyle w:val="Contents6"/>
            <w:tabs>
              <w:tab w:val="clear" w:pos="7609"/>
              <w:tab w:val="right" w:pos="9026" w:leader="dot"/>
            </w:tabs>
            <w:rPr/>
          </w:pPr>
          <w:hyperlink w:anchor="__RefHeading___Toc7305524_3381743652">
            <w:r>
              <w:rPr>
                <w:webHidden/>
                <w:rStyle w:val="IndexLink"/>
                <w:rtl w:val="true"/>
              </w:rPr>
              <w:t>المحقّق النائيني و تفسير القضيتين</w:t>
            </w:r>
            <w:r>
              <w:rPr>
                <w:rStyle w:val="IndexLink"/>
                <w:rtl w:val="true"/>
              </w:rPr>
              <w:tab/>
            </w:r>
            <w:r>
              <w:rPr>
                <w:rStyle w:val="IndexLink"/>
              </w:rPr>
              <w:t>597</w:t>
            </w:r>
          </w:hyperlink>
        </w:p>
        <w:p>
          <w:pPr>
            <w:pStyle w:val="Contents5"/>
            <w:tabs>
              <w:tab w:val="clear" w:pos="7892"/>
              <w:tab w:val="right" w:pos="9026" w:leader="dot"/>
            </w:tabs>
            <w:rPr/>
          </w:pPr>
          <w:hyperlink w:anchor="__RefHeading___Toc7305526_3381743652">
            <w:r>
              <w:rPr>
                <w:webHidden/>
                <w:rStyle w:val="IndexLink"/>
                <w:rtl w:val="true"/>
              </w:rPr>
              <w:t>الجهة الثانية</w:t>
            </w:r>
            <w:r>
              <w:rPr>
                <w:rStyle w:val="IndexLink"/>
                <w:rtl w:val="true"/>
              </w:rPr>
              <w:t xml:space="preserve">: </w:t>
            </w:r>
            <w:r>
              <w:rPr>
                <w:rStyle w:val="IndexLink"/>
                <w:rtl w:val="true"/>
              </w:rPr>
              <w:t>في إمكان خطاب المعدوم</w:t>
            </w:r>
            <w:r>
              <w:rPr>
                <w:rStyle w:val="IndexLink"/>
                <w:rtl w:val="true"/>
              </w:rPr>
              <w:tab/>
            </w:r>
            <w:r>
              <w:rPr>
                <w:rStyle w:val="IndexLink"/>
              </w:rPr>
              <w:t>598</w:t>
            </w:r>
          </w:hyperlink>
        </w:p>
        <w:p>
          <w:pPr>
            <w:pStyle w:val="Contents5"/>
            <w:tabs>
              <w:tab w:val="clear" w:pos="7892"/>
              <w:tab w:val="right" w:pos="9026" w:leader="dot"/>
            </w:tabs>
            <w:rPr/>
          </w:pPr>
          <w:hyperlink w:anchor="__RefHeading___Toc7305528_3381743652">
            <w:r>
              <w:rPr>
                <w:webHidden/>
                <w:rStyle w:val="IndexLink"/>
                <w:rtl w:val="true"/>
              </w:rPr>
              <w:t>الجهة الثالثة</w:t>
            </w:r>
            <w:r>
              <w:rPr>
                <w:rStyle w:val="IndexLink"/>
                <w:rtl w:val="true"/>
              </w:rPr>
              <w:t xml:space="preserve">: </w:t>
            </w:r>
            <w:r>
              <w:rPr>
                <w:rStyle w:val="IndexLink"/>
                <w:rtl w:val="true"/>
              </w:rPr>
              <w:t>عمومية ما وقع بعد أداة الخطاب</w:t>
            </w:r>
            <w:r>
              <w:rPr>
                <w:rStyle w:val="IndexLink"/>
                <w:rtl w:val="true"/>
              </w:rPr>
              <w:tab/>
            </w:r>
            <w:r>
              <w:rPr>
                <w:rStyle w:val="IndexLink"/>
              </w:rPr>
              <w:t>602</w:t>
            </w:r>
          </w:hyperlink>
        </w:p>
        <w:p>
          <w:pPr>
            <w:pStyle w:val="Contents4"/>
            <w:tabs>
              <w:tab w:val="clear" w:pos="8176"/>
              <w:tab w:val="right" w:pos="9026" w:leader="dot"/>
            </w:tabs>
            <w:rPr/>
          </w:pPr>
          <w:hyperlink w:anchor="__RefHeading___Toc7305530_3381743652">
            <w:r>
              <w:rPr>
                <w:webHidden/>
                <w:rStyle w:val="IndexLink"/>
                <w:rtl w:val="true"/>
              </w:rPr>
              <w:t>نظرية السيد الأُستاذ</w:t>
            </w:r>
            <w:r>
              <w:rPr>
                <w:rStyle w:val="IndexLink"/>
                <w:rtl w:val="true"/>
              </w:rPr>
              <w:tab/>
            </w:r>
            <w:r>
              <w:rPr>
                <w:rStyle w:val="IndexLink"/>
              </w:rPr>
              <w:t>604</w:t>
            </w:r>
          </w:hyperlink>
        </w:p>
        <w:p>
          <w:pPr>
            <w:pStyle w:val="Contents4"/>
            <w:tabs>
              <w:tab w:val="clear" w:pos="8176"/>
              <w:tab w:val="right" w:pos="9026" w:leader="dot"/>
            </w:tabs>
            <w:rPr/>
          </w:pPr>
          <w:hyperlink w:anchor="__RefHeading___Toc7305532_3381743652">
            <w:r>
              <w:rPr>
                <w:webHidden/>
                <w:rStyle w:val="IndexLink"/>
                <w:rtl w:val="true"/>
              </w:rPr>
              <w:t>حصيلة البحث</w:t>
            </w:r>
            <w:r>
              <w:rPr>
                <w:rStyle w:val="IndexLink"/>
                <w:rtl w:val="true"/>
              </w:rPr>
              <w:tab/>
            </w:r>
            <w:r>
              <w:rPr>
                <w:rStyle w:val="IndexLink"/>
              </w:rPr>
              <w:t>606</w:t>
            </w:r>
          </w:hyperlink>
        </w:p>
        <w:p>
          <w:pPr>
            <w:pStyle w:val="Contents4"/>
            <w:tabs>
              <w:tab w:val="clear" w:pos="8176"/>
              <w:tab w:val="right" w:pos="9026" w:leader="dot"/>
            </w:tabs>
            <w:rPr/>
          </w:pPr>
          <w:hyperlink w:anchor="__RefHeading___Toc7305534_3381743652">
            <w:r>
              <w:rPr>
                <w:webHidden/>
                <w:rStyle w:val="IndexLink"/>
                <w:rtl w:val="true"/>
              </w:rPr>
              <w:t>ثمرة البحث</w:t>
            </w:r>
            <w:r>
              <w:rPr>
                <w:rStyle w:val="IndexLink"/>
                <w:rtl w:val="true"/>
              </w:rPr>
              <w:tab/>
            </w:r>
            <w:r>
              <w:rPr>
                <w:rStyle w:val="IndexLink"/>
              </w:rPr>
              <w:t>607</w:t>
            </w:r>
          </w:hyperlink>
        </w:p>
        <w:p>
          <w:pPr>
            <w:pStyle w:val="Contents5"/>
            <w:tabs>
              <w:tab w:val="clear" w:pos="7892"/>
              <w:tab w:val="right" w:pos="9026" w:leader="dot"/>
            </w:tabs>
            <w:rPr/>
          </w:pPr>
          <w:hyperlink w:anchor="__RefHeading___Toc7305536_3381743652">
            <w:r>
              <w:rPr>
                <w:webHidden/>
                <w:rStyle w:val="IndexLink"/>
                <w:rtl w:val="true"/>
              </w:rPr>
              <w:t>اشارة</w:t>
            </w:r>
            <w:r>
              <w:rPr>
                <w:rStyle w:val="IndexLink"/>
                <w:rtl w:val="true"/>
              </w:rPr>
              <w:tab/>
            </w:r>
            <w:r>
              <w:rPr>
                <w:rStyle w:val="IndexLink"/>
              </w:rPr>
              <w:t>607</w:t>
            </w:r>
          </w:hyperlink>
        </w:p>
        <w:p>
          <w:pPr>
            <w:pStyle w:val="Contents5"/>
            <w:tabs>
              <w:tab w:val="clear" w:pos="7892"/>
              <w:tab w:val="right" w:pos="9026" w:leader="dot"/>
            </w:tabs>
            <w:rPr/>
          </w:pPr>
          <w:hyperlink w:anchor="__RefHeading___Toc7305538_3381743652">
            <w:r>
              <w:rPr>
                <w:webHidden/>
                <w:rStyle w:val="IndexLink"/>
                <w:rtl w:val="true"/>
              </w:rPr>
              <w:t>الأُولى</w:t>
            </w:r>
            <w:r>
              <w:rPr>
                <w:rStyle w:val="IndexLink"/>
                <w:rtl w:val="true"/>
              </w:rPr>
              <w:t xml:space="preserve">: </w:t>
            </w:r>
            <w:r>
              <w:rPr>
                <w:rStyle w:val="IndexLink"/>
                <w:rtl w:val="true"/>
              </w:rPr>
              <w:t>حجّية خطابات الكتاب لغير المشافهين و عدمها</w:t>
            </w:r>
            <w:r>
              <w:rPr>
                <w:rStyle w:val="IndexLink"/>
                <w:rtl w:val="true"/>
              </w:rPr>
              <w:tab/>
            </w:r>
            <w:r>
              <w:rPr>
                <w:rStyle w:val="IndexLink"/>
              </w:rPr>
              <w:t>607</w:t>
            </w:r>
          </w:hyperlink>
        </w:p>
        <w:p>
          <w:pPr>
            <w:pStyle w:val="Contents5"/>
            <w:tabs>
              <w:tab w:val="clear" w:pos="7892"/>
              <w:tab w:val="right" w:pos="9026" w:leader="dot"/>
            </w:tabs>
            <w:rPr/>
          </w:pPr>
          <w:hyperlink w:anchor="__RefHeading___Toc7305540_3381743652">
            <w:r>
              <w:rPr>
                <w:webHidden/>
                <w:rStyle w:val="IndexLink"/>
                <w:rtl w:val="true"/>
              </w:rPr>
              <w:t>الثمرة الثانية</w:t>
            </w:r>
            <w:r>
              <w:rPr>
                <w:rStyle w:val="IndexLink"/>
                <w:rtl w:val="true"/>
              </w:rPr>
              <w:t xml:space="preserve">: </w:t>
            </w:r>
            <w:r>
              <w:rPr>
                <w:rStyle w:val="IndexLink"/>
                <w:rtl w:val="true"/>
              </w:rPr>
              <w:t>صحّة التمسّك بالإطلاقات على التعميم</w:t>
            </w:r>
            <w:r>
              <w:rPr>
                <w:rStyle w:val="IndexLink"/>
                <w:rtl w:val="true"/>
              </w:rPr>
              <w:t>.</w:t>
              <w:tab/>
            </w:r>
            <w:r>
              <w:rPr>
                <w:rStyle w:val="IndexLink"/>
              </w:rPr>
              <w:t>608</w:t>
            </w:r>
          </w:hyperlink>
        </w:p>
        <w:p>
          <w:pPr>
            <w:pStyle w:val="Contents6"/>
            <w:tabs>
              <w:tab w:val="clear" w:pos="7609"/>
              <w:tab w:val="right" w:pos="9026" w:leader="dot"/>
            </w:tabs>
            <w:rPr/>
          </w:pPr>
          <w:hyperlink w:anchor="__RefHeading___Toc7305542_3381743652">
            <w:r>
              <w:rPr>
                <w:webHidden/>
                <w:rStyle w:val="IndexLink"/>
                <w:rtl w:val="true"/>
              </w:rPr>
              <w:t>اشارة</w:t>
            </w:r>
            <w:r>
              <w:rPr>
                <w:rStyle w:val="IndexLink"/>
                <w:rtl w:val="true"/>
              </w:rPr>
              <w:tab/>
            </w:r>
            <w:r>
              <w:rPr>
                <w:rStyle w:val="IndexLink"/>
              </w:rPr>
              <w:t>608</w:t>
            </w:r>
          </w:hyperlink>
        </w:p>
        <w:p>
          <w:pPr>
            <w:pStyle w:val="Contents6"/>
            <w:tabs>
              <w:tab w:val="clear" w:pos="7609"/>
              <w:tab w:val="right" w:pos="9026" w:leader="dot"/>
            </w:tabs>
            <w:rPr/>
          </w:pPr>
          <w:hyperlink w:anchor="__RefHeading___Toc7305544_3381743652">
            <w:r>
              <w:rPr>
                <w:webHidden/>
                <w:rStyle w:val="IndexLink"/>
                <w:rtl w:val="true"/>
              </w:rPr>
              <w:t>سقوط الثمرة في القيد المفارق</w:t>
            </w:r>
            <w:r>
              <w:rPr>
                <w:rStyle w:val="IndexLink"/>
                <w:rtl w:val="true"/>
              </w:rPr>
              <w:tab/>
            </w:r>
            <w:r>
              <w:rPr>
                <w:rStyle w:val="IndexLink"/>
              </w:rPr>
              <w:t>609</w:t>
            </w:r>
          </w:hyperlink>
        </w:p>
        <w:p>
          <w:pPr>
            <w:pStyle w:val="Contents3"/>
            <w:tabs>
              <w:tab w:val="clear" w:pos="8459"/>
              <w:tab w:val="right" w:pos="9026" w:leader="dot"/>
            </w:tabs>
            <w:rPr/>
          </w:pPr>
          <w:hyperlink w:anchor="__RefHeading___Toc7305546_3381743652">
            <w:r>
              <w:rPr>
                <w:webHidden/>
                <w:rStyle w:val="IndexLink"/>
                <w:rtl w:val="true"/>
              </w:rPr>
              <w:t>الفصل الحادي عشر تعقب العام بضمير يرجع إلى بعض أفراده</w:t>
            </w:r>
            <w:r>
              <w:rPr>
                <w:rStyle w:val="IndexLink"/>
                <w:rtl w:val="true"/>
              </w:rPr>
              <w:tab/>
            </w:r>
            <w:r>
              <w:rPr>
                <w:rStyle w:val="IndexLink"/>
              </w:rPr>
              <w:t>612</w:t>
            </w:r>
          </w:hyperlink>
        </w:p>
        <w:p>
          <w:pPr>
            <w:pStyle w:val="Contents4"/>
            <w:tabs>
              <w:tab w:val="clear" w:pos="8176"/>
              <w:tab w:val="right" w:pos="9026" w:leader="dot"/>
            </w:tabs>
            <w:rPr/>
          </w:pPr>
          <w:hyperlink w:anchor="__RefHeading___Toc7305548_3381743652">
            <w:r>
              <w:rPr>
                <w:webHidden/>
                <w:rStyle w:val="IndexLink"/>
                <w:rtl w:val="true"/>
              </w:rPr>
              <w:t>اشارة</w:t>
            </w:r>
            <w:r>
              <w:rPr>
                <w:rStyle w:val="IndexLink"/>
                <w:rtl w:val="true"/>
              </w:rPr>
              <w:tab/>
            </w:r>
            <w:r>
              <w:rPr>
                <w:rStyle w:val="IndexLink"/>
              </w:rPr>
              <w:t>612</w:t>
            </w:r>
          </w:hyperlink>
        </w:p>
        <w:p>
          <w:pPr>
            <w:pStyle w:val="Contents4"/>
            <w:tabs>
              <w:tab w:val="clear" w:pos="8176"/>
              <w:tab w:val="right" w:pos="9026" w:leader="dot"/>
            </w:tabs>
            <w:rPr/>
          </w:pPr>
          <w:hyperlink w:anchor="__RefHeading___Toc7305550_3381743652">
            <w:r>
              <w:rPr>
                <w:webHidden/>
                <w:rStyle w:val="IndexLink"/>
                <w:rtl w:val="true"/>
              </w:rPr>
              <w:t>تحرير محلّ النزاع</w:t>
            </w:r>
            <w:r>
              <w:rPr>
                <w:rStyle w:val="IndexLink"/>
                <w:rtl w:val="true"/>
              </w:rPr>
              <w:tab/>
            </w:r>
            <w:r>
              <w:rPr>
                <w:rStyle w:val="IndexLink"/>
              </w:rPr>
              <w:t>613</w:t>
            </w:r>
          </w:hyperlink>
        </w:p>
        <w:p>
          <w:pPr>
            <w:pStyle w:val="Contents4"/>
            <w:tabs>
              <w:tab w:val="clear" w:pos="8176"/>
              <w:tab w:val="right" w:pos="9026" w:leader="dot"/>
            </w:tabs>
            <w:rPr/>
          </w:pPr>
          <w:hyperlink w:anchor="__RefHeading___Toc7305552_3381743652">
            <w:r>
              <w:rPr>
                <w:webHidden/>
                <w:rStyle w:val="IndexLink"/>
                <w:rtl w:val="true"/>
              </w:rPr>
              <w:t>دوران الأمر بين المحاذير الثلاثة</w:t>
            </w:r>
            <w:r>
              <w:rPr>
                <w:rStyle w:val="IndexLink"/>
                <w:rtl w:val="true"/>
              </w:rPr>
              <w:tab/>
            </w:r>
            <w:r>
              <w:rPr>
                <w:rStyle w:val="IndexLink"/>
              </w:rPr>
              <w:t>614</w:t>
            </w:r>
          </w:hyperlink>
        </w:p>
        <w:p>
          <w:pPr>
            <w:pStyle w:val="Contents4"/>
            <w:tabs>
              <w:tab w:val="clear" w:pos="8176"/>
              <w:tab w:val="right" w:pos="9026" w:leader="dot"/>
            </w:tabs>
            <w:rPr/>
          </w:pPr>
          <w:hyperlink w:anchor="__RefHeading___Toc7305554_3381743652">
            <w:r>
              <w:rPr>
                <w:webHidden/>
                <w:rStyle w:val="IndexLink"/>
                <w:rtl w:val="true"/>
              </w:rPr>
              <w:t>الاحتفاظ بأصالة العموم في كلا الموردين</w:t>
            </w:r>
            <w:r>
              <w:rPr>
                <w:rStyle w:val="IndexLink"/>
                <w:rtl w:val="true"/>
              </w:rPr>
              <w:tab/>
            </w:r>
            <w:r>
              <w:rPr>
                <w:rStyle w:val="IndexLink"/>
              </w:rPr>
              <w:t>616</w:t>
            </w:r>
          </w:hyperlink>
        </w:p>
        <w:p>
          <w:pPr>
            <w:pStyle w:val="Contents3"/>
            <w:tabs>
              <w:tab w:val="clear" w:pos="8459"/>
              <w:tab w:val="right" w:pos="9026" w:leader="dot"/>
            </w:tabs>
            <w:rPr/>
          </w:pPr>
          <w:hyperlink w:anchor="__RefHeading___Toc7305556_3381743652">
            <w:r>
              <w:rPr>
                <w:webHidden/>
                <w:rStyle w:val="IndexLink"/>
                <w:rtl w:val="true"/>
              </w:rPr>
              <w:t>الفصل الثاني عشر في تخصيص العام بالمفهوم</w:t>
            </w:r>
            <w:r>
              <w:rPr>
                <w:rStyle w:val="IndexLink"/>
                <w:rtl w:val="true"/>
              </w:rPr>
              <w:tab/>
            </w:r>
            <w:r>
              <w:rPr>
                <w:rStyle w:val="IndexLink"/>
              </w:rPr>
              <w:t>618</w:t>
            </w:r>
          </w:hyperlink>
        </w:p>
        <w:p>
          <w:pPr>
            <w:pStyle w:val="Contents4"/>
            <w:tabs>
              <w:tab w:val="clear" w:pos="8176"/>
              <w:tab w:val="right" w:pos="9026" w:leader="dot"/>
            </w:tabs>
            <w:rPr/>
          </w:pPr>
          <w:hyperlink w:anchor="__RefHeading___Toc7305558_3381743652">
            <w:r>
              <w:rPr>
                <w:webHidden/>
                <w:rStyle w:val="IndexLink"/>
                <w:rtl w:val="true"/>
              </w:rPr>
              <w:t>اشارة</w:t>
            </w:r>
            <w:r>
              <w:rPr>
                <w:rStyle w:val="IndexLink"/>
                <w:rtl w:val="true"/>
              </w:rPr>
              <w:tab/>
            </w:r>
            <w:r>
              <w:rPr>
                <w:rStyle w:val="IndexLink"/>
              </w:rPr>
              <w:t>618</w:t>
            </w:r>
          </w:hyperlink>
        </w:p>
        <w:p>
          <w:pPr>
            <w:pStyle w:val="Contents4"/>
            <w:tabs>
              <w:tab w:val="clear" w:pos="8176"/>
              <w:tab w:val="right" w:pos="9026" w:leader="dot"/>
            </w:tabs>
            <w:rPr/>
          </w:pPr>
          <w:hyperlink w:anchor="__RefHeading___Toc7305560_3381743652">
            <w:r>
              <w:rPr>
                <w:webHidden/>
                <w:rStyle w:val="IndexLink"/>
                <w:rtl w:val="true"/>
              </w:rPr>
              <w:t>يقع الكلام في مقامين</w:t>
            </w:r>
            <w:r>
              <w:rPr>
                <w:rStyle w:val="IndexLink"/>
                <w:rtl w:val="true"/>
              </w:rPr>
              <w:t>:</w:t>
              <w:tab/>
            </w:r>
            <w:r>
              <w:rPr>
                <w:rStyle w:val="IndexLink"/>
              </w:rPr>
              <w:t>619</w:t>
            </w:r>
          </w:hyperlink>
        </w:p>
        <w:p>
          <w:pPr>
            <w:pStyle w:val="Contents5"/>
            <w:tabs>
              <w:tab w:val="clear" w:pos="7892"/>
              <w:tab w:val="right" w:pos="9026" w:leader="dot"/>
            </w:tabs>
            <w:rPr/>
          </w:pPr>
          <w:hyperlink w:anchor="__RefHeading___Toc7305562_3381743652">
            <w:r>
              <w:rPr>
                <w:webHidden/>
                <w:rStyle w:val="IndexLink"/>
                <w:rtl w:val="true"/>
              </w:rPr>
              <w:t>اشارة</w:t>
            </w:r>
            <w:r>
              <w:rPr>
                <w:rStyle w:val="IndexLink"/>
                <w:rtl w:val="true"/>
              </w:rPr>
              <w:tab/>
            </w:r>
            <w:r>
              <w:rPr>
                <w:rStyle w:val="IndexLink"/>
              </w:rPr>
              <w:t>619</w:t>
            </w:r>
          </w:hyperlink>
        </w:p>
        <w:p>
          <w:pPr>
            <w:pStyle w:val="Contents5"/>
            <w:tabs>
              <w:tab w:val="clear" w:pos="7892"/>
              <w:tab w:val="right" w:pos="9026" w:leader="dot"/>
            </w:tabs>
            <w:rPr/>
          </w:pPr>
          <w:hyperlink w:anchor="__RefHeading___Toc7305564_3381743652">
            <w:r>
              <w:rPr>
                <w:webHidden/>
                <w:rStyle w:val="IndexLink"/>
                <w:rtl w:val="true"/>
              </w:rPr>
              <w:t>المقام الأوّل</w:t>
            </w:r>
            <w:r>
              <w:rPr>
                <w:rStyle w:val="IndexLink"/>
                <w:rtl w:val="true"/>
              </w:rPr>
              <w:t xml:space="preserve">: </w:t>
            </w:r>
            <w:r>
              <w:rPr>
                <w:rStyle w:val="IndexLink"/>
                <w:rtl w:val="true"/>
              </w:rPr>
              <w:t>تخصيص العام بالمفهوم الموافق</w:t>
            </w:r>
            <w:r>
              <w:rPr>
                <w:rStyle w:val="IndexLink"/>
                <w:rtl w:val="true"/>
              </w:rPr>
              <w:tab/>
            </w:r>
            <w:r>
              <w:rPr>
                <w:rStyle w:val="IndexLink"/>
              </w:rPr>
              <w:t>620</w:t>
            </w:r>
          </w:hyperlink>
        </w:p>
        <w:p>
          <w:pPr>
            <w:pStyle w:val="Contents5"/>
            <w:tabs>
              <w:tab w:val="clear" w:pos="7892"/>
              <w:tab w:val="right" w:pos="9026" w:leader="dot"/>
            </w:tabs>
            <w:rPr/>
          </w:pPr>
          <w:hyperlink w:anchor="__RefHeading___Toc7305566_3381743652">
            <w:r>
              <w:rPr>
                <w:webHidden/>
                <w:rStyle w:val="IndexLink"/>
                <w:rtl w:val="true"/>
              </w:rPr>
              <w:t>المقام الثاني</w:t>
            </w:r>
            <w:r>
              <w:rPr>
                <w:rStyle w:val="IndexLink"/>
                <w:rtl w:val="true"/>
              </w:rPr>
              <w:t xml:space="preserve">: </w:t>
            </w:r>
            <w:r>
              <w:rPr>
                <w:rStyle w:val="IndexLink"/>
                <w:rtl w:val="true"/>
              </w:rPr>
              <w:t>التخصيص بمفهوم المخالفة</w:t>
            </w:r>
            <w:r>
              <w:rPr>
                <w:rStyle w:val="IndexLink"/>
                <w:rtl w:val="true"/>
              </w:rPr>
              <w:tab/>
            </w:r>
            <w:r>
              <w:rPr>
                <w:rStyle w:val="IndexLink"/>
              </w:rPr>
              <w:t>621</w:t>
            </w:r>
          </w:hyperlink>
        </w:p>
        <w:p>
          <w:pPr>
            <w:pStyle w:val="Contents4"/>
            <w:tabs>
              <w:tab w:val="clear" w:pos="8176"/>
              <w:tab w:val="right" w:pos="9026" w:leader="dot"/>
            </w:tabs>
            <w:rPr/>
          </w:pPr>
          <w:hyperlink w:anchor="__RefHeading___Toc7305568_3381743652">
            <w:r>
              <w:rPr>
                <w:webHidden/>
                <w:rStyle w:val="IndexLink"/>
                <w:rtl w:val="true"/>
              </w:rPr>
              <w:t>نظرية المحقّق البروجردي في المقام</w:t>
            </w:r>
            <w:r>
              <w:rPr>
                <w:rStyle w:val="IndexLink"/>
                <w:rtl w:val="true"/>
              </w:rPr>
              <w:tab/>
            </w:r>
            <w:r>
              <w:rPr>
                <w:rStyle w:val="IndexLink"/>
              </w:rPr>
              <w:t>624</w:t>
            </w:r>
          </w:hyperlink>
        </w:p>
        <w:p>
          <w:pPr>
            <w:pStyle w:val="Contents4"/>
            <w:tabs>
              <w:tab w:val="clear" w:pos="8176"/>
              <w:tab w:val="right" w:pos="9026" w:leader="dot"/>
            </w:tabs>
            <w:rPr/>
          </w:pPr>
          <w:hyperlink w:anchor="__RefHeading___Toc7305570_3381743652">
            <w:r>
              <w:rPr>
                <w:webHidden/>
                <w:rStyle w:val="IndexLink"/>
                <w:rtl w:val="true"/>
              </w:rPr>
              <w:t>تطبيقات</w:t>
            </w:r>
            <w:r>
              <w:rPr>
                <w:rStyle w:val="IndexLink"/>
                <w:rtl w:val="true"/>
              </w:rPr>
              <w:tab/>
            </w:r>
            <w:r>
              <w:rPr>
                <w:rStyle w:val="IndexLink"/>
              </w:rPr>
              <w:t>625</w:t>
            </w:r>
          </w:hyperlink>
        </w:p>
        <w:p>
          <w:pPr>
            <w:pStyle w:val="Contents5"/>
            <w:tabs>
              <w:tab w:val="clear" w:pos="7892"/>
              <w:tab w:val="right" w:pos="9026" w:leader="dot"/>
            </w:tabs>
            <w:rPr/>
          </w:pPr>
          <w:hyperlink w:anchor="__RefHeading___Toc7305572_3381743652">
            <w:r>
              <w:rPr>
                <w:webHidden/>
                <w:rStyle w:val="IndexLink"/>
                <w:rtl w:val="true"/>
              </w:rPr>
              <w:t>اشارة</w:t>
            </w:r>
            <w:r>
              <w:rPr>
                <w:rStyle w:val="IndexLink"/>
                <w:rtl w:val="true"/>
              </w:rPr>
              <w:tab/>
            </w:r>
            <w:r>
              <w:rPr>
                <w:rStyle w:val="IndexLink"/>
              </w:rPr>
              <w:t>625</w:t>
            </w:r>
          </w:hyperlink>
        </w:p>
        <w:p>
          <w:pPr>
            <w:pStyle w:val="Contents5"/>
            <w:tabs>
              <w:tab w:val="clear" w:pos="7892"/>
              <w:tab w:val="right" w:pos="9026" w:leader="dot"/>
            </w:tabs>
            <w:rPr/>
          </w:pPr>
          <w:hyperlink w:anchor="__RefHeading___Toc7305574_3381743652">
            <w:r>
              <w:rPr>
                <w:webHidden/>
                <w:rStyle w:val="IndexLink"/>
              </w:rPr>
              <w:t>1</w:t>
            </w:r>
            <w:r>
              <w:rPr>
                <w:rStyle w:val="IndexLink"/>
                <w:rtl w:val="true"/>
              </w:rPr>
              <w:t xml:space="preserve">. </w:t>
            </w:r>
            <w:r>
              <w:rPr>
                <w:rStyle w:val="IndexLink"/>
                <w:rtl w:val="true"/>
              </w:rPr>
              <w:t>آية النبأ و التعارض بين المفهوم و التعليل</w:t>
            </w:r>
            <w:r>
              <w:rPr>
                <w:rStyle w:val="IndexLink"/>
                <w:rtl w:val="true"/>
              </w:rPr>
              <w:tab/>
            </w:r>
            <w:r>
              <w:rPr>
                <w:rStyle w:val="IndexLink"/>
              </w:rPr>
              <w:t>625</w:t>
            </w:r>
          </w:hyperlink>
        </w:p>
        <w:p>
          <w:pPr>
            <w:pStyle w:val="Contents5"/>
            <w:tabs>
              <w:tab w:val="clear" w:pos="7892"/>
              <w:tab w:val="right" w:pos="9026" w:leader="dot"/>
            </w:tabs>
            <w:rPr/>
          </w:pPr>
          <w:hyperlink w:anchor="__RefHeading___Toc7305576_3381743652">
            <w:r>
              <w:rPr>
                <w:webHidden/>
                <w:rStyle w:val="IndexLink"/>
              </w:rPr>
              <w:t>2</w:t>
            </w:r>
            <w:r>
              <w:rPr>
                <w:rStyle w:val="IndexLink"/>
                <w:rtl w:val="true"/>
              </w:rPr>
              <w:t xml:space="preserve">. </w:t>
            </w:r>
            <w:r>
              <w:rPr>
                <w:rStyle w:val="IndexLink"/>
                <w:rtl w:val="true"/>
              </w:rPr>
              <w:t>حديث</w:t>
            </w:r>
            <w:r>
              <w:rPr>
                <w:rStyle w:val="IndexLink"/>
                <w:rtl w:val="true"/>
              </w:rPr>
              <w:t xml:space="preserve">» </w:t>
            </w:r>
            <w:r>
              <w:rPr>
                <w:rStyle w:val="IndexLink"/>
                <w:rtl w:val="true"/>
              </w:rPr>
              <w:t xml:space="preserve">قدر كرّ </w:t>
            </w:r>
            <w:r>
              <w:rPr>
                <w:rStyle w:val="IndexLink"/>
                <w:rtl w:val="true"/>
              </w:rPr>
              <w:t>«</w:t>
            </w:r>
            <w:r>
              <w:rPr>
                <w:rStyle w:val="IndexLink"/>
                <w:rtl w:val="true"/>
              </w:rPr>
              <w:t>و قوة العام في حديث ابن بزيع</w:t>
            </w:r>
            <w:r>
              <w:rPr>
                <w:rStyle w:val="IndexLink"/>
                <w:rtl w:val="true"/>
              </w:rPr>
              <w:tab/>
            </w:r>
            <w:r>
              <w:rPr>
                <w:rStyle w:val="IndexLink"/>
              </w:rPr>
              <w:t>627</w:t>
            </w:r>
          </w:hyperlink>
        </w:p>
        <w:p>
          <w:pPr>
            <w:pStyle w:val="Contents5"/>
            <w:tabs>
              <w:tab w:val="clear" w:pos="7892"/>
              <w:tab w:val="right" w:pos="9026" w:leader="dot"/>
            </w:tabs>
            <w:rPr/>
          </w:pPr>
          <w:hyperlink w:anchor="__RefHeading___Toc7305578_3381743652">
            <w:r>
              <w:rPr>
                <w:webHidden/>
                <w:rStyle w:val="IndexLink"/>
              </w:rPr>
              <w:t>2</w:t>
            </w:r>
            <w:r>
              <w:rPr>
                <w:rStyle w:val="IndexLink"/>
                <w:rtl w:val="true"/>
              </w:rPr>
              <w:t xml:space="preserve">. </w:t>
            </w:r>
            <w:r>
              <w:rPr>
                <w:rStyle w:val="IndexLink"/>
                <w:rtl w:val="true"/>
              </w:rPr>
              <w:t>حديث</w:t>
            </w:r>
            <w:r>
              <w:rPr>
                <w:rStyle w:val="IndexLink"/>
                <w:rtl w:val="true"/>
              </w:rPr>
              <w:t xml:space="preserve">» </w:t>
            </w:r>
            <w:r>
              <w:rPr>
                <w:rStyle w:val="IndexLink"/>
                <w:rtl w:val="true"/>
              </w:rPr>
              <w:t xml:space="preserve">قدر كرّ </w:t>
            </w:r>
            <w:r>
              <w:rPr>
                <w:rStyle w:val="IndexLink"/>
                <w:rtl w:val="true"/>
              </w:rPr>
              <w:t>«</w:t>
            </w:r>
            <w:r>
              <w:rPr>
                <w:rStyle w:val="IndexLink"/>
                <w:rtl w:val="true"/>
              </w:rPr>
              <w:t>و رواية السرائر</w:t>
            </w:r>
            <w:r>
              <w:rPr>
                <w:rStyle w:val="IndexLink"/>
                <w:rtl w:val="true"/>
              </w:rPr>
              <w:tab/>
            </w:r>
            <w:r>
              <w:rPr>
                <w:rStyle w:val="IndexLink"/>
              </w:rPr>
              <w:t>628</w:t>
            </w:r>
          </w:hyperlink>
        </w:p>
        <w:p>
          <w:pPr>
            <w:pStyle w:val="Contents3"/>
            <w:tabs>
              <w:tab w:val="clear" w:pos="8459"/>
              <w:tab w:val="right" w:pos="9026" w:leader="dot"/>
            </w:tabs>
            <w:rPr/>
          </w:pPr>
          <w:hyperlink w:anchor="__RefHeading___Toc7305580_3381743652">
            <w:r>
              <w:rPr>
                <w:webHidden/>
                <w:rStyle w:val="IndexLink"/>
                <w:rtl w:val="true"/>
              </w:rPr>
              <w:t>الفصل الثالث عشر الاستثناء المتعقِّب للجمل</w:t>
            </w:r>
            <w:r>
              <w:rPr>
                <w:rStyle w:val="IndexLink"/>
                <w:rtl w:val="true"/>
              </w:rPr>
              <w:tab/>
            </w:r>
            <w:r>
              <w:rPr>
                <w:rStyle w:val="IndexLink"/>
              </w:rPr>
              <w:t>629</w:t>
            </w:r>
          </w:hyperlink>
        </w:p>
        <w:p>
          <w:pPr>
            <w:pStyle w:val="Contents4"/>
            <w:tabs>
              <w:tab w:val="clear" w:pos="8176"/>
              <w:tab w:val="right" w:pos="9026" w:leader="dot"/>
            </w:tabs>
            <w:rPr/>
          </w:pPr>
          <w:hyperlink w:anchor="__RefHeading___Toc7305582_3381743652">
            <w:r>
              <w:rPr>
                <w:webHidden/>
                <w:rStyle w:val="IndexLink"/>
                <w:rtl w:val="true"/>
              </w:rPr>
              <w:t>اشارة</w:t>
            </w:r>
            <w:r>
              <w:rPr>
                <w:rStyle w:val="IndexLink"/>
                <w:rtl w:val="true"/>
              </w:rPr>
              <w:tab/>
            </w:r>
            <w:r>
              <w:rPr>
                <w:rStyle w:val="IndexLink"/>
              </w:rPr>
              <w:t>629</w:t>
            </w:r>
          </w:hyperlink>
        </w:p>
        <w:p>
          <w:pPr>
            <w:pStyle w:val="Contents4"/>
            <w:tabs>
              <w:tab w:val="clear" w:pos="8176"/>
              <w:tab w:val="right" w:pos="9026" w:leader="dot"/>
            </w:tabs>
            <w:rPr/>
          </w:pPr>
          <w:hyperlink w:anchor="__RefHeading___Toc7305584_3381743652">
            <w:r>
              <w:rPr>
                <w:webHidden/>
                <w:rStyle w:val="IndexLink"/>
                <w:rtl w:val="true"/>
              </w:rPr>
              <w:t>المقام الأوّل</w:t>
            </w:r>
            <w:r>
              <w:rPr>
                <w:rStyle w:val="IndexLink"/>
                <w:rtl w:val="true"/>
              </w:rPr>
              <w:t xml:space="preserve">: </w:t>
            </w:r>
            <w:r>
              <w:rPr>
                <w:rStyle w:val="IndexLink"/>
                <w:rtl w:val="true"/>
              </w:rPr>
              <w:t>في مقام الثبوت و إمكان الرجوع إلى الجميع</w:t>
            </w:r>
            <w:r>
              <w:rPr>
                <w:rStyle w:val="IndexLink"/>
                <w:rtl w:val="true"/>
              </w:rPr>
              <w:tab/>
            </w:r>
            <w:r>
              <w:rPr>
                <w:rStyle w:val="IndexLink"/>
              </w:rPr>
              <w:t>630</w:t>
            </w:r>
          </w:hyperlink>
        </w:p>
        <w:p>
          <w:pPr>
            <w:pStyle w:val="Contents4"/>
            <w:tabs>
              <w:tab w:val="clear" w:pos="8176"/>
              <w:tab w:val="right" w:pos="9026" w:leader="dot"/>
            </w:tabs>
            <w:rPr/>
          </w:pPr>
          <w:hyperlink w:anchor="__RefHeading___Toc7305586_3381743652">
            <w:r>
              <w:rPr>
                <w:webHidden/>
                <w:rStyle w:val="IndexLink"/>
                <w:rtl w:val="true"/>
              </w:rPr>
              <w:t>المقام الثاني</w:t>
            </w:r>
            <w:r>
              <w:rPr>
                <w:rStyle w:val="IndexLink"/>
                <w:rtl w:val="true"/>
              </w:rPr>
              <w:t xml:space="preserve">: </w:t>
            </w:r>
            <w:r>
              <w:rPr>
                <w:rStyle w:val="IndexLink"/>
                <w:rtl w:val="true"/>
              </w:rPr>
              <w:t>في بيان ما هو ظاهر فيه</w:t>
            </w:r>
            <w:r>
              <w:rPr>
                <w:rStyle w:val="IndexLink"/>
                <w:rtl w:val="true"/>
              </w:rPr>
              <w:tab/>
            </w:r>
            <w:r>
              <w:rPr>
                <w:rStyle w:val="IndexLink"/>
              </w:rPr>
              <w:t>633</w:t>
            </w:r>
          </w:hyperlink>
        </w:p>
        <w:p>
          <w:pPr>
            <w:pStyle w:val="Contents5"/>
            <w:tabs>
              <w:tab w:val="clear" w:pos="7892"/>
              <w:tab w:val="right" w:pos="9026" w:leader="dot"/>
            </w:tabs>
            <w:rPr/>
          </w:pPr>
          <w:hyperlink w:anchor="__RefHeading___Toc7305588_3381743652">
            <w:r>
              <w:rPr>
                <w:webHidden/>
                <w:rStyle w:val="IndexLink"/>
                <w:rtl w:val="true"/>
              </w:rPr>
              <w:t>اشارة</w:t>
            </w:r>
            <w:r>
              <w:rPr>
                <w:rStyle w:val="IndexLink"/>
                <w:rtl w:val="true"/>
              </w:rPr>
              <w:tab/>
            </w:r>
            <w:r>
              <w:rPr>
                <w:rStyle w:val="IndexLink"/>
              </w:rPr>
              <w:t>633</w:t>
            </w:r>
          </w:hyperlink>
        </w:p>
        <w:p>
          <w:pPr>
            <w:pStyle w:val="Contents5"/>
            <w:tabs>
              <w:tab w:val="clear" w:pos="7892"/>
              <w:tab w:val="right" w:pos="9026" w:leader="dot"/>
            </w:tabs>
            <w:rPr/>
          </w:pPr>
          <w:hyperlink w:anchor="__RefHeading___Toc7305590_3381743652">
            <w:r>
              <w:rPr>
                <w:webHidden/>
                <w:rStyle w:val="IndexLink"/>
                <w:rtl w:val="true"/>
              </w:rPr>
              <w:t>نظرية المحقّق النائيني</w:t>
            </w:r>
            <w:r>
              <w:rPr>
                <w:rStyle w:val="IndexLink"/>
                <w:rtl w:val="true"/>
              </w:rPr>
              <w:tab/>
            </w:r>
            <w:r>
              <w:rPr>
                <w:rStyle w:val="IndexLink"/>
              </w:rPr>
              <w:t>634</w:t>
            </w:r>
          </w:hyperlink>
        </w:p>
        <w:p>
          <w:pPr>
            <w:pStyle w:val="Contents3"/>
            <w:tabs>
              <w:tab w:val="clear" w:pos="8459"/>
              <w:tab w:val="right" w:pos="9026" w:leader="dot"/>
            </w:tabs>
            <w:rPr/>
          </w:pPr>
          <w:hyperlink w:anchor="__RefHeading___Toc7305592_3381743652">
            <w:r>
              <w:rPr>
                <w:webHidden/>
                <w:rStyle w:val="IndexLink"/>
                <w:rtl w:val="true"/>
              </w:rPr>
              <w:t>الفصل الرابع عشر تخصيص الكتاب بالخبر الواحد</w:t>
            </w:r>
            <w:r>
              <w:rPr>
                <w:rStyle w:val="IndexLink"/>
                <w:rtl w:val="true"/>
              </w:rPr>
              <w:tab/>
            </w:r>
            <w:r>
              <w:rPr>
                <w:rStyle w:val="IndexLink"/>
              </w:rPr>
              <w:t>637</w:t>
            </w:r>
          </w:hyperlink>
        </w:p>
        <w:p>
          <w:pPr>
            <w:pStyle w:val="Contents4"/>
            <w:tabs>
              <w:tab w:val="clear" w:pos="8176"/>
              <w:tab w:val="right" w:pos="9026" w:leader="dot"/>
            </w:tabs>
            <w:rPr/>
          </w:pPr>
          <w:hyperlink w:anchor="__RefHeading___Toc7305594_3381743652">
            <w:r>
              <w:rPr>
                <w:webHidden/>
                <w:rStyle w:val="IndexLink"/>
                <w:rtl w:val="true"/>
              </w:rPr>
              <w:t>اشارة</w:t>
            </w:r>
            <w:r>
              <w:rPr>
                <w:rStyle w:val="IndexLink"/>
                <w:rtl w:val="true"/>
              </w:rPr>
              <w:tab/>
            </w:r>
            <w:r>
              <w:rPr>
                <w:rStyle w:val="IndexLink"/>
              </w:rPr>
              <w:t>637</w:t>
            </w:r>
          </w:hyperlink>
        </w:p>
        <w:p>
          <w:pPr>
            <w:pStyle w:val="Contents4"/>
            <w:tabs>
              <w:tab w:val="clear" w:pos="8176"/>
              <w:tab w:val="right" w:pos="9026" w:leader="dot"/>
            </w:tabs>
            <w:rPr/>
          </w:pPr>
          <w:hyperlink w:anchor="__RefHeading___Toc7305596_3381743652">
            <w:r>
              <w:rPr>
                <w:webHidden/>
                <w:rStyle w:val="IndexLink"/>
                <w:rtl w:val="true"/>
              </w:rPr>
              <w:t>حجّة المانعين من التخصيص</w:t>
            </w:r>
            <w:r>
              <w:rPr>
                <w:rStyle w:val="IndexLink"/>
                <w:rtl w:val="true"/>
              </w:rPr>
              <w:tab/>
            </w:r>
            <w:r>
              <w:rPr>
                <w:rStyle w:val="IndexLink"/>
              </w:rPr>
              <w:t>641</w:t>
            </w:r>
          </w:hyperlink>
        </w:p>
        <w:p>
          <w:pPr>
            <w:pStyle w:val="Contents3"/>
            <w:tabs>
              <w:tab w:val="clear" w:pos="8459"/>
              <w:tab w:val="right" w:pos="9026" w:leader="dot"/>
            </w:tabs>
            <w:rPr/>
          </w:pPr>
          <w:hyperlink w:anchor="__RefHeading___Toc7305598_3381743652">
            <w:r>
              <w:rPr>
                <w:webHidden/>
                <w:rStyle w:val="IndexLink"/>
                <w:rtl w:val="true"/>
              </w:rPr>
              <w:t>الفصل الخامس عشر في حالات العام و الخاص</w:t>
            </w:r>
            <w:r>
              <w:rPr>
                <w:rStyle w:val="IndexLink"/>
                <w:rtl w:val="true"/>
              </w:rPr>
              <w:tab/>
            </w:r>
            <w:r>
              <w:rPr>
                <w:rStyle w:val="IndexLink"/>
              </w:rPr>
              <w:t>647</w:t>
            </w:r>
          </w:hyperlink>
        </w:p>
        <w:p>
          <w:pPr>
            <w:pStyle w:val="Contents4"/>
            <w:tabs>
              <w:tab w:val="clear" w:pos="8176"/>
              <w:tab w:val="right" w:pos="9026" w:leader="dot"/>
            </w:tabs>
            <w:rPr/>
          </w:pPr>
          <w:hyperlink w:anchor="__RefHeading___Toc7305600_3381743652">
            <w:r>
              <w:rPr>
                <w:webHidden/>
                <w:rStyle w:val="IndexLink"/>
                <w:rtl w:val="true"/>
              </w:rPr>
              <w:t>اشارة</w:t>
            </w:r>
            <w:r>
              <w:rPr>
                <w:rStyle w:val="IndexLink"/>
                <w:rtl w:val="true"/>
              </w:rPr>
              <w:tab/>
            </w:r>
            <w:r>
              <w:rPr>
                <w:rStyle w:val="IndexLink"/>
              </w:rPr>
              <w:t>647</w:t>
            </w:r>
          </w:hyperlink>
        </w:p>
        <w:p>
          <w:pPr>
            <w:pStyle w:val="Contents4"/>
            <w:tabs>
              <w:tab w:val="clear" w:pos="8176"/>
              <w:tab w:val="right" w:pos="9026" w:leader="dot"/>
            </w:tabs>
            <w:rPr/>
          </w:pPr>
          <w:hyperlink w:anchor="__RefHeading___Toc7305602_3381743652">
            <w:r>
              <w:rPr>
                <w:webHidden/>
                <w:rStyle w:val="IndexLink"/>
                <w:rtl w:val="true"/>
              </w:rPr>
              <w:t>الأمر الأوّل</w:t>
            </w:r>
            <w:r>
              <w:rPr>
                <w:rStyle w:val="IndexLink"/>
                <w:rtl w:val="true"/>
              </w:rPr>
              <w:t xml:space="preserve">: </w:t>
            </w:r>
            <w:r>
              <w:rPr>
                <w:rStyle w:val="IndexLink"/>
                <w:rtl w:val="true"/>
              </w:rPr>
              <w:t>في دوران الأمر بين التخصيص و النسخ</w:t>
            </w:r>
            <w:r>
              <w:rPr>
                <w:rStyle w:val="IndexLink"/>
                <w:rtl w:val="true"/>
              </w:rPr>
              <w:tab/>
            </w:r>
            <w:r>
              <w:rPr>
                <w:rStyle w:val="IndexLink"/>
              </w:rPr>
              <w:t>647</w:t>
            </w:r>
          </w:hyperlink>
        </w:p>
        <w:p>
          <w:pPr>
            <w:pStyle w:val="Contents5"/>
            <w:tabs>
              <w:tab w:val="clear" w:pos="7892"/>
              <w:tab w:val="right" w:pos="9026" w:leader="dot"/>
            </w:tabs>
            <w:rPr/>
          </w:pPr>
          <w:hyperlink w:anchor="__RefHeading___Toc7305604_3381743652">
            <w:r>
              <w:rPr>
                <w:webHidden/>
                <w:rStyle w:val="IndexLink"/>
                <w:rtl w:val="true"/>
              </w:rPr>
              <w:t>اشارة</w:t>
            </w:r>
            <w:r>
              <w:rPr>
                <w:rStyle w:val="IndexLink"/>
                <w:rtl w:val="true"/>
              </w:rPr>
              <w:tab/>
            </w:r>
            <w:r>
              <w:rPr>
                <w:rStyle w:val="IndexLink"/>
              </w:rPr>
              <w:t>647</w:t>
            </w:r>
          </w:hyperlink>
        </w:p>
        <w:p>
          <w:pPr>
            <w:pStyle w:val="Contents5"/>
            <w:tabs>
              <w:tab w:val="clear" w:pos="7892"/>
              <w:tab w:val="right" w:pos="9026" w:leader="dot"/>
            </w:tabs>
            <w:rPr/>
          </w:pPr>
          <w:hyperlink w:anchor="__RefHeading___Toc7305606_3381743652">
            <w:r>
              <w:rPr>
                <w:webHidden/>
                <w:rStyle w:val="IndexLink"/>
                <w:rtl w:val="true"/>
              </w:rPr>
              <w:t>الأُولى</w:t>
            </w:r>
            <w:r>
              <w:rPr>
                <w:rStyle w:val="IndexLink"/>
                <w:rtl w:val="true"/>
              </w:rPr>
              <w:t xml:space="preserve">: </w:t>
            </w:r>
            <w:r>
              <w:rPr>
                <w:rStyle w:val="IndexLink"/>
                <w:rtl w:val="true"/>
              </w:rPr>
              <w:t>ورود الخاص و العام متقارنين</w:t>
            </w:r>
            <w:r>
              <w:rPr>
                <w:rStyle w:val="IndexLink"/>
                <w:rtl w:val="true"/>
              </w:rPr>
              <w:tab/>
            </w:r>
            <w:r>
              <w:rPr>
                <w:rStyle w:val="IndexLink"/>
              </w:rPr>
              <w:t>647</w:t>
            </w:r>
          </w:hyperlink>
        </w:p>
        <w:p>
          <w:pPr>
            <w:pStyle w:val="Contents5"/>
            <w:tabs>
              <w:tab w:val="clear" w:pos="7892"/>
              <w:tab w:val="right" w:pos="9026" w:leader="dot"/>
            </w:tabs>
            <w:rPr/>
          </w:pPr>
          <w:hyperlink w:anchor="__RefHeading___Toc7305608_3381743652">
            <w:r>
              <w:rPr>
                <w:webHidden/>
                <w:rStyle w:val="IndexLink"/>
                <w:rtl w:val="true"/>
              </w:rPr>
              <w:t>الثانية</w:t>
            </w:r>
            <w:r>
              <w:rPr>
                <w:rStyle w:val="IndexLink"/>
                <w:rtl w:val="true"/>
              </w:rPr>
              <w:t xml:space="preserve">: </w:t>
            </w:r>
            <w:r>
              <w:rPr>
                <w:rStyle w:val="IndexLink"/>
                <w:rtl w:val="true"/>
              </w:rPr>
              <w:t>ورود الخاص قبل حضور وقت العمل بالعام</w:t>
            </w:r>
            <w:r>
              <w:rPr>
                <w:rStyle w:val="IndexLink"/>
                <w:rtl w:val="true"/>
              </w:rPr>
              <w:tab/>
            </w:r>
            <w:r>
              <w:rPr>
                <w:rStyle w:val="IndexLink"/>
              </w:rPr>
              <w:t>648</w:t>
            </w:r>
          </w:hyperlink>
        </w:p>
        <w:p>
          <w:pPr>
            <w:pStyle w:val="Contents5"/>
            <w:tabs>
              <w:tab w:val="clear" w:pos="7892"/>
              <w:tab w:val="right" w:pos="9026" w:leader="dot"/>
            </w:tabs>
            <w:rPr/>
          </w:pPr>
          <w:hyperlink w:anchor="__RefHeading___Toc7305610_3381743652">
            <w:r>
              <w:rPr>
                <w:webHidden/>
                <w:rStyle w:val="IndexLink"/>
                <w:rtl w:val="true"/>
              </w:rPr>
              <w:t>الثالثة</w:t>
            </w:r>
            <w:r>
              <w:rPr>
                <w:rStyle w:val="IndexLink"/>
                <w:rtl w:val="true"/>
              </w:rPr>
              <w:t xml:space="preserve">: </w:t>
            </w:r>
            <w:r>
              <w:rPr>
                <w:rStyle w:val="IndexLink"/>
                <w:rtl w:val="true"/>
              </w:rPr>
              <w:t>ورود الخاص بعد حضور وقت العمل بالعام</w:t>
            </w:r>
            <w:r>
              <w:rPr>
                <w:rStyle w:val="IndexLink"/>
                <w:rtl w:val="true"/>
              </w:rPr>
              <w:tab/>
            </w:r>
            <w:r>
              <w:rPr>
                <w:rStyle w:val="IndexLink"/>
              </w:rPr>
              <w:t>648</w:t>
            </w:r>
          </w:hyperlink>
        </w:p>
        <w:p>
          <w:pPr>
            <w:pStyle w:val="Contents6"/>
            <w:tabs>
              <w:tab w:val="clear" w:pos="7609"/>
              <w:tab w:val="right" w:pos="9026" w:leader="dot"/>
            </w:tabs>
            <w:rPr/>
          </w:pPr>
          <w:hyperlink w:anchor="__RefHeading___Toc7305612_3381743652">
            <w:r>
              <w:rPr>
                <w:webHidden/>
                <w:rStyle w:val="IndexLink"/>
                <w:rtl w:val="true"/>
              </w:rPr>
              <w:t>اشارة</w:t>
            </w:r>
            <w:r>
              <w:rPr>
                <w:rStyle w:val="IndexLink"/>
                <w:rtl w:val="true"/>
              </w:rPr>
              <w:tab/>
            </w:r>
            <w:r>
              <w:rPr>
                <w:rStyle w:val="IndexLink"/>
              </w:rPr>
              <w:t>648</w:t>
            </w:r>
          </w:hyperlink>
        </w:p>
        <w:p>
          <w:pPr>
            <w:pStyle w:val="Contents6"/>
            <w:tabs>
              <w:tab w:val="clear" w:pos="7609"/>
              <w:tab w:val="right" w:pos="9026" w:leader="dot"/>
            </w:tabs>
            <w:rPr/>
          </w:pPr>
          <w:hyperlink w:anchor="__RefHeading___Toc7305614_3381743652">
            <w:r>
              <w:rPr>
                <w:webHidden/>
                <w:rStyle w:val="IndexLink"/>
                <w:rtl w:val="true"/>
              </w:rPr>
              <w:t>نظرية الشيخ الأعظم في المقام</w:t>
            </w:r>
            <w:r>
              <w:rPr>
                <w:rStyle w:val="IndexLink"/>
                <w:rtl w:val="true"/>
              </w:rPr>
              <w:tab/>
            </w:r>
            <w:r>
              <w:rPr>
                <w:rStyle w:val="IndexLink"/>
              </w:rPr>
              <w:t>649</w:t>
            </w:r>
          </w:hyperlink>
        </w:p>
        <w:p>
          <w:pPr>
            <w:pStyle w:val="Contents6"/>
            <w:tabs>
              <w:tab w:val="clear" w:pos="7609"/>
              <w:tab w:val="right" w:pos="9026" w:leader="dot"/>
            </w:tabs>
            <w:rPr/>
          </w:pPr>
          <w:hyperlink w:anchor="__RefHeading___Toc7305616_3381743652">
            <w:r>
              <w:rPr>
                <w:webHidden/>
                <w:rStyle w:val="IndexLink"/>
                <w:rtl w:val="true"/>
              </w:rPr>
              <w:t>نظريتنا في المسألة</w:t>
            </w:r>
            <w:r>
              <w:rPr>
                <w:rStyle w:val="IndexLink"/>
                <w:rtl w:val="true"/>
              </w:rPr>
              <w:tab/>
            </w:r>
            <w:r>
              <w:rPr>
                <w:rStyle w:val="IndexLink"/>
              </w:rPr>
              <w:t>650</w:t>
            </w:r>
          </w:hyperlink>
        </w:p>
        <w:p>
          <w:pPr>
            <w:pStyle w:val="Contents5"/>
            <w:tabs>
              <w:tab w:val="clear" w:pos="7892"/>
              <w:tab w:val="right" w:pos="9026" w:leader="dot"/>
            </w:tabs>
            <w:rPr/>
          </w:pPr>
          <w:hyperlink w:anchor="__RefHeading___Toc7305618_3381743652">
            <w:r>
              <w:rPr>
                <w:webHidden/>
                <w:rStyle w:val="IndexLink"/>
                <w:rtl w:val="true"/>
              </w:rPr>
              <w:t>الرابعة</w:t>
            </w:r>
            <w:r>
              <w:rPr>
                <w:rStyle w:val="IndexLink"/>
                <w:rtl w:val="true"/>
              </w:rPr>
              <w:t xml:space="preserve">: </w:t>
            </w:r>
            <w:r>
              <w:rPr>
                <w:rStyle w:val="IndexLink"/>
                <w:rtl w:val="true"/>
              </w:rPr>
              <w:t>ورود العام قبل حضور وقت العمل بالخاص</w:t>
            </w:r>
            <w:r>
              <w:rPr>
                <w:rStyle w:val="IndexLink"/>
                <w:rtl w:val="true"/>
              </w:rPr>
              <w:tab/>
            </w:r>
            <w:r>
              <w:rPr>
                <w:rStyle w:val="IndexLink"/>
              </w:rPr>
              <w:t>651</w:t>
            </w:r>
          </w:hyperlink>
        </w:p>
        <w:p>
          <w:pPr>
            <w:pStyle w:val="Contents5"/>
            <w:tabs>
              <w:tab w:val="clear" w:pos="7892"/>
              <w:tab w:val="right" w:pos="9026" w:leader="dot"/>
            </w:tabs>
            <w:rPr/>
          </w:pPr>
          <w:hyperlink w:anchor="__RefHeading___Toc7305620_3381743652">
            <w:r>
              <w:rPr>
                <w:webHidden/>
                <w:rStyle w:val="IndexLink"/>
                <w:rtl w:val="true"/>
              </w:rPr>
              <w:t>الخامسة</w:t>
            </w:r>
            <w:r>
              <w:rPr>
                <w:rStyle w:val="IndexLink"/>
                <w:rtl w:val="true"/>
              </w:rPr>
              <w:t xml:space="preserve">: </w:t>
            </w:r>
            <w:r>
              <w:rPr>
                <w:rStyle w:val="IndexLink"/>
                <w:rtl w:val="true"/>
              </w:rPr>
              <w:t>ورود العام بعد حضور وقت العمل بالخاص</w:t>
            </w:r>
            <w:r>
              <w:rPr>
                <w:rStyle w:val="IndexLink"/>
                <w:rtl w:val="true"/>
              </w:rPr>
              <w:tab/>
            </w:r>
            <w:r>
              <w:rPr>
                <w:rStyle w:val="IndexLink"/>
              </w:rPr>
              <w:t>651</w:t>
            </w:r>
          </w:hyperlink>
        </w:p>
        <w:p>
          <w:pPr>
            <w:pStyle w:val="Contents4"/>
            <w:tabs>
              <w:tab w:val="clear" w:pos="8176"/>
              <w:tab w:val="right" w:pos="9026" w:leader="dot"/>
            </w:tabs>
            <w:rPr/>
          </w:pPr>
          <w:hyperlink w:anchor="__RefHeading___Toc7305622_3381743652">
            <w:r>
              <w:rPr>
                <w:webHidden/>
                <w:rStyle w:val="IndexLink"/>
                <w:rtl w:val="true"/>
              </w:rPr>
              <w:t>الأمر الثاني النسخ</w:t>
            </w:r>
            <w:r>
              <w:rPr>
                <w:rStyle w:val="IndexLink"/>
                <w:rtl w:val="true"/>
              </w:rPr>
              <w:tab/>
            </w:r>
            <w:r>
              <w:rPr>
                <w:rStyle w:val="IndexLink"/>
              </w:rPr>
              <w:t>653</w:t>
            </w:r>
          </w:hyperlink>
        </w:p>
        <w:p>
          <w:pPr>
            <w:pStyle w:val="Contents5"/>
            <w:tabs>
              <w:tab w:val="clear" w:pos="7892"/>
              <w:tab w:val="right" w:pos="9026" w:leader="dot"/>
            </w:tabs>
            <w:rPr/>
          </w:pPr>
          <w:hyperlink w:anchor="__RefHeading___Toc7305624_3381743652">
            <w:r>
              <w:rPr>
                <w:webHidden/>
                <w:rStyle w:val="IndexLink"/>
                <w:rtl w:val="true"/>
              </w:rPr>
              <w:t>اشارة</w:t>
            </w:r>
            <w:r>
              <w:rPr>
                <w:rStyle w:val="IndexLink"/>
                <w:rtl w:val="true"/>
              </w:rPr>
              <w:tab/>
            </w:r>
            <w:r>
              <w:rPr>
                <w:rStyle w:val="IndexLink"/>
              </w:rPr>
              <w:t>653</w:t>
            </w:r>
          </w:hyperlink>
        </w:p>
        <w:p>
          <w:pPr>
            <w:pStyle w:val="Contents5"/>
            <w:tabs>
              <w:tab w:val="clear" w:pos="7892"/>
              <w:tab w:val="right" w:pos="9026" w:leader="dot"/>
            </w:tabs>
            <w:rPr/>
          </w:pPr>
          <w:hyperlink w:anchor="__RefHeading___Toc7305626_3381743652">
            <w:r>
              <w:rPr>
                <w:webHidden/>
                <w:rStyle w:val="IndexLink"/>
                <w:rtl w:val="true"/>
              </w:rPr>
              <w:t>الأوّل</w:t>
            </w:r>
            <w:r>
              <w:rPr>
                <w:rStyle w:val="IndexLink"/>
                <w:rtl w:val="true"/>
              </w:rPr>
              <w:t xml:space="preserve">: </w:t>
            </w:r>
            <w:r>
              <w:rPr>
                <w:rStyle w:val="IndexLink"/>
                <w:rtl w:val="true"/>
              </w:rPr>
              <w:t>النسخ لغة و اصطلاحاً</w:t>
            </w:r>
            <w:r>
              <w:rPr>
                <w:rStyle w:val="IndexLink"/>
                <w:rtl w:val="true"/>
              </w:rPr>
              <w:tab/>
            </w:r>
            <w:r>
              <w:rPr>
                <w:rStyle w:val="IndexLink"/>
              </w:rPr>
              <w:t>653</w:t>
            </w:r>
          </w:hyperlink>
        </w:p>
        <w:p>
          <w:pPr>
            <w:pStyle w:val="Contents5"/>
            <w:tabs>
              <w:tab w:val="clear" w:pos="7892"/>
              <w:tab w:val="right" w:pos="9026" w:leader="dot"/>
            </w:tabs>
            <w:rPr/>
          </w:pPr>
          <w:hyperlink w:anchor="__RefHeading___Toc7305628_3381743652">
            <w:r>
              <w:rPr>
                <w:webHidden/>
                <w:rStyle w:val="IndexLink"/>
                <w:rtl w:val="true"/>
              </w:rPr>
              <w:t>الثاني</w:t>
            </w:r>
            <w:r>
              <w:rPr>
                <w:rStyle w:val="IndexLink"/>
                <w:rtl w:val="true"/>
              </w:rPr>
              <w:t xml:space="preserve">: </w:t>
            </w:r>
            <w:r>
              <w:rPr>
                <w:rStyle w:val="IndexLink"/>
                <w:rtl w:val="true"/>
              </w:rPr>
              <w:t>في إمكان جواز النسخ عقلاً أو شرعاً</w:t>
            </w:r>
            <w:r>
              <w:rPr>
                <w:rStyle w:val="IndexLink"/>
                <w:rtl w:val="true"/>
              </w:rPr>
              <w:tab/>
            </w:r>
            <w:r>
              <w:rPr>
                <w:rStyle w:val="IndexLink"/>
              </w:rPr>
              <w:t>654</w:t>
            </w:r>
          </w:hyperlink>
        </w:p>
        <w:p>
          <w:pPr>
            <w:pStyle w:val="Contents5"/>
            <w:tabs>
              <w:tab w:val="clear" w:pos="7892"/>
              <w:tab w:val="right" w:pos="9026" w:leader="dot"/>
            </w:tabs>
            <w:rPr/>
          </w:pPr>
          <w:hyperlink w:anchor="__RefHeading___Toc7305630_3381743652">
            <w:r>
              <w:rPr>
                <w:webHidden/>
                <w:rStyle w:val="IndexLink"/>
                <w:rtl w:val="true"/>
              </w:rPr>
              <w:t>الثالث</w:t>
            </w:r>
            <w:r>
              <w:rPr>
                <w:rStyle w:val="IndexLink"/>
                <w:rtl w:val="true"/>
              </w:rPr>
              <w:t xml:space="preserve">: </w:t>
            </w:r>
            <w:r>
              <w:rPr>
                <w:rStyle w:val="IndexLink"/>
                <w:rtl w:val="true"/>
              </w:rPr>
              <w:t>الفرق بين النسخ و التخصيص</w:t>
            </w:r>
            <w:r>
              <w:rPr>
                <w:rStyle w:val="IndexLink"/>
                <w:rtl w:val="true"/>
              </w:rPr>
              <w:tab/>
            </w:r>
            <w:r>
              <w:rPr>
                <w:rStyle w:val="IndexLink"/>
              </w:rPr>
              <w:t>655</w:t>
            </w:r>
          </w:hyperlink>
        </w:p>
        <w:p>
          <w:pPr>
            <w:pStyle w:val="Contents5"/>
            <w:tabs>
              <w:tab w:val="clear" w:pos="7892"/>
              <w:tab w:val="right" w:pos="9026" w:leader="dot"/>
            </w:tabs>
            <w:rPr/>
          </w:pPr>
          <w:hyperlink w:anchor="__RefHeading___Toc7305632_3381743652">
            <w:r>
              <w:rPr>
                <w:webHidden/>
                <w:rStyle w:val="IndexLink"/>
                <w:rtl w:val="true"/>
              </w:rPr>
              <w:t>الرابع</w:t>
            </w:r>
            <w:r>
              <w:rPr>
                <w:rStyle w:val="IndexLink"/>
                <w:rtl w:val="true"/>
              </w:rPr>
              <w:t xml:space="preserve">: </w:t>
            </w:r>
            <w:r>
              <w:rPr>
                <w:rStyle w:val="IndexLink"/>
                <w:rtl w:val="true"/>
              </w:rPr>
              <w:t>وقوع النسخ في القرآن الكريم</w:t>
            </w:r>
            <w:r>
              <w:rPr>
                <w:rStyle w:val="IndexLink"/>
                <w:rtl w:val="true"/>
              </w:rPr>
              <w:tab/>
            </w:r>
            <w:r>
              <w:rPr>
                <w:rStyle w:val="IndexLink"/>
              </w:rPr>
              <w:t>656</w:t>
            </w:r>
          </w:hyperlink>
        </w:p>
        <w:p>
          <w:pPr>
            <w:pStyle w:val="Contents5"/>
            <w:tabs>
              <w:tab w:val="clear" w:pos="7892"/>
              <w:tab w:val="right" w:pos="9026" w:leader="dot"/>
            </w:tabs>
            <w:rPr/>
          </w:pPr>
          <w:hyperlink w:anchor="__RefHeading___Toc7305634_3381743652">
            <w:r>
              <w:rPr>
                <w:webHidden/>
                <w:rStyle w:val="IndexLink"/>
                <w:rtl w:val="true"/>
              </w:rPr>
              <w:t>الخامس</w:t>
            </w:r>
            <w:r>
              <w:rPr>
                <w:rStyle w:val="IndexLink"/>
                <w:rtl w:val="true"/>
              </w:rPr>
              <w:t xml:space="preserve">: </w:t>
            </w:r>
            <w:r>
              <w:rPr>
                <w:rStyle w:val="IndexLink"/>
                <w:rtl w:val="true"/>
              </w:rPr>
              <w:t>أقسام النسخ</w:t>
            </w:r>
            <w:r>
              <w:rPr>
                <w:rStyle w:val="IndexLink"/>
                <w:rtl w:val="true"/>
              </w:rPr>
              <w:tab/>
            </w:r>
            <w:r>
              <w:rPr>
                <w:rStyle w:val="IndexLink"/>
              </w:rPr>
              <w:t>661</w:t>
            </w:r>
          </w:hyperlink>
        </w:p>
        <w:p>
          <w:pPr>
            <w:pStyle w:val="Contents5"/>
            <w:tabs>
              <w:tab w:val="clear" w:pos="7892"/>
              <w:tab w:val="right" w:pos="9026" w:leader="dot"/>
            </w:tabs>
            <w:rPr/>
          </w:pPr>
          <w:hyperlink w:anchor="__RefHeading___Toc7305636_3381743652">
            <w:r>
              <w:rPr>
                <w:webHidden/>
                <w:rStyle w:val="IndexLink"/>
                <w:rtl w:val="true"/>
              </w:rPr>
              <w:t>السادس</w:t>
            </w:r>
            <w:r>
              <w:rPr>
                <w:rStyle w:val="IndexLink"/>
                <w:rtl w:val="true"/>
              </w:rPr>
              <w:t xml:space="preserve">: </w:t>
            </w:r>
            <w:r>
              <w:rPr>
                <w:rStyle w:val="IndexLink"/>
                <w:rtl w:val="true"/>
              </w:rPr>
              <w:t>الآيات المنسوخة في القرآن الكريم</w:t>
            </w:r>
            <w:r>
              <w:rPr>
                <w:rStyle w:val="IndexLink"/>
                <w:rtl w:val="true"/>
              </w:rPr>
              <w:tab/>
            </w:r>
            <w:r>
              <w:rPr>
                <w:rStyle w:val="IndexLink"/>
              </w:rPr>
              <w:t>662</w:t>
            </w:r>
          </w:hyperlink>
        </w:p>
        <w:p>
          <w:pPr>
            <w:pStyle w:val="Contents6"/>
            <w:tabs>
              <w:tab w:val="clear" w:pos="7609"/>
              <w:tab w:val="right" w:pos="9026" w:leader="dot"/>
            </w:tabs>
            <w:rPr/>
          </w:pPr>
          <w:hyperlink w:anchor="__RefHeading___Toc7305638_3381743652">
            <w:r>
              <w:rPr>
                <w:webHidden/>
                <w:rStyle w:val="IndexLink"/>
                <w:rtl w:val="true"/>
              </w:rPr>
              <w:t>اشارة</w:t>
            </w:r>
            <w:r>
              <w:rPr>
                <w:rStyle w:val="IndexLink"/>
                <w:rtl w:val="true"/>
              </w:rPr>
              <w:tab/>
            </w:r>
            <w:r>
              <w:rPr>
                <w:rStyle w:val="IndexLink"/>
              </w:rPr>
              <w:t>662</w:t>
            </w:r>
          </w:hyperlink>
        </w:p>
        <w:p>
          <w:pPr>
            <w:pStyle w:val="Contents6"/>
            <w:tabs>
              <w:tab w:val="clear" w:pos="7609"/>
              <w:tab w:val="right" w:pos="9026" w:leader="dot"/>
            </w:tabs>
            <w:rPr/>
          </w:pPr>
          <w:hyperlink w:anchor="__RefHeading___Toc7305640_3381743652">
            <w:r>
              <w:rPr>
                <w:webHidden/>
                <w:rStyle w:val="IndexLink"/>
              </w:rPr>
              <w:t>1</w:t>
            </w:r>
            <w:r>
              <w:rPr>
                <w:rStyle w:val="IndexLink"/>
                <w:rtl w:val="true"/>
              </w:rPr>
              <w:t xml:space="preserve">. </w:t>
            </w:r>
            <w:r>
              <w:rPr>
                <w:rStyle w:val="IndexLink"/>
                <w:rtl w:val="true"/>
              </w:rPr>
              <w:t>عدّة الوفاة</w:t>
            </w:r>
            <w:r>
              <w:rPr>
                <w:rStyle w:val="IndexLink"/>
                <w:rtl w:val="true"/>
              </w:rPr>
              <w:tab/>
            </w:r>
            <w:r>
              <w:rPr>
                <w:rStyle w:val="IndexLink"/>
              </w:rPr>
              <w:t>663</w:t>
            </w:r>
          </w:hyperlink>
        </w:p>
        <w:p>
          <w:pPr>
            <w:pStyle w:val="Contents6"/>
            <w:tabs>
              <w:tab w:val="clear" w:pos="7609"/>
              <w:tab w:val="right" w:pos="9026" w:leader="dot"/>
            </w:tabs>
            <w:rPr/>
          </w:pPr>
          <w:hyperlink w:anchor="__RefHeading___Toc7305642_3381743652">
            <w:r>
              <w:rPr>
                <w:webHidden/>
                <w:rStyle w:val="IndexLink"/>
              </w:rPr>
              <w:t>2</w:t>
            </w:r>
            <w:r>
              <w:rPr>
                <w:rStyle w:val="IndexLink"/>
                <w:rtl w:val="true"/>
              </w:rPr>
              <w:t xml:space="preserve">. </w:t>
            </w:r>
            <w:r>
              <w:rPr>
                <w:rStyle w:val="IndexLink"/>
                <w:rtl w:val="true"/>
              </w:rPr>
              <w:t>الصدقة قبل النجوى</w:t>
            </w:r>
            <w:r>
              <w:rPr>
                <w:rStyle w:val="IndexLink"/>
                <w:rtl w:val="true"/>
              </w:rPr>
              <w:tab/>
            </w:r>
            <w:r>
              <w:rPr>
                <w:rStyle w:val="IndexLink"/>
              </w:rPr>
              <w:t>664</w:t>
            </w:r>
          </w:hyperlink>
        </w:p>
        <w:p>
          <w:pPr>
            <w:pStyle w:val="Contents6"/>
            <w:tabs>
              <w:tab w:val="clear" w:pos="7609"/>
              <w:tab w:val="right" w:pos="9026" w:leader="dot"/>
            </w:tabs>
            <w:rPr/>
          </w:pPr>
          <w:hyperlink w:anchor="__RefHeading___Toc7305644_3381743652">
            <w:r>
              <w:rPr>
                <w:webHidden/>
                <w:rStyle w:val="IndexLink"/>
              </w:rPr>
              <w:t>3</w:t>
            </w:r>
            <w:r>
              <w:rPr>
                <w:rStyle w:val="IndexLink"/>
                <w:rtl w:val="true"/>
              </w:rPr>
              <w:t xml:space="preserve">. </w:t>
            </w:r>
            <w:r>
              <w:rPr>
                <w:rStyle w:val="IndexLink"/>
                <w:rtl w:val="true"/>
              </w:rPr>
              <w:t>الإمساك في البيوت بدل الحد</w:t>
            </w:r>
            <w:r>
              <w:rPr>
                <w:rStyle w:val="IndexLink"/>
                <w:rtl w:val="true"/>
              </w:rPr>
              <w:tab/>
            </w:r>
            <w:r>
              <w:rPr>
                <w:rStyle w:val="IndexLink"/>
              </w:rPr>
              <w:t>666</w:t>
            </w:r>
          </w:hyperlink>
        </w:p>
        <w:p>
          <w:pPr>
            <w:pStyle w:val="Contents4"/>
            <w:tabs>
              <w:tab w:val="clear" w:pos="8176"/>
              <w:tab w:val="right" w:pos="9026" w:leader="dot"/>
            </w:tabs>
            <w:rPr/>
          </w:pPr>
          <w:hyperlink w:anchor="__RefHeading___Toc7305646_3381743652">
            <w:r>
              <w:rPr>
                <w:webHidden/>
                <w:rStyle w:val="IndexLink"/>
                <w:rtl w:val="true"/>
              </w:rPr>
              <w:t>الأمر الثالث البداء</w:t>
            </w:r>
            <w:r>
              <w:rPr>
                <w:rStyle w:val="IndexLink"/>
                <w:rtl w:val="true"/>
              </w:rPr>
              <w:tab/>
            </w:r>
            <w:r>
              <w:rPr>
                <w:rStyle w:val="IndexLink"/>
              </w:rPr>
              <w:t>669</w:t>
            </w:r>
          </w:hyperlink>
        </w:p>
        <w:p>
          <w:pPr>
            <w:pStyle w:val="Contents5"/>
            <w:tabs>
              <w:tab w:val="clear" w:pos="7892"/>
              <w:tab w:val="right" w:pos="9026" w:leader="dot"/>
            </w:tabs>
            <w:rPr/>
          </w:pPr>
          <w:hyperlink w:anchor="__RefHeading___Toc7305648_3381743652">
            <w:r>
              <w:rPr>
                <w:webHidden/>
                <w:rStyle w:val="IndexLink"/>
                <w:rtl w:val="true"/>
              </w:rPr>
              <w:t>اشارة</w:t>
            </w:r>
            <w:r>
              <w:rPr>
                <w:rStyle w:val="IndexLink"/>
                <w:rtl w:val="true"/>
              </w:rPr>
              <w:tab/>
            </w:r>
            <w:r>
              <w:rPr>
                <w:rStyle w:val="IndexLink"/>
              </w:rPr>
              <w:t>669</w:t>
            </w:r>
          </w:hyperlink>
        </w:p>
        <w:p>
          <w:pPr>
            <w:pStyle w:val="Contents5"/>
            <w:tabs>
              <w:tab w:val="clear" w:pos="7892"/>
              <w:tab w:val="right" w:pos="9026" w:leader="dot"/>
            </w:tabs>
            <w:rPr/>
          </w:pPr>
          <w:hyperlink w:anchor="__RefHeading___Toc7305650_3381743652">
            <w:r>
              <w:rPr>
                <w:webHidden/>
                <w:rStyle w:val="IndexLink"/>
              </w:rPr>
              <w:t>1</w:t>
            </w:r>
            <w:r>
              <w:rPr>
                <w:rStyle w:val="IndexLink"/>
                <w:rtl w:val="true"/>
              </w:rPr>
              <w:t xml:space="preserve">. </w:t>
            </w:r>
            <w:r>
              <w:rPr>
                <w:rStyle w:val="IndexLink"/>
                <w:rtl w:val="true"/>
              </w:rPr>
              <w:t>البداء في اللغة</w:t>
            </w:r>
            <w:r>
              <w:rPr>
                <w:rStyle w:val="IndexLink"/>
                <w:rtl w:val="true"/>
              </w:rPr>
              <w:tab/>
            </w:r>
            <w:r>
              <w:rPr>
                <w:rStyle w:val="IndexLink"/>
              </w:rPr>
              <w:t>669</w:t>
            </w:r>
          </w:hyperlink>
        </w:p>
        <w:p>
          <w:pPr>
            <w:pStyle w:val="Contents5"/>
            <w:tabs>
              <w:tab w:val="clear" w:pos="7892"/>
              <w:tab w:val="right" w:pos="9026" w:leader="dot"/>
            </w:tabs>
            <w:rPr/>
          </w:pPr>
          <w:hyperlink w:anchor="__RefHeading___Toc7305652_3381743652">
            <w:r>
              <w:rPr>
                <w:webHidden/>
                <w:rStyle w:val="IndexLink"/>
              </w:rPr>
              <w:t>2</w:t>
            </w:r>
            <w:r>
              <w:rPr>
                <w:rStyle w:val="IndexLink"/>
                <w:rtl w:val="true"/>
              </w:rPr>
              <w:t xml:space="preserve">. </w:t>
            </w:r>
            <w:r>
              <w:rPr>
                <w:rStyle w:val="IndexLink"/>
                <w:rtl w:val="true"/>
              </w:rPr>
              <w:t>إحاطة علمه سبحانه بعامّة الأشياء</w:t>
            </w:r>
            <w:r>
              <w:rPr>
                <w:rStyle w:val="IndexLink"/>
                <w:rtl w:val="true"/>
              </w:rPr>
              <w:tab/>
            </w:r>
            <w:r>
              <w:rPr>
                <w:rStyle w:val="IndexLink"/>
              </w:rPr>
              <w:t>670</w:t>
            </w:r>
          </w:hyperlink>
        </w:p>
        <w:p>
          <w:pPr>
            <w:pStyle w:val="Contents5"/>
            <w:tabs>
              <w:tab w:val="clear" w:pos="7892"/>
              <w:tab w:val="right" w:pos="9026" w:leader="dot"/>
            </w:tabs>
            <w:rPr/>
          </w:pPr>
          <w:hyperlink w:anchor="__RefHeading___Toc7305654_3381743652">
            <w:r>
              <w:rPr>
                <w:webHidden/>
                <w:rStyle w:val="IndexLink"/>
              </w:rPr>
              <w:t>3</w:t>
            </w:r>
            <w:r>
              <w:rPr>
                <w:rStyle w:val="IndexLink"/>
                <w:rtl w:val="true"/>
              </w:rPr>
              <w:t xml:space="preserve">. </w:t>
            </w:r>
            <w:r>
              <w:rPr>
                <w:rStyle w:val="IndexLink"/>
                <w:rtl w:val="true"/>
              </w:rPr>
              <w:t>البداء في مقام الثبوت</w:t>
            </w:r>
            <w:r>
              <w:rPr>
                <w:rStyle w:val="IndexLink"/>
                <w:rtl w:val="true"/>
              </w:rPr>
              <w:tab/>
            </w:r>
            <w:r>
              <w:rPr>
                <w:rStyle w:val="IndexLink"/>
              </w:rPr>
              <w:t>670</w:t>
            </w:r>
          </w:hyperlink>
        </w:p>
        <w:p>
          <w:pPr>
            <w:pStyle w:val="Contents5"/>
            <w:tabs>
              <w:tab w:val="clear" w:pos="7892"/>
              <w:tab w:val="right" w:pos="9026" w:leader="dot"/>
            </w:tabs>
            <w:rPr/>
          </w:pPr>
          <w:hyperlink w:anchor="__RefHeading___Toc7305656_3381743652">
            <w:r>
              <w:rPr>
                <w:webHidden/>
                <w:rStyle w:val="IndexLink"/>
              </w:rPr>
              <w:t>4</w:t>
            </w:r>
            <w:r>
              <w:rPr>
                <w:rStyle w:val="IndexLink"/>
                <w:rtl w:val="true"/>
              </w:rPr>
              <w:t xml:space="preserve">. </w:t>
            </w:r>
            <w:r>
              <w:rPr>
                <w:rStyle w:val="IndexLink"/>
                <w:rtl w:val="true"/>
              </w:rPr>
              <w:t>البداء في الإثبات</w:t>
            </w:r>
            <w:r>
              <w:rPr>
                <w:rStyle w:val="IndexLink"/>
                <w:rtl w:val="true"/>
              </w:rPr>
              <w:tab/>
            </w:r>
            <w:r>
              <w:rPr>
                <w:rStyle w:val="IndexLink"/>
              </w:rPr>
              <w:t>674</w:t>
            </w:r>
          </w:hyperlink>
        </w:p>
        <w:p>
          <w:pPr>
            <w:pStyle w:val="Contents6"/>
            <w:tabs>
              <w:tab w:val="clear" w:pos="7609"/>
              <w:tab w:val="right" w:pos="9026" w:leader="dot"/>
            </w:tabs>
            <w:rPr/>
          </w:pPr>
          <w:hyperlink w:anchor="__RefHeading___Toc7305658_3381743652">
            <w:r>
              <w:rPr>
                <w:webHidden/>
                <w:rStyle w:val="IndexLink"/>
                <w:rtl w:val="true"/>
              </w:rPr>
              <w:t>اشارة</w:t>
            </w:r>
            <w:r>
              <w:rPr>
                <w:rStyle w:val="IndexLink"/>
                <w:rtl w:val="true"/>
              </w:rPr>
              <w:tab/>
            </w:r>
            <w:r>
              <w:rPr>
                <w:rStyle w:val="IndexLink"/>
              </w:rPr>
              <w:t>674</w:t>
            </w:r>
          </w:hyperlink>
        </w:p>
        <w:p>
          <w:pPr>
            <w:pStyle w:val="Contents6"/>
            <w:tabs>
              <w:tab w:val="clear" w:pos="7609"/>
              <w:tab w:val="right" w:pos="9026" w:leader="dot"/>
            </w:tabs>
            <w:rPr/>
          </w:pPr>
          <w:hyperlink w:anchor="__RefHeading___Toc7305660_3381743652">
            <w:r>
              <w:rPr>
                <w:webHidden/>
                <w:rStyle w:val="IndexLink"/>
                <w:rtl w:val="true"/>
              </w:rPr>
              <w:t>البداء في الأحاديث</w:t>
            </w:r>
            <w:r>
              <w:rPr>
                <w:rStyle w:val="IndexLink"/>
                <w:rtl w:val="true"/>
              </w:rPr>
              <w:tab/>
            </w:r>
            <w:r>
              <w:rPr>
                <w:rStyle w:val="IndexLink"/>
              </w:rPr>
              <w:t>678</w:t>
            </w:r>
          </w:hyperlink>
        </w:p>
        <w:p>
          <w:pPr>
            <w:pStyle w:val="Contents6"/>
            <w:tabs>
              <w:tab w:val="clear" w:pos="7609"/>
              <w:tab w:val="right" w:pos="9026" w:leader="dot"/>
            </w:tabs>
            <w:rPr/>
          </w:pPr>
          <w:hyperlink w:anchor="__RefHeading___Toc7305662_3381743652">
            <w:r>
              <w:rPr>
                <w:webHidden/>
                <w:rStyle w:val="IndexLink"/>
                <w:rtl w:val="true"/>
              </w:rPr>
              <w:t>ورود</w:t>
            </w:r>
            <w:r>
              <w:rPr>
                <w:rStyle w:val="IndexLink"/>
                <w:rtl w:val="true"/>
              </w:rPr>
              <w:t xml:space="preserve">» </w:t>
            </w:r>
            <w:r>
              <w:rPr>
                <w:rStyle w:val="IndexLink"/>
                <w:rtl w:val="true"/>
              </w:rPr>
              <w:t xml:space="preserve">بدا للّه </w:t>
            </w:r>
            <w:r>
              <w:rPr>
                <w:rStyle w:val="IndexLink"/>
                <w:rtl w:val="true"/>
              </w:rPr>
              <w:t>«</w:t>
            </w:r>
            <w:r>
              <w:rPr>
                <w:rStyle w:val="IndexLink"/>
                <w:rtl w:val="true"/>
              </w:rPr>
              <w:t>في كلام النبي</w:t>
            </w:r>
            <w:r>
              <w:rPr>
                <w:rStyle w:val="IndexLink"/>
                <w:rtl w:val="true"/>
              </w:rPr>
              <w:t xml:space="preserve">) </w:t>
            </w:r>
            <w:r>
              <w:rPr>
                <w:rStyle w:val="IndexLink"/>
                <w:rtl w:val="true"/>
              </w:rPr>
              <w:t xml:space="preserve">صلى الله عليه و آله و سلم </w:t>
            </w:r>
            <w:r>
              <w:rPr>
                <w:rStyle w:val="IndexLink"/>
                <w:rtl w:val="true"/>
              </w:rPr>
              <w:t>(</w:t>
              <w:tab/>
            </w:r>
            <w:r>
              <w:rPr>
                <w:rStyle w:val="IndexLink"/>
              </w:rPr>
              <w:t>680</w:t>
            </w:r>
          </w:hyperlink>
        </w:p>
        <w:p>
          <w:pPr>
            <w:pStyle w:val="Contents2"/>
            <w:tabs>
              <w:tab w:val="clear" w:pos="8743"/>
              <w:tab w:val="right" w:pos="9026" w:leader="dot"/>
            </w:tabs>
            <w:rPr/>
          </w:pPr>
          <w:hyperlink w:anchor="__RefHeading___Toc7305664_3381743652">
            <w:r>
              <w:rPr>
                <w:webHidden/>
                <w:rStyle w:val="IndexLink"/>
                <w:rtl w:val="true"/>
              </w:rPr>
              <w:t>المقصد الخامس في المطلق و المقيّد و المجمل و المبيّن</w:t>
            </w:r>
            <w:r>
              <w:rPr>
                <w:rStyle w:val="IndexLink"/>
                <w:rtl w:val="true"/>
              </w:rPr>
              <w:tab/>
            </w:r>
            <w:r>
              <w:rPr>
                <w:rStyle w:val="IndexLink"/>
              </w:rPr>
              <w:t>685</w:t>
            </w:r>
          </w:hyperlink>
        </w:p>
        <w:p>
          <w:pPr>
            <w:pStyle w:val="Contents3"/>
            <w:tabs>
              <w:tab w:val="clear" w:pos="8459"/>
              <w:tab w:val="right" w:pos="9026" w:leader="dot"/>
            </w:tabs>
            <w:rPr/>
          </w:pPr>
          <w:hyperlink w:anchor="__RefHeading___Toc7305666_3381743652">
            <w:r>
              <w:rPr>
                <w:webHidden/>
                <w:rStyle w:val="IndexLink"/>
                <w:rtl w:val="true"/>
              </w:rPr>
              <w:t>اشارة</w:t>
            </w:r>
            <w:r>
              <w:rPr>
                <w:rStyle w:val="IndexLink"/>
                <w:rtl w:val="true"/>
              </w:rPr>
              <w:tab/>
            </w:r>
            <w:r>
              <w:rPr>
                <w:rStyle w:val="IndexLink"/>
              </w:rPr>
              <w:t>685</w:t>
            </w:r>
          </w:hyperlink>
        </w:p>
        <w:p>
          <w:pPr>
            <w:pStyle w:val="Contents3"/>
            <w:tabs>
              <w:tab w:val="clear" w:pos="8459"/>
              <w:tab w:val="right" w:pos="9026" w:leader="dot"/>
            </w:tabs>
            <w:rPr/>
          </w:pPr>
          <w:hyperlink w:anchor="__RefHeading___Toc7305668_3381743652">
            <w:r>
              <w:rPr>
                <w:webHidden/>
                <w:rStyle w:val="IndexLink"/>
                <w:rtl w:val="true"/>
              </w:rPr>
              <w:t>جولة حول التعاريف</w:t>
            </w:r>
            <w:r>
              <w:rPr>
                <w:rStyle w:val="IndexLink"/>
                <w:rtl w:val="true"/>
              </w:rPr>
              <w:tab/>
            </w:r>
            <w:r>
              <w:rPr>
                <w:rStyle w:val="IndexLink"/>
              </w:rPr>
              <w:t>687</w:t>
            </w:r>
          </w:hyperlink>
        </w:p>
        <w:p>
          <w:pPr>
            <w:pStyle w:val="Contents4"/>
            <w:tabs>
              <w:tab w:val="clear" w:pos="8176"/>
              <w:tab w:val="right" w:pos="9026" w:leader="dot"/>
            </w:tabs>
            <w:rPr/>
          </w:pPr>
          <w:hyperlink w:anchor="__RefHeading___Toc7305670_3381743652">
            <w:r>
              <w:rPr>
                <w:webHidden/>
                <w:rStyle w:val="IndexLink"/>
                <w:rtl w:val="true"/>
              </w:rPr>
              <w:t>اشارة</w:t>
            </w:r>
            <w:r>
              <w:rPr>
                <w:rStyle w:val="IndexLink"/>
                <w:rtl w:val="true"/>
              </w:rPr>
              <w:tab/>
            </w:r>
            <w:r>
              <w:rPr>
                <w:rStyle w:val="IndexLink"/>
              </w:rPr>
              <w:t>687</w:t>
            </w:r>
          </w:hyperlink>
        </w:p>
        <w:p>
          <w:pPr>
            <w:pStyle w:val="Contents4"/>
            <w:tabs>
              <w:tab w:val="clear" w:pos="8176"/>
              <w:tab w:val="right" w:pos="9026" w:leader="dot"/>
            </w:tabs>
            <w:rPr/>
          </w:pPr>
          <w:hyperlink w:anchor="__RefHeading___Toc7305672_3381743652">
            <w:r>
              <w:rPr>
                <w:webHidden/>
                <w:rStyle w:val="IndexLink"/>
                <w:rtl w:val="true"/>
              </w:rPr>
              <w:t>المختار في تعريف المطلق</w:t>
            </w:r>
            <w:r>
              <w:rPr>
                <w:rStyle w:val="IndexLink"/>
                <w:rtl w:val="true"/>
              </w:rPr>
              <w:tab/>
            </w:r>
            <w:r>
              <w:rPr>
                <w:rStyle w:val="IndexLink"/>
              </w:rPr>
              <w:t>688</w:t>
            </w:r>
          </w:hyperlink>
        </w:p>
        <w:p>
          <w:pPr>
            <w:pStyle w:val="Contents3"/>
            <w:tabs>
              <w:tab w:val="clear" w:pos="8459"/>
              <w:tab w:val="right" w:pos="9026" w:leader="dot"/>
            </w:tabs>
            <w:rPr/>
          </w:pPr>
          <w:hyperlink w:anchor="__RefHeading___Toc7305674_3381743652">
            <w:r>
              <w:rPr>
                <w:webHidden/>
                <w:rStyle w:val="IndexLink"/>
                <w:rtl w:val="true"/>
              </w:rPr>
              <w:t>الفصل الأوّل في ألفاظ المطلق</w:t>
            </w:r>
            <w:r>
              <w:rPr>
                <w:rStyle w:val="IndexLink"/>
                <w:rtl w:val="true"/>
              </w:rPr>
              <w:tab/>
            </w:r>
            <w:r>
              <w:rPr>
                <w:rStyle w:val="IndexLink"/>
              </w:rPr>
              <w:t>691</w:t>
            </w:r>
          </w:hyperlink>
        </w:p>
        <w:p>
          <w:pPr>
            <w:pStyle w:val="Contents4"/>
            <w:tabs>
              <w:tab w:val="clear" w:pos="8176"/>
              <w:tab w:val="right" w:pos="9026" w:leader="dot"/>
            </w:tabs>
            <w:rPr/>
          </w:pPr>
          <w:hyperlink w:anchor="__RefHeading___Toc7305676_3381743652">
            <w:r>
              <w:rPr>
                <w:webHidden/>
                <w:rStyle w:val="IndexLink"/>
              </w:rPr>
              <w:t>1</w:t>
            </w:r>
            <w:r>
              <w:rPr>
                <w:rStyle w:val="IndexLink"/>
                <w:rtl w:val="true"/>
              </w:rPr>
              <w:t xml:space="preserve">. </w:t>
            </w:r>
            <w:r>
              <w:rPr>
                <w:rStyle w:val="IndexLink"/>
                <w:rtl w:val="true"/>
              </w:rPr>
              <w:t>اسم الجنس</w:t>
            </w:r>
            <w:r>
              <w:rPr>
                <w:rStyle w:val="IndexLink"/>
                <w:rtl w:val="true"/>
              </w:rPr>
              <w:tab/>
            </w:r>
            <w:r>
              <w:rPr>
                <w:rStyle w:val="IndexLink"/>
              </w:rPr>
              <w:t>691</w:t>
            </w:r>
          </w:hyperlink>
        </w:p>
        <w:p>
          <w:pPr>
            <w:pStyle w:val="Contents5"/>
            <w:tabs>
              <w:tab w:val="clear" w:pos="7892"/>
              <w:tab w:val="right" w:pos="9026" w:leader="dot"/>
            </w:tabs>
            <w:rPr/>
          </w:pPr>
          <w:hyperlink w:anchor="__RefHeading___Toc7305678_3381743652">
            <w:r>
              <w:rPr>
                <w:webHidden/>
                <w:rStyle w:val="IndexLink"/>
                <w:rtl w:val="true"/>
              </w:rPr>
              <w:t>اشارة</w:t>
            </w:r>
            <w:r>
              <w:rPr>
                <w:rStyle w:val="IndexLink"/>
                <w:rtl w:val="true"/>
              </w:rPr>
              <w:tab/>
            </w:r>
            <w:r>
              <w:rPr>
                <w:rStyle w:val="IndexLink"/>
              </w:rPr>
              <w:t>691</w:t>
            </w:r>
          </w:hyperlink>
        </w:p>
        <w:p>
          <w:pPr>
            <w:pStyle w:val="Contents5"/>
            <w:tabs>
              <w:tab w:val="clear" w:pos="7892"/>
              <w:tab w:val="right" w:pos="9026" w:leader="dot"/>
            </w:tabs>
            <w:rPr/>
          </w:pPr>
          <w:hyperlink w:anchor="__RefHeading___Toc7305680_3381743652">
            <w:r>
              <w:rPr>
                <w:webHidden/>
                <w:rStyle w:val="IndexLink"/>
                <w:rtl w:val="true"/>
              </w:rPr>
              <w:t>اللابشرط المقسمي</w:t>
            </w:r>
            <w:r>
              <w:rPr>
                <w:rStyle w:val="IndexLink"/>
                <w:rtl w:val="true"/>
              </w:rPr>
              <w:tab/>
            </w:r>
            <w:r>
              <w:rPr>
                <w:rStyle w:val="IndexLink"/>
              </w:rPr>
              <w:t>693</w:t>
            </w:r>
          </w:hyperlink>
        </w:p>
        <w:p>
          <w:pPr>
            <w:pStyle w:val="Contents6"/>
            <w:tabs>
              <w:tab w:val="clear" w:pos="7609"/>
              <w:tab w:val="right" w:pos="9026" w:leader="dot"/>
            </w:tabs>
            <w:rPr/>
          </w:pPr>
          <w:hyperlink w:anchor="__RefHeading___Toc7305682_3381743652">
            <w:r>
              <w:rPr>
                <w:webHidden/>
                <w:rStyle w:val="IndexLink"/>
                <w:rtl w:val="true"/>
              </w:rPr>
              <w:t>اشارة</w:t>
            </w:r>
            <w:r>
              <w:rPr>
                <w:rStyle w:val="IndexLink"/>
                <w:rtl w:val="true"/>
              </w:rPr>
              <w:tab/>
            </w:r>
            <w:r>
              <w:rPr>
                <w:rStyle w:val="IndexLink"/>
              </w:rPr>
              <w:t>693</w:t>
            </w:r>
          </w:hyperlink>
        </w:p>
        <w:p>
          <w:pPr>
            <w:pStyle w:val="Contents6"/>
            <w:tabs>
              <w:tab w:val="clear" w:pos="7609"/>
              <w:tab w:val="right" w:pos="9026" w:leader="dot"/>
            </w:tabs>
            <w:rPr/>
          </w:pPr>
          <w:hyperlink w:anchor="__RefHeading___Toc7305684_3381743652">
            <w:r>
              <w:rPr>
                <w:webHidden/>
                <w:rStyle w:val="IndexLink"/>
              </w:rPr>
              <w:t>1</w:t>
            </w:r>
            <w:r>
              <w:rPr>
                <w:rStyle w:val="IndexLink"/>
                <w:rtl w:val="true"/>
              </w:rPr>
              <w:t xml:space="preserve">. </w:t>
            </w:r>
            <w:r>
              <w:rPr>
                <w:rStyle w:val="IndexLink"/>
                <w:rtl w:val="true"/>
              </w:rPr>
              <w:t>الماهية البشرط شيء</w:t>
            </w:r>
            <w:r>
              <w:rPr>
                <w:rStyle w:val="IndexLink"/>
                <w:rtl w:val="true"/>
              </w:rPr>
              <w:tab/>
            </w:r>
            <w:r>
              <w:rPr>
                <w:rStyle w:val="IndexLink"/>
              </w:rPr>
              <w:t>693</w:t>
            </w:r>
          </w:hyperlink>
        </w:p>
        <w:p>
          <w:pPr>
            <w:pStyle w:val="Contents6"/>
            <w:tabs>
              <w:tab w:val="clear" w:pos="7609"/>
              <w:tab w:val="right" w:pos="9026" w:leader="dot"/>
            </w:tabs>
            <w:rPr/>
          </w:pPr>
          <w:hyperlink w:anchor="__RefHeading___Toc7305686_3381743652">
            <w:r>
              <w:rPr>
                <w:webHidden/>
                <w:rStyle w:val="IndexLink"/>
              </w:rPr>
              <w:t>2</w:t>
            </w:r>
            <w:r>
              <w:rPr>
                <w:rStyle w:val="IndexLink"/>
                <w:rtl w:val="true"/>
              </w:rPr>
              <w:t xml:space="preserve">. </w:t>
            </w:r>
            <w:r>
              <w:rPr>
                <w:rStyle w:val="IndexLink"/>
                <w:rtl w:val="true"/>
              </w:rPr>
              <w:t>الماهية البشرطلا</w:t>
            </w:r>
            <w:r>
              <w:rPr>
                <w:rStyle w:val="IndexLink"/>
                <w:rtl w:val="true"/>
              </w:rPr>
              <w:tab/>
            </w:r>
            <w:r>
              <w:rPr>
                <w:rStyle w:val="IndexLink"/>
              </w:rPr>
              <w:t>694</w:t>
            </w:r>
          </w:hyperlink>
        </w:p>
        <w:p>
          <w:pPr>
            <w:pStyle w:val="Contents6"/>
            <w:tabs>
              <w:tab w:val="clear" w:pos="7609"/>
              <w:tab w:val="right" w:pos="9026" w:leader="dot"/>
            </w:tabs>
            <w:rPr/>
          </w:pPr>
          <w:hyperlink w:anchor="__RefHeading___Toc7305688_3381743652">
            <w:r>
              <w:rPr>
                <w:webHidden/>
                <w:rStyle w:val="IndexLink"/>
              </w:rPr>
              <w:t>3</w:t>
            </w:r>
            <w:r>
              <w:rPr>
                <w:rStyle w:val="IndexLink"/>
                <w:rtl w:val="true"/>
              </w:rPr>
              <w:t xml:space="preserve">. </w:t>
            </w:r>
            <w:r>
              <w:rPr>
                <w:rStyle w:val="IndexLink"/>
                <w:rtl w:val="true"/>
              </w:rPr>
              <w:t>الماهية اللابشرط القسمي</w:t>
            </w:r>
            <w:r>
              <w:rPr>
                <w:rStyle w:val="IndexLink"/>
                <w:rtl w:val="true"/>
              </w:rPr>
              <w:tab/>
            </w:r>
            <w:r>
              <w:rPr>
                <w:rStyle w:val="IndexLink"/>
              </w:rPr>
              <w:t>694</w:t>
            </w:r>
          </w:hyperlink>
        </w:p>
        <w:p>
          <w:pPr>
            <w:pStyle w:val="Contents5"/>
            <w:tabs>
              <w:tab w:val="clear" w:pos="7892"/>
              <w:tab w:val="right" w:pos="9026" w:leader="dot"/>
            </w:tabs>
            <w:rPr/>
          </w:pPr>
          <w:hyperlink w:anchor="__RefHeading___Toc7305690_3381743652">
            <w:r>
              <w:rPr>
                <w:webHidden/>
                <w:rStyle w:val="IndexLink"/>
                <w:rtl w:val="true"/>
              </w:rPr>
              <w:t>تفسير السيّد الأُستاذ لتقسيم الماهية</w:t>
            </w:r>
            <w:r>
              <w:rPr>
                <w:rStyle w:val="IndexLink"/>
                <w:rtl w:val="true"/>
              </w:rPr>
              <w:tab/>
            </w:r>
            <w:r>
              <w:rPr>
                <w:rStyle w:val="IndexLink"/>
              </w:rPr>
              <w:t>695</w:t>
            </w:r>
          </w:hyperlink>
        </w:p>
        <w:p>
          <w:pPr>
            <w:pStyle w:val="Contents6"/>
            <w:tabs>
              <w:tab w:val="clear" w:pos="7609"/>
              <w:tab w:val="right" w:pos="9026" w:leader="dot"/>
            </w:tabs>
            <w:rPr/>
          </w:pPr>
          <w:hyperlink w:anchor="__RefHeading___Toc7305692_3381743652">
            <w:r>
              <w:rPr>
                <w:webHidden/>
                <w:rStyle w:val="IndexLink"/>
                <w:rtl w:val="true"/>
              </w:rPr>
              <w:t>اشارة</w:t>
            </w:r>
            <w:r>
              <w:rPr>
                <w:rStyle w:val="IndexLink"/>
                <w:rtl w:val="true"/>
              </w:rPr>
              <w:tab/>
            </w:r>
            <w:r>
              <w:rPr>
                <w:rStyle w:val="IndexLink"/>
              </w:rPr>
              <w:t>695</w:t>
            </w:r>
          </w:hyperlink>
        </w:p>
        <w:p>
          <w:pPr>
            <w:pStyle w:val="Contents6"/>
            <w:tabs>
              <w:tab w:val="clear" w:pos="7609"/>
              <w:tab w:val="right" w:pos="9026" w:leader="dot"/>
            </w:tabs>
            <w:rPr/>
          </w:pPr>
          <w:hyperlink w:anchor="__RefHeading___Toc7305694_3381743652">
            <w:r>
              <w:rPr>
                <w:webHidden/>
                <w:rStyle w:val="IndexLink"/>
                <w:rtl w:val="true"/>
              </w:rPr>
              <w:t>الأوّل</w:t>
            </w:r>
            <w:r>
              <w:rPr>
                <w:rStyle w:val="IndexLink"/>
                <w:rtl w:val="true"/>
              </w:rPr>
              <w:t xml:space="preserve">: </w:t>
            </w:r>
            <w:r>
              <w:rPr>
                <w:rStyle w:val="IndexLink"/>
                <w:rtl w:val="true"/>
              </w:rPr>
              <w:t>ما هو الموضوع له لأسماء الأجناس؟</w:t>
            </w:r>
            <w:r>
              <w:rPr>
                <w:rStyle w:val="IndexLink"/>
                <w:rtl w:val="true"/>
              </w:rPr>
              <w:tab/>
            </w:r>
            <w:r>
              <w:rPr>
                <w:rStyle w:val="IndexLink"/>
              </w:rPr>
              <w:t>697</w:t>
            </w:r>
          </w:hyperlink>
        </w:p>
        <w:p>
          <w:pPr>
            <w:pStyle w:val="Contents6"/>
            <w:tabs>
              <w:tab w:val="clear" w:pos="7609"/>
              <w:tab w:val="right" w:pos="9026" w:leader="dot"/>
            </w:tabs>
            <w:rPr/>
          </w:pPr>
          <w:hyperlink w:anchor="__RefHeading___Toc7305696_3381743652">
            <w:r>
              <w:rPr>
                <w:webHidden/>
                <w:rStyle w:val="IndexLink"/>
                <w:rtl w:val="true"/>
              </w:rPr>
              <w:t>الثاني</w:t>
            </w:r>
            <w:r>
              <w:rPr>
                <w:rStyle w:val="IndexLink"/>
                <w:rtl w:val="true"/>
              </w:rPr>
              <w:t xml:space="preserve">: </w:t>
            </w:r>
            <w:r>
              <w:rPr>
                <w:rStyle w:val="IndexLink"/>
                <w:rtl w:val="true"/>
              </w:rPr>
              <w:t>ما هو المراد من الكلّي الطبيعي؟</w:t>
            </w:r>
            <w:r>
              <w:rPr>
                <w:rStyle w:val="IndexLink"/>
                <w:rtl w:val="true"/>
              </w:rPr>
              <w:tab/>
            </w:r>
            <w:r>
              <w:rPr>
                <w:rStyle w:val="IndexLink"/>
              </w:rPr>
              <w:t>699</w:t>
            </w:r>
          </w:hyperlink>
        </w:p>
        <w:p>
          <w:pPr>
            <w:pStyle w:val="Contents5"/>
            <w:tabs>
              <w:tab w:val="clear" w:pos="7892"/>
              <w:tab w:val="right" w:pos="9026" w:leader="dot"/>
            </w:tabs>
            <w:rPr/>
          </w:pPr>
          <w:hyperlink w:anchor="__RefHeading___Toc7305698_3381743652">
            <w:r>
              <w:rPr>
                <w:webHidden/>
                <w:rStyle w:val="IndexLink"/>
                <w:rtl w:val="true"/>
              </w:rPr>
              <w:t>نظرنا في أسماء الأجناس</w:t>
            </w:r>
            <w:r>
              <w:rPr>
                <w:rStyle w:val="IndexLink"/>
                <w:rtl w:val="true"/>
              </w:rPr>
              <w:tab/>
            </w:r>
            <w:r>
              <w:rPr>
                <w:rStyle w:val="IndexLink"/>
              </w:rPr>
              <w:t>701</w:t>
            </w:r>
          </w:hyperlink>
        </w:p>
        <w:p>
          <w:pPr>
            <w:pStyle w:val="Contents5"/>
            <w:tabs>
              <w:tab w:val="clear" w:pos="7892"/>
              <w:tab w:val="right" w:pos="9026" w:leader="dot"/>
            </w:tabs>
            <w:rPr/>
          </w:pPr>
          <w:hyperlink w:anchor="__RefHeading___Toc7305700_3381743652">
            <w:r>
              <w:rPr>
                <w:webHidden/>
                <w:rStyle w:val="IndexLink"/>
                <w:rtl w:val="true"/>
              </w:rPr>
              <w:t>اسم الجنس موضوع للماهية الموجودة</w:t>
            </w:r>
            <w:r>
              <w:rPr>
                <w:rStyle w:val="IndexLink"/>
                <w:rtl w:val="true"/>
              </w:rPr>
              <w:tab/>
            </w:r>
            <w:r>
              <w:rPr>
                <w:rStyle w:val="IndexLink"/>
              </w:rPr>
              <w:t>702</w:t>
            </w:r>
          </w:hyperlink>
        </w:p>
        <w:p>
          <w:pPr>
            <w:pStyle w:val="Contents4"/>
            <w:tabs>
              <w:tab w:val="clear" w:pos="8176"/>
              <w:tab w:val="right" w:pos="9026" w:leader="dot"/>
            </w:tabs>
            <w:rPr/>
          </w:pPr>
          <w:hyperlink w:anchor="__RefHeading___Toc7305702_3381743652">
            <w:r>
              <w:rPr>
                <w:webHidden/>
                <w:rStyle w:val="IndexLink"/>
              </w:rPr>
              <w:t>2</w:t>
            </w:r>
            <w:r>
              <w:rPr>
                <w:rStyle w:val="IndexLink"/>
                <w:rtl w:val="true"/>
              </w:rPr>
              <w:t xml:space="preserve">. </w:t>
            </w:r>
            <w:r>
              <w:rPr>
                <w:rStyle w:val="IndexLink"/>
                <w:rtl w:val="true"/>
              </w:rPr>
              <w:t>علم الجنس</w:t>
            </w:r>
            <w:r>
              <w:rPr>
                <w:rStyle w:val="IndexLink"/>
                <w:rtl w:val="true"/>
              </w:rPr>
              <w:tab/>
            </w:r>
            <w:r>
              <w:rPr>
                <w:rStyle w:val="IndexLink"/>
              </w:rPr>
              <w:t>703</w:t>
            </w:r>
          </w:hyperlink>
        </w:p>
        <w:p>
          <w:pPr>
            <w:pStyle w:val="Contents5"/>
            <w:tabs>
              <w:tab w:val="clear" w:pos="7892"/>
              <w:tab w:val="right" w:pos="9026" w:leader="dot"/>
            </w:tabs>
            <w:rPr/>
          </w:pPr>
          <w:hyperlink w:anchor="__RefHeading___Toc7305704_3381743652">
            <w:r>
              <w:rPr>
                <w:webHidden/>
                <w:rStyle w:val="IndexLink"/>
                <w:rtl w:val="true"/>
              </w:rPr>
              <w:t>اشارة</w:t>
            </w:r>
            <w:r>
              <w:rPr>
                <w:rStyle w:val="IndexLink"/>
                <w:rtl w:val="true"/>
              </w:rPr>
              <w:tab/>
            </w:r>
            <w:r>
              <w:rPr>
                <w:rStyle w:val="IndexLink"/>
              </w:rPr>
              <w:t>703</w:t>
            </w:r>
          </w:hyperlink>
        </w:p>
        <w:p>
          <w:pPr>
            <w:pStyle w:val="Contents5"/>
            <w:tabs>
              <w:tab w:val="clear" w:pos="7892"/>
              <w:tab w:val="right" w:pos="9026" w:leader="dot"/>
            </w:tabs>
            <w:rPr/>
          </w:pPr>
          <w:hyperlink w:anchor="__RefHeading___Toc7305706_3381743652">
            <w:r>
              <w:rPr>
                <w:webHidden/>
                <w:rStyle w:val="IndexLink"/>
                <w:rtl w:val="true"/>
              </w:rPr>
              <w:t>الأوّل</w:t>
            </w:r>
            <w:r>
              <w:rPr>
                <w:rStyle w:val="IndexLink"/>
                <w:rtl w:val="true"/>
              </w:rPr>
              <w:t xml:space="preserve">: </w:t>
            </w:r>
            <w:r>
              <w:rPr>
                <w:rStyle w:val="IndexLink"/>
                <w:rtl w:val="true"/>
              </w:rPr>
              <w:t>التعريف لفظي،</w:t>
            </w:r>
            <w:r>
              <w:rPr>
                <w:rStyle w:val="IndexLink"/>
                <w:rtl w:val="true"/>
              </w:rPr>
              <w:tab/>
            </w:r>
            <w:r>
              <w:rPr>
                <w:rStyle w:val="IndexLink"/>
              </w:rPr>
              <w:t>703</w:t>
            </w:r>
          </w:hyperlink>
        </w:p>
        <w:p>
          <w:pPr>
            <w:pStyle w:val="Contents5"/>
            <w:tabs>
              <w:tab w:val="clear" w:pos="7892"/>
              <w:tab w:val="right" w:pos="9026" w:leader="dot"/>
            </w:tabs>
            <w:rPr/>
          </w:pPr>
          <w:hyperlink w:anchor="__RefHeading___Toc7305708_3381743652">
            <w:r>
              <w:rPr>
                <w:webHidden/>
                <w:rStyle w:val="IndexLink"/>
                <w:rtl w:val="true"/>
              </w:rPr>
              <w:t>الثاني</w:t>
            </w:r>
            <w:r>
              <w:rPr>
                <w:rStyle w:val="IndexLink"/>
                <w:rtl w:val="true"/>
              </w:rPr>
              <w:t xml:space="preserve">: </w:t>
            </w:r>
            <w:r>
              <w:rPr>
                <w:rStyle w:val="IndexLink"/>
                <w:rtl w:val="true"/>
              </w:rPr>
              <w:t>أنّه موضوع للطبيعة المتعيّنة في الذهن</w:t>
            </w:r>
            <w:r>
              <w:rPr>
                <w:rStyle w:val="IndexLink"/>
                <w:rtl w:val="true"/>
              </w:rPr>
              <w:tab/>
            </w:r>
            <w:r>
              <w:rPr>
                <w:rStyle w:val="IndexLink"/>
              </w:rPr>
              <w:t>704</w:t>
            </w:r>
          </w:hyperlink>
        </w:p>
        <w:p>
          <w:pPr>
            <w:pStyle w:val="Contents5"/>
            <w:tabs>
              <w:tab w:val="clear" w:pos="7892"/>
              <w:tab w:val="right" w:pos="9026" w:leader="dot"/>
            </w:tabs>
            <w:rPr/>
          </w:pPr>
          <w:hyperlink w:anchor="__RefHeading___Toc7305710_3381743652">
            <w:r>
              <w:rPr>
                <w:webHidden/>
                <w:rStyle w:val="IndexLink"/>
                <w:rtl w:val="true"/>
              </w:rPr>
              <w:t>الثالث</w:t>
            </w:r>
            <w:r>
              <w:rPr>
                <w:rStyle w:val="IndexLink"/>
                <w:rtl w:val="true"/>
              </w:rPr>
              <w:t xml:space="preserve">: </w:t>
            </w:r>
            <w:r>
              <w:rPr>
                <w:rStyle w:val="IndexLink"/>
                <w:rtl w:val="true"/>
              </w:rPr>
              <w:t>علم الجنس موضوع للطبيعة في حال التعيّن</w:t>
            </w:r>
            <w:r>
              <w:rPr>
                <w:rStyle w:val="IndexLink"/>
                <w:rtl w:val="true"/>
              </w:rPr>
              <w:tab/>
            </w:r>
            <w:r>
              <w:rPr>
                <w:rStyle w:val="IndexLink"/>
              </w:rPr>
              <w:t>705</w:t>
            </w:r>
          </w:hyperlink>
        </w:p>
        <w:p>
          <w:pPr>
            <w:pStyle w:val="Contents5"/>
            <w:tabs>
              <w:tab w:val="clear" w:pos="7892"/>
              <w:tab w:val="right" w:pos="9026" w:leader="dot"/>
            </w:tabs>
            <w:rPr/>
          </w:pPr>
          <w:hyperlink w:anchor="__RefHeading___Toc7305712_3381743652">
            <w:r>
              <w:rPr>
                <w:webHidden/>
                <w:rStyle w:val="IndexLink"/>
                <w:rtl w:val="true"/>
              </w:rPr>
              <w:t>الرابع</w:t>
            </w:r>
            <w:r>
              <w:rPr>
                <w:rStyle w:val="IndexLink"/>
                <w:rtl w:val="true"/>
              </w:rPr>
              <w:t xml:space="preserve">: </w:t>
            </w:r>
            <w:r>
              <w:rPr>
                <w:rStyle w:val="IndexLink"/>
                <w:rtl w:val="true"/>
              </w:rPr>
              <w:t>الماهية في رتبة متأخرة متعيّنة بذاتها</w:t>
            </w:r>
            <w:r>
              <w:rPr>
                <w:rStyle w:val="IndexLink"/>
                <w:rtl w:val="true"/>
              </w:rPr>
              <w:tab/>
            </w:r>
            <w:r>
              <w:rPr>
                <w:rStyle w:val="IndexLink"/>
              </w:rPr>
              <w:t>706</w:t>
            </w:r>
          </w:hyperlink>
        </w:p>
        <w:p>
          <w:pPr>
            <w:pStyle w:val="Contents4"/>
            <w:tabs>
              <w:tab w:val="clear" w:pos="8176"/>
              <w:tab w:val="right" w:pos="9026" w:leader="dot"/>
            </w:tabs>
            <w:rPr/>
          </w:pPr>
          <w:hyperlink w:anchor="__RefHeading___Toc7305714_3381743652">
            <w:r>
              <w:rPr>
                <w:webHidden/>
                <w:rStyle w:val="IndexLink"/>
              </w:rPr>
              <w:t>3</w:t>
            </w:r>
            <w:r>
              <w:rPr>
                <w:rStyle w:val="IndexLink"/>
                <w:rtl w:val="true"/>
              </w:rPr>
              <w:t xml:space="preserve">. </w:t>
            </w:r>
            <w:r>
              <w:rPr>
                <w:rStyle w:val="IndexLink"/>
                <w:rtl w:val="true"/>
              </w:rPr>
              <w:t>المعرف باللام</w:t>
            </w:r>
            <w:r>
              <w:rPr>
                <w:rStyle w:val="IndexLink"/>
                <w:rtl w:val="true"/>
              </w:rPr>
              <w:tab/>
            </w:r>
            <w:r>
              <w:rPr>
                <w:rStyle w:val="IndexLink"/>
              </w:rPr>
              <w:t>707</w:t>
            </w:r>
          </w:hyperlink>
        </w:p>
        <w:p>
          <w:pPr>
            <w:pStyle w:val="Contents5"/>
            <w:tabs>
              <w:tab w:val="clear" w:pos="7892"/>
              <w:tab w:val="right" w:pos="9026" w:leader="dot"/>
            </w:tabs>
            <w:rPr/>
          </w:pPr>
          <w:hyperlink w:anchor="__RefHeading___Toc7305716_3381743652">
            <w:r>
              <w:rPr>
                <w:webHidden/>
                <w:rStyle w:val="IndexLink"/>
                <w:rtl w:val="true"/>
              </w:rPr>
              <w:t>اشارة</w:t>
            </w:r>
            <w:r>
              <w:rPr>
                <w:rStyle w:val="IndexLink"/>
                <w:rtl w:val="true"/>
              </w:rPr>
              <w:tab/>
            </w:r>
            <w:r>
              <w:rPr>
                <w:rStyle w:val="IndexLink"/>
              </w:rPr>
              <w:t>707</w:t>
            </w:r>
          </w:hyperlink>
        </w:p>
        <w:p>
          <w:pPr>
            <w:pStyle w:val="Contents5"/>
            <w:tabs>
              <w:tab w:val="clear" w:pos="7892"/>
              <w:tab w:val="right" w:pos="9026" w:leader="dot"/>
            </w:tabs>
            <w:rPr/>
          </w:pPr>
          <w:hyperlink w:anchor="__RefHeading___Toc7305718_3381743652">
            <w:r>
              <w:rPr>
                <w:webHidden/>
                <w:rStyle w:val="IndexLink"/>
                <w:rtl w:val="true"/>
              </w:rPr>
              <w:t xml:space="preserve">إنّما المهم في بيان ما وضع له </w:t>
            </w:r>
            <w:r>
              <w:rPr>
                <w:rStyle w:val="IndexLink"/>
                <w:rtl w:val="true"/>
              </w:rPr>
              <w:t>«</w:t>
            </w:r>
            <w:r>
              <w:rPr>
                <w:rStyle w:val="IndexLink"/>
                <w:rtl w:val="true"/>
              </w:rPr>
              <w:t>اللام</w:t>
            </w:r>
            <w:r>
              <w:rPr>
                <w:rStyle w:val="IndexLink"/>
                <w:rtl w:val="true"/>
              </w:rPr>
              <w:t>»</w:t>
              <w:tab/>
            </w:r>
            <w:r>
              <w:rPr>
                <w:rStyle w:val="IndexLink"/>
              </w:rPr>
              <w:t>708</w:t>
            </w:r>
          </w:hyperlink>
        </w:p>
        <w:p>
          <w:pPr>
            <w:pStyle w:val="Contents6"/>
            <w:tabs>
              <w:tab w:val="clear" w:pos="7609"/>
              <w:tab w:val="right" w:pos="9026" w:leader="dot"/>
            </w:tabs>
            <w:rPr/>
          </w:pPr>
          <w:hyperlink w:anchor="__RefHeading___Toc7305720_3381743652">
            <w:r>
              <w:rPr>
                <w:webHidden/>
                <w:rStyle w:val="IndexLink"/>
                <w:rtl w:val="true"/>
              </w:rPr>
              <w:t>اشارة</w:t>
            </w:r>
            <w:r>
              <w:rPr>
                <w:rStyle w:val="IndexLink"/>
                <w:rtl w:val="true"/>
              </w:rPr>
              <w:tab/>
            </w:r>
            <w:r>
              <w:rPr>
                <w:rStyle w:val="IndexLink"/>
              </w:rPr>
              <w:t>708</w:t>
            </w:r>
          </w:hyperlink>
        </w:p>
        <w:p>
          <w:pPr>
            <w:pStyle w:val="Contents6"/>
            <w:tabs>
              <w:tab w:val="clear" w:pos="7609"/>
              <w:tab w:val="right" w:pos="9026" w:leader="dot"/>
            </w:tabs>
            <w:rPr/>
          </w:pPr>
          <w:hyperlink w:anchor="__RefHeading___Toc7305722_3381743652">
            <w:r>
              <w:rPr>
                <w:webHidden/>
                <w:rStyle w:val="IndexLink"/>
                <w:rtl w:val="true"/>
              </w:rPr>
              <w:t>أ</w:t>
            </w:r>
            <w:r>
              <w:rPr>
                <w:rStyle w:val="IndexLink"/>
                <w:rtl w:val="true"/>
              </w:rPr>
              <w:t xml:space="preserve">. </w:t>
            </w:r>
            <w:r>
              <w:rPr>
                <w:rStyle w:val="IndexLink"/>
                <w:rtl w:val="true"/>
              </w:rPr>
              <w:t>اللام للتعريف</w:t>
            </w:r>
            <w:r>
              <w:rPr>
                <w:rStyle w:val="IndexLink"/>
                <w:rtl w:val="true"/>
              </w:rPr>
              <w:tab/>
            </w:r>
            <w:r>
              <w:rPr>
                <w:rStyle w:val="IndexLink"/>
              </w:rPr>
              <w:t>709</w:t>
            </w:r>
          </w:hyperlink>
        </w:p>
        <w:p>
          <w:pPr>
            <w:pStyle w:val="Contents6"/>
            <w:tabs>
              <w:tab w:val="clear" w:pos="7609"/>
              <w:tab w:val="right" w:pos="9026" w:leader="dot"/>
            </w:tabs>
            <w:rPr/>
          </w:pPr>
          <w:hyperlink w:anchor="__RefHeading___Toc7305724_3381743652">
            <w:r>
              <w:rPr>
                <w:webHidden/>
                <w:rStyle w:val="IndexLink"/>
                <w:rtl w:val="true"/>
              </w:rPr>
              <w:t>ب</w:t>
            </w:r>
            <w:r>
              <w:rPr>
                <w:rStyle w:val="IndexLink"/>
                <w:rtl w:val="true"/>
              </w:rPr>
              <w:t xml:space="preserve">. </w:t>
            </w:r>
            <w:r>
              <w:rPr>
                <w:rStyle w:val="IndexLink"/>
                <w:rtl w:val="true"/>
              </w:rPr>
              <w:t>اللام للتزيين</w:t>
            </w:r>
            <w:r>
              <w:rPr>
                <w:rStyle w:val="IndexLink"/>
                <w:rtl w:val="true"/>
              </w:rPr>
              <w:tab/>
            </w:r>
            <w:r>
              <w:rPr>
                <w:rStyle w:val="IndexLink"/>
              </w:rPr>
              <w:t>710</w:t>
            </w:r>
          </w:hyperlink>
        </w:p>
        <w:p>
          <w:pPr>
            <w:pStyle w:val="Contents6"/>
            <w:tabs>
              <w:tab w:val="clear" w:pos="7609"/>
              <w:tab w:val="right" w:pos="9026" w:leader="dot"/>
            </w:tabs>
            <w:rPr/>
          </w:pPr>
          <w:hyperlink w:anchor="__RefHeading___Toc7305726_3381743652">
            <w:r>
              <w:rPr>
                <w:webHidden/>
                <w:rStyle w:val="IndexLink"/>
                <w:rtl w:val="true"/>
              </w:rPr>
              <w:t>ج</w:t>
            </w:r>
            <w:r>
              <w:rPr>
                <w:rStyle w:val="IndexLink"/>
                <w:rtl w:val="true"/>
              </w:rPr>
              <w:t xml:space="preserve">. </w:t>
            </w:r>
            <w:r>
              <w:rPr>
                <w:rStyle w:val="IndexLink"/>
                <w:rtl w:val="true"/>
              </w:rPr>
              <w:t>التعريف لفظي</w:t>
            </w:r>
            <w:r>
              <w:rPr>
                <w:rStyle w:val="IndexLink"/>
                <w:rtl w:val="true"/>
              </w:rPr>
              <w:tab/>
            </w:r>
            <w:r>
              <w:rPr>
                <w:rStyle w:val="IndexLink"/>
              </w:rPr>
              <w:t>710</w:t>
            </w:r>
          </w:hyperlink>
        </w:p>
        <w:p>
          <w:pPr>
            <w:pStyle w:val="Contents6"/>
            <w:tabs>
              <w:tab w:val="clear" w:pos="7609"/>
              <w:tab w:val="right" w:pos="9026" w:leader="dot"/>
            </w:tabs>
            <w:rPr/>
          </w:pPr>
          <w:hyperlink w:anchor="__RefHeading___Toc7305728_3381743652">
            <w:r>
              <w:rPr>
                <w:webHidden/>
                <w:rStyle w:val="IndexLink"/>
                <w:rtl w:val="true"/>
              </w:rPr>
              <w:t>د</w:t>
            </w:r>
            <w:r>
              <w:rPr>
                <w:rStyle w:val="IndexLink"/>
                <w:rtl w:val="true"/>
              </w:rPr>
              <w:t xml:space="preserve">. </w:t>
            </w:r>
            <w:r>
              <w:rPr>
                <w:rStyle w:val="IndexLink"/>
                <w:rtl w:val="true"/>
              </w:rPr>
              <w:t>اللام للإشارة</w:t>
            </w:r>
            <w:r>
              <w:rPr>
                <w:rStyle w:val="IndexLink"/>
                <w:rtl w:val="true"/>
              </w:rPr>
              <w:tab/>
            </w:r>
            <w:r>
              <w:rPr>
                <w:rStyle w:val="IndexLink"/>
              </w:rPr>
              <w:t>710</w:t>
            </w:r>
          </w:hyperlink>
        </w:p>
        <w:p>
          <w:pPr>
            <w:pStyle w:val="Contents5"/>
            <w:tabs>
              <w:tab w:val="clear" w:pos="7892"/>
              <w:tab w:val="right" w:pos="9026" w:leader="dot"/>
            </w:tabs>
            <w:rPr/>
          </w:pPr>
          <w:hyperlink w:anchor="__RefHeading___Toc7305730_3381743652">
            <w:r>
              <w:rPr>
                <w:webHidden/>
                <w:rStyle w:val="IndexLink"/>
                <w:rtl w:val="true"/>
              </w:rPr>
              <w:t>الجمع المحلّى باللام</w:t>
            </w:r>
            <w:r>
              <w:rPr>
                <w:rStyle w:val="IndexLink"/>
                <w:rtl w:val="true"/>
              </w:rPr>
              <w:tab/>
            </w:r>
            <w:r>
              <w:rPr>
                <w:rStyle w:val="IndexLink"/>
              </w:rPr>
              <w:t>712</w:t>
            </w:r>
          </w:hyperlink>
        </w:p>
        <w:p>
          <w:pPr>
            <w:pStyle w:val="Contents4"/>
            <w:tabs>
              <w:tab w:val="clear" w:pos="8176"/>
              <w:tab w:val="right" w:pos="9026" w:leader="dot"/>
            </w:tabs>
            <w:rPr/>
          </w:pPr>
          <w:hyperlink w:anchor="__RefHeading___Toc7305732_3381743652">
            <w:r>
              <w:rPr>
                <w:webHidden/>
                <w:rStyle w:val="IndexLink"/>
              </w:rPr>
              <w:t>4</w:t>
            </w:r>
            <w:r>
              <w:rPr>
                <w:rStyle w:val="IndexLink"/>
                <w:rtl w:val="true"/>
              </w:rPr>
              <w:t xml:space="preserve">. </w:t>
            </w:r>
            <w:r>
              <w:rPr>
                <w:rStyle w:val="IndexLink"/>
                <w:rtl w:val="true"/>
              </w:rPr>
              <w:t>النكرة</w:t>
            </w:r>
            <w:r>
              <w:rPr>
                <w:rStyle w:val="IndexLink"/>
                <w:rtl w:val="true"/>
              </w:rPr>
              <w:tab/>
            </w:r>
            <w:r>
              <w:rPr>
                <w:rStyle w:val="IndexLink"/>
              </w:rPr>
              <w:t>713</w:t>
            </w:r>
          </w:hyperlink>
        </w:p>
        <w:p>
          <w:pPr>
            <w:pStyle w:val="Contents3"/>
            <w:tabs>
              <w:tab w:val="clear" w:pos="8459"/>
              <w:tab w:val="right" w:pos="9026" w:leader="dot"/>
            </w:tabs>
            <w:rPr/>
          </w:pPr>
          <w:hyperlink w:anchor="__RefHeading___Toc7305734_3381743652">
            <w:r>
              <w:rPr>
                <w:webHidden/>
                <w:rStyle w:val="IndexLink"/>
                <w:rtl w:val="true"/>
              </w:rPr>
              <w:t>الفصل الثاني تقييد المطلق لا يستلزم المجازية</w:t>
            </w:r>
            <w:r>
              <w:rPr>
                <w:rStyle w:val="IndexLink"/>
                <w:rtl w:val="true"/>
              </w:rPr>
              <w:tab/>
            </w:r>
            <w:r>
              <w:rPr>
                <w:rStyle w:val="IndexLink"/>
              </w:rPr>
              <w:t>716</w:t>
            </w:r>
          </w:hyperlink>
        </w:p>
        <w:p>
          <w:pPr>
            <w:pStyle w:val="Contents3"/>
            <w:tabs>
              <w:tab w:val="clear" w:pos="8459"/>
              <w:tab w:val="right" w:pos="9026" w:leader="dot"/>
            </w:tabs>
            <w:rPr/>
          </w:pPr>
          <w:hyperlink w:anchor="__RefHeading___Toc7305736_3381743652">
            <w:r>
              <w:rPr>
                <w:webHidden/>
                <w:rStyle w:val="IndexLink"/>
                <w:rtl w:val="true"/>
              </w:rPr>
              <w:t>الفصل الثالث مقدّمات الحكمة</w:t>
            </w:r>
            <w:r>
              <w:rPr>
                <w:rStyle w:val="IndexLink"/>
                <w:rtl w:val="true"/>
              </w:rPr>
              <w:tab/>
            </w:r>
            <w:r>
              <w:rPr>
                <w:rStyle w:val="IndexLink"/>
              </w:rPr>
              <w:t>719</w:t>
            </w:r>
          </w:hyperlink>
        </w:p>
        <w:p>
          <w:pPr>
            <w:pStyle w:val="Contents4"/>
            <w:tabs>
              <w:tab w:val="clear" w:pos="8176"/>
              <w:tab w:val="right" w:pos="9026" w:leader="dot"/>
            </w:tabs>
            <w:rPr/>
          </w:pPr>
          <w:hyperlink w:anchor="__RefHeading___Toc7305738_3381743652">
            <w:r>
              <w:rPr>
                <w:webHidden/>
                <w:rStyle w:val="IndexLink"/>
                <w:rtl w:val="true"/>
              </w:rPr>
              <w:t>اشارة</w:t>
            </w:r>
            <w:r>
              <w:rPr>
                <w:rStyle w:val="IndexLink"/>
                <w:rtl w:val="true"/>
              </w:rPr>
              <w:tab/>
            </w:r>
            <w:r>
              <w:rPr>
                <w:rStyle w:val="IndexLink"/>
              </w:rPr>
              <w:t>719</w:t>
            </w:r>
          </w:hyperlink>
        </w:p>
        <w:p>
          <w:pPr>
            <w:pStyle w:val="Contents4"/>
            <w:tabs>
              <w:tab w:val="clear" w:pos="8176"/>
              <w:tab w:val="right" w:pos="9026" w:leader="dot"/>
            </w:tabs>
            <w:rPr/>
          </w:pPr>
          <w:hyperlink w:anchor="__RefHeading___Toc7305740_3381743652">
            <w:r>
              <w:rPr>
                <w:webHidden/>
                <w:rStyle w:val="IndexLink"/>
                <w:rtl w:val="true"/>
              </w:rPr>
              <w:t>المقدّمة الأُولى</w:t>
            </w:r>
            <w:r>
              <w:rPr>
                <w:rStyle w:val="IndexLink"/>
                <w:rtl w:val="true"/>
              </w:rPr>
              <w:t xml:space="preserve">: </w:t>
            </w:r>
            <w:r>
              <w:rPr>
                <w:rStyle w:val="IndexLink"/>
                <w:rtl w:val="true"/>
              </w:rPr>
              <w:t>إحراز كون المتكلّم في مقام بيان كلّ ما هو دخيل في متعلّق حكمه بحيث يكون الإخلال ببيان الأجزاء و الشرائط منافياً للحكمة لافتراض انّه في مقام بيان تمام ما هو الموضوع للحكم</w:t>
            </w:r>
            <w:r>
              <w:rPr>
                <w:rStyle w:val="IndexLink"/>
                <w:rtl w:val="true"/>
              </w:rPr>
              <w:t>.</w:t>
              <w:tab/>
            </w:r>
            <w:r>
              <w:rPr>
                <w:rStyle w:val="IndexLink"/>
              </w:rPr>
              <w:t>720</w:t>
            </w:r>
          </w:hyperlink>
        </w:p>
        <w:p>
          <w:pPr>
            <w:pStyle w:val="Contents5"/>
            <w:tabs>
              <w:tab w:val="clear" w:pos="7892"/>
              <w:tab w:val="right" w:pos="9026" w:leader="dot"/>
            </w:tabs>
            <w:rPr/>
          </w:pPr>
          <w:hyperlink w:anchor="__RefHeading___Toc7305742_3381743652">
            <w:r>
              <w:rPr>
                <w:webHidden/>
                <w:rStyle w:val="IndexLink"/>
                <w:rtl w:val="true"/>
              </w:rPr>
              <w:t>اشارة</w:t>
            </w:r>
            <w:r>
              <w:rPr>
                <w:rStyle w:val="IndexLink"/>
                <w:rtl w:val="true"/>
              </w:rPr>
              <w:tab/>
            </w:r>
            <w:r>
              <w:rPr>
                <w:rStyle w:val="IndexLink"/>
              </w:rPr>
              <w:t>720</w:t>
            </w:r>
          </w:hyperlink>
        </w:p>
        <w:p>
          <w:pPr>
            <w:pStyle w:val="Contents5"/>
            <w:tabs>
              <w:tab w:val="clear" w:pos="7892"/>
              <w:tab w:val="right" w:pos="9026" w:leader="dot"/>
            </w:tabs>
            <w:rPr/>
          </w:pPr>
          <w:hyperlink w:anchor="__RefHeading___Toc7305744_3381743652">
            <w:r>
              <w:rPr>
                <w:webHidden/>
                <w:rStyle w:val="IndexLink"/>
                <w:rtl w:val="true"/>
              </w:rPr>
              <w:t>كون المتكلّم في مقام البيان لجهة دون جهة</w:t>
            </w:r>
            <w:r>
              <w:rPr>
                <w:rStyle w:val="IndexLink"/>
                <w:rtl w:val="true"/>
              </w:rPr>
              <w:tab/>
            </w:r>
            <w:r>
              <w:rPr>
                <w:rStyle w:val="IndexLink"/>
              </w:rPr>
              <w:t>722</w:t>
            </w:r>
          </w:hyperlink>
        </w:p>
        <w:p>
          <w:pPr>
            <w:pStyle w:val="Contents5"/>
            <w:tabs>
              <w:tab w:val="clear" w:pos="7892"/>
              <w:tab w:val="right" w:pos="9026" w:leader="dot"/>
            </w:tabs>
            <w:rPr/>
          </w:pPr>
          <w:hyperlink w:anchor="__RefHeading___Toc7305746_3381743652">
            <w:r>
              <w:rPr>
                <w:webHidden/>
                <w:rStyle w:val="IndexLink"/>
                <w:rtl w:val="true"/>
              </w:rPr>
              <w:t>ما هو الأصل في كلام المتكلّم؟</w:t>
            </w:r>
            <w:r>
              <w:rPr>
                <w:rStyle w:val="IndexLink"/>
                <w:rtl w:val="true"/>
              </w:rPr>
              <w:tab/>
            </w:r>
            <w:r>
              <w:rPr>
                <w:rStyle w:val="IndexLink"/>
              </w:rPr>
              <w:t>722</w:t>
            </w:r>
          </w:hyperlink>
        </w:p>
        <w:p>
          <w:pPr>
            <w:pStyle w:val="Contents5"/>
            <w:tabs>
              <w:tab w:val="clear" w:pos="7892"/>
              <w:tab w:val="right" w:pos="9026" w:leader="dot"/>
            </w:tabs>
            <w:rPr/>
          </w:pPr>
          <w:hyperlink w:anchor="__RefHeading___Toc7305748_3381743652">
            <w:r>
              <w:rPr>
                <w:webHidden/>
                <w:rStyle w:val="IndexLink"/>
                <w:rtl w:val="true"/>
              </w:rPr>
              <w:t>العثور على القيد لا يبطل الإطلاق</w:t>
            </w:r>
            <w:r>
              <w:rPr>
                <w:rStyle w:val="IndexLink"/>
                <w:rtl w:val="true"/>
              </w:rPr>
              <w:tab/>
            </w:r>
            <w:r>
              <w:rPr>
                <w:rStyle w:val="IndexLink"/>
              </w:rPr>
              <w:t>723</w:t>
            </w:r>
          </w:hyperlink>
        </w:p>
        <w:p>
          <w:pPr>
            <w:pStyle w:val="Contents4"/>
            <w:tabs>
              <w:tab w:val="clear" w:pos="8176"/>
              <w:tab w:val="right" w:pos="9026" w:leader="dot"/>
            </w:tabs>
            <w:rPr/>
          </w:pPr>
          <w:hyperlink w:anchor="__RefHeading___Toc7305750_3381743652">
            <w:r>
              <w:rPr>
                <w:webHidden/>
                <w:rStyle w:val="IndexLink"/>
                <w:rtl w:val="true"/>
              </w:rPr>
              <w:t>المقدّمة الثانية</w:t>
            </w:r>
            <w:r>
              <w:rPr>
                <w:rStyle w:val="IndexLink"/>
                <w:rtl w:val="true"/>
              </w:rPr>
              <w:t xml:space="preserve">: </w:t>
            </w:r>
            <w:r>
              <w:rPr>
                <w:rStyle w:val="IndexLink"/>
                <w:rtl w:val="true"/>
              </w:rPr>
              <w:t>انتفاء القرينة</w:t>
            </w:r>
            <w:r>
              <w:rPr>
                <w:rStyle w:val="IndexLink"/>
                <w:rtl w:val="true"/>
              </w:rPr>
              <w:tab/>
            </w:r>
            <w:r>
              <w:rPr>
                <w:rStyle w:val="IndexLink"/>
              </w:rPr>
              <w:t>724</w:t>
            </w:r>
          </w:hyperlink>
        </w:p>
        <w:p>
          <w:pPr>
            <w:pStyle w:val="Contents4"/>
            <w:tabs>
              <w:tab w:val="clear" w:pos="8176"/>
              <w:tab w:val="right" w:pos="9026" w:leader="dot"/>
            </w:tabs>
            <w:rPr/>
          </w:pPr>
          <w:hyperlink w:anchor="__RefHeading___Toc7305752_3381743652">
            <w:r>
              <w:rPr>
                <w:webHidden/>
                <w:rStyle w:val="IndexLink"/>
                <w:rtl w:val="true"/>
              </w:rPr>
              <w:t>المقدّمة الثالثة</w:t>
            </w:r>
            <w:r>
              <w:rPr>
                <w:rStyle w:val="IndexLink"/>
                <w:rtl w:val="true"/>
              </w:rPr>
              <w:t xml:space="preserve">: </w:t>
            </w:r>
            <w:r>
              <w:rPr>
                <w:rStyle w:val="IndexLink"/>
                <w:rtl w:val="true"/>
              </w:rPr>
              <w:t>انتفاء القدر المتيقّن في مقام التخاطب</w:t>
            </w:r>
            <w:r>
              <w:rPr>
                <w:rStyle w:val="IndexLink"/>
                <w:rtl w:val="true"/>
              </w:rPr>
              <w:tab/>
            </w:r>
            <w:r>
              <w:rPr>
                <w:rStyle w:val="IndexLink"/>
              </w:rPr>
              <w:t>725</w:t>
            </w:r>
          </w:hyperlink>
        </w:p>
        <w:p>
          <w:pPr>
            <w:pStyle w:val="Contents3"/>
            <w:tabs>
              <w:tab w:val="clear" w:pos="8459"/>
              <w:tab w:val="right" w:pos="9026" w:leader="dot"/>
            </w:tabs>
            <w:rPr/>
          </w:pPr>
          <w:hyperlink w:anchor="__RefHeading___Toc7305754_3381743652">
            <w:r>
              <w:rPr>
                <w:webHidden/>
                <w:rStyle w:val="IndexLink"/>
                <w:rtl w:val="true"/>
              </w:rPr>
              <w:t>الفصل الرابع في حمل المطلق على المقيّد</w:t>
            </w:r>
            <w:r>
              <w:rPr>
                <w:rStyle w:val="IndexLink"/>
                <w:rtl w:val="true"/>
              </w:rPr>
              <w:tab/>
            </w:r>
            <w:r>
              <w:rPr>
                <w:rStyle w:val="IndexLink"/>
              </w:rPr>
              <w:t>728</w:t>
            </w:r>
          </w:hyperlink>
        </w:p>
        <w:p>
          <w:pPr>
            <w:pStyle w:val="Contents4"/>
            <w:tabs>
              <w:tab w:val="clear" w:pos="8176"/>
              <w:tab w:val="right" w:pos="9026" w:leader="dot"/>
            </w:tabs>
            <w:rPr/>
          </w:pPr>
          <w:hyperlink w:anchor="__RefHeading___Toc7305756_3381743652">
            <w:r>
              <w:rPr>
                <w:webHidden/>
                <w:rStyle w:val="IndexLink"/>
                <w:rtl w:val="true"/>
              </w:rPr>
              <w:t>اشارة</w:t>
            </w:r>
            <w:r>
              <w:rPr>
                <w:rStyle w:val="IndexLink"/>
                <w:rtl w:val="true"/>
              </w:rPr>
              <w:tab/>
            </w:r>
            <w:r>
              <w:rPr>
                <w:rStyle w:val="IndexLink"/>
              </w:rPr>
              <w:t>728</w:t>
            </w:r>
          </w:hyperlink>
        </w:p>
        <w:p>
          <w:pPr>
            <w:pStyle w:val="Contents4"/>
            <w:tabs>
              <w:tab w:val="clear" w:pos="8176"/>
              <w:tab w:val="right" w:pos="9026" w:leader="dot"/>
            </w:tabs>
            <w:rPr/>
          </w:pPr>
          <w:hyperlink w:anchor="__RefHeading___Toc7305758_3381743652">
            <w:r>
              <w:rPr>
                <w:webHidden/>
                <w:rStyle w:val="IndexLink"/>
                <w:rtl w:val="true"/>
              </w:rPr>
              <w:t>القسم الأوّل</w:t>
            </w:r>
            <w:r>
              <w:rPr>
                <w:rStyle w:val="IndexLink"/>
                <w:rtl w:val="true"/>
              </w:rPr>
              <w:t xml:space="preserve">: </w:t>
            </w:r>
            <w:r>
              <w:rPr>
                <w:rStyle w:val="IndexLink"/>
                <w:rtl w:val="true"/>
              </w:rPr>
              <w:t>فيما إذا لم يذكر السبب</w:t>
            </w:r>
            <w:r>
              <w:rPr>
                <w:rStyle w:val="IndexLink"/>
                <w:rtl w:val="true"/>
              </w:rPr>
              <w:tab/>
            </w:r>
            <w:r>
              <w:rPr>
                <w:rStyle w:val="IndexLink"/>
              </w:rPr>
              <w:t>731</w:t>
            </w:r>
          </w:hyperlink>
        </w:p>
        <w:p>
          <w:pPr>
            <w:pStyle w:val="Contents5"/>
            <w:tabs>
              <w:tab w:val="clear" w:pos="7892"/>
              <w:tab w:val="right" w:pos="9026" w:leader="dot"/>
            </w:tabs>
            <w:rPr/>
          </w:pPr>
          <w:hyperlink w:anchor="__RefHeading___Toc7305760_3381743652">
            <w:r>
              <w:rPr>
                <w:webHidden/>
                <w:rStyle w:val="IndexLink"/>
                <w:rtl w:val="true"/>
              </w:rPr>
              <w:t>اشارة</w:t>
            </w:r>
            <w:r>
              <w:rPr>
                <w:rStyle w:val="IndexLink"/>
                <w:rtl w:val="true"/>
              </w:rPr>
              <w:tab/>
            </w:r>
            <w:r>
              <w:rPr>
                <w:rStyle w:val="IndexLink"/>
              </w:rPr>
              <w:t>731</w:t>
            </w:r>
          </w:hyperlink>
        </w:p>
        <w:p>
          <w:pPr>
            <w:pStyle w:val="Contents5"/>
            <w:tabs>
              <w:tab w:val="clear" w:pos="7892"/>
              <w:tab w:val="right" w:pos="9026" w:leader="dot"/>
            </w:tabs>
            <w:rPr/>
          </w:pPr>
          <w:hyperlink w:anchor="__RefHeading___Toc7305762_3381743652">
            <w:r>
              <w:rPr>
                <w:webHidden/>
                <w:rStyle w:val="IndexLink"/>
                <w:rtl w:val="true"/>
              </w:rPr>
              <w:t>الصورة الأُولى</w:t>
            </w:r>
            <w:r>
              <w:rPr>
                <w:rStyle w:val="IndexLink"/>
                <w:rtl w:val="true"/>
              </w:rPr>
              <w:t xml:space="preserve">: </w:t>
            </w:r>
            <w:r>
              <w:rPr>
                <w:rStyle w:val="IndexLink"/>
                <w:rtl w:val="true"/>
              </w:rPr>
              <w:t>إذا كانا مثبتين</w:t>
            </w:r>
            <w:r>
              <w:rPr>
                <w:rStyle w:val="IndexLink"/>
                <w:rtl w:val="true"/>
              </w:rPr>
              <w:tab/>
            </w:r>
            <w:r>
              <w:rPr>
                <w:rStyle w:val="IndexLink"/>
              </w:rPr>
              <w:t>731</w:t>
            </w:r>
          </w:hyperlink>
        </w:p>
        <w:p>
          <w:pPr>
            <w:pStyle w:val="Contents6"/>
            <w:tabs>
              <w:tab w:val="clear" w:pos="7609"/>
              <w:tab w:val="right" w:pos="9026" w:leader="dot"/>
            </w:tabs>
            <w:rPr/>
          </w:pPr>
          <w:hyperlink w:anchor="__RefHeading___Toc7305764_3381743652">
            <w:r>
              <w:rPr>
                <w:webHidden/>
                <w:rStyle w:val="IndexLink"/>
                <w:rtl w:val="true"/>
              </w:rPr>
              <w:t>اشارة</w:t>
            </w:r>
            <w:r>
              <w:rPr>
                <w:rStyle w:val="IndexLink"/>
                <w:rtl w:val="true"/>
              </w:rPr>
              <w:tab/>
            </w:r>
            <w:r>
              <w:rPr>
                <w:rStyle w:val="IndexLink"/>
              </w:rPr>
              <w:t>731</w:t>
            </w:r>
          </w:hyperlink>
        </w:p>
        <w:p>
          <w:pPr>
            <w:pStyle w:val="Contents6"/>
            <w:tabs>
              <w:tab w:val="clear" w:pos="7609"/>
              <w:tab w:val="right" w:pos="9026" w:leader="dot"/>
            </w:tabs>
            <w:rPr/>
          </w:pPr>
          <w:hyperlink w:anchor="__RefHeading___Toc7305766_3381743652">
            <w:r>
              <w:rPr>
                <w:webHidden/>
                <w:rStyle w:val="IndexLink"/>
                <w:rtl w:val="true"/>
              </w:rPr>
              <w:t>تقريب للمحقّق النائيني لإحراز وحدة الحكم</w:t>
            </w:r>
            <w:r>
              <w:rPr>
                <w:rStyle w:val="IndexLink"/>
                <w:rtl w:val="true"/>
              </w:rPr>
              <w:tab/>
            </w:r>
            <w:r>
              <w:rPr>
                <w:rStyle w:val="IndexLink"/>
              </w:rPr>
              <w:t>735</w:t>
            </w:r>
          </w:hyperlink>
        </w:p>
        <w:p>
          <w:pPr>
            <w:pStyle w:val="Contents5"/>
            <w:tabs>
              <w:tab w:val="clear" w:pos="7892"/>
              <w:tab w:val="right" w:pos="9026" w:leader="dot"/>
            </w:tabs>
            <w:rPr/>
          </w:pPr>
          <w:hyperlink w:anchor="__RefHeading___Toc7305768_3381743652">
            <w:r>
              <w:rPr>
                <w:webHidden/>
                <w:rStyle w:val="IndexLink"/>
                <w:rtl w:val="true"/>
              </w:rPr>
              <w:t>الصورة الثانية</w:t>
            </w:r>
            <w:r>
              <w:rPr>
                <w:rStyle w:val="IndexLink"/>
                <w:rtl w:val="true"/>
              </w:rPr>
              <w:t xml:space="preserve">: </w:t>
            </w:r>
            <w:r>
              <w:rPr>
                <w:rStyle w:val="IndexLink"/>
                <w:rtl w:val="true"/>
              </w:rPr>
              <w:t>إذا كانا نافيين</w:t>
            </w:r>
            <w:r>
              <w:rPr>
                <w:rStyle w:val="IndexLink"/>
                <w:rtl w:val="true"/>
              </w:rPr>
              <w:tab/>
            </w:r>
            <w:r>
              <w:rPr>
                <w:rStyle w:val="IndexLink"/>
              </w:rPr>
              <w:t>737</w:t>
            </w:r>
          </w:hyperlink>
        </w:p>
        <w:p>
          <w:pPr>
            <w:pStyle w:val="Contents5"/>
            <w:tabs>
              <w:tab w:val="clear" w:pos="7892"/>
              <w:tab w:val="right" w:pos="9026" w:leader="dot"/>
            </w:tabs>
            <w:rPr/>
          </w:pPr>
          <w:hyperlink w:anchor="__RefHeading___Toc7305770_3381743652">
            <w:r>
              <w:rPr>
                <w:webHidden/>
                <w:rStyle w:val="IndexLink"/>
                <w:rtl w:val="true"/>
              </w:rPr>
              <w:t>الصورة الثالثة</w:t>
            </w:r>
            <w:r>
              <w:rPr>
                <w:rStyle w:val="IndexLink"/>
                <w:rtl w:val="true"/>
              </w:rPr>
              <w:t xml:space="preserve">: </w:t>
            </w:r>
            <w:r>
              <w:rPr>
                <w:rStyle w:val="IndexLink"/>
                <w:rtl w:val="true"/>
              </w:rPr>
              <w:t>أن يكون أحدهما مثبتاً و الآخر نافياً</w:t>
            </w:r>
            <w:r>
              <w:rPr>
                <w:rStyle w:val="IndexLink"/>
                <w:rtl w:val="true"/>
              </w:rPr>
              <w:tab/>
            </w:r>
            <w:r>
              <w:rPr>
                <w:rStyle w:val="IndexLink"/>
              </w:rPr>
              <w:t>737</w:t>
            </w:r>
          </w:hyperlink>
        </w:p>
        <w:p>
          <w:pPr>
            <w:pStyle w:val="Contents5"/>
            <w:tabs>
              <w:tab w:val="clear" w:pos="7892"/>
              <w:tab w:val="right" w:pos="9026" w:leader="dot"/>
            </w:tabs>
            <w:rPr/>
          </w:pPr>
          <w:hyperlink w:anchor="__RefHeading___Toc7305772_3381743652">
            <w:r>
              <w:rPr>
                <w:webHidden/>
                <w:rStyle w:val="IndexLink"/>
                <w:rtl w:val="true"/>
              </w:rPr>
              <w:t>و ينبغي التنبيه على أمرين</w:t>
            </w:r>
            <w:r>
              <w:rPr>
                <w:rStyle w:val="IndexLink"/>
                <w:rtl w:val="true"/>
              </w:rPr>
              <w:t>:</w:t>
              <w:tab/>
            </w:r>
            <w:r>
              <w:rPr>
                <w:rStyle w:val="IndexLink"/>
              </w:rPr>
              <w:t>738</w:t>
            </w:r>
          </w:hyperlink>
        </w:p>
        <w:p>
          <w:pPr>
            <w:pStyle w:val="Contents6"/>
            <w:tabs>
              <w:tab w:val="clear" w:pos="7609"/>
              <w:tab w:val="right" w:pos="9026" w:leader="dot"/>
            </w:tabs>
            <w:rPr/>
          </w:pPr>
          <w:hyperlink w:anchor="__RefHeading___Toc7305774_3381743652">
            <w:r>
              <w:rPr>
                <w:webHidden/>
                <w:rStyle w:val="IndexLink"/>
                <w:rtl w:val="true"/>
              </w:rPr>
              <w:t>اشارة</w:t>
            </w:r>
            <w:r>
              <w:rPr>
                <w:rStyle w:val="IndexLink"/>
                <w:rtl w:val="true"/>
              </w:rPr>
              <w:tab/>
            </w:r>
            <w:r>
              <w:rPr>
                <w:rStyle w:val="IndexLink"/>
              </w:rPr>
              <w:t>738</w:t>
            </w:r>
          </w:hyperlink>
        </w:p>
        <w:p>
          <w:pPr>
            <w:pStyle w:val="Contents6"/>
            <w:tabs>
              <w:tab w:val="clear" w:pos="7609"/>
              <w:tab w:val="right" w:pos="9026" w:leader="dot"/>
            </w:tabs>
            <w:rPr/>
          </w:pPr>
          <w:hyperlink w:anchor="__RefHeading___Toc7305776_3381743652">
            <w:r>
              <w:rPr>
                <w:webHidden/>
                <w:rStyle w:val="IndexLink"/>
                <w:rtl w:val="true"/>
              </w:rPr>
              <w:t>الأوّل</w:t>
            </w:r>
            <w:r>
              <w:rPr>
                <w:rStyle w:val="IndexLink"/>
                <w:rtl w:val="true"/>
              </w:rPr>
              <w:t xml:space="preserve">: </w:t>
            </w:r>
            <w:r>
              <w:rPr>
                <w:rStyle w:val="IndexLink"/>
                <w:rtl w:val="true"/>
              </w:rPr>
              <w:t>حكم الأحكام الوضعية</w:t>
            </w:r>
            <w:r>
              <w:rPr>
                <w:rStyle w:val="IndexLink"/>
                <w:rtl w:val="true"/>
              </w:rPr>
              <w:tab/>
            </w:r>
            <w:r>
              <w:rPr>
                <w:rStyle w:val="IndexLink"/>
              </w:rPr>
              <w:t>739</w:t>
            </w:r>
          </w:hyperlink>
        </w:p>
        <w:p>
          <w:pPr>
            <w:pStyle w:val="Contents6"/>
            <w:tabs>
              <w:tab w:val="clear" w:pos="7609"/>
              <w:tab w:val="right" w:pos="9026" w:leader="dot"/>
            </w:tabs>
            <w:rPr/>
          </w:pPr>
          <w:hyperlink w:anchor="__RefHeading___Toc7305778_3381743652">
            <w:r>
              <w:rPr>
                <w:webHidden/>
                <w:rStyle w:val="IndexLink"/>
                <w:rtl w:val="true"/>
              </w:rPr>
              <w:t>الثاني</w:t>
            </w:r>
            <w:r>
              <w:rPr>
                <w:rStyle w:val="IndexLink"/>
                <w:rtl w:val="true"/>
              </w:rPr>
              <w:t xml:space="preserve">: </w:t>
            </w:r>
            <w:r>
              <w:rPr>
                <w:rStyle w:val="IndexLink"/>
                <w:rtl w:val="true"/>
              </w:rPr>
              <w:t>في حكم المستحبّات</w:t>
            </w:r>
            <w:r>
              <w:rPr>
                <w:rStyle w:val="IndexLink"/>
                <w:rtl w:val="true"/>
              </w:rPr>
              <w:tab/>
            </w:r>
            <w:r>
              <w:rPr>
                <w:rStyle w:val="IndexLink"/>
              </w:rPr>
              <w:t>739</w:t>
            </w:r>
          </w:hyperlink>
        </w:p>
        <w:p>
          <w:pPr>
            <w:pStyle w:val="Contents4"/>
            <w:tabs>
              <w:tab w:val="clear" w:pos="8176"/>
              <w:tab w:val="right" w:pos="9026" w:leader="dot"/>
            </w:tabs>
            <w:rPr/>
          </w:pPr>
          <w:hyperlink w:anchor="__RefHeading___Toc7305780_3381743652">
            <w:r>
              <w:rPr>
                <w:webHidden/>
                <w:rStyle w:val="IndexLink"/>
                <w:rtl w:val="true"/>
              </w:rPr>
              <w:t>القسم الثاني</w:t>
            </w:r>
            <w:r>
              <w:rPr>
                <w:rStyle w:val="IndexLink"/>
                <w:rtl w:val="true"/>
              </w:rPr>
              <w:t xml:space="preserve">: </w:t>
            </w:r>
            <w:r>
              <w:rPr>
                <w:rStyle w:val="IndexLink"/>
                <w:rtl w:val="true"/>
              </w:rPr>
              <w:t>ما إذا كان السبب مذكوراً</w:t>
            </w:r>
            <w:r>
              <w:rPr>
                <w:rStyle w:val="IndexLink"/>
                <w:rtl w:val="true"/>
              </w:rPr>
              <w:tab/>
            </w:r>
            <w:r>
              <w:rPr>
                <w:rStyle w:val="IndexLink"/>
              </w:rPr>
              <w:t>741</w:t>
            </w:r>
          </w:hyperlink>
        </w:p>
        <w:p>
          <w:pPr>
            <w:pStyle w:val="Contents3"/>
            <w:tabs>
              <w:tab w:val="clear" w:pos="8459"/>
              <w:tab w:val="right" w:pos="9026" w:leader="dot"/>
            </w:tabs>
            <w:rPr/>
          </w:pPr>
          <w:hyperlink w:anchor="__RefHeading___Toc7305782_3381743652">
            <w:r>
              <w:rPr>
                <w:webHidden/>
                <w:rStyle w:val="IndexLink"/>
                <w:rtl w:val="true"/>
              </w:rPr>
              <w:t>الفصل الخامس في المجمل و المبيّن و المحكم و المتشابه</w:t>
            </w:r>
            <w:r>
              <w:rPr>
                <w:rStyle w:val="IndexLink"/>
                <w:rtl w:val="true"/>
              </w:rPr>
              <w:tab/>
            </w:r>
            <w:r>
              <w:rPr>
                <w:rStyle w:val="IndexLink"/>
              </w:rPr>
              <w:t>743</w:t>
            </w:r>
          </w:hyperlink>
        </w:p>
        <w:p>
          <w:pPr>
            <w:pStyle w:val="Contents4"/>
            <w:tabs>
              <w:tab w:val="clear" w:pos="8176"/>
              <w:tab w:val="right" w:pos="9026" w:leader="dot"/>
            </w:tabs>
            <w:rPr/>
          </w:pPr>
          <w:hyperlink w:anchor="__RefHeading___Toc7305784_3381743652">
            <w:r>
              <w:rPr>
                <w:webHidden/>
                <w:rStyle w:val="IndexLink"/>
                <w:rtl w:val="true"/>
              </w:rPr>
              <w:t>اشارة</w:t>
            </w:r>
            <w:r>
              <w:rPr>
                <w:rStyle w:val="IndexLink"/>
                <w:rtl w:val="true"/>
              </w:rPr>
              <w:tab/>
            </w:r>
            <w:r>
              <w:rPr>
                <w:rStyle w:val="IndexLink"/>
              </w:rPr>
              <w:t>743</w:t>
            </w:r>
          </w:hyperlink>
        </w:p>
        <w:p>
          <w:pPr>
            <w:pStyle w:val="Contents4"/>
            <w:tabs>
              <w:tab w:val="clear" w:pos="8176"/>
              <w:tab w:val="right" w:pos="9026" w:leader="dot"/>
            </w:tabs>
            <w:rPr/>
          </w:pPr>
          <w:hyperlink w:anchor="__RefHeading___Toc7305786_3381743652">
            <w:r>
              <w:rPr>
                <w:webHidden/>
                <w:rStyle w:val="IndexLink"/>
                <w:rtl w:val="true"/>
              </w:rPr>
              <w:t>و يقع الكلام في أُمور</w:t>
            </w:r>
            <w:r>
              <w:rPr>
                <w:rStyle w:val="IndexLink"/>
                <w:rtl w:val="true"/>
              </w:rPr>
              <w:t>:</w:t>
              <w:tab/>
            </w:r>
            <w:r>
              <w:rPr>
                <w:rStyle w:val="IndexLink"/>
              </w:rPr>
              <w:t>743</w:t>
            </w:r>
          </w:hyperlink>
        </w:p>
        <w:p>
          <w:pPr>
            <w:pStyle w:val="Contents5"/>
            <w:tabs>
              <w:tab w:val="clear" w:pos="7892"/>
              <w:tab w:val="right" w:pos="9026" w:leader="dot"/>
            </w:tabs>
            <w:rPr/>
          </w:pPr>
          <w:hyperlink w:anchor="__RefHeading___Toc7305788_3381743652">
            <w:r>
              <w:rPr>
                <w:webHidden/>
                <w:rStyle w:val="IndexLink"/>
              </w:rPr>
              <w:t>1</w:t>
            </w:r>
            <w:r>
              <w:rPr>
                <w:rStyle w:val="IndexLink"/>
                <w:rtl w:val="true"/>
              </w:rPr>
              <w:t xml:space="preserve">. </w:t>
            </w:r>
            <w:r>
              <w:rPr>
                <w:rStyle w:val="IndexLink"/>
                <w:rtl w:val="true"/>
              </w:rPr>
              <w:t>المجمل و المبيّن لغة و اصطلاحاً</w:t>
            </w:r>
            <w:r>
              <w:rPr>
                <w:rStyle w:val="IndexLink"/>
                <w:rtl w:val="true"/>
              </w:rPr>
              <w:tab/>
            </w:r>
            <w:r>
              <w:rPr>
                <w:rStyle w:val="IndexLink"/>
              </w:rPr>
              <w:t>743</w:t>
            </w:r>
          </w:hyperlink>
        </w:p>
        <w:p>
          <w:pPr>
            <w:pStyle w:val="Contents5"/>
            <w:tabs>
              <w:tab w:val="clear" w:pos="7892"/>
              <w:tab w:val="right" w:pos="9026" w:leader="dot"/>
            </w:tabs>
            <w:rPr/>
          </w:pPr>
          <w:hyperlink w:anchor="__RefHeading___Toc7305790_3381743652">
            <w:r>
              <w:rPr>
                <w:webHidden/>
                <w:rStyle w:val="IndexLink"/>
              </w:rPr>
              <w:t>2</w:t>
            </w:r>
            <w:r>
              <w:rPr>
                <w:rStyle w:val="IndexLink"/>
                <w:rtl w:val="true"/>
              </w:rPr>
              <w:t xml:space="preserve">. </w:t>
            </w:r>
            <w:r>
              <w:rPr>
                <w:rStyle w:val="IndexLink"/>
                <w:rtl w:val="true"/>
              </w:rPr>
              <w:t>الإجمال و البيان وصفان نفسيان</w:t>
            </w:r>
            <w:r>
              <w:rPr>
                <w:rStyle w:val="IndexLink"/>
                <w:rtl w:val="true"/>
              </w:rPr>
              <w:tab/>
            </w:r>
            <w:r>
              <w:rPr>
                <w:rStyle w:val="IndexLink"/>
              </w:rPr>
              <w:t>744</w:t>
            </w:r>
          </w:hyperlink>
        </w:p>
        <w:p>
          <w:pPr>
            <w:pStyle w:val="Contents5"/>
            <w:tabs>
              <w:tab w:val="clear" w:pos="7892"/>
              <w:tab w:val="right" w:pos="9026" w:leader="dot"/>
            </w:tabs>
            <w:rPr/>
          </w:pPr>
          <w:hyperlink w:anchor="__RefHeading___Toc7305792_3381743652">
            <w:r>
              <w:rPr>
                <w:webHidden/>
                <w:rStyle w:val="IndexLink"/>
              </w:rPr>
              <w:t>3</w:t>
            </w:r>
            <w:r>
              <w:rPr>
                <w:rStyle w:val="IndexLink"/>
                <w:rtl w:val="true"/>
              </w:rPr>
              <w:t xml:space="preserve">. </w:t>
            </w:r>
            <w:r>
              <w:rPr>
                <w:rStyle w:val="IndexLink"/>
                <w:rtl w:val="true"/>
              </w:rPr>
              <w:t>ما هو منشأ الإجمال؟</w:t>
            </w:r>
            <w:r>
              <w:rPr>
                <w:rStyle w:val="IndexLink"/>
                <w:rtl w:val="true"/>
              </w:rPr>
              <w:tab/>
            </w:r>
            <w:r>
              <w:rPr>
                <w:rStyle w:val="IndexLink"/>
              </w:rPr>
              <w:t>745</w:t>
            </w:r>
          </w:hyperlink>
        </w:p>
        <w:p>
          <w:pPr>
            <w:pStyle w:val="Contents5"/>
            <w:tabs>
              <w:tab w:val="clear" w:pos="7892"/>
              <w:tab w:val="right" w:pos="9026" w:leader="dot"/>
            </w:tabs>
            <w:rPr/>
          </w:pPr>
          <w:hyperlink w:anchor="__RefHeading___Toc7305794_3381743652">
            <w:r>
              <w:rPr>
                <w:webHidden/>
                <w:rStyle w:val="IndexLink"/>
              </w:rPr>
              <w:t>4</w:t>
            </w:r>
            <w:r>
              <w:rPr>
                <w:rStyle w:val="IndexLink"/>
                <w:rtl w:val="true"/>
              </w:rPr>
              <w:t xml:space="preserve">. </w:t>
            </w:r>
            <w:r>
              <w:rPr>
                <w:rStyle w:val="IndexLink"/>
                <w:rtl w:val="true"/>
              </w:rPr>
              <w:t>ذكر نماذج من المجملات</w:t>
            </w:r>
            <w:r>
              <w:rPr>
                <w:rStyle w:val="IndexLink"/>
                <w:rtl w:val="true"/>
              </w:rPr>
              <w:tab/>
            </w:r>
            <w:r>
              <w:rPr>
                <w:rStyle w:val="IndexLink"/>
              </w:rPr>
              <w:t>745</w:t>
            </w:r>
          </w:hyperlink>
        </w:p>
        <w:p>
          <w:pPr>
            <w:pStyle w:val="Contents4"/>
            <w:tabs>
              <w:tab w:val="clear" w:pos="8176"/>
              <w:tab w:val="right" w:pos="9026" w:leader="dot"/>
            </w:tabs>
            <w:rPr/>
          </w:pPr>
          <w:hyperlink w:anchor="__RefHeading___Toc7305796_3381743652">
            <w:r>
              <w:rPr>
                <w:webHidden/>
                <w:rStyle w:val="IndexLink"/>
                <w:rtl w:val="true"/>
              </w:rPr>
              <w:t>المحكم و المتشابه</w:t>
            </w:r>
            <w:r>
              <w:rPr>
                <w:rStyle w:val="IndexLink"/>
                <w:rtl w:val="true"/>
              </w:rPr>
              <w:tab/>
            </w:r>
            <w:r>
              <w:rPr>
                <w:rStyle w:val="IndexLink"/>
              </w:rPr>
              <w:t>747</w:t>
            </w:r>
          </w:hyperlink>
        </w:p>
        <w:p>
          <w:pPr>
            <w:pStyle w:val="Contents5"/>
            <w:tabs>
              <w:tab w:val="clear" w:pos="7892"/>
              <w:tab w:val="right" w:pos="9026" w:leader="dot"/>
            </w:tabs>
            <w:rPr/>
          </w:pPr>
          <w:hyperlink w:anchor="__RefHeading___Toc7305798_3381743652">
            <w:r>
              <w:rPr>
                <w:webHidden/>
                <w:rStyle w:val="IndexLink"/>
                <w:rtl w:val="true"/>
              </w:rPr>
              <w:t>اشارة</w:t>
            </w:r>
            <w:r>
              <w:rPr>
                <w:rStyle w:val="IndexLink"/>
                <w:rtl w:val="true"/>
              </w:rPr>
              <w:tab/>
            </w:r>
            <w:r>
              <w:rPr>
                <w:rStyle w:val="IndexLink"/>
              </w:rPr>
              <w:t>747</w:t>
            </w:r>
          </w:hyperlink>
        </w:p>
        <w:p>
          <w:pPr>
            <w:pStyle w:val="Contents5"/>
            <w:tabs>
              <w:tab w:val="clear" w:pos="7892"/>
              <w:tab w:val="right" w:pos="9026" w:leader="dot"/>
            </w:tabs>
            <w:rPr/>
          </w:pPr>
          <w:hyperlink w:anchor="__RefHeading___Toc7305800_3381743652">
            <w:r>
              <w:rPr>
                <w:webHidden/>
                <w:rStyle w:val="IndexLink"/>
                <w:rtl w:val="true"/>
              </w:rPr>
              <w:t>و استقصاء الكلام في الآية يقتضي البحث في أُمور</w:t>
            </w:r>
            <w:r>
              <w:rPr>
                <w:rStyle w:val="IndexLink"/>
                <w:rtl w:val="true"/>
              </w:rPr>
              <w:t>:</w:t>
              <w:tab/>
            </w:r>
            <w:r>
              <w:rPr>
                <w:rStyle w:val="IndexLink"/>
              </w:rPr>
              <w:t>747</w:t>
            </w:r>
          </w:hyperlink>
        </w:p>
        <w:p>
          <w:pPr>
            <w:pStyle w:val="Contents6"/>
            <w:tabs>
              <w:tab w:val="clear" w:pos="7609"/>
              <w:tab w:val="right" w:pos="9026" w:leader="dot"/>
            </w:tabs>
            <w:rPr/>
          </w:pPr>
          <w:hyperlink w:anchor="__RefHeading___Toc7305802_3381743652">
            <w:r>
              <w:rPr>
                <w:webHidden/>
                <w:rStyle w:val="IndexLink"/>
                <w:rtl w:val="true"/>
              </w:rPr>
              <w:t>اشارة</w:t>
            </w:r>
            <w:r>
              <w:rPr>
                <w:rStyle w:val="IndexLink"/>
                <w:rtl w:val="true"/>
              </w:rPr>
              <w:tab/>
            </w:r>
            <w:r>
              <w:rPr>
                <w:rStyle w:val="IndexLink"/>
              </w:rPr>
              <w:t>747</w:t>
            </w:r>
          </w:hyperlink>
        </w:p>
        <w:p>
          <w:pPr>
            <w:pStyle w:val="Contents6"/>
            <w:tabs>
              <w:tab w:val="clear" w:pos="7609"/>
              <w:tab w:val="right" w:pos="9026" w:leader="dot"/>
            </w:tabs>
            <w:rPr/>
          </w:pPr>
          <w:hyperlink w:anchor="__RefHeading___Toc7305804_3381743652">
            <w:r>
              <w:rPr>
                <w:webHidden/>
                <w:rStyle w:val="IndexLink"/>
              </w:rPr>
              <w:t>1</w:t>
            </w:r>
            <w:r>
              <w:rPr>
                <w:rStyle w:val="IndexLink"/>
                <w:rtl w:val="true"/>
              </w:rPr>
              <w:t xml:space="preserve">. </w:t>
            </w:r>
            <w:r>
              <w:rPr>
                <w:rStyle w:val="IndexLink"/>
                <w:rtl w:val="true"/>
              </w:rPr>
              <w:t>المحكم و المتشابه لغة و قرآناً</w:t>
            </w:r>
            <w:r>
              <w:rPr>
                <w:rStyle w:val="IndexLink"/>
                <w:rtl w:val="true"/>
              </w:rPr>
              <w:tab/>
            </w:r>
            <w:r>
              <w:rPr>
                <w:rStyle w:val="IndexLink"/>
              </w:rPr>
              <w:t>747</w:t>
            </w:r>
          </w:hyperlink>
        </w:p>
        <w:p>
          <w:pPr>
            <w:pStyle w:val="Contents6"/>
            <w:tabs>
              <w:tab w:val="clear" w:pos="7609"/>
              <w:tab w:val="right" w:pos="9026" w:leader="dot"/>
            </w:tabs>
            <w:rPr/>
          </w:pPr>
          <w:hyperlink w:anchor="__RefHeading___Toc7305806_3381743652">
            <w:r>
              <w:rPr>
                <w:webHidden/>
                <w:rStyle w:val="IndexLink"/>
                <w:rtl w:val="true"/>
              </w:rPr>
              <w:t>ما هو المراد من الآية المتشابهة؟</w:t>
            </w:r>
            <w:r>
              <w:rPr>
                <w:rStyle w:val="IndexLink"/>
                <w:rtl w:val="true"/>
              </w:rPr>
              <w:tab/>
            </w:r>
            <w:r>
              <w:rPr>
                <w:rStyle w:val="IndexLink"/>
              </w:rPr>
              <w:t>751</w:t>
            </w:r>
          </w:hyperlink>
        </w:p>
        <w:p>
          <w:pPr>
            <w:pStyle w:val="Contents6"/>
            <w:tabs>
              <w:tab w:val="clear" w:pos="7609"/>
              <w:tab w:val="right" w:pos="9026" w:leader="dot"/>
            </w:tabs>
            <w:rPr/>
          </w:pPr>
          <w:hyperlink w:anchor="__RefHeading___Toc7305808_3381743652">
            <w:r>
              <w:rPr>
                <w:webHidden/>
                <w:rStyle w:val="IndexLink"/>
              </w:rPr>
              <w:t>1</w:t>
            </w:r>
            <w:r>
              <w:rPr>
                <w:rStyle w:val="IndexLink"/>
                <w:rtl w:val="true"/>
              </w:rPr>
              <w:t xml:space="preserve">. </w:t>
            </w:r>
            <w:r>
              <w:rPr>
                <w:rStyle w:val="IndexLink"/>
                <w:rtl w:val="true"/>
              </w:rPr>
              <w:t>المتشابه هو الخارج عن اطار العقل و الحسّ‌</w:t>
            </w:r>
            <w:r>
              <w:rPr>
                <w:rStyle w:val="IndexLink"/>
                <w:rtl w:val="true"/>
              </w:rPr>
              <w:tab/>
            </w:r>
            <w:r>
              <w:rPr>
                <w:rStyle w:val="IndexLink"/>
              </w:rPr>
              <w:t>751</w:t>
            </w:r>
          </w:hyperlink>
        </w:p>
        <w:p>
          <w:pPr>
            <w:pStyle w:val="Contents6"/>
            <w:tabs>
              <w:tab w:val="clear" w:pos="7609"/>
              <w:tab w:val="right" w:pos="9026" w:leader="dot"/>
            </w:tabs>
            <w:rPr/>
          </w:pPr>
          <w:hyperlink w:anchor="__RefHeading___Toc7305810_3381743652">
            <w:r>
              <w:rPr>
                <w:webHidden/>
                <w:rStyle w:val="IndexLink"/>
              </w:rPr>
              <w:t>2</w:t>
            </w:r>
            <w:r>
              <w:rPr>
                <w:rStyle w:val="IndexLink"/>
                <w:rtl w:val="true"/>
              </w:rPr>
              <w:t xml:space="preserve">. </w:t>
            </w:r>
            <w:r>
              <w:rPr>
                <w:rStyle w:val="IndexLink"/>
                <w:rtl w:val="true"/>
              </w:rPr>
              <w:t>المتشابه و الحروف المتقطّعة</w:t>
            </w:r>
            <w:r>
              <w:rPr>
                <w:rStyle w:val="IndexLink"/>
                <w:rtl w:val="true"/>
              </w:rPr>
              <w:tab/>
            </w:r>
            <w:r>
              <w:rPr>
                <w:rStyle w:val="IndexLink"/>
              </w:rPr>
              <w:t>753</w:t>
            </w:r>
          </w:hyperlink>
        </w:p>
        <w:p>
          <w:pPr>
            <w:pStyle w:val="Contents6"/>
            <w:tabs>
              <w:tab w:val="clear" w:pos="7609"/>
              <w:tab w:val="right" w:pos="9026" w:leader="dot"/>
            </w:tabs>
            <w:rPr/>
          </w:pPr>
          <w:hyperlink w:anchor="__RefHeading___Toc7305812_3381743652">
            <w:r>
              <w:rPr>
                <w:webHidden/>
                <w:rStyle w:val="IndexLink"/>
              </w:rPr>
              <w:t>3</w:t>
            </w:r>
            <w:r>
              <w:rPr>
                <w:rStyle w:val="IndexLink"/>
                <w:rtl w:val="true"/>
              </w:rPr>
              <w:t xml:space="preserve">. </w:t>
            </w:r>
            <w:r>
              <w:rPr>
                <w:rStyle w:val="IndexLink"/>
                <w:rtl w:val="true"/>
              </w:rPr>
              <w:t>النظرية المعروفة</w:t>
            </w:r>
            <w:r>
              <w:rPr>
                <w:rStyle w:val="IndexLink"/>
                <w:rtl w:val="true"/>
              </w:rPr>
              <w:tab/>
            </w:r>
            <w:r>
              <w:rPr>
                <w:rStyle w:val="IndexLink"/>
              </w:rPr>
              <w:t>754</w:t>
            </w:r>
          </w:hyperlink>
        </w:p>
        <w:p>
          <w:pPr>
            <w:pStyle w:val="Contents6"/>
            <w:tabs>
              <w:tab w:val="clear" w:pos="7609"/>
              <w:tab w:val="right" w:pos="9026" w:leader="dot"/>
            </w:tabs>
            <w:rPr/>
          </w:pPr>
          <w:hyperlink w:anchor="__RefHeading___Toc7305814_3381743652">
            <w:r>
              <w:rPr>
                <w:webHidden/>
                <w:rStyle w:val="IndexLink"/>
              </w:rPr>
              <w:t>2</w:t>
            </w:r>
            <w:r>
              <w:rPr>
                <w:rStyle w:val="IndexLink"/>
                <w:rtl w:val="true"/>
              </w:rPr>
              <w:t xml:space="preserve">. </w:t>
            </w:r>
            <w:r>
              <w:rPr>
                <w:rStyle w:val="IndexLink"/>
                <w:rtl w:val="true"/>
              </w:rPr>
              <w:t>ما هو المراد من التأويل؟</w:t>
            </w:r>
            <w:r>
              <w:rPr>
                <w:rStyle w:val="IndexLink"/>
                <w:rtl w:val="true"/>
              </w:rPr>
              <w:tab/>
            </w:r>
            <w:r>
              <w:rPr>
                <w:rStyle w:val="IndexLink"/>
              </w:rPr>
              <w:t>756</w:t>
            </w:r>
          </w:hyperlink>
        </w:p>
        <w:p>
          <w:pPr>
            <w:pStyle w:val="Contents6"/>
            <w:tabs>
              <w:tab w:val="clear" w:pos="7609"/>
              <w:tab w:val="right" w:pos="9026" w:leader="dot"/>
            </w:tabs>
            <w:rPr/>
          </w:pPr>
          <w:hyperlink w:anchor="__RefHeading___Toc7305816_3381743652">
            <w:r>
              <w:rPr>
                <w:webHidden/>
                <w:rStyle w:val="IndexLink"/>
                <w:rtl w:val="true"/>
              </w:rPr>
              <w:t>أ</w:t>
            </w:r>
            <w:r>
              <w:rPr>
                <w:rStyle w:val="IndexLink"/>
                <w:rtl w:val="true"/>
              </w:rPr>
              <w:t xml:space="preserve">. </w:t>
            </w:r>
            <w:r>
              <w:rPr>
                <w:rStyle w:val="IndexLink"/>
                <w:rtl w:val="true"/>
              </w:rPr>
              <w:t>تأويل الفعل</w:t>
            </w:r>
            <w:r>
              <w:rPr>
                <w:rStyle w:val="IndexLink"/>
                <w:rtl w:val="true"/>
              </w:rPr>
              <w:tab/>
            </w:r>
            <w:r>
              <w:rPr>
                <w:rStyle w:val="IndexLink"/>
              </w:rPr>
              <w:t>757</w:t>
            </w:r>
          </w:hyperlink>
        </w:p>
        <w:p>
          <w:pPr>
            <w:pStyle w:val="Contents6"/>
            <w:tabs>
              <w:tab w:val="clear" w:pos="7609"/>
              <w:tab w:val="right" w:pos="9026" w:leader="dot"/>
            </w:tabs>
            <w:rPr/>
          </w:pPr>
          <w:hyperlink w:anchor="__RefHeading___Toc7305818_3381743652">
            <w:r>
              <w:rPr>
                <w:webHidden/>
                <w:rStyle w:val="IndexLink"/>
                <w:rtl w:val="true"/>
              </w:rPr>
              <w:t>ب</w:t>
            </w:r>
            <w:r>
              <w:rPr>
                <w:rStyle w:val="IndexLink"/>
                <w:rtl w:val="true"/>
              </w:rPr>
              <w:t xml:space="preserve">. </w:t>
            </w:r>
            <w:r>
              <w:rPr>
                <w:rStyle w:val="IndexLink"/>
                <w:rtl w:val="true"/>
              </w:rPr>
              <w:t>تأويل النوم</w:t>
            </w:r>
            <w:r>
              <w:rPr>
                <w:rStyle w:val="IndexLink"/>
                <w:rtl w:val="true"/>
              </w:rPr>
              <w:tab/>
            </w:r>
            <w:r>
              <w:rPr>
                <w:rStyle w:val="IndexLink"/>
              </w:rPr>
              <w:t>757</w:t>
            </w:r>
          </w:hyperlink>
        </w:p>
        <w:p>
          <w:pPr>
            <w:pStyle w:val="Contents6"/>
            <w:tabs>
              <w:tab w:val="clear" w:pos="7609"/>
              <w:tab w:val="right" w:pos="9026" w:leader="dot"/>
            </w:tabs>
            <w:rPr/>
          </w:pPr>
          <w:hyperlink w:anchor="__RefHeading___Toc7305820_3381743652">
            <w:r>
              <w:rPr>
                <w:webHidden/>
                <w:rStyle w:val="IndexLink"/>
              </w:rPr>
              <w:t>3</w:t>
            </w:r>
            <w:r>
              <w:rPr>
                <w:rStyle w:val="IndexLink"/>
                <w:rtl w:val="true"/>
              </w:rPr>
              <w:t xml:space="preserve">. </w:t>
            </w:r>
            <w:r>
              <w:rPr>
                <w:rStyle w:val="IndexLink"/>
                <w:rtl w:val="true"/>
              </w:rPr>
              <w:t>ما هو المراد من ابتغاء الفتنة؟</w:t>
            </w:r>
            <w:r>
              <w:rPr>
                <w:rStyle w:val="IndexLink"/>
                <w:rtl w:val="true"/>
              </w:rPr>
              <w:tab/>
            </w:r>
            <w:r>
              <w:rPr>
                <w:rStyle w:val="IndexLink"/>
              </w:rPr>
              <w:t>762</w:t>
            </w:r>
          </w:hyperlink>
        </w:p>
        <w:p>
          <w:pPr>
            <w:pStyle w:val="Contents6"/>
            <w:tabs>
              <w:tab w:val="clear" w:pos="7609"/>
              <w:tab w:val="right" w:pos="9026" w:leader="dot"/>
            </w:tabs>
            <w:rPr/>
          </w:pPr>
          <w:hyperlink w:anchor="__RefHeading___Toc7305822_3381743652">
            <w:r>
              <w:rPr>
                <w:webHidden/>
                <w:rStyle w:val="IndexLink"/>
              </w:rPr>
              <w:t>4</w:t>
            </w:r>
            <w:r>
              <w:rPr>
                <w:rStyle w:val="IndexLink"/>
                <w:rtl w:val="true"/>
              </w:rPr>
              <w:t xml:space="preserve">. </w:t>
            </w:r>
            <w:r>
              <w:rPr>
                <w:rStyle w:val="IndexLink"/>
                <w:rtl w:val="true"/>
              </w:rPr>
              <w:t>الراسخون في العلم و التأويل</w:t>
            </w:r>
            <w:r>
              <w:rPr>
                <w:rStyle w:val="IndexLink"/>
                <w:rtl w:val="true"/>
              </w:rPr>
              <w:tab/>
            </w:r>
            <w:r>
              <w:rPr>
                <w:rStyle w:val="IndexLink"/>
              </w:rPr>
              <w:t>763</w:t>
            </w:r>
          </w:hyperlink>
        </w:p>
        <w:p>
          <w:pPr>
            <w:pStyle w:val="Contents5"/>
            <w:tabs>
              <w:tab w:val="clear" w:pos="7892"/>
              <w:tab w:val="right" w:pos="9026" w:leader="dot"/>
            </w:tabs>
            <w:rPr/>
          </w:pPr>
          <w:hyperlink w:anchor="__RefHeading___Toc7305824_3381743652">
            <w:r>
              <w:rPr>
                <w:webHidden/>
                <w:rStyle w:val="IndexLink"/>
                <w:rtl w:val="true"/>
              </w:rPr>
              <w:t>إكمال</w:t>
            </w:r>
            <w:r>
              <w:rPr>
                <w:rStyle w:val="IndexLink"/>
                <w:rtl w:val="true"/>
              </w:rPr>
              <w:t>:</w:t>
              <w:tab/>
            </w:r>
            <w:r>
              <w:rPr>
                <w:rStyle w:val="IndexLink"/>
              </w:rPr>
              <w:t>763</w:t>
            </w:r>
          </w:hyperlink>
        </w:p>
        <w:p>
          <w:pPr>
            <w:pStyle w:val="Contents6"/>
            <w:tabs>
              <w:tab w:val="clear" w:pos="7609"/>
              <w:tab w:val="right" w:pos="9026" w:leader="dot"/>
            </w:tabs>
            <w:rPr/>
          </w:pPr>
          <w:hyperlink w:anchor="__RefHeading___Toc7305826_3381743652">
            <w:r>
              <w:rPr>
                <w:webHidden/>
                <w:rStyle w:val="IndexLink"/>
                <w:rtl w:val="true"/>
              </w:rPr>
              <w:t>اشارة</w:t>
            </w:r>
            <w:r>
              <w:rPr>
                <w:rStyle w:val="IndexLink"/>
                <w:rtl w:val="true"/>
              </w:rPr>
              <w:tab/>
            </w:r>
            <w:r>
              <w:rPr>
                <w:rStyle w:val="IndexLink"/>
              </w:rPr>
              <w:t>763</w:t>
            </w:r>
          </w:hyperlink>
        </w:p>
        <w:p>
          <w:pPr>
            <w:pStyle w:val="Contents6"/>
            <w:tabs>
              <w:tab w:val="clear" w:pos="7609"/>
              <w:tab w:val="right" w:pos="9026" w:leader="dot"/>
            </w:tabs>
            <w:rPr/>
          </w:pPr>
          <w:hyperlink w:anchor="__RefHeading___Toc7305828_3381743652">
            <w:r>
              <w:rPr>
                <w:webHidden/>
                <w:rStyle w:val="IndexLink"/>
                <w:rtl w:val="true"/>
              </w:rPr>
              <w:t>نموذجان من التأويل في مقابل التنزيل</w:t>
            </w:r>
            <w:r>
              <w:rPr>
                <w:rStyle w:val="IndexLink"/>
                <w:rtl w:val="true"/>
              </w:rPr>
              <w:tab/>
            </w:r>
            <w:r>
              <w:rPr>
                <w:rStyle w:val="IndexLink"/>
              </w:rPr>
              <w:t>764</w:t>
            </w:r>
          </w:hyperlink>
        </w:p>
        <w:p>
          <w:pPr>
            <w:pStyle w:val="Contents6"/>
            <w:tabs>
              <w:tab w:val="clear" w:pos="7609"/>
              <w:tab w:val="right" w:pos="9026" w:leader="dot"/>
            </w:tabs>
            <w:rPr/>
          </w:pPr>
          <w:hyperlink w:anchor="__RefHeading___Toc7305830_3381743652">
            <w:r>
              <w:rPr>
                <w:webHidden/>
                <w:rStyle w:val="IndexLink"/>
                <w:rtl w:val="true"/>
              </w:rPr>
              <w:t>الجري و التطبيق هو التأويل في مقابل التنزيل</w:t>
            </w:r>
            <w:r>
              <w:rPr>
                <w:rStyle w:val="IndexLink"/>
                <w:rtl w:val="true"/>
              </w:rPr>
              <w:tab/>
            </w:r>
            <w:r>
              <w:rPr>
                <w:rStyle w:val="IndexLink"/>
              </w:rPr>
              <w:t>765</w:t>
            </w:r>
          </w:hyperlink>
        </w:p>
        <w:p>
          <w:pPr>
            <w:pStyle w:val="Contents2"/>
            <w:tabs>
              <w:tab w:val="clear" w:pos="8743"/>
              <w:tab w:val="right" w:pos="9026" w:leader="dot"/>
            </w:tabs>
            <w:rPr/>
          </w:pPr>
          <w:hyperlink w:anchor="__RefHeading___Toc7305832_3381743652">
            <w:r>
              <w:rPr>
                <w:webHidden/>
                <w:rStyle w:val="IndexLink"/>
                <w:rtl w:val="true"/>
              </w:rPr>
              <w:t>فهرس محتويات الكتاب</w:t>
            </w:r>
            <w:r>
              <w:rPr>
                <w:rStyle w:val="IndexLink"/>
                <w:rtl w:val="true"/>
              </w:rPr>
              <w:tab/>
            </w:r>
            <w:r>
              <w:rPr>
                <w:rStyle w:val="IndexLink"/>
              </w:rPr>
              <w:t>767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356_186584"/>
      <w:bookmarkStart w:id="1" w:name="pg14356_186584"/>
      <w:bookmarkEnd w:id="1"/>
    </w:p>
    <w:p>
      <w:pPr>
        <w:pStyle w:val="Heading2"/>
        <w:numPr>
          <w:ilvl w:val="1"/>
          <w:numId w:val="1"/>
        </w:numPr>
        <w:rPr/>
      </w:pPr>
      <w:bookmarkStart w:id="2" w:name="pg14356_186584"/>
      <w:bookmarkStart w:id="3" w:name="__RefHeading___Toc7304560_338174365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العقول الی مباحث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 الحجج الشرعیة و الاصول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 لمحاضران جعفر السبحانی؛ تالیف محمد حسین الحاج العالمی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دارالاضواآ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 شیعه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معلومات اصول فقه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عاملی، محمد حسین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35421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304562_338174365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ارشاد العقول الی مباحث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یبحث عن الحجج الشرعیة و الاصول العلمیة</w:t>
      </w:r>
    </w:p>
    <w:p>
      <w:pPr>
        <w:pStyle w:val="BookText"/>
        <w:rPr/>
      </w:pPr>
      <w:r>
        <w:rPr>
          <w:rFonts w:ascii="IRNazanin" w:hAnsi="IRNazanin" w:eastAsia="IRNazanin"/>
          <w:color w:val="111111"/>
          <w:sz w:val="28"/>
          <w:sz w:val="28"/>
          <w:szCs w:val="28"/>
          <w:rtl w:val="true"/>
          <w:lang w:bidi="fa-IR"/>
        </w:rPr>
        <w:t>تقریرا لمحاضران جعفر السبحانی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محمد حسین الحاج العالمی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356_186587"/>
      <w:bookmarkStart w:id="8" w:name="pg14356_186587"/>
      <w:bookmarkEnd w:id="8"/>
    </w:p>
    <w:p>
      <w:pPr>
        <w:pStyle w:val="Heading2"/>
        <w:numPr>
          <w:ilvl w:val="1"/>
          <w:numId w:val="1"/>
        </w:numPr>
        <w:rPr/>
      </w:pPr>
      <w:bookmarkStart w:id="9" w:name="pg14356_186587"/>
      <w:bookmarkStart w:id="10" w:name="__RefHeading___Toc7304564_3381743652"/>
      <w:bookmarkStart w:id="11" w:name="_Toc3"/>
      <w:bookmarkEnd w:id="9"/>
      <w:bookmarkEnd w:id="10"/>
      <w:r>
        <w:rPr>
          <w:rtl w:val="true"/>
        </w:rPr>
        <w:t>المدخل</w:t>
      </w:r>
      <w:bookmarkEnd w:id="11"/>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لا نَفَرَ مِنْ كُلِّ فِرْقَةٍ مِنْهُمْ طائِفَةٌ لِيَتَفَقَّهُوا فِي الدِّينِ وَ لِيُنْذِرُوا قَوْمَهُمْ إِذا رَجَعُوا إِلَيْهِمْ لَعَلَّهُمْ يَحْذَرُونَ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bookmarkStart w:id="12" w:name="pg14356_186588"/>
    </w:p>
    <w:p>
      <w:pPr>
        <w:pStyle w:val="Heading2"/>
        <w:numPr>
          <w:ilvl w:val="1"/>
          <w:numId w:val="1"/>
        </w:numPr>
        <w:rPr/>
      </w:pPr>
      <w:bookmarkStart w:id="13" w:name="__RefHeading___Toc7304566_3381743652"/>
      <w:bookmarkStart w:id="14" w:name="_Toc4"/>
      <w:bookmarkEnd w:id="12"/>
      <w:bookmarkEnd w:id="13"/>
      <w:r>
        <w:rPr>
          <w:rtl w:val="true"/>
        </w:rPr>
        <w:t>كلمة الأُستاذ المحاضر</w:t>
      </w:r>
      <w:bookmarkEnd w:id="14"/>
    </w:p>
    <w:p>
      <w:pPr>
        <w:pStyle w:val="BookText"/>
        <w:rPr/>
      </w:pPr>
      <w:r>
        <w:rPr>
          <w:rFonts w:ascii="Amiri" w:hAnsi="Amiri" w:eastAsia="Amiri" w:cs="Amiri"/>
          <w:color w:val="111111"/>
          <w:sz w:val="28"/>
          <w:sz w:val="28"/>
          <w:szCs w:val="28"/>
          <w:rtl w:val="true"/>
          <w:lang w:bidi="ar-SA"/>
        </w:rPr>
        <w:t>بِسْمِ اللّهِ الرَّحْمنِ الرَّحِيمِ الحمد للّه الذي تواترت نعماؤه، و استفاضت آلاؤه، و الصلاة و السلام على سيّد أنبيائه و خاتم رسله أبي القاسم محمّد و آله الذين هم معجزة نبوته و آية رسالته صلاة دائمة لا نهاية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فقد سبرت هذا الجزء من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العقول إلى مباحث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قام بتحريره و ترصيفه ولدنا الأعزّ العلاّمة الحجّة الثبت الشيخ محمد حسين الحاج العاملي حفظه اللّه و قد أودع فيه ما ألقيته على فضلاء الحوزة العلمية في قم المقدسة، فوجدته كأجزائه السابقة وافياً للمراد، بعيداً عن الإيجاز المخلّ، و الإطناب المملّ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هذه الأجزاء الأربعة على منوال واحد في حسن التعبير و روعة البيان، و قد قام المؤلّف بهذا المجهود العظيم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بعزمة دونها العيّوق منزلة و ساعد ليس تُثنيه الملمّات </w:t>
      </w:r>
    </w:p>
    <w:p>
      <w:pPr>
        <w:pStyle w:val="BookText"/>
        <w:rPr/>
      </w:pPr>
      <w:r>
        <w:rPr>
          <w:rFonts w:ascii="Amiri" w:hAnsi="Amiri" w:eastAsia="Amiri" w:cs="Amiri"/>
          <w:color w:val="111111"/>
          <w:sz w:val="28"/>
          <w:sz w:val="28"/>
          <w:szCs w:val="28"/>
          <w:rtl w:val="true"/>
          <w:lang w:bidi="ar-SA"/>
        </w:rPr>
        <w:t>فقد شمّر عن ساعد الجدّ، و بذل غاية الجهد و الكدّ، و أسهر الناظر، و أتعب الخاطر، فجاء بصحيفة كاملة لدورة أُصولية، بلغة واضحة، تناسب لغة علم الأُصول، فصار قدوة لأمثاله، و أُسوة لأقرانه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فجزاه اللّه أحسن الجزاء بما أسدى للمكتبة الإسلامية من خدمة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أسأله سبحانه أن يرزقه خير الدنيا و الآخرة، و يوفقه لمزيد من العلم و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مستقبل أمره خيراً من ماضيه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 قم مؤسسة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من شهور عام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5" w:name="pg14356_186590"/>
    </w:p>
    <w:p>
      <w:pPr>
        <w:pStyle w:val="Heading2"/>
        <w:numPr>
          <w:ilvl w:val="1"/>
          <w:numId w:val="1"/>
        </w:numPr>
        <w:rPr/>
      </w:pPr>
      <w:bookmarkStart w:id="16" w:name="__RefHeading___Toc7304568_3381743652"/>
      <w:bookmarkStart w:id="17" w:name="_Toc5"/>
      <w:bookmarkEnd w:id="15"/>
      <w:bookmarkEnd w:id="16"/>
      <w:r>
        <w:rPr>
          <w:rtl w:val="true"/>
        </w:rPr>
        <w:t>كلمة المؤلّف</w:t>
      </w:r>
      <w:bookmarkEnd w:id="17"/>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 الصلاة و السلام على سيّد المرسلين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 الطيّبين الطاهرين الذين هم أساس الدين و عماد اليقين صلاة دائمة زاكية غير منقطعة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هو الجزء الرابع من كتابنا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العقول إلى مباحث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أُقدمه للقراء الكرام عسى أن ينال الرضا منهم و قد اقتطفته من بحوث شيخنا الجليل و الأُستاذ الكبير الذي كرّس نفسه للتدريس و التأليف و تربية جيل كبير من رواد العلم،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شيخنا و أُستاذنا آية اللّه الشيخ جعفر السبحاني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اللّه في عمره الشريف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الجزء يحتوي على لبّ ما أفاده و ألقاه في حوزة درسه على فضلاء الحوزة العلمية بقم المقدسة و به تتم دورة كاملة أُصولية، و قد أشرف على ما كتبتُه و نسّقته فحظى بالرضا و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حقيقة الأمر أنّي لم أكن أحلم يوم حضرتُ مجلس درس شيخنا الأُستاذ مدّ ظله الوارف بهذه النعمة العظمى التي لا تُنال إلاّ بهمة قعساء، و جهود مضنية، لكن سوابغ نعمه سبحانه، و عميم فضله شملتني حتّى وفقتُ لتقديم موسوعة أُصولية تحتوي على أقوال المتقدّمين، و أنظار المتأخرين للجيل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أشكره سبحانه على هذه النعمة الكبرى، التي حباني بها، و أسأله سبحانه أن يتقبله بقبول حسن، و يرزقني حسن العاقبة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حسين الحاج العاملي قم الحوزة العلمية </w:t>
      </w:r>
      <w:bookmarkStart w:id="18" w:name="pg14356_186592"/>
    </w:p>
    <w:p>
      <w:pPr>
        <w:pStyle w:val="Heading2"/>
        <w:numPr>
          <w:ilvl w:val="1"/>
          <w:numId w:val="1"/>
        </w:numPr>
        <w:rPr/>
      </w:pPr>
      <w:bookmarkStart w:id="19" w:name="__RefHeading___Toc7304570_3381743652"/>
      <w:bookmarkStart w:id="20" w:name="_Toc6"/>
      <w:bookmarkEnd w:id="18"/>
      <w:bookmarkEnd w:id="19"/>
      <w:r>
        <w:rPr>
          <w:rtl w:val="true"/>
        </w:rPr>
        <w:t>تتمة المقصد الأول في الأوامر</w:t>
      </w:r>
      <w:bookmarkEnd w:id="20"/>
    </w:p>
    <w:p>
      <w:pPr>
        <w:pStyle w:val="Heading3"/>
        <w:numPr>
          <w:ilvl w:val="2"/>
          <w:numId w:val="1"/>
        </w:numPr>
        <w:rPr/>
      </w:pPr>
      <w:bookmarkStart w:id="21" w:name="__RefHeading___Toc7304572_3381743652"/>
      <w:bookmarkStart w:id="22" w:name="_Toc7"/>
      <w:bookmarkEnd w:id="21"/>
      <w:r>
        <w:rPr>
          <w:rtl w:val="true"/>
        </w:rPr>
        <w:t>الفصل الخامس اقتضاء الأمر بالشيء النهيَ عن ضدّه؟</w:t>
      </w:r>
      <w:bookmarkEnd w:id="22"/>
    </w:p>
    <w:p>
      <w:pPr>
        <w:pStyle w:val="Heading4"/>
        <w:numPr>
          <w:ilvl w:val="3"/>
          <w:numId w:val="1"/>
        </w:numPr>
        <w:rPr/>
      </w:pPr>
      <w:bookmarkStart w:id="23" w:name="__RefHeading___Toc7304574_3381743652"/>
      <w:bookmarkStart w:id="24" w:name="_Toc8"/>
      <w:bookmarkEnd w:id="23"/>
      <w:r>
        <w:rPr>
          <w:rtl w:val="true"/>
        </w:rPr>
        <w:t>و قبل الخوض في صلب الموضوع نقدّم أُموراً</w:t>
      </w:r>
      <w:r>
        <w:rPr>
          <w:rtl w:val="true"/>
        </w:rPr>
        <w:t>:</w:t>
      </w:r>
      <w:bookmarkEnd w:id="24"/>
    </w:p>
    <w:p>
      <w:pPr>
        <w:pStyle w:val="Heading5"/>
        <w:numPr>
          <w:ilvl w:val="4"/>
          <w:numId w:val="1"/>
        </w:numPr>
        <w:rPr/>
      </w:pPr>
      <w:bookmarkStart w:id="25" w:name="__RefHeading___Toc7304576_3381743652"/>
      <w:bookmarkStart w:id="26" w:name="_Toc9"/>
      <w:bookmarkEnd w:id="25"/>
      <w:r>
        <w:rPr/>
        <w:t>1</w:t>
      </w:r>
      <w:r>
        <w:rPr>
          <w:rtl w:val="true"/>
        </w:rPr>
        <w:t xml:space="preserve">. </w:t>
      </w:r>
      <w:r>
        <w:rPr>
          <w:rtl w:val="true"/>
        </w:rPr>
        <w:t>المسألة أُصولية</w:t>
      </w:r>
      <w:bookmarkEnd w:id="26"/>
    </w:p>
    <w:p>
      <w:pPr>
        <w:pStyle w:val="BookText"/>
        <w:rPr/>
      </w:pPr>
      <w:r>
        <w:rPr>
          <w:rFonts w:ascii="Amiri" w:hAnsi="Amiri" w:eastAsia="Amiri" w:cs="Amiri"/>
          <w:color w:val="111111"/>
          <w:sz w:val="28"/>
          <w:sz w:val="28"/>
          <w:szCs w:val="28"/>
          <w:rtl w:val="true"/>
          <w:lang w:bidi="ar-SA"/>
        </w:rPr>
        <w:t>البحث عن أحكام الضد مسألة أُصولية لوقوع نتيجتها في طريق الاستنباط، لأنّه إذا ثبت اقتضاء الأمر بالشيء النهيَ عن ضدّه، كالإزالة الواجبة بالنسبة إلى الصلاة، تكون الصلاة منهيّة و النهي يوجب فسادَ متعلّقِه على القول بأنّ مثل هذا النهي يوجب الفساد فتُصبح الصلاة فاسدة، كما أنّه على القول بعدم الاقتضاء يحكم بصحتها</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7304578_3381743652"/>
      <w:bookmarkStart w:id="28" w:name="_Toc10"/>
      <w:bookmarkEnd w:id="27"/>
      <w:r>
        <w:rPr/>
        <w:t>2</w:t>
      </w:r>
      <w:r>
        <w:rPr>
          <w:rtl w:val="true"/>
        </w:rPr>
        <w:t xml:space="preserve">. </w:t>
      </w:r>
      <w:r>
        <w:rPr>
          <w:rtl w:val="true"/>
        </w:rPr>
        <w:t>المسألة عقلية أو لفظية</w:t>
      </w:r>
      <w:bookmarkEnd w:id="28"/>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قلنا بأنّ المراد من الاقتضاء في عنوان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بالشيء يقتضي النهي عن ضدّه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الملازمة بين إرادة الوجوب و إرادة النهي عن ضدّه، تُصبح المسألة مسألة عقلية، و أمّا لو قلنا بأنّ المراد من الاقتضاء هو دلالة الأمر سواء أ كانت مطابقية أو تضمنية أو التزامية، تكون المسألة لفظية أُصولية</w:t>
      </w:r>
      <w:r>
        <w:rPr>
          <w:rFonts w:eastAsia="Amiri" w:cs="Amiri" w:ascii="Amiri" w:hAnsi="Amiri"/>
          <w:color w:val="111111"/>
          <w:sz w:val="28"/>
          <w:szCs w:val="28"/>
          <w:rtl w:val="true"/>
          <w:lang w:bidi="ar-SA"/>
        </w:rPr>
        <w:t xml:space="preserve">. </w:t>
      </w:r>
      <w:bookmarkStart w:id="29" w:name="pg14356_186593"/>
    </w:p>
    <w:p>
      <w:pPr>
        <w:pStyle w:val="BookText"/>
        <w:rPr/>
      </w:pPr>
      <w:bookmarkEnd w:id="29"/>
      <w:r>
        <w:rPr>
          <w:rFonts w:ascii="Amiri" w:hAnsi="Amiri" w:eastAsia="Amiri" w:cs="Amiri"/>
          <w:color w:val="111111"/>
          <w:sz w:val="28"/>
          <w:sz w:val="28"/>
          <w:szCs w:val="28"/>
          <w:rtl w:val="true"/>
          <w:lang w:bidi="ar-SA"/>
        </w:rPr>
        <w:t>و من هنا يعلم أنّ الجمع بين كون المسألة عقلية و تفسير الاقتضاء بالدلالة المطابقية أو التضمنية أو الالتزامية جمع غير صحيح، فمن جعل المسألة عقلية ليس له إلاّ البحث عن وجود الملازمة و عدمه، و من جعل المسألة لفظية فعليه البحث عن كيفية الدلالة في مقام الإثبات</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7304580_3381743652"/>
      <w:bookmarkStart w:id="31" w:name="_Toc11"/>
      <w:bookmarkEnd w:id="30"/>
      <w:r>
        <w:rPr/>
        <w:t>3</w:t>
      </w:r>
      <w:r>
        <w:rPr>
          <w:rtl w:val="true"/>
        </w:rPr>
        <w:t xml:space="preserve">. </w:t>
      </w:r>
      <w:r>
        <w:rPr>
          <w:rtl w:val="true"/>
        </w:rPr>
        <w:t>الضدّ العام و الخاص</w:t>
      </w:r>
      <w:bookmarkEnd w:id="31"/>
    </w:p>
    <w:p>
      <w:pPr>
        <w:pStyle w:val="BookText"/>
        <w:rPr/>
      </w:pPr>
      <w:r>
        <w:rPr>
          <w:rFonts w:ascii="Amiri" w:hAnsi="Amiri" w:eastAsia="Amiri" w:cs="Amiri"/>
          <w:color w:val="111111"/>
          <w:sz w:val="28"/>
          <w:sz w:val="28"/>
          <w:szCs w:val="28"/>
          <w:rtl w:val="true"/>
          <w:lang w:bidi="ar-SA"/>
        </w:rPr>
        <w:t>يُفسّر الضدُّ المطلق بالمعاند، و هو إمّا ترك الشيء كترك الإزالة أو الشيء المزاحم للواجب كالصلاة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الأوّل بالضدّ العام، و الثاني بالضد الخاص، و كلّما أطلق الضد بلا قرينة ينصرف إلى الضد الخاصّ</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7304582_3381743652"/>
      <w:bookmarkStart w:id="33" w:name="_Toc12"/>
      <w:bookmarkEnd w:id="32"/>
      <w:r>
        <w:rPr/>
        <w:t>4</w:t>
      </w:r>
      <w:r>
        <w:rPr>
          <w:rtl w:val="true"/>
        </w:rPr>
        <w:t xml:space="preserve">. </w:t>
      </w:r>
      <w:r>
        <w:rPr>
          <w:rtl w:val="true"/>
        </w:rPr>
        <w:t>محاور البحث</w:t>
      </w:r>
      <w:bookmarkEnd w:id="33"/>
    </w:p>
    <w:p>
      <w:pPr>
        <w:pStyle w:val="Heading6"/>
        <w:numPr>
          <w:ilvl w:val="5"/>
          <w:numId w:val="1"/>
        </w:numPr>
        <w:rPr/>
      </w:pPr>
      <w:bookmarkStart w:id="34" w:name="__RefHeading___Toc7304584_3381743652"/>
      <w:bookmarkStart w:id="35" w:name="_Toc13"/>
      <w:bookmarkEnd w:id="34"/>
      <w:r>
        <w:rPr>
          <w:rtl w:val="true"/>
        </w:rPr>
        <w:t>اشارة</w:t>
      </w:r>
      <w:bookmarkEnd w:id="35"/>
    </w:p>
    <w:p>
      <w:pPr>
        <w:pStyle w:val="BookText"/>
        <w:rPr/>
      </w:pPr>
      <w:r>
        <w:rPr>
          <w:rFonts w:ascii="Amiri" w:hAnsi="Amiri" w:eastAsia="Amiri" w:cs="Amiri"/>
          <w:color w:val="111111"/>
          <w:sz w:val="28"/>
          <w:sz w:val="28"/>
          <w:szCs w:val="28"/>
          <w:rtl w:val="true"/>
          <w:lang w:bidi="ar-SA"/>
        </w:rPr>
        <w:t>يتلخص البحث في هذا الفصل في محاور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الضدّ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الضدّ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الثمرات الفقهية للمسألة</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قدمنا البحث عن الضدّ العام على الخاص، لأنّ إقامة البرهان على اقتضاء الأمر النهيَ عن الضدّ الخاص مبني على اقتضائه النهيَ عن الضدّ العام</w:t>
      </w:r>
      <w:r>
        <w:rPr>
          <w:rFonts w:eastAsia="Amiri" w:cs="Amiri" w:ascii="Amiri" w:hAnsi="Amiri"/>
          <w:color w:val="111111"/>
          <w:sz w:val="28"/>
          <w:szCs w:val="28"/>
          <w:rtl w:val="true"/>
          <w:lang w:bidi="ar-SA"/>
        </w:rPr>
        <w:t xml:space="preserve">. </w:t>
      </w:r>
      <w:bookmarkStart w:id="36" w:name="pg14356_186594"/>
    </w:p>
    <w:p>
      <w:pPr>
        <w:pStyle w:val="Heading6"/>
        <w:numPr>
          <w:ilvl w:val="5"/>
          <w:numId w:val="1"/>
        </w:numPr>
        <w:rPr/>
      </w:pPr>
      <w:bookmarkStart w:id="37" w:name="__RefHeading___Toc7304586_3381743652"/>
      <w:bookmarkStart w:id="38" w:name="_Toc14"/>
      <w:bookmarkEnd w:id="36"/>
      <w:bookmarkEnd w:id="37"/>
      <w:r>
        <w:rPr>
          <w:rtl w:val="true"/>
        </w:rPr>
        <w:t>المحور الأوّل</w:t>
      </w:r>
      <w:r>
        <w:rPr>
          <w:rtl w:val="true"/>
        </w:rPr>
        <w:t xml:space="preserve">: </w:t>
      </w:r>
      <w:r>
        <w:rPr>
          <w:rtl w:val="true"/>
        </w:rPr>
        <w:t>الضد العام</w:t>
      </w:r>
      <w:bookmarkEnd w:id="38"/>
    </w:p>
    <w:p>
      <w:pPr>
        <w:pStyle w:val="Heading6"/>
        <w:numPr>
          <w:ilvl w:val="5"/>
          <w:numId w:val="1"/>
        </w:numPr>
        <w:rPr/>
      </w:pPr>
      <w:bookmarkStart w:id="39" w:name="__RefHeading___Toc7304588_3381743652"/>
      <w:bookmarkStart w:id="40" w:name="_Toc15"/>
      <w:bookmarkEnd w:id="39"/>
      <w:r>
        <w:rPr>
          <w:rtl w:val="true"/>
        </w:rPr>
        <w:t>هل الأمر بالشيء يقتضي النهي عن الضدّ العام أو لا؟</w:t>
      </w:r>
      <w:bookmarkEnd w:id="40"/>
    </w:p>
    <w:p>
      <w:pPr>
        <w:pStyle w:val="BookText"/>
        <w:rPr/>
      </w:pPr>
      <w:r>
        <w:rPr>
          <w:rFonts w:ascii="Amiri" w:hAnsi="Amiri" w:eastAsia="Amiri" w:cs="Amiri"/>
          <w:color w:val="111111"/>
          <w:sz w:val="28"/>
          <w:sz w:val="28"/>
          <w:szCs w:val="28"/>
          <w:rtl w:val="true"/>
          <w:lang w:bidi="ar-SA"/>
        </w:rPr>
        <w:t>قد عرفت أنّ الاقتضاء إمّا بدلالة اللفظ، أو بحكم العقل بالملازمة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فلنقدّم الكلام في دلالة اللفظ على البحث في حكم العقل بالملازمة،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دلالة الأمر على النهي عن الضدّ العام إمّا بالدلالة المطابقية، أو بالتضمنية، أو بالالتزامية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قالوا في بيانها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أمر المولى بإزالة النجس عن المسجد فضده العام هو ترك الإزالة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انّ النهي مطلقاً عبارة عن طلب الترك</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فعندئذ لو تعلّق النهي بترك الإزالة يكون مفادُه، طلبَ تركِ تركِ الإزالة، و هو نفس الأمر بالإزالة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افترض أُموراً، نحن أيضاً نفترض انّها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ضدّ الإزالة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مفاد النهي عن الشيء في عامة الموارد هو طلب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طلب ترك ترك الإزالة عبارة عن نفس الأمر بالإزالة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نفترض انّ هذه الأُمور الثلاثة لا نزاع فيها و إنّما الكلام هل الأمر بالشيء يقتضي النهي الكذائي حتّى يكون النهي عين الأمر أو لا يقتضي؟ و المستدلّ لم يقم برهاناً على الاقتضاء، و من المعلوم أنّ الكلام ليس في عينية، الأمر بالشيء مع النهي عن ترك الترك، و إنّما الكلام في اقتضاء الأمر و انّه يتولّد منه ذلك النهي الكذائي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وجود النهي الكذائي فهو ليس عين الأمر بالإزالة مفهوماً، نعم عينه مصداقاً و وجوداً، و محل النزاع هو الأوّل لا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مبني على أنّ مفاد هيئة النهي في عامة الموارد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أُضيف إلى الضدّ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حاصل المجموع طلب ترك ترك الإزالة لكن مفهوم النهي هو الزجر عن الطبيعة، لأنّ النهي مشتمل على هيئة و مادة، فالهيئة تدلّ على الزجر، و المادة تدلّ على الطبيعة فأين الدال على طلب الترك؟ هذا كلّه حول الدلالة المطابقية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بالاقتضاء بالدلالة التضمنية فهو يَكْمُنُ في تحليل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إنّ الأمر عند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الشيء مع المنع عن تركه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بحيث يكون المنع عن الترك جزء مفاد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مشتمل على الهيئة و المادة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الهيئة تدلّ على إنشاء البعث، و المادة على الطبيعة، فما هو الدالّ على المنع عن الترك؟ هذا كلّه حول الدلالة التضمنية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الدلالة الالتزامية فهي إمّا بنحو اللزوم البيّن بالمعنى الأخص بأن يكون </w:t>
      </w:r>
    </w:p>
    <w:p>
      <w:pPr>
        <w:pStyle w:val="BookText"/>
        <w:rPr/>
      </w:pPr>
      <w:r>
        <w:rPr>
          <w:rFonts w:ascii="Amiri" w:hAnsi="Amiri" w:eastAsia="Amiri" w:cs="Amiri"/>
          <w:color w:val="111111"/>
          <w:sz w:val="28"/>
          <w:sz w:val="28"/>
          <w:szCs w:val="28"/>
          <w:rtl w:val="true"/>
          <w:lang w:bidi="ar-SA"/>
        </w:rPr>
        <w:t>نفس تصور الوجوب كافياً في تصور المنع عن الترك، و إمّا بنحو اللزوم البيّن بالمعنى الأعم بأن يكون تصور الطرفين و النسبة كافياً في التصديق بالاقتضاء و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فواضح الانتفاء، إذ كيف يمكن ادّعاء الدلالة الالتزامية بهذا النحو مع أنّ الإنسان كثيراً ما يأمر بالشيء و هو غافل عن تركه، فضلاً عن النهي عن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فلو افترضنا وجود ذلك النهي بعد تصور الأُمور الثلاثة، فهو إمّا لغو، أو غير باعث على النحو الذي ذكرنا في وجوب المقدّمة، إذ لو كان مطيعاً فلا حاجة إلى النهي عن الترك، و إن كان عاصياً فلا يكون النهي عن الترك داعياً و باعثاً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ملاك الأمر وجود المصلحة في الفعل و عدمها في الترك، كما أنّ معنى النهي عن الشيء وجود المفسدة في الفعل و عدمها في الترك، فلو تواجد الأمر و النهي في مورد واحد فمعنى ذلك وجود المصلحة في الفعل و المفسدة في الترك و هو أمر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قلنا بالدلالة اللفظية، و أمّا القول بالدلالة العقلية فبيانه هو ادّعاء الملازمة بين الإرادتين، فلو أمر بشيء فلا محيص من ظهور إرادتين في نفسه و هو إرادة فعل الشيء و إرادة ترك تركها، و إثباتها دونه خرط القتاد، بل ليس في لوح النفس الإرادة واحدة فتارة تنسب إلى فعل الشيء، و أُخرى إلى ترك الترك</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تبيّن انّه لا وجه لادّعاء الاستلزام لا لفظياً و لا عقلياً، فلنعطف عنان القلم إلى بيان حكم الضدّ الخاص الذي هو بيت القصيد في هذا الفصل</w:t>
      </w:r>
      <w:r>
        <w:rPr>
          <w:rFonts w:eastAsia="Amiri" w:cs="Amiri" w:ascii="Amiri" w:hAnsi="Amiri"/>
          <w:color w:val="111111"/>
          <w:sz w:val="28"/>
          <w:szCs w:val="28"/>
          <w:rtl w:val="true"/>
          <w:lang w:bidi="ar-SA"/>
        </w:rPr>
        <w:t xml:space="preserve">. </w:t>
      </w:r>
      <w:bookmarkStart w:id="41" w:name="pg14356_186597"/>
    </w:p>
    <w:p>
      <w:pPr>
        <w:pStyle w:val="Heading6"/>
        <w:numPr>
          <w:ilvl w:val="5"/>
          <w:numId w:val="1"/>
        </w:numPr>
        <w:rPr/>
      </w:pPr>
      <w:bookmarkStart w:id="42" w:name="__RefHeading___Toc7304590_3381743652"/>
      <w:bookmarkStart w:id="43" w:name="_Toc16"/>
      <w:bookmarkEnd w:id="41"/>
      <w:bookmarkEnd w:id="42"/>
      <w:r>
        <w:rPr>
          <w:rtl w:val="true"/>
        </w:rPr>
        <w:t>المحور الثاني حكم الضدّ الخاص</w:t>
      </w:r>
      <w:bookmarkEnd w:id="43"/>
    </w:p>
    <w:p>
      <w:pPr>
        <w:pStyle w:val="BookText"/>
        <w:rPr/>
      </w:pPr>
      <w:r>
        <w:rPr>
          <w:rFonts w:ascii="Amiri" w:hAnsi="Amiri" w:eastAsia="Amiri" w:cs="Amiri"/>
          <w:color w:val="111111"/>
          <w:sz w:val="28"/>
          <w:sz w:val="28"/>
          <w:szCs w:val="28"/>
          <w:rtl w:val="true"/>
          <w:lang w:bidi="ar-SA"/>
        </w:rPr>
        <w:t>و الكلام في المقام هو نفس الكلام في المقام السابق، غير أنّ البحث فيه كان في الضدّ العام و في المقام في الضدّ الخاص، و انّ الأمر بالشيء كالإزالة هل يدل على النهي عن الضدّ الخاص كالصلاة؟ فلو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النجاسة عن المسجد أو أدِّ الدين العاجل، فهل يلازم النهي عن الصلاة و أمثالها ممّا يمنع عن القيام بالواجب المضيّق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القوم على الدلالة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الضد مقدمة لفعل الضدّ الأهم، و هذا ما نسمّيه بمسلك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الملازمة العقلية بين الأمر بالأهم و النهي عن المهم، و هذا ما نسمّيه بمسلك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لنقدم البحث في الوجه الأوّل على الثاني،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مسلك المقدمية مبنيّ على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ترك الضدّ مقدّمة لفعل الضدّ الآخر الأهم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مقدّمة الواجب واجبة، فيكون ترك الصلاة واجباً بهذا الملاك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الأمر بالشيء أي الأمر بترك الصلاة بحكم انّه مقدمة يقتضي النهي عن ضدّه العام أي نقيض الترك و هو فعل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ثبتت هذه المقدمات تكون النتيجة هي النهي عن الصلاة التي هي ضدّ عام لتركها و ضدّ خاص للإزالة</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انّ المهم من هذه الأُمور الثلاثة هو الأمر الأول نقدّم الكلام فيه</w:t>
      </w:r>
      <w:r>
        <w:rPr>
          <w:rFonts w:eastAsia="Amiri" w:cs="Amiri" w:ascii="Amiri" w:hAnsi="Amiri"/>
          <w:color w:val="111111"/>
          <w:sz w:val="28"/>
          <w:szCs w:val="28"/>
          <w:rtl w:val="true"/>
          <w:lang w:bidi="ar-SA"/>
        </w:rPr>
        <w:t xml:space="preserve">. </w:t>
      </w:r>
      <w:bookmarkStart w:id="44" w:name="pg14356_186599"/>
    </w:p>
    <w:p>
      <w:pPr>
        <w:pStyle w:val="Heading6"/>
        <w:numPr>
          <w:ilvl w:val="5"/>
          <w:numId w:val="1"/>
        </w:numPr>
        <w:rPr/>
      </w:pPr>
      <w:bookmarkStart w:id="45" w:name="__RefHeading___Toc7304592_3381743652"/>
      <w:bookmarkStart w:id="46" w:name="_Toc17"/>
      <w:bookmarkEnd w:id="44"/>
      <w:bookmarkEnd w:id="45"/>
      <w:r>
        <w:rPr>
          <w:rtl w:val="true"/>
        </w:rPr>
        <w:t>مسلك المقدّمية</w:t>
      </w:r>
      <w:bookmarkEnd w:id="46"/>
    </w:p>
    <w:p>
      <w:pPr>
        <w:pStyle w:val="BookText"/>
        <w:rPr/>
      </w:pPr>
      <w:r>
        <w:rPr>
          <w:rFonts w:ascii="Amiri" w:hAnsi="Amiri" w:eastAsia="Amiri" w:cs="Amiri"/>
          <w:color w:val="111111"/>
          <w:sz w:val="28"/>
          <w:sz w:val="28"/>
          <w:szCs w:val="28"/>
          <w:rtl w:val="true"/>
          <w:lang w:bidi="ar-SA"/>
        </w:rPr>
        <w:t>استدلّ القائل بالمقدّمية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توقّف الشيء على ترك ضدّه ليس إلاّ من جهة المضادة و المعاندة بين الوجودين و قضيتهما الممانعة بينهما، و من الواضح انّ عدم المانع من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مانعة عن الإزالة، و عدم المانع من أجزاء العلة، و جزء العلة ككلّ العلّة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ناقش صاحب الكفاية هذه المقدّمة بوجوه</w:t>
      </w:r>
      <w:r>
        <w:rPr>
          <w:rFonts w:eastAsia="Amiri" w:cs="Amiri" w:ascii="Amiri" w:hAnsi="Amiri"/>
          <w:color w:val="111111"/>
          <w:sz w:val="28"/>
          <w:szCs w:val="28"/>
          <w:rtl w:val="true"/>
          <w:lang w:bidi="ar-SA"/>
        </w:rPr>
        <w:t>:</w:t>
      </w:r>
    </w:p>
    <w:p>
      <w:pPr>
        <w:pStyle w:val="Heading6"/>
        <w:numPr>
          <w:ilvl w:val="5"/>
          <w:numId w:val="1"/>
        </w:numPr>
        <w:rPr/>
      </w:pPr>
      <w:bookmarkStart w:id="47" w:name="__RefHeading___Toc7304594_3381743652"/>
      <w:bookmarkStart w:id="48" w:name="_Toc18"/>
      <w:bookmarkEnd w:id="47"/>
      <w:r>
        <w:rPr>
          <w:rtl w:val="true"/>
        </w:rPr>
        <w:t>المناقشة الأُولى</w:t>
      </w:r>
      <w:r>
        <w:rPr>
          <w:rtl w:val="true"/>
        </w:rPr>
        <w:t xml:space="preserve">: </w:t>
      </w:r>
      <w:r>
        <w:rPr>
          <w:rtl w:val="true"/>
        </w:rPr>
        <w:t>بينهما كمال الملاءمة لا المقدمية</w:t>
      </w:r>
      <w:bookmarkEnd w:id="48"/>
    </w:p>
    <w:p>
      <w:pPr>
        <w:pStyle w:val="BookText"/>
        <w:rPr/>
      </w:pPr>
      <w:r>
        <w:rPr>
          <w:rFonts w:ascii="Amiri" w:hAnsi="Amiri" w:eastAsia="Amiri" w:cs="Amiri"/>
          <w:color w:val="111111"/>
          <w:sz w:val="28"/>
          <w:sz w:val="28"/>
          <w:szCs w:val="28"/>
          <w:rtl w:val="true"/>
          <w:lang w:bidi="ar-SA"/>
        </w:rPr>
        <w:t>إنّ المعاندة و المنافرة بين الشيئين لا تقتضي إلاّ عدم اجتماعهما في التحقّق بحيث لا منافاة أصلاً بين إحدى العينين و ما هو نقيض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كالإزالة و عدم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كان بينهما كمال الملاءمة، فإنّ إحدى العينين مع نقيض الآخر في مرتبة واحدة من دون أن يكون في البين ما يقتضي تقدم أحدهما على الآخر</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المعاندة بين العينين و كمال الملاءمة بين إحدى العينين و نقيض الآخر يقتضي انّ الجميع في رتبة واحدة، و ما يكون في رتبة واحدة </w:t>
      </w:r>
    </w:p>
    <w:p>
      <w:pPr>
        <w:pStyle w:val="BookText"/>
        <w:rPr/>
      </w:pPr>
      <w:r>
        <w:rPr>
          <w:rFonts w:ascii="Amiri" w:hAnsi="Amiri" w:eastAsia="Amiri" w:cs="Amiri"/>
          <w:color w:val="111111"/>
          <w:sz w:val="28"/>
          <w:sz w:val="28"/>
          <w:szCs w:val="28"/>
          <w:rtl w:val="true"/>
          <w:lang w:bidi="ar-SA"/>
        </w:rPr>
        <w:t>لا يمكن أن يعد إحداهما مقدّمة للآخر</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ثمّ إنّ المحقّق النائيني نقد هذه المقدمة،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المانع هو ما يوجب المنع عن رشح المقتضي، بحيث لولاه لأثر المقتضي أثره من إفاضة الوجود إلى المعلول فيكون الموجب لعدم الرشح و الإفاضة هو وجود المانع، و هذا المعنى من المانع لا يتحقّق إلاّ بعد فرض وجود المقتضي بما له من الشرائط فانّه عند ذلك تصل النوبة إلى المانع و يكون عدم الشيء مستنداً إلى وجود المانع، و أمّا قبل ذلك فليس رتبة المانع، لوضوح أنّه لا يكون الشيء مانعاً عند عدم المقتضي أو شرطه، فلا يقال للبلّة الموجودة في الثوب أنّها مانعة عن احتراق الثوب إلاّ بعد وجود النار و تحقّق المجاورة و المماسة بينها و بين الثوب، و حينئذٍ يستند عدم احتراق الثوب إلى البلّة الموجودة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على ذلك عدم إمكان مانعية أحد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لا يتصوّر المانعية للصلاة إلاّ بعد تحقّق أمرين متضادين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العلّة التامة الشاملة للمقتضي لتحقّق الصلاة في الخارج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المقتضي و الشرط للإزالة حتّى تكون الصلاة مانعة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يستلزم وجود المقتضيين للضدّين، فكما أنّه لا يمكن اجتماع الضدّين، كذلك لا يمكن اجتماع مقتضي الضدّين لتضاد مقتضيهما أيضاً، و بعد عدم إمكان اجتماع مقتضي الضدّين لا يمكن كون أحدهما مانعاً عن الآخر</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ثمّ إنّ أساس الإشكالين السابقين من المحقّق الخراساني و المحقّق النائيني كان مبنياً على تسليم كون عدم المانع مقدمة و لكن نوقش في خصوص كون عدم الضدّ مقدّمة لترك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المناقشة في الصغرى مع قبول الكبرى و لكن الحقّ المناقشة في الكبرى و انّ عدم المانع على وجه الإطلاق من غير فرق بين المقام و غيره كعدم الرطوبة بالنسبة إلى الاحتراق ليس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الأصل في الخارج هو الوجود، و العدم ليس له أيّ أصالة فيه و إنّما هو مفهوم ذهني يصنعه الذهن بتعمل، مثلاً انّ الإنسان إذا دخل القاعة أملاً برؤية زيد و لم يره فيها، فهو في الواقع لم ير شيئاً و لم يجد فيها شيئاً لا انّه يرى عدمه فيها، لكن الذهن بالتعمل يصنع من هذا مفهوماً ذهنياً باسم العدم مع خلو صفحة الوجود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فلا معنى لجعل عدم المانع من أجزاء العلة، إذ ليس له شأن التأثير أو التأثر و لا الموقوف و لا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وجود الضد مزاحماً لوجود الضد الآخر عُبِّر عن هذا التزاحم بأنّ عدم الضدّ شرط لوجود الضد الآخر، و كم فرق بين القول بأنّ الضدّ مزاحم، و القول بأنّ عدمه شرط</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رطوبة الحطب أو القطن مانعة من تأثير المقتضي أي النار فيهما لا أنّ عدم الرطوبة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فالأحكام كلّها للوجودات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الرطوبة مانعة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ينسب إلى الاعدام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الرطوبة شرط بالعرض و المجاز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إلى ذلك يشير المحقّق السبزواري في منظومته و شرحه ما هذا لفظه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ميز في الاعدام من حيث العدم و هو، لها إذاً بوهم ترتسم</w:t>
      </w:r>
    </w:p>
    <w:p>
      <w:pPr>
        <w:pStyle w:val="BookText"/>
        <w:rPr/>
      </w:pPr>
      <w:r>
        <w:rPr>
          <w:rFonts w:ascii="Amiri" w:hAnsi="Amiri" w:eastAsia="Amiri" w:cs="Amiri"/>
          <w:color w:val="111111"/>
          <w:sz w:val="28"/>
          <w:sz w:val="28"/>
          <w:szCs w:val="28"/>
          <w:rtl w:val="true"/>
          <w:lang w:bidi="ar-SA"/>
        </w:rPr>
        <w:t>كذاك في الأعدام لا عليّة و إن بها فاهوا فتقريبية</w:t>
      </w:r>
    </w:p>
    <w:p>
      <w:pPr>
        <w:pStyle w:val="BookText"/>
        <w:rPr/>
      </w:pPr>
      <w:r>
        <w:rPr>
          <w:rFonts w:ascii="Amiri" w:hAnsi="Amiri" w:eastAsia="Amiri" w:cs="Amiri"/>
          <w:color w:val="111111"/>
          <w:sz w:val="28"/>
          <w:sz w:val="28"/>
          <w:szCs w:val="28"/>
          <w:rtl w:val="true"/>
          <w:lang w:bidi="ar-SA"/>
        </w:rPr>
        <w:t>فلو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العلّة علّة لعدم المعلول، فهو على سبيل التقريب، فانّ الحكم بالعلّية عليه، بتشابه الملكات،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الغيم علّة لعدم المطر، فهو باعتبار انّ الغيم علّة للمطر، فبالحقيقة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تتحقّق العلّية التي كانت بين الوجودين، و هذا كما تجري أحكام الموجبات على السوالب في القضايا،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سالبة، حملية، أو شرطية، متصلة أو منفصلة أو غيرها كلّ ذلك بمتشابه الموجبات</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على ضوء هذا يظهر ضعف ما أفاده المحقّق الاصفهاني حيث رأى أنّ لاعدام الملكات واقعية لكونها أمراً منتزعاً من الخارج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الاستعدادات و القابليات و أعدام الملكات كلّها، لا مطابَق لها في الخارج، بل شئون و حيثيات انتزاعية لأُمور موجودة، فعدم البياض في الموضوع الذي هو من أعدام الملكات كقابلية الموضوع من الحيثيات الانتزاعية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فكون الموضوع بحيث لا بياض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بحيث يكون قابلاً لعروض السواد فمتمم القابلية كنفس القابلية حيثية انتزاعية</w:t>
      </w:r>
      <w:r>
        <w:rPr>
          <w:rFonts w:eastAsia="Amiri" w:cs="Amiri" w:ascii="Amiri" w:hAnsi="Amiri"/>
          <w:color w:val="111111"/>
          <w:sz w:val="28"/>
          <w:szCs w:val="28"/>
          <w:rtl w:val="true"/>
          <w:lang w:bidi="ar-SA"/>
        </w:rPr>
        <w:t>.</w:t>
      </w:r>
      <w:r>
        <w:rPr>
          <w:rStyle w:val="FootnoteAnchor"/>
          <w:rtl w:val="true"/>
        </w:rPr>
        <w:footnoteReference w:id="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وجه 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ذكره صحيح في الاستعداد و القابلية و حتى الإضافة فانّ القابلية في النواة و النطفة أمر تكويني موجود فيها دون الحجر، و هكذا الإضافة كالأُبوّة و البنوّة، فانّهما ينتزعان من حيثية وجودية من تخلّق الابن من ماء الأب، </w:t>
      </w:r>
    </w:p>
    <w:p>
      <w:pPr>
        <w:pStyle w:val="BookText"/>
        <w:rPr/>
      </w:pPr>
      <w:r>
        <w:rPr>
          <w:rFonts w:ascii="Amiri" w:hAnsi="Amiri" w:eastAsia="Amiri" w:cs="Amiri"/>
          <w:color w:val="111111"/>
          <w:sz w:val="28"/>
          <w:sz w:val="28"/>
          <w:szCs w:val="28"/>
          <w:rtl w:val="true"/>
          <w:lang w:bidi="ar-SA"/>
        </w:rPr>
        <w:t>فلكلّ واقعية بواقعية مبدأ انتزاعهما، و أمّا الاعدام فليس لها واقعية سوى واقعية ملكاتها، فالواقعية في عدم البياض هي لنفس البياض دون عدمه و في عدم البصر لنفس البصر لا للعدم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أفاده من أنّ متمّم القابلية كنفس القابلية مشيراً 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متمم للقابلية ضعيف جداً، فانّ قابلية الجسم لقبول البياض تامة لا نقص فيها، و أمّا عدم قبوله له مع وجود السواد، فليس لأجل نقص في القابلية، بل لوجود التزاحم بين الوجودين، فعُبِّر عن التمانع بأنّ عدم المانع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فالأولى رفض الكبرى على وجه الإطلاق لا قبولها و المناقشة في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النظر فيما أفاده السيد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يضاف العدم إلى الوجود، فيحصل له حظ من الوجود، و يتبعه نوع من التمايز كعدم البصر الذي هو العمى المتميز من عدم السمع الذي هو الصمم، و كعدم زيد و عدم عمر المتميز أحدهما عن الآخر</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التميّز الذهني، غير كون العدم ذا حظ من الوجود في الخارج، فكلّ ما ذكره صحيح في الذهن لا في الخارج، و الكلام إنّما هو في الثاني دون الأوّل، و التميز نوع ارتباط ذهني بين الأمرين الوجوديين فانّ العدم في عدم البصر، عدم بالحمل الأوّلي، لكنّه موجود بالحمل الشائع الصناعي</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للمحقّق الخراساني مناقشتين أُخريين حول المقدّمة الأُولى، و إليك دراستهما</w:t>
      </w:r>
      <w:r>
        <w:rPr>
          <w:rFonts w:eastAsia="Amiri" w:cs="Amiri" w:ascii="Amiri" w:hAnsi="Amiri"/>
          <w:color w:val="111111"/>
          <w:sz w:val="28"/>
          <w:szCs w:val="28"/>
          <w:rtl w:val="true"/>
          <w:lang w:bidi="ar-SA"/>
        </w:rPr>
        <w:t xml:space="preserve">. </w:t>
      </w:r>
      <w:bookmarkStart w:id="49" w:name="pg14356_186604"/>
    </w:p>
    <w:p>
      <w:pPr>
        <w:pStyle w:val="Heading6"/>
        <w:numPr>
          <w:ilvl w:val="5"/>
          <w:numId w:val="1"/>
        </w:numPr>
        <w:rPr/>
      </w:pPr>
      <w:bookmarkStart w:id="50" w:name="__RefHeading___Toc7304596_3381743652"/>
      <w:bookmarkStart w:id="51" w:name="_Toc19"/>
      <w:bookmarkEnd w:id="49"/>
      <w:bookmarkEnd w:id="50"/>
      <w:r>
        <w:rPr>
          <w:rtl w:val="true"/>
        </w:rPr>
        <w:t>المناقشة الثانية</w:t>
      </w:r>
      <w:r>
        <w:rPr>
          <w:rtl w:val="true"/>
        </w:rPr>
        <w:t xml:space="preserve">: </w:t>
      </w:r>
      <w:r>
        <w:rPr>
          <w:rtl w:val="true"/>
        </w:rPr>
        <w:t>قياس الضدّين بالنقيضين</w:t>
      </w:r>
      <w:bookmarkEnd w:id="51"/>
    </w:p>
    <w:p>
      <w:pPr>
        <w:pStyle w:val="BookText"/>
        <w:rPr/>
      </w:pPr>
      <w:r>
        <w:rPr>
          <w:rFonts w:ascii="Amiri" w:hAnsi="Amiri" w:eastAsia="Amiri" w:cs="Amiri"/>
          <w:color w:val="111111"/>
          <w:sz w:val="28"/>
          <w:sz w:val="28"/>
          <w:szCs w:val="28"/>
          <w:rtl w:val="true"/>
          <w:lang w:bidi="ar-SA"/>
        </w:rPr>
        <w:t>إنّ المنافاة بين النقيضين كما لا تقتضي تقدّم ارتفاع أحدهما في ثبوت الآخر كذلك في المتضادين</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هذه، هي المناقشة الثانية التي وجّهها المحقّق الخراساني إلى المقدّمة الأُولى،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ترك الضدّ مقدّمة لفعل الضد، و توضيحها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ارتفاع أحد النقيضين كرفع اللابياض ليس مقدمة لتحقّق النقيض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كمال المنافرة بين النقيضين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و اللابياض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رفع أحد النقيضين ملائم لثبوت النقيض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 النقيضين فليكن حال الضدين أيضاً كذلك لوحدة الملاك و هو المنافرة بين العينين و الملاءمة بين أحدهما و رفع الآخر، فلا يكون رفع البياض مقدمة لثبوت الضدّ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تقرّر المناقشة بوجه آخر و هو التمسّك بقانون المساواة،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النقيضين كالبياض و اللابياض في رتبة واحدة هذا من جانب، و من جانب آخر انّ الضدّين كالبياض و السواد في رتبة واحدة، فينتج انّ اللابياض في رتبة الضدّ الآخر أي السواد</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لأنّه لو كان اللابياض في رتبة البياض، و كان البياض في رتبة السواد، تكون النتيجة انّ اللابياض في رتبة السواد لقاعدة التساوي، فانّ مساوي المساوي للشيء، مساو لذلك الشيء</w:t>
      </w:r>
      <w:r>
        <w:rPr>
          <w:rFonts w:eastAsia="Amiri" w:cs="Amiri" w:ascii="Amiri" w:hAnsi="Amiri"/>
          <w:color w:val="111111"/>
          <w:sz w:val="28"/>
          <w:szCs w:val="28"/>
          <w:rtl w:val="true"/>
          <w:lang w:bidi="ar-SA"/>
        </w:rPr>
        <w:t>.</w:t>
      </w:r>
      <w:r>
        <w:rPr>
          <w:rStyle w:val="FootnoteAnchor"/>
          <w:rtl w:val="true"/>
        </w:rPr>
        <w:footnoteReference w:id="9"/>
      </w:r>
      <w:bookmarkStart w:id="52" w:name="pg14356_186605"/>
    </w:p>
    <w:p>
      <w:pPr>
        <w:pStyle w:val="BookText"/>
        <w:rPr/>
      </w:pPr>
      <w:bookmarkEnd w:id="52"/>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قانون المساواة إنّما يجري في المسائل الهندسية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مساوية لزاوية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مساوية لزاوية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فينتج انّ 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مساوية لزاوية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التقدّم و التأخّر و التقارن من حيث الرتبة فلا تعمّها القاعدة، بل ثبوت كلّ تابع لوجود الملاك فيه و قد يوجد الملاك في أحد المساويين دون الآخر، 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ملازم العلّة ليس متقدماً على المعلول رتبة مع أنّ العلّة متقدمة عليه كذلك و ما هو إلاّ لأنّ ملاك التقدّم و هو نشوء المعلول عن العلّة موجود في العلة لا في ملازمها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فلو كان البياض متحداً مع السواد رتبة لا يكون دليلاً على أنّ المتحد مع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متّحد مع السواد في الرتبة، و ذلك لفقد الملاك، لأنّ اتحاد النقيضين في الرتبة لأجل انّه لو لا الاتحاد يلزم ارتفاعهما و هو محال مثلاً إذا لم يصدق أحد النقيضين كالبياض فلو قلنا بأنّ النقيضين في رتبة واحدة فلا بدّ أن يصدق اللابياض، و لو نقل، لا يلزم أن يصدق اللابياض و عند ذاك يلزم ارتفاع النقيضين، فظهر انّه لا محيص من القول بوحدة رتبة النقيضين و إلاّ يلزم ارتفاع النقيضين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اللابياض و السواد فلا يلزم من القول بعدم الوحدة في الرتبة، سوى ارتفاعهما و عدم صدقهما و لا محذور فيه</w:t>
      </w:r>
      <w:r>
        <w:rPr>
          <w:rFonts w:eastAsia="Amiri" w:cs="Amiri" w:ascii="Amiri" w:hAnsi="Amiri"/>
          <w:color w:val="111111"/>
          <w:sz w:val="28"/>
          <w:szCs w:val="28"/>
          <w:rtl w:val="true"/>
          <w:lang w:bidi="ar-SA"/>
        </w:rPr>
        <w:t>.</w:t>
      </w:r>
    </w:p>
    <w:p>
      <w:pPr>
        <w:pStyle w:val="Heading6"/>
        <w:numPr>
          <w:ilvl w:val="5"/>
          <w:numId w:val="1"/>
        </w:numPr>
        <w:rPr/>
      </w:pPr>
      <w:bookmarkStart w:id="53" w:name="__RefHeading___Toc7304598_3381743652"/>
      <w:bookmarkStart w:id="54" w:name="_Toc20"/>
      <w:bookmarkEnd w:id="53"/>
      <w:r>
        <w:rPr>
          <w:rtl w:val="true"/>
        </w:rPr>
        <w:t>المناقشة الثالثة</w:t>
      </w:r>
      <w:r>
        <w:rPr>
          <w:rtl w:val="true"/>
        </w:rPr>
        <w:t xml:space="preserve">: </w:t>
      </w:r>
      <w:r>
        <w:rPr>
          <w:rtl w:val="true"/>
        </w:rPr>
        <w:t>استلزامه الدور</w:t>
      </w:r>
      <w:bookmarkEnd w:id="54"/>
    </w:p>
    <w:p>
      <w:pPr>
        <w:pStyle w:val="BookText"/>
        <w:rPr/>
      </w:pPr>
      <w:r>
        <w:rPr>
          <w:rFonts w:ascii="Amiri" w:hAnsi="Amiri" w:eastAsia="Amiri" w:cs="Amiri"/>
          <w:color w:val="111111"/>
          <w:sz w:val="28"/>
          <w:sz w:val="28"/>
          <w:szCs w:val="28"/>
          <w:rtl w:val="true"/>
          <w:lang w:bidi="ar-SA"/>
        </w:rPr>
        <w:t>هذه هي المناقشة الثالثة التي وجهها المحقّق الخراساني إلى كون الضدّ مقدمة للضدّ الآخر، و بيّنها بالعبارة التالية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اقتضى التضاد توقّفَ وجود الشيء على عدم ضدّه، توقّفَ الشيء على </w:t>
      </w:r>
    </w:p>
    <w:p>
      <w:pPr>
        <w:pStyle w:val="BookText"/>
        <w:rPr/>
      </w:pPr>
      <w:r>
        <w:rPr>
          <w:rFonts w:ascii="Amiri" w:hAnsi="Amiri" w:eastAsia="Amiri" w:cs="Amiri"/>
          <w:color w:val="111111"/>
          <w:sz w:val="28"/>
          <w:sz w:val="28"/>
          <w:szCs w:val="28"/>
          <w:rtl w:val="true"/>
          <w:lang w:bidi="ar-SA"/>
        </w:rPr>
        <w:t>عدم مانعه، لاقتضى توقّفَ عدمِ الضدّ على وجود الشيء، توقّفَ عدم الشيء على مانعه، بداهة ثبوت المانعية في الطرفين و كون المطاردة من الجانبين، و هو دور واضح</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و ربما يردّ الدور بما في الكفاية من أنّ توقف وجود أحد الضدين على عدم الآخر فعلي، و لكن توقّف عدم الآخر على وجود واحد من الضدّين شأني،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السواد في محل متوقف فعلاً على عدم تحقّق البياض فيه، و أمّا توقّف عدم 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وجود الآخر فهو شأني لا فعلي فلا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التوقّف في جانب الوجود فعلي، فلوضوح انّ توقّف وجود المعلول على جميع أجزاء علته و منها عدم المانع فعلي، لأنّ للجميع دخلاً فعلاً في تحقّقه و وجوده في الخارج، و أمّا عدم الضدّ فلا يتوقّف على وجود الضدّ الآخر، لأنّ عدمه يستند إلى عدم المقتضي له لا إلى وجود المانع في ظرف تحقّق المقتضي مع بقية الشرائط ليكون توقّفه عليه فعليّاً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أجاب عن الإشكال المحقّق الخراساني</w:t>
      </w:r>
      <w:r>
        <w:rPr>
          <w:rStyle w:val="FootnoteAnchor"/>
          <w:rtl w:val="true"/>
        </w:rPr>
        <w:footnoteReference w:id="11"/>
      </w:r>
      <w:r>
        <w:rPr>
          <w:rFonts w:ascii="Amiri" w:hAnsi="Amiri" w:eastAsia="Amiri" w:cs="Amiri"/>
          <w:color w:val="111111"/>
          <w:sz w:val="28"/>
          <w:sz w:val="28"/>
          <w:szCs w:val="28"/>
          <w:rtl w:val="true"/>
          <w:lang w:bidi="ar-SA"/>
        </w:rPr>
        <w:t xml:space="preserve">بأنّ الدور و إن ارتفع فعلاً لكن لم يرتفع شأناً، لأنّ عدم الضدّ و إن كان موقوفاً عليه بالفعل، لوجود الضدّ </w:t>
      </w:r>
      <w:bookmarkStart w:id="55" w:name="pg14356_186607"/>
    </w:p>
    <w:p>
      <w:pPr>
        <w:pStyle w:val="BookText"/>
        <w:rPr/>
      </w:pPr>
      <w:bookmarkEnd w:id="55"/>
      <w:r>
        <w:rPr>
          <w:rFonts w:ascii="Amiri" w:hAnsi="Amiri" w:eastAsia="Amiri" w:cs="Amiri"/>
          <w:color w:val="111111"/>
          <w:sz w:val="28"/>
          <w:sz w:val="28"/>
          <w:szCs w:val="28"/>
          <w:rtl w:val="true"/>
          <w:lang w:bidi="ar-SA"/>
        </w:rPr>
        <w:t>الآخر، و لكنّه أيضاً موقوف على وجود الضدّ الآخر شأناً، بحيث لو وجد المقتضي للإيجاد يكون عدمه مستنداً إلى وجود الضدّ و هو أيضاً محال، ضرورة استلزامه كون شيء مع كونه في مرتبة متقدمة فعلاً، في مرتبة متأخرة شأناً</w:t>
      </w:r>
      <w:r>
        <w:rPr>
          <w:rFonts w:eastAsia="Amiri" w:cs="Amiri" w:ascii="Amiri" w:hAnsi="Amiri"/>
          <w:color w:val="111111"/>
          <w:sz w:val="28"/>
          <w:szCs w:val="28"/>
          <w:rtl w:val="true"/>
          <w:lang w:bidi="ar-SA"/>
        </w:rPr>
        <w:t>.</w:t>
      </w:r>
    </w:p>
    <w:p>
      <w:pPr>
        <w:pStyle w:val="Heading6"/>
        <w:numPr>
          <w:ilvl w:val="5"/>
          <w:numId w:val="1"/>
        </w:numPr>
        <w:rPr/>
      </w:pPr>
      <w:bookmarkStart w:id="56" w:name="__RefHeading___Toc7304600_3381743652"/>
      <w:bookmarkStart w:id="57" w:name="_Toc21"/>
      <w:bookmarkEnd w:id="56"/>
      <w:r>
        <w:rPr>
          <w:rtl w:val="true"/>
        </w:rPr>
        <w:t>تحليل المقدّمة الثانية من الاستدلال</w:t>
      </w:r>
      <w:bookmarkEnd w:id="57"/>
    </w:p>
    <w:p>
      <w:pPr>
        <w:pStyle w:val="BookText"/>
        <w:rPr/>
      </w:pPr>
      <w:r>
        <w:rPr>
          <w:rFonts w:ascii="Amiri" w:hAnsi="Amiri" w:eastAsia="Amiri" w:cs="Amiri"/>
          <w:color w:val="111111"/>
          <w:sz w:val="28"/>
          <w:sz w:val="28"/>
          <w:szCs w:val="28"/>
          <w:rtl w:val="true"/>
          <w:lang w:bidi="ar-SA"/>
        </w:rPr>
        <w:t>قد عرفت أنّ القائل بأنّ الأمر بالشيء يقتضي النهي عن الضدّ الخاص استدلّ بدليل ذات مقدّمات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الضدّ مقدّمة لفعل الضدّ الآخر، و هذا هو الذي تقدّم الحديث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مقدّمة الواجب واجب، و قد مرّ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ترك الصلاة مقدّمة للإزالة بحكم المقدّمة الأُولى، و كان ترك الصلاة واجباً بحكم المقدّمة الثانية، تصل النوبة إلى المقدّمة الثالثة و هي انّ الأمر بالشيء و هو في المقام أمر مقدّمي، لأنّ ترك الصلاة مقدّمة للإزالة يقتضي النهي عن ضدّه العام أي نقيضه و هو هنا الصلاة، فتكون الصلاة منهياً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ببركة هذه المقدّمات الثلاث يثبت انّ المولى إذا أمر بالإزالة فلا محيص له عن النهي عن الصلاة بحكم هذه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المقدّمتين التاليتين كالمقدّمة الأُولى باطلتان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الثانية فقد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مقدّمة الواجب ليست بواجبة مطلقاً من غير فرق بين المقام و غيره، لأنّ الهدف من إيجاب المقدّمة هو إيجاد البعث و الداعي في ذهن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عندئذ فلو كان المخاطب قاصداً للإتيان بذيها، فهو يأتي بالمقدّمة </w:t>
      </w:r>
    </w:p>
    <w:p>
      <w:pPr>
        <w:pStyle w:val="BookText"/>
        <w:rPr/>
      </w:pPr>
      <w:r>
        <w:rPr>
          <w:rFonts w:ascii="Amiri" w:hAnsi="Amiri" w:eastAsia="Amiri" w:cs="Amiri"/>
          <w:color w:val="111111"/>
          <w:sz w:val="28"/>
          <w:sz w:val="28"/>
          <w:szCs w:val="28"/>
          <w:rtl w:val="true"/>
          <w:lang w:bidi="ar-SA"/>
        </w:rPr>
        <w:t>بحكم العقل من دون حاجة إلى إيجابها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صارفاً عن إتيانه، فلا يبعثه الأمر بالمقدّمة إلى امتثال ذيها لعدم ترتّب العقاب على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بطلان المقدّمة الثالثة و هو انّه إذا أمر المولى بترك الصلاة بحكم انّه مقدّمة فعليه أن ينهى عن ضدّه العام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ترك الصلاة الذي هو مساو للصلاة فانّ هذا النهي مثل الأمر بالمقدّمة إمّا لغو و إمّا غير باعث، لأنّه لو كان ناوياً للإزالة فلا حاجة للنهي عن الصلاة، و إن كان صارفاً عنها فلا يكون النهي عن الصلاة داعياً له إلى امتثال الإزالة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تمّ الكلام في المسلك الأوّل الذي أسميناه بمسلك المقدّميّة حيث إنّ المستدلّ يتطرق إلى مقصود عن هذا الطريق، و بدوري أرفع آية الاعتذار إلى القرّاء الأعزاء من الإطناب في هذا البحث، فانّ طبيعة البحث ألجأتني إليه</w:t>
      </w:r>
      <w:r>
        <w:rPr>
          <w:rFonts w:eastAsia="Amiri" w:cs="Amiri" w:ascii="Amiri" w:hAnsi="Amiri"/>
          <w:color w:val="111111"/>
          <w:sz w:val="28"/>
          <w:szCs w:val="28"/>
          <w:rtl w:val="true"/>
          <w:lang w:bidi="ar-SA"/>
        </w:rPr>
        <w:t xml:space="preserve">. </w:t>
      </w:r>
      <w:bookmarkStart w:id="58" w:name="pg14356_186609"/>
    </w:p>
    <w:p>
      <w:pPr>
        <w:pStyle w:val="Heading6"/>
        <w:numPr>
          <w:ilvl w:val="5"/>
          <w:numId w:val="1"/>
        </w:numPr>
        <w:rPr/>
      </w:pPr>
      <w:bookmarkStart w:id="59" w:name="__RefHeading___Toc7304602_3381743652"/>
      <w:bookmarkStart w:id="60" w:name="_Toc22"/>
      <w:bookmarkEnd w:id="58"/>
      <w:bookmarkEnd w:id="59"/>
      <w:r>
        <w:rPr>
          <w:rtl w:val="true"/>
        </w:rPr>
        <w:t>المسلك الثاني</w:t>
      </w:r>
      <w:r>
        <w:rPr>
          <w:rtl w:val="true"/>
        </w:rPr>
        <w:t xml:space="preserve">: </w:t>
      </w:r>
      <w:r>
        <w:rPr>
          <w:rtl w:val="true"/>
        </w:rPr>
        <w:t>مسلك الملازمة</w:t>
      </w:r>
      <w:bookmarkEnd w:id="60"/>
    </w:p>
    <w:p>
      <w:pPr>
        <w:pStyle w:val="BookText"/>
        <w:rPr/>
      </w:pPr>
      <w:r>
        <w:rPr>
          <w:rFonts w:ascii="Amiri" w:hAnsi="Amiri" w:eastAsia="Amiri" w:cs="Amiri"/>
          <w:color w:val="111111"/>
          <w:sz w:val="28"/>
          <w:sz w:val="28"/>
          <w:szCs w:val="28"/>
          <w:rtl w:val="true"/>
          <w:lang w:bidi="ar-SA"/>
        </w:rPr>
        <w:t>قد عرفت أنّ القائل بأنّ الأمر بالشيء يقتضي النهي عن ضدّه العام استدلّ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المقدمية و قد مضى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 الملازمة و الاستدلال عن هذا الطريق مبني على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بالشيء كالإزالة مستلزم للنهي عن ضدّه العام و هو ترك الإزالة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الاشتغال بكلّ فعل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 و الأكل ملازم للضدّ العام، كترك الإزالة حيث إنّهما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المتلازمان متساويان في الحكم، فإذا كان تركُ الإزالة منهياً عنه حسب المقدّمة الأُولى فالضدّ الملازم لها كالصلاة يكون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فينتج انّ الأمر بالشيء كالإزالة مستلزم للنهي عن الضدّ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الأمر الأوّل بما مرّ من المنع عن اقتضاء الأمر النهي عن ضدّه العام، و انّ مثل هذا النهي المولوي لا يترتّب عليه أي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يلاحظ على الأمر الثاني بأنّه لا دليل على تساوي المتلازمين في الحكم، إذ يمكن أن يكون الملاك موجوداً في أحدهما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ترك الإزالة حراماً و لا يكون ملازمة الصلاة حراماً لوجود الملاك في الأوّل دون الثاني</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يجب أن لا يكون المساوي محكوماً بحكم مضاد لحكم المساوي، فإذا </w:t>
      </w:r>
      <w:bookmarkStart w:id="61" w:name="pg14356_186610"/>
    </w:p>
    <w:p>
      <w:pPr>
        <w:pStyle w:val="BookText"/>
        <w:rPr/>
      </w:pPr>
      <w:bookmarkEnd w:id="61"/>
      <w:r>
        <w:rPr>
          <w:rFonts w:ascii="Amiri" w:hAnsi="Amiri" w:eastAsia="Amiri" w:cs="Amiri"/>
          <w:color w:val="111111"/>
          <w:sz w:val="28"/>
          <w:sz w:val="28"/>
          <w:szCs w:val="28"/>
          <w:rtl w:val="true"/>
          <w:lang w:bidi="ar-SA"/>
        </w:rPr>
        <w:t>وجب الاستقبال إلى الكعبة لا يجوز أن يحرم الاستدبار إلى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يجب أن يكون الاستدبار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فرغنا عن الدليلين اللّذين أُقيما على أنّ الأمر بالشيء يقتضي النهي عن ضدّه الخاص، و لما كانت المقدّمة الأُولى للدليل الأوّل، هو مقدمية ترك الضدّ، لفعل الضدّ الآخر، و قد عرفت بطلانه و كان للمحقّق الخوانساري تفصيلاً في المقام، أحببت التعرّض له فأقول</w:t>
      </w:r>
      <w:r>
        <w:rPr>
          <w:rFonts w:eastAsia="Amiri" w:cs="Amiri" w:ascii="Amiri" w:hAnsi="Amiri"/>
          <w:color w:val="111111"/>
          <w:sz w:val="28"/>
          <w:szCs w:val="28"/>
          <w:rtl w:val="true"/>
          <w:lang w:bidi="ar-SA"/>
        </w:rPr>
        <w:t>:</w:t>
      </w:r>
    </w:p>
    <w:p>
      <w:pPr>
        <w:pStyle w:val="Heading6"/>
        <w:numPr>
          <w:ilvl w:val="5"/>
          <w:numId w:val="1"/>
        </w:numPr>
        <w:rPr/>
      </w:pPr>
      <w:bookmarkStart w:id="62" w:name="__RefHeading___Toc7304604_3381743652"/>
      <w:bookmarkStart w:id="63" w:name="_Toc23"/>
      <w:bookmarkEnd w:id="62"/>
      <w:r>
        <w:rPr>
          <w:rtl w:val="true"/>
        </w:rPr>
        <w:t>عود إلى مسلك المقدمية ثانياً</w:t>
      </w:r>
      <w:bookmarkEnd w:id="63"/>
    </w:p>
    <w:p>
      <w:pPr>
        <w:pStyle w:val="BookText"/>
        <w:rPr/>
      </w:pPr>
      <w:r>
        <w:rPr>
          <w:rFonts w:ascii="Amiri" w:hAnsi="Amiri" w:eastAsia="Amiri" w:cs="Amiri"/>
          <w:color w:val="111111"/>
          <w:sz w:val="28"/>
          <w:sz w:val="28"/>
          <w:szCs w:val="28"/>
          <w:rtl w:val="true"/>
          <w:lang w:bidi="ar-SA"/>
        </w:rPr>
        <w:t>ذهب المحقّق الخوانساري إلى التفصيل بين الضدّ الموجود و الضدّ المعدوم، فذهب إلى توقّف الضدّ على ارتفاع الضد الموجود و لا يمكن، فلو كان المحل أسود توقف 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على ارتفاع السواد دون ما إذا لم يكن 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أيّده المحقّق النائيني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المحل إذا كان مشغولاً بأحد الضدّين، فلا يكون قابلاً لعروض الضدّ الآخر إلاّ بعد انعدامه، و يكون وجوده موقوفاً على عدم الضدّ الموجود، و هذا بخلاف ما إذا لم يكن شيء منهما موجوداً و كان المحل خالياً عن كلّ منهما، فانّ قابليته لعروض كلّ منهما فعلية، فإذا وجد المقتضي لأحدهما، فلا محالة يكون موجوداً من دون أن يكون لعدم الآخر دخل في وجوده</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يلاحظ على أصل الاستدلال بأنّ العدم أنزل من أن يكون موقوفاً عليه أو موقوفاً و حقيقة الأمر انّه يرجع إلى التزاحم بين الوجودين، فعبّروا عن رفع التزاحم بأنّ ورود أحدهما يتوقّف على عدم الآخر، ففيما كانت الفاكهة على الشجر سوداء، و إن كان يمتنع عروض البياض عليها، لكن لا لأجل كون عدم السواد مقدمة </w:t>
      </w:r>
      <w:bookmarkStart w:id="64" w:name="pg14356_186611"/>
    </w:p>
    <w:p>
      <w:pPr>
        <w:pStyle w:val="BookText"/>
        <w:rPr/>
      </w:pPr>
      <w:bookmarkEnd w:id="64"/>
      <w:r>
        <w:rPr>
          <w:rFonts w:ascii="Amiri" w:hAnsi="Amiri" w:eastAsia="Amiri" w:cs="Amiri"/>
          <w:color w:val="111111"/>
          <w:sz w:val="28"/>
          <w:sz w:val="28"/>
          <w:szCs w:val="28"/>
          <w:rtl w:val="true"/>
          <w:lang w:bidi="ar-SA"/>
        </w:rPr>
        <w:t>لعروض البياض، بل لأجل التزاحم بين الوجودين فعبروا عن التزاحم بكون عدم السواد مقدمة لعروض البياض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التأييد بأنّه أيضاً كأصل الاستدلال، إذ لا نقص في قابلية الجسم، بل هي كاملة سواء أ كان الضدّ موجوداً أم لا، و انّ عروض الضدّ لا يبطل القابلية للجسم، و عدم قبوله لا للنقص في القابلية بل لأجل وجود التمانع بين الوجودين</w:t>
      </w:r>
      <w:r>
        <w:rPr>
          <w:rFonts w:eastAsia="Amiri" w:cs="Amiri" w:ascii="Amiri" w:hAnsi="Amiri"/>
          <w:color w:val="111111"/>
          <w:sz w:val="28"/>
          <w:szCs w:val="28"/>
          <w:rtl w:val="true"/>
          <w:lang w:bidi="ar-SA"/>
        </w:rPr>
        <w:t>.</w:t>
      </w:r>
    </w:p>
    <w:p>
      <w:pPr>
        <w:pStyle w:val="Heading6"/>
        <w:numPr>
          <w:ilvl w:val="5"/>
          <w:numId w:val="1"/>
        </w:numPr>
        <w:rPr/>
      </w:pPr>
      <w:bookmarkStart w:id="65" w:name="__RefHeading___Toc7304606_3381743652"/>
      <w:bookmarkStart w:id="66" w:name="_Toc24"/>
      <w:bookmarkEnd w:id="65"/>
      <w:r>
        <w:rPr>
          <w:rtl w:val="true"/>
        </w:rPr>
        <w:t>بحث استطرادي</w:t>
      </w:r>
      <w:r>
        <w:rPr>
          <w:rtl w:val="true"/>
        </w:rPr>
        <w:t xml:space="preserve">: </w:t>
      </w:r>
      <w:r>
        <w:rPr>
          <w:rtl w:val="true"/>
        </w:rPr>
        <w:t>إنكار المباح أو شبهة الكعبي</w:t>
      </w:r>
      <w:bookmarkEnd w:id="66"/>
    </w:p>
    <w:p>
      <w:pPr>
        <w:pStyle w:val="BookText"/>
        <w:rPr/>
      </w:pPr>
      <w:r>
        <w:rPr>
          <w:rFonts w:ascii="Amiri" w:hAnsi="Amiri" w:eastAsia="Amiri" w:cs="Amiri"/>
          <w:color w:val="111111"/>
          <w:sz w:val="28"/>
          <w:sz w:val="28"/>
          <w:szCs w:val="28"/>
          <w:rtl w:val="true"/>
          <w:lang w:bidi="ar-SA"/>
        </w:rPr>
        <w:t>نقل الأُصوليون عن عبد اللّه بن أحمد الكعبي انتفاء المباح و انّ الأحكام تنحصر في الواجب و الحرام قائلاً بأنّ ترك الحرام يتوقّف على فعل واحد من أفراد المباح فيجب بوجوبه بحكم كونه 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الاستدلال مبنيّ على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الشيء يقتضي الأمر بضدّه العام، فلو كان فعل الشيء حراماً كالكذب كان تركه واجباً، و هذا نظير ما لو كان فعله واجباً كالإزالة كان تركه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كما يتولد من الأمر بالشيء، النهي عن الضدّ العام، فهكذا يتولّد من النهي عنه، الأمر بالضد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يتوقّف على فعل من الأفعال الاختيارية الوجودية لاستحالة خلو المكلّف عن فعل من الأفعال الاختيارية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مقدمة الواجب و هي الفعل الاختياري الذي يتوقّف عليه الترك الواجب واجبة فينتفي المباح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على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إذا كان فعل الشيء حراماً أن يكون تركه واجباً لما عرفت من أنّ الأمر بالشيء لا يقتضي النهي عن ضدّه العام، إذ هو لا يترتّب عليه أيّ 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الترك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يتوقّف على فعل من الأفعال الاختيارية الوجودية كالمباح، و ذلك لأنّ ترك الحرام مستند إمّا إلى فقد المقتضي الذي يعبر عنه بالصارف، أو وجود المقتضي للضد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الكذب إمّا لأجل الصارف عنه خوفاً من اللّه سبحانه، أو إلى وجود المقتضي للأضداد الأُخر كالأكل و الشرب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فالمقدّمة لترك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للترك الواجب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الأمرين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الصارف عن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المقتضي لارتكاب الأكل و الشرب و بالتالي لا يكون المباح مقدّمة</w:t>
      </w:r>
      <w:r>
        <w:rPr>
          <w:rFonts w:eastAsia="Amiri" w:cs="Amiri" w:ascii="Amiri" w:hAnsi="Amiri"/>
          <w:color w:val="111111"/>
          <w:sz w:val="28"/>
          <w:szCs w:val="28"/>
          <w:rtl w:val="true"/>
          <w:lang w:bidi="ar-SA"/>
        </w:rPr>
        <w:t xml:space="preserve">. </w:t>
      </w:r>
      <w:bookmarkStart w:id="67" w:name="pg14356_186613"/>
    </w:p>
    <w:p>
      <w:pPr>
        <w:pStyle w:val="Heading6"/>
        <w:numPr>
          <w:ilvl w:val="5"/>
          <w:numId w:val="1"/>
        </w:numPr>
        <w:rPr/>
      </w:pPr>
      <w:bookmarkStart w:id="68" w:name="__RefHeading___Toc7304608_3381743652"/>
      <w:bookmarkStart w:id="69" w:name="_Toc25"/>
      <w:bookmarkEnd w:id="67"/>
      <w:bookmarkEnd w:id="68"/>
      <w:r>
        <w:rPr>
          <w:rtl w:val="true"/>
        </w:rPr>
        <w:t>المحور الثالث في الثمرة الفقهية</w:t>
      </w:r>
      <w:bookmarkEnd w:id="69"/>
    </w:p>
    <w:p>
      <w:pPr>
        <w:pStyle w:val="BookText"/>
        <w:rPr/>
      </w:pPr>
      <w:r>
        <w:rPr>
          <w:rFonts w:ascii="Amiri" w:hAnsi="Amiri" w:eastAsia="Amiri" w:cs="Amiri"/>
          <w:color w:val="111111"/>
          <w:sz w:val="28"/>
          <w:sz w:val="28"/>
          <w:szCs w:val="28"/>
          <w:rtl w:val="true"/>
          <w:lang w:bidi="ar-SA"/>
        </w:rPr>
        <w:t>قد عرفت أنّ الكلام في هذا الفصل يدور على محاور ثلاثة، و قد مضى الحديث عن المحورين الأوّلين فلا نعود إليهما، و لنركِّز على المحور الثالث و هو ثمرة البحث،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ثمرة البحث هي بطلان الصلاة و صحّتها على القول بالاقتضاء و عدمه، فلو كان الأمر بالمضيَّق كالإزالة مقتضياً للنهي عن الموسَّع كالصلاة، فالصلاة تكون محكومة بالبطلان، و لو نُفِي الاقتضاء فلا تكون منهياً عنها و تكون صحيحة طبعاً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مجرّد ثبوت تعلّق النهي بالصلاة لا يكفي في استنتاج المسألة الفقهية بل يجب أن تُضم إليها مسألة أُصولية أُخرى، و هي انّ النهي في العبادات موجب للفساد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فاستنتاج البطلان موقوف على مقدّمتين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فالصغرى أي تعلّق النهي يثبت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 فترجع إلى المقصد الثاني و هو انّ النهي في العبادات يدلّ على الفساد</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يعلم أنّ المسألة الأُصولية تارة تكون علّة تامّة لاستنتاج المسألة </w:t>
      </w:r>
    </w:p>
    <w:p>
      <w:pPr>
        <w:pStyle w:val="BookText"/>
        <w:rPr/>
      </w:pPr>
      <w:r>
        <w:rPr>
          <w:rFonts w:ascii="Amiri" w:hAnsi="Amiri" w:eastAsia="Amiri" w:cs="Amiri"/>
          <w:color w:val="111111"/>
          <w:sz w:val="28"/>
          <w:sz w:val="28"/>
          <w:szCs w:val="28"/>
          <w:rtl w:val="true"/>
          <w:lang w:bidi="ar-SA"/>
        </w:rPr>
        <w:t>الفقهية كما هو الحال في حجّية خبر الواحد، و أُخرى تكون جزء العلّة كما في المقام حيث إنّ الصغرى على ذمّة هذا البحث و الكبرى على ذمّة المقصد الثاني، فبضم الأمرين يُستنتج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جماعة أنكروا الثمرة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على فرض ثبوته نهي غيري، و هو لا يكشف عن وجوب المفسدة في المتعلّق فلا يكون ملازماً للفساد، و إنّما يدلّ النهي على الفساد إذا كان كاشفاً عن وجود المفسدة في المتعلّق على نحو يكون مبغوضاً للمولى و هو من خصائص النهي النفسي لا الغيري كما في المقام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هذا من غير فرق بين كون النهي مستفاداً من مسلك المقدمية أو مسلك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فهو واضح، لأنّ ترك الصلاة مقدّمة لفعل الإزالة فيكون واجباً و يتعلّق به الأمر، لكن الأمر بترك الإزالة أمر مقدّمي يتولّد منه نهي غيري آخر، و هو النهي عن الصلاة بذريعة انّ الأمر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النهي عن ضدّه العام أي النقيض و هو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فقد عرفت أنّ استنباط النهي متوقّف على أنّ الأمر بالإزالة مقتض للنهي عن الضد العام،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الإزالة، و هذا النهي غيري يتولّد منه نهي آخر عن الصلاة لكونها ملازمة لترك الإزالة، و المتلازمان متحدان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لعلّنا نرجع إلى الإجابة عن هذا الإشكال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بهاء الدين العاملي من أنّ التكليف لإثبات النهي عن </w:t>
      </w:r>
      <w:bookmarkStart w:id="70" w:name="pg14356_186615"/>
    </w:p>
    <w:p>
      <w:pPr>
        <w:pStyle w:val="BookText"/>
        <w:rPr/>
      </w:pPr>
      <w:bookmarkEnd w:id="70"/>
      <w:r>
        <w:rPr>
          <w:rFonts w:ascii="Amiri" w:hAnsi="Amiri" w:eastAsia="Amiri" w:cs="Amiri"/>
          <w:color w:val="111111"/>
          <w:sz w:val="28"/>
          <w:sz w:val="28"/>
          <w:szCs w:val="28"/>
          <w:rtl w:val="true"/>
          <w:lang w:bidi="ar-SA"/>
        </w:rPr>
        <w:t>الصلاة أمر لا طائل تحته، إذ لا نحتاج في الحكم بفساد الصلاة إلى النهي، بل يكفي عدم الأمر بالصلاة، و هو أمر متفق عليه لظهور سقوط الأمر بالصلاة بعد الأمر بالإزالة، فكون الصلاة غير مأمور بها يكفي في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حاولوا الإجابة عن هذا الإشكال بوجوه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وجود الملاك في صحّة العبادة و لا يلزم قصد الأمر، و هذا ما أجاب به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قصد الأمر المتعلق بالطبيعة و إن كان الفرد المزاحَم فاقداً للأمر، و هو المستفاد من كلمات المحقّق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تصحيح الأمر بالصلاة عن طريق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دراسة الجميع واحداً تلو الآخر</w:t>
      </w:r>
      <w:r>
        <w:rPr>
          <w:rFonts w:eastAsia="Amiri" w:cs="Amiri" w:ascii="Amiri" w:hAnsi="Amiri"/>
          <w:color w:val="111111"/>
          <w:sz w:val="28"/>
          <w:szCs w:val="28"/>
          <w:rtl w:val="true"/>
          <w:lang w:bidi="ar-SA"/>
        </w:rPr>
        <w:t>:</w:t>
      </w:r>
    </w:p>
    <w:p>
      <w:pPr>
        <w:pStyle w:val="Heading6"/>
        <w:numPr>
          <w:ilvl w:val="5"/>
          <w:numId w:val="1"/>
        </w:numPr>
        <w:rPr/>
      </w:pPr>
      <w:bookmarkStart w:id="71" w:name="__RefHeading___Toc7304610_3381743652"/>
      <w:bookmarkStart w:id="72" w:name="_Toc26"/>
      <w:bookmarkEnd w:id="71"/>
      <w:r>
        <w:rPr>
          <w:rtl w:val="true"/>
        </w:rPr>
        <w:t>الأوّل</w:t>
      </w:r>
      <w:r>
        <w:rPr>
          <w:rtl w:val="true"/>
        </w:rPr>
        <w:t xml:space="preserve">: </w:t>
      </w:r>
      <w:r>
        <w:rPr>
          <w:rtl w:val="true"/>
        </w:rPr>
        <w:t>كفاية وجود الملاك في صحّة العبادة</w:t>
      </w:r>
      <w:bookmarkEnd w:id="72"/>
    </w:p>
    <w:p>
      <w:pPr>
        <w:pStyle w:val="BookText"/>
        <w:rPr/>
      </w:pPr>
      <w:r>
        <w:rPr>
          <w:rFonts w:ascii="Amiri" w:hAnsi="Amiri" w:eastAsia="Amiri" w:cs="Amiri"/>
          <w:color w:val="111111"/>
          <w:sz w:val="28"/>
          <w:sz w:val="28"/>
          <w:szCs w:val="28"/>
          <w:rtl w:val="true"/>
          <w:lang w:bidi="ar-SA"/>
        </w:rPr>
        <w:t>ذهب المحقّق الخراساني إلى أنّ الصحّة ليست رهن تعلّق الأمر بالعبادة فقط، بل الصحّة أعمّ من الأمر، و يكفي فيها أيضاً وجود الملاك و الرجحان الذاتي في العبادة، إذ الفرد المزاحم من العبادة و غير المزاحم سيّان في الملاك و المحبوبية الذاتية، إذ غاية ما أوجبه الابتلاء بالأهم هو سقوط أمره و أمّا سقوط ملاكه و رجحانه الذاتي و كونه معراج المؤمن و قربان كلّ تقي فهو بعد باق عليه</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بوجود الملاك فرع تعلّق الأمر بالصلاة و المفروض سقوطه، و معه كيف يعلم الملاك و انّها صالحة للتقرب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بعبارة أُخرى كما أنّ النهي يكشف عن عدم الملاك، فكذلك الأمر يكشف عن وجوده، و مع فقد الأمر فمن أين نستكشف وجود الملاك؟ </w:t>
      </w:r>
      <w:bookmarkStart w:id="73" w:name="pg14356_186616"/>
    </w:p>
    <w:p>
      <w:pPr>
        <w:pStyle w:val="BookText"/>
        <w:rPr/>
      </w:pPr>
      <w:bookmarkEnd w:id="73"/>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من قبيل المتزاحمين لا المتعارضين، و الملاك في كلّ من المتزاحمين موجود على نحو لو لا التزاحم لكان الفرد الموسَّع مأموراً به، و هذا معنى اشتماله على الملاك و إن لم يكن مأموراً به بالفعل، حتّى أنّ المحقّق النائيني جعل قصد الملاك أقوى في حصول التقرب من قصد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دليل على اعتبار أزيد من قصد التقرب بالعمل في وقوعه عبادة، و أمّا تطبيقه على قصد الأمر فإنّما هو بحكم العقل، و قصد الملاك لو لم يكن أقوى في حصول التقرب بنظر العقل من قصد الأمر فلا أقلّ من كونه مثله</w:t>
      </w:r>
      <w:r>
        <w:rPr>
          <w:rFonts w:eastAsia="Amiri" w:cs="Amiri" w:ascii="Amiri" w:hAnsi="Amiri"/>
          <w:color w:val="111111"/>
          <w:sz w:val="28"/>
          <w:szCs w:val="28"/>
          <w:rtl w:val="true"/>
          <w:lang w:bidi="ar-SA"/>
        </w:rPr>
        <w:t>.</w:t>
      </w:r>
      <w:r>
        <w:rPr>
          <w:rStyle w:val="FootnoteAnchor"/>
          <w:rtl w:val="true"/>
        </w:rPr>
        <w:footnoteReference w:id="14"/>
      </w:r>
    </w:p>
    <w:p>
      <w:pPr>
        <w:pStyle w:val="Heading6"/>
        <w:numPr>
          <w:ilvl w:val="5"/>
          <w:numId w:val="1"/>
        </w:numPr>
        <w:rPr/>
      </w:pPr>
      <w:bookmarkStart w:id="74" w:name="__RefHeading___Toc7304612_3381743652"/>
      <w:bookmarkStart w:id="75" w:name="_Toc27"/>
      <w:bookmarkEnd w:id="74"/>
      <w:r>
        <w:rPr>
          <w:rtl w:val="true"/>
        </w:rPr>
        <w:t>الثاني</w:t>
      </w:r>
      <w:r>
        <w:rPr>
          <w:rtl w:val="true"/>
        </w:rPr>
        <w:t xml:space="preserve">: </w:t>
      </w:r>
      <w:r>
        <w:rPr>
          <w:rtl w:val="true"/>
        </w:rPr>
        <w:t>كفاية قصد الأمر المتعلّق بالطبيعة</w:t>
      </w:r>
      <w:bookmarkEnd w:id="75"/>
    </w:p>
    <w:p>
      <w:pPr>
        <w:pStyle w:val="BookText"/>
        <w:rPr/>
      </w:pPr>
      <w:r>
        <w:rPr>
          <w:rFonts w:ascii="Amiri" w:hAnsi="Amiri" w:eastAsia="Amiri" w:cs="Amiri"/>
          <w:color w:val="111111"/>
          <w:sz w:val="28"/>
          <w:sz w:val="28"/>
          <w:szCs w:val="28"/>
          <w:rtl w:val="true"/>
          <w:lang w:bidi="ar-SA"/>
        </w:rPr>
        <w:t>و هذا الجواب مستنبط من كلام المحقّق الكركي و إن لم يكن هو بصدد الإجابة على إشكال بهاء الدين العاملي لتقدّم عصره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يستنبط من كلامه انّ البحث عديم الثمرة في المضيقين دون المضيّق و الموسّع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كإنقاذ الغريقين اللّذين أحدهما أهمّ من الآخر، فإنّ الأمر بالأهم يوجب سقوط الأمر بالمهم مطلقاً عن الفرد و الطبيعة، إذ ليس لها إلاّ فرد واحد مزاحم بالأهم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فتظهر فيه الثمرة، فأمّا إذا بنينا على عدم تعلّق النهي بالضد كما هو مفروض الإشكال فغايته انّه يوجب سقوط الأمر بالطبيعة المتحقّقة في الفرد المزاحم لعدم القدرة على الإتيان به شرعاً، و هو في حكم عدم القدرة عقلاً، لا سقوط الأمر عن الطبيعة بوجودها السعيّ، بل الأمر بها باق لعدم اختصاص </w:t>
      </w:r>
    </w:p>
    <w:p>
      <w:pPr>
        <w:pStyle w:val="BookText"/>
        <w:rPr/>
      </w:pPr>
      <w:r>
        <w:rPr>
          <w:rFonts w:ascii="Amiri" w:hAnsi="Amiri" w:eastAsia="Amiri" w:cs="Amiri"/>
          <w:color w:val="111111"/>
          <w:sz w:val="28"/>
          <w:sz w:val="28"/>
          <w:szCs w:val="28"/>
          <w:rtl w:val="true"/>
          <w:lang w:bidi="ar-SA"/>
        </w:rPr>
        <w:t>تحقّق الطبيعة بالفرد المزاحم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المزاحم و إن لم يكن من مصاديق الطبيعة المأمور بها و لكنّه من مصاديق مطلق الطبيعة، و ملاك الامتثال إنّما هو انطباق عنوان الطبيعة على الفرد الخارجي لا كون الفرد الخارجي بشخصه مأموراً به، فهو مصداق الطبيعة و إن لم يكن مصداق الطبيعة المأمور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الثابت هو سقوط الأمر عن هذا الفرد فواضح، لا سقوطه عن الطبيعة، و ذلك لأنّ الواجب الموسّع له أفراد غير مزاحمة و إنّما المزاحمة بين المضيق و الفرد المزاحم من الموسع، فيأتي الفرد بنية الأمر بالطبيعة باعتبار انّ لها مصاديق غير مزاحمة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المستفاد من كلام المحقّق الكركي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الدين</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المتعلّق بالطبيعة يتصوّر 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وجوبها إنشائياً ما دام الأهم غير مأتي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وجوبها فعلياً و الواجب استقبالياً، و المراد من الاستقبالي تعيّن الإتيان بالمهم بعد الإتيان بالأهم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الوجوب و الواجب فعليّين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الأمر الإنشائي لا يمكن التقرّب به، لأنّ المفروض عدم بلوغ إرادة المولى حدّ الطلب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لا يصحّ الإتيان بالفرد المزاحم، لأنّ المفروض انّ الطبيعة مقيدة بالزمان المتأخّر عن الإتيان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و هو يستلزم أن يكون كلّ من الوجوب و الواجب فعليين، فهو يستلزم الأمر بالضدين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فالإتيان بالمهم في الأمر المتعلّق بالطبيعة لا ينجع، لأنّه بين كون الأمر إنشائياً أو الواجب استقبالياً و بين استلزامه طلب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هو انّ الأمر المتعلّق بصرف الوجود أو نفس الطبيعة باعثاً و داعياً بالنسبة إلى هذا الفرد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يلزم التكليف بالضدّين، و على الثاني لا يصحّ الإتيان بهذا الفرد بنية الأمر المتعلّق بالطبيعة لافتراض عدم باعثيته له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فإذا كان الجواب الأوّل أي إتيان الصلاة بملاكها أو إتيانها بلحاظ الأمر المتعلّق بالطبيعة ناجعاً في إضفاء الصحة على الصلاة فهو، و إلاّ فلا بدّ من سلوك طريق آخر، و هو تصوير تعلّق الأمر بالمهم مشروطاً بعصيان أمر الأهم و هذا هو البحث المعروف بالترتب، لترتب الأمر المتعلق بالمهم على عصيان الأمر الأهم</w:t>
      </w:r>
      <w:r>
        <w:rPr>
          <w:rFonts w:eastAsia="Amiri" w:cs="Amiri" w:ascii="Amiri" w:hAnsi="Amiri"/>
          <w:color w:val="111111"/>
          <w:sz w:val="28"/>
          <w:szCs w:val="28"/>
          <w:rtl w:val="true"/>
          <w:lang w:bidi="ar-SA"/>
        </w:rPr>
        <w:t xml:space="preserve">. </w:t>
      </w:r>
      <w:bookmarkStart w:id="76" w:name="pg14356_186619"/>
    </w:p>
    <w:p>
      <w:pPr>
        <w:pStyle w:val="Heading4"/>
        <w:numPr>
          <w:ilvl w:val="3"/>
          <w:numId w:val="1"/>
        </w:numPr>
        <w:rPr/>
      </w:pPr>
      <w:bookmarkStart w:id="77" w:name="__RefHeading___Toc7304614_3381743652"/>
      <w:bookmarkStart w:id="78" w:name="_Toc28"/>
      <w:bookmarkEnd w:id="76"/>
      <w:bookmarkEnd w:id="77"/>
      <w:r>
        <w:rPr>
          <w:rtl w:val="true"/>
        </w:rPr>
        <w:t>الأمر بالضدين على نحو الترتّب</w:t>
      </w:r>
      <w:bookmarkEnd w:id="78"/>
    </w:p>
    <w:p>
      <w:pPr>
        <w:pStyle w:val="Heading5"/>
        <w:numPr>
          <w:ilvl w:val="4"/>
          <w:numId w:val="1"/>
        </w:numPr>
        <w:rPr/>
      </w:pPr>
      <w:bookmarkStart w:id="79" w:name="__RefHeading___Toc7304616_3381743652"/>
      <w:bookmarkStart w:id="80" w:name="_Toc29"/>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إنّ الترتّب من المسائل الشائكة التي تضاربت فيه الأقوال و الآراء، و بما انّها من أُمّهات المسائل الأُصولية التي يستنبط بها مسائل مختلفة كما سنشير إليها،</w:t>
      </w:r>
    </w:p>
    <w:p>
      <w:pPr>
        <w:pStyle w:val="Heading5"/>
        <w:numPr>
          <w:ilvl w:val="4"/>
          <w:numId w:val="1"/>
        </w:numPr>
        <w:rPr/>
      </w:pPr>
      <w:bookmarkStart w:id="81" w:name="__RefHeading___Toc7304618_3381743652"/>
      <w:bookmarkStart w:id="82" w:name="_Toc30"/>
      <w:bookmarkEnd w:id="81"/>
      <w:r>
        <w:rPr>
          <w:rtl w:val="true"/>
        </w:rPr>
        <w:t>نقدم أُموراً قبل الخوض في صلب الموضوع</w:t>
      </w:r>
      <w:r>
        <w:rPr>
          <w:rtl w:val="true"/>
        </w:rPr>
        <w:t>.</w:t>
      </w:r>
      <w:bookmarkEnd w:id="82"/>
    </w:p>
    <w:p>
      <w:pPr>
        <w:pStyle w:val="Heading6"/>
        <w:numPr>
          <w:ilvl w:val="5"/>
          <w:numId w:val="1"/>
        </w:numPr>
        <w:rPr/>
      </w:pPr>
      <w:bookmarkStart w:id="83" w:name="__RefHeading___Toc7304620_3381743652"/>
      <w:bookmarkStart w:id="84" w:name="_Toc31"/>
      <w:bookmarkEnd w:id="83"/>
      <w:r>
        <w:rPr>
          <w:rtl w:val="true"/>
        </w:rPr>
        <w:t>الأوّل</w:t>
      </w:r>
      <w:r>
        <w:rPr>
          <w:rtl w:val="true"/>
        </w:rPr>
        <w:t xml:space="preserve">: </w:t>
      </w:r>
      <w:r>
        <w:rPr>
          <w:rtl w:val="true"/>
        </w:rPr>
        <w:t>الفرق بين التعارض و التزاحم</w:t>
      </w:r>
      <w:bookmarkEnd w:id="84"/>
    </w:p>
    <w:p>
      <w:pPr>
        <w:pStyle w:val="BookText"/>
        <w:rPr/>
      </w:pPr>
      <w:r>
        <w:rPr>
          <w:rFonts w:ascii="Amiri" w:hAnsi="Amiri" w:eastAsia="Amiri" w:cs="Amiri"/>
          <w:color w:val="111111"/>
          <w:sz w:val="28"/>
          <w:sz w:val="28"/>
          <w:szCs w:val="28"/>
          <w:rtl w:val="true"/>
          <w:lang w:bidi="ar-SA"/>
        </w:rPr>
        <w:t>يستعمل لفظ التزاحم في هذا الباب و مبحث اجتماع الأمر و النهي، فلا بدّ من توضيح المراد في المقام فقط،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التعارض و التزاحم يجمعهما وجود التنافي بين الدليلين و إنّما الاختلاف في مصبِّه،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التعارض عبارة عن تنافي الدليلين في الجعل و الإنشاء بأن يستحيل من المقنن الحكيم، صدور حكمين أو جعلين حقيقيين لغاية الامتثال فهو التعارض و يعرف بالتنافي بين مدلولي الدليلين في مقام الجعل و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يستحيل على الحكيم أن يحرّم بيع العذرة و في الوقت نفسه أن يبيحها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العذرة سحت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بأس ببيع العذرة، إذ لا تنقدح الإرادتان المتضادتان في نفس المقنن على وجه الجد، فيُعلم كذب أحد الدليلين و عدم صدور واحد منهما في مقام التشريع</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التكاذب بين الدليلين تارة يكون بالذات كما في المثال المذكور، </w:t>
      </w:r>
    </w:p>
    <w:p>
      <w:pPr>
        <w:pStyle w:val="BookText"/>
        <w:rPr/>
      </w:pPr>
      <w:r>
        <w:rPr>
          <w:rFonts w:ascii="Amiri" w:hAnsi="Amiri" w:eastAsia="Amiri" w:cs="Amiri"/>
          <w:color w:val="111111"/>
          <w:sz w:val="28"/>
          <w:sz w:val="28"/>
          <w:szCs w:val="28"/>
          <w:rtl w:val="true"/>
          <w:lang w:bidi="ar-SA"/>
        </w:rPr>
        <w:t>و أُخرى بالعرض، كما إذا ورد الدليل على وجوب صلاة الظهر و صلاة الجمعة في يومها، فانّ الدليلين خاليان من التنافي في مقام الجعل، إذ لا مانع من إيجاب صلاتين في وقت واحد يسع كلاً منهما لكن بعد ما علمنا أنّ الشارع لم يكتب يوم الجمعة على المكلّف إلاّ فريضة واحدة، عرضهما التكاذب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يشترط في التعارض التنافي في مقام الامتثال، بل يمكن أن يكون المتعارضان ممكني الامتثال، كما إذا دلّ أحد الدليلين على وجوب الشيء و الآخر على استحبابه أو إباحته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يكون ممتنعي الامتثال، كما إذا دلّ أحدهما على الوجوب و الآخر على الحرمة و الجامع بين عامة الأقسام وجود التكاذب في مقام الجعل و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التزاحم فهو عبارة عن وجود التنافي بين الحكمين في مقام الامتثال بمعنى عدم المنافاة في مقام الجعل و التشريع، بل الحكمان في ذلك المقام متلائمان غير أنّ عجز المكلّف و قصور قدرته صار سبباً لحدوث التنافي بين الدليلين،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انقذ أخاك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انقذ عمّك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الحكمين و الأمر بإنقاذ كلا الشخصين ليس فيه أي تناف في مقام الإنشاء، و لذلك لو ابتلى المكلّف بهما متعاقباً لا مجتمعاً تمكّن من الامتثال، و إنّما التنافي في مقام الامتثال عند ما ابتلي بهما جمعاً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المقام فإذا قال المولى أزل النجاسة عن المسجد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فليس هناك أيّ تناف بين الدليلين لا في مقام الجعل كما هو واضح لاختلاف الموضوعين، بل و لا في مقام الامتثال، كما إذا ابتلى بأحدهما بعد الآخر، و إنّما التنافي فيما إذا ابتلى بهما معاً حيث يعجز عن القيام بالأمرين معاً</w:t>
      </w:r>
      <w:r>
        <w:rPr>
          <w:rFonts w:eastAsia="Amiri" w:cs="Amiri" w:ascii="Amiri" w:hAnsi="Amiri"/>
          <w:color w:val="111111"/>
          <w:sz w:val="28"/>
          <w:szCs w:val="28"/>
          <w:rtl w:val="true"/>
          <w:lang w:bidi="ar-SA"/>
        </w:rPr>
        <w:t xml:space="preserve">. </w:t>
      </w:r>
      <w:bookmarkStart w:id="85" w:name="pg14356_186621"/>
    </w:p>
    <w:p>
      <w:pPr>
        <w:pStyle w:val="BookText"/>
        <w:rPr/>
      </w:pPr>
      <w:bookmarkEnd w:id="85"/>
      <w:r>
        <w:rPr>
          <w:rFonts w:ascii="Amiri" w:hAnsi="Amiri" w:eastAsia="Amiri" w:cs="Amiri"/>
          <w:color w:val="111111"/>
          <w:sz w:val="28"/>
          <w:sz w:val="28"/>
          <w:szCs w:val="28"/>
          <w:rtl w:val="true"/>
          <w:lang w:bidi="ar-SA"/>
        </w:rPr>
        <w:t>و هذا هو المسمّى بالتزاحم بمعنى انّ صرف القدرة في أحدهما يمنع المكلّف عن الصرف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تفسير التعارض و التزاحم على هذا النحو هو خيرة المحقّق النائيني و تلاميذ مدرسته، و قد خالف في تفسيره المحقّق الخراساني و سيوافيك تفسيره في باب اجتماع الأمر و النهي عند الكلام في الأمر الثامن و التاسع من مقدّمات البحث</w:t>
      </w:r>
      <w:r>
        <w:rPr>
          <w:rFonts w:eastAsia="Amiri" w:cs="Amiri" w:ascii="Amiri" w:hAnsi="Amiri"/>
          <w:color w:val="111111"/>
          <w:sz w:val="28"/>
          <w:szCs w:val="28"/>
          <w:rtl w:val="true"/>
          <w:lang w:bidi="ar-SA"/>
        </w:rPr>
        <w:t>.</w:t>
      </w:r>
    </w:p>
    <w:p>
      <w:pPr>
        <w:pStyle w:val="Heading6"/>
        <w:numPr>
          <w:ilvl w:val="5"/>
          <w:numId w:val="1"/>
        </w:numPr>
        <w:rPr/>
      </w:pPr>
      <w:bookmarkStart w:id="86" w:name="__RefHeading___Toc7304622_3381743652"/>
      <w:bookmarkStart w:id="87" w:name="_Toc32"/>
      <w:bookmarkEnd w:id="86"/>
      <w:r>
        <w:rPr>
          <w:rtl w:val="true"/>
        </w:rPr>
        <w:t>الثاني</w:t>
      </w:r>
      <w:r>
        <w:rPr>
          <w:rtl w:val="true"/>
        </w:rPr>
        <w:t xml:space="preserve">: </w:t>
      </w:r>
      <w:r>
        <w:rPr>
          <w:rtl w:val="true"/>
        </w:rPr>
        <w:t>مرجحات التعارض غير مرجحات التزاحم</w:t>
      </w:r>
      <w:bookmarkEnd w:id="87"/>
    </w:p>
    <w:p>
      <w:pPr>
        <w:pStyle w:val="BookText"/>
        <w:rPr/>
      </w:pPr>
      <w:r>
        <w:rPr>
          <w:rFonts w:ascii="Amiri" w:hAnsi="Amiri" w:eastAsia="Amiri" w:cs="Amiri"/>
          <w:color w:val="111111"/>
          <w:sz w:val="28"/>
          <w:sz w:val="28"/>
          <w:szCs w:val="28"/>
          <w:rtl w:val="true"/>
          <w:lang w:bidi="ar-SA"/>
        </w:rPr>
        <w:t>إذا كان التعارض يختلف بجوهره عن التزاحم فمرجّحات الأوّل غير مرجّحات الثاني، أمّا الأوّل فبما انّ التعارض هناك يرجع إلى مقام الجعل و التشريع فتمييز الصادق عن الكاذب رهن المرجحات التي يذكرها الشارع لتلك الغاية و ليس للعقل إليها سبيل، و ستوافيك تلك المرجحات في المقصد الثامن عند البحث عن التعادل و الترجيح، و أمّا مرجحات باب التزاحم فبما انّ التنافي خارج عن مصب التشريع و لا صلة له بالشارع و إنّما يرجع إلى قصور قدرة المكلّف عن الامتثال، فللعقل سبيل إلى تعيين المرجّحات و هو تقديم الأهم بالذات أو بالعرض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عناوين تلك المرجّحات عبارة عن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ما لا بدل له على ما له بدل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المضيق على الموسع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الأهم بالذات على 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سبق أحد الحكمين زماناً</w:t>
      </w:r>
      <w:r>
        <w:rPr>
          <w:rFonts w:eastAsia="Amiri" w:cs="Amiri" w:ascii="Amiri" w:hAnsi="Amiri"/>
          <w:color w:val="111111"/>
          <w:sz w:val="28"/>
          <w:szCs w:val="28"/>
          <w:rtl w:val="true"/>
          <w:lang w:bidi="ar-SA"/>
        </w:rPr>
        <w:t xml:space="preserve">. </w:t>
      </w:r>
      <w:bookmarkStart w:id="88" w:name="pg14356_186622"/>
    </w:p>
    <w:p>
      <w:pPr>
        <w:pStyle w:val="BookText"/>
        <w:rPr/>
      </w:pPr>
      <w:bookmarkEnd w:id="88"/>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تقديم الواجب المطلق على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انّا قد استوفينا الكلام فيها تبعاً لشيخنا الأُستاذ مدّ ظلّه في باب التعادل و التراجيح نطوي الكلام فيها و إن شئت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العقول </w:t>
      </w:r>
      <w:r>
        <w:rPr>
          <w:rFonts w:eastAsia="Amiri" w:cs="Amiri" w:ascii="Amiri" w:hAnsi="Amiri"/>
          <w:color w:val="111111"/>
          <w:sz w:val="28"/>
          <w:szCs w:val="28"/>
          <w:rtl w:val="true"/>
          <w:lang w:bidi="ar-SA"/>
        </w:rPr>
        <w:t>«.</w:t>
      </w:r>
      <w:r>
        <w:rPr>
          <w:rStyle w:val="FootnoteAnchor"/>
          <w:rtl w:val="true"/>
        </w:rPr>
        <w:footnoteReference w:id="17"/>
      </w:r>
    </w:p>
    <w:p>
      <w:pPr>
        <w:pStyle w:val="Heading6"/>
        <w:numPr>
          <w:ilvl w:val="5"/>
          <w:numId w:val="1"/>
        </w:numPr>
        <w:rPr/>
      </w:pPr>
      <w:bookmarkStart w:id="89" w:name="__RefHeading___Toc7304624_3381743652"/>
      <w:bookmarkStart w:id="90" w:name="_Toc33"/>
      <w:bookmarkEnd w:id="89"/>
      <w:r>
        <w:rPr>
          <w:rtl w:val="true"/>
        </w:rPr>
        <w:t>الثالث</w:t>
      </w:r>
      <w:r>
        <w:rPr>
          <w:rtl w:val="true"/>
        </w:rPr>
        <w:t xml:space="preserve">: </w:t>
      </w:r>
      <w:r>
        <w:rPr>
          <w:rtl w:val="true"/>
        </w:rPr>
        <w:t>في تعريف الترتّب</w:t>
      </w:r>
      <w:bookmarkEnd w:id="90"/>
    </w:p>
    <w:p>
      <w:pPr>
        <w:pStyle w:val="BookText"/>
        <w:rPr/>
      </w:pPr>
      <w:r>
        <w:rPr>
          <w:rFonts w:ascii="Amiri" w:hAnsi="Amiri" w:eastAsia="Amiri" w:cs="Amiri"/>
          <w:color w:val="111111"/>
          <w:sz w:val="28"/>
          <w:sz w:val="28"/>
          <w:szCs w:val="28"/>
          <w:rtl w:val="true"/>
          <w:lang w:bidi="ar-SA"/>
        </w:rPr>
        <w:t>إنّ الترتّب عبارة عن تعلّق أمر فعلي بواجب أهم على وجه الإطلاق بلا تقييد بشيء و تعلّق أمر فعلي آخر بضدّه المهم مشروطاً بعصيان ذلك الأمر المتعلّق بالأهم على نحو الشرط المتأخر أو بالعزم على عصيانه، و تظهر حقيقة الترتّب في المثالين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الواجبان مضيّقين، كما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 ولدي فإن عصيت فأنقذ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الواجبين مضيّقاً و الآخر موسّعاً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النجاسة فإن عصيت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كلا التقديرين يكون أحد الأمرين مطلقاً و الآخر مشروطاً بالعصيان</w:t>
      </w:r>
      <w:r>
        <w:rPr>
          <w:rFonts w:eastAsia="Amiri" w:cs="Amiri" w:ascii="Amiri" w:hAnsi="Amiri"/>
          <w:color w:val="111111"/>
          <w:sz w:val="28"/>
          <w:szCs w:val="28"/>
          <w:rtl w:val="true"/>
          <w:lang w:bidi="ar-SA"/>
        </w:rPr>
        <w:t>.</w:t>
      </w:r>
    </w:p>
    <w:p>
      <w:pPr>
        <w:pStyle w:val="Heading6"/>
        <w:numPr>
          <w:ilvl w:val="5"/>
          <w:numId w:val="1"/>
        </w:numPr>
        <w:rPr/>
      </w:pPr>
      <w:bookmarkStart w:id="91" w:name="__RefHeading___Toc7304626_3381743652"/>
      <w:bookmarkStart w:id="92" w:name="_Toc34"/>
      <w:bookmarkEnd w:id="91"/>
      <w:r>
        <w:rPr>
          <w:rtl w:val="true"/>
        </w:rPr>
        <w:t>الرابع</w:t>
      </w:r>
      <w:r>
        <w:rPr>
          <w:rtl w:val="true"/>
        </w:rPr>
        <w:t xml:space="preserve">: </w:t>
      </w:r>
      <w:r>
        <w:rPr>
          <w:rtl w:val="true"/>
        </w:rPr>
        <w:t>صحّة الترتّب و عدمها عقلي</w:t>
      </w:r>
      <w:bookmarkEnd w:id="92"/>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عن صحّة الترتّب و عدمها بحث عقلي لا دخالة للّفظ فيه و ذكره في أبواب مباحث الألفاظ كذكر أحكام الملازمات في باب الأوامر مع أنّ البحث فيها عن الملازمة العقلية</w:t>
      </w:r>
      <w:r>
        <w:rPr>
          <w:rFonts w:eastAsia="Amiri" w:cs="Amiri" w:ascii="Amiri" w:hAnsi="Amiri"/>
          <w:color w:val="111111"/>
          <w:sz w:val="28"/>
          <w:szCs w:val="28"/>
          <w:rtl w:val="true"/>
          <w:lang w:bidi="ar-SA"/>
        </w:rPr>
        <w:t xml:space="preserve">. </w:t>
      </w:r>
      <w:bookmarkStart w:id="93" w:name="pg14356_186623"/>
    </w:p>
    <w:p>
      <w:pPr>
        <w:pStyle w:val="Heading6"/>
        <w:numPr>
          <w:ilvl w:val="5"/>
          <w:numId w:val="1"/>
        </w:numPr>
        <w:rPr/>
      </w:pPr>
      <w:bookmarkStart w:id="94" w:name="__RefHeading___Toc7304628_3381743652"/>
      <w:bookmarkStart w:id="95" w:name="_Toc35"/>
      <w:bookmarkEnd w:id="93"/>
      <w:bookmarkEnd w:id="94"/>
      <w:r>
        <w:rPr>
          <w:rtl w:val="true"/>
        </w:rPr>
        <w:t>الخامس</w:t>
      </w:r>
      <w:r>
        <w:rPr>
          <w:rtl w:val="true"/>
        </w:rPr>
        <w:t xml:space="preserve">: </w:t>
      </w:r>
      <w:r>
        <w:rPr>
          <w:rtl w:val="true"/>
        </w:rPr>
        <w:t>الترتّب يكفي في وقوعه إمكانه</w:t>
      </w:r>
      <w:bookmarkEnd w:id="95"/>
    </w:p>
    <w:p>
      <w:pPr>
        <w:pStyle w:val="BookText"/>
        <w:rPr/>
      </w:pPr>
      <w:r>
        <w:rPr>
          <w:rFonts w:ascii="Amiri" w:hAnsi="Amiri" w:eastAsia="Amiri" w:cs="Amiri"/>
          <w:color w:val="111111"/>
          <w:sz w:val="28"/>
          <w:sz w:val="28"/>
          <w:szCs w:val="28"/>
          <w:rtl w:val="true"/>
          <w:lang w:bidi="ar-SA"/>
        </w:rPr>
        <w:t>إنّ مسألة الترتّب من المسائل التي يكفي في وقوعها إمكانها، و ذلك لأنّه إذا ابتلى المكلّف في أوّل الظهر مثلاً بواجبين أحدهما مضيق و الآخر موسّع، فيدور الأمر لأجل رفع التنافي بين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رفع اليد عن نفس الأمر بالمهم مطلقاً و القول بسقوطه كما عليه شيخنا بهاء الدين العاملي حيث زعم انّ الأمر بالإزالة موجب لسقوط الأمر بالصلاة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 عن إطلاق الأمر بالمهم بأن يُقيّد بعصيان أمر الأهم، فلو كان تقييد الأمر بالمهم كافياً لرفع التنافي فلا وجه لرفع اليد عن أصل الأمر، لأنّ الضروريات تتقدر بقدرها، فمن صحّح الترتّب أخذ به، و من لم يصحّحه رفع اليد عن الأمر بالمهم أساساً</w:t>
      </w:r>
      <w:r>
        <w:rPr>
          <w:rFonts w:eastAsia="Amiri" w:cs="Amiri" w:ascii="Amiri" w:hAnsi="Amiri"/>
          <w:color w:val="111111"/>
          <w:sz w:val="28"/>
          <w:szCs w:val="28"/>
          <w:rtl w:val="true"/>
          <w:lang w:bidi="ar-SA"/>
        </w:rPr>
        <w:t>.</w:t>
      </w:r>
    </w:p>
    <w:p>
      <w:pPr>
        <w:pStyle w:val="Heading6"/>
        <w:numPr>
          <w:ilvl w:val="5"/>
          <w:numId w:val="1"/>
        </w:numPr>
        <w:rPr/>
      </w:pPr>
      <w:bookmarkStart w:id="96" w:name="__RefHeading___Toc7304630_3381743652"/>
      <w:bookmarkStart w:id="97" w:name="_Toc36"/>
      <w:bookmarkEnd w:id="96"/>
      <w:r>
        <w:rPr>
          <w:rtl w:val="true"/>
        </w:rPr>
        <w:t>السادس</w:t>
      </w:r>
      <w:r>
        <w:rPr>
          <w:rtl w:val="true"/>
        </w:rPr>
        <w:t xml:space="preserve">: </w:t>
      </w:r>
      <w:r>
        <w:rPr>
          <w:rtl w:val="true"/>
        </w:rPr>
        <w:t>الأمر بالمهم فعليّ كالأهم</w:t>
      </w:r>
      <w:bookmarkEnd w:id="97"/>
    </w:p>
    <w:p>
      <w:pPr>
        <w:pStyle w:val="BookText"/>
        <w:rPr/>
      </w:pPr>
      <w:r>
        <w:rPr>
          <w:rFonts w:ascii="Amiri" w:hAnsi="Amiri" w:eastAsia="Amiri" w:cs="Amiri"/>
          <w:color w:val="111111"/>
          <w:sz w:val="28"/>
          <w:sz w:val="28"/>
          <w:szCs w:val="28"/>
          <w:rtl w:val="true"/>
          <w:lang w:bidi="ar-SA"/>
        </w:rPr>
        <w:t>إنّ واقع الترتّب يقوم على أساس توجه أمرين فعليين إلى المكلّف أحد الأمرين مطلق و الآخر مشروط</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ففي الوقت الذي يكون الأمر بالمهم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فعلياً يكون الأمر بالإزالة أيضاً فعلياً لم يَسقط بعدُ لا بالامتثال و لا بالعصيان، فلأجل تصحيح الجمع بين الأمرين الفعليين يبقى الأمر بالأهم على إطلاقه، و يُقيّد الأمر بالمهمّ بالعصيان على نحو يكون الأمر معه فعليّاً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لا بدّ من الدقة في الشرط الذي يخرج الأمر بالمهم عن إطلاقه و يصيره مشروطاً مع كونه فعلياً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فالجمع بين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بالمهم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بالمهم فعلياً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الأمر بالأهم غير ساقط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دقيق يحتاج إلى مزيد من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يمكن أن يجمع بين هذه الأُمور هو عبارة عن جعل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العصيان شرطاً للأمر بالمهم لكن على نحو الشرط المتأخر لا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الشرط المتأخر للتكاليف هو ما يكون الشرط متقدماً لحاظاً و متأخراً وجوداً، و في المقام انّ المولى يتصور عصيان العبد بالنسبة إلى الأمر بالأهم في المستقبل، ففي ذاك الظرف الذي يكون العصيان متقدماً لحاظاً و متأخراً وجوداً يأمر بالمهم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عصيت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فالشرائط الثلاثة الآنفة الذكر محقّقة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الأمر بالمهم مشروط بالعصيان بنحو الشرط المتأخر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الأمر بالمهم فعلياً لوجود شرطه و هو العصيان لكن بنحو الشرط المتأخر بمعنى تحقّقه لحاظاً لا خارجاً، و إلاّ فلو تحقق خارجاً لسقط الأمر بالإزالة و لا يوجد في ظرف التكليف إلاّ الأمر بالمهم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الأمر بالأهم غير ساقط، لأنّه إنّما يسقط بالطاعة أو بالعصيان الخارجي المتقدّم على الأمر بالصلاة و المفروض انتفاؤهما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الامتثال فظاهر، و أمّا العصيان فالمفروض انّه لم يتحقّق بعدُ كما هو </w:t>
      </w:r>
    </w:p>
    <w:p>
      <w:pPr>
        <w:pStyle w:val="BookText"/>
        <w:rPr/>
      </w:pPr>
      <w:r>
        <w:rPr>
          <w:rFonts w:ascii="Amiri" w:hAnsi="Amiri" w:eastAsia="Amiri" w:cs="Amiri"/>
          <w:color w:val="111111"/>
          <w:sz w:val="28"/>
          <w:sz w:val="28"/>
          <w:szCs w:val="28"/>
          <w:rtl w:val="true"/>
          <w:lang w:bidi="ar-SA"/>
        </w:rPr>
        <w:t>مقتضى أخذ العصيان على نحو الشرط المتأخر وجوده، و بذلك يعلم سرّ أخذ الشرط على نحو الشرط المتأخر لا المتقدّم بوجوده و لا المقارن، لأنّ العصيان المتقدم بوجوده يوجب سقوط الأمر بالإزالة و انحصار التكليف بامتثال الأمر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العصيان المقارن فلأنّ الكلام في الأُمور التدريجية و لا يتصوّر فيها العصيان التدريجي، بل في الأُمور الدفعية كعصيان الأمر بإنقاذ الولد شرطاً مقارنها للأمر بإنقاذ الأجنبي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يمكن أن يكون العصيان الخارجي شرطاً للأمر بالمهم لكن بنحو الشرط المتأخر يمكن أن يكون الشرط المأخوذ في المهم هو عزم المكلّف بالعصيان، و الفرق بين الأمرين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يكون الشرط هو العصيان الخارجي بوجوده المتأخر و مرجعه إلى لحاظ المولى العصيان شرطاً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فالشرط هو نية المكلّف و عزمه على العصيان، و من المعلوم أنّ التكليف بالأهم لا يسقط بالعزم و النية فيكون الأمران فعليين متجانسين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تختلف مسألة عزم العصيان مع العصيان المتقدم حيث إنّ الأوّل لا يوجب سقوط التكليف بالأهم بخلاف الثاني</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علمت ذلك فلنرجع إلى تقرير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له تقريبات مختلفة نأتي بها واحد بعد الآخر</w:t>
      </w:r>
      <w:r>
        <w:rPr>
          <w:rFonts w:eastAsia="Amiri" w:cs="Amiri" w:ascii="Amiri" w:hAnsi="Amiri"/>
          <w:color w:val="111111"/>
          <w:sz w:val="28"/>
          <w:szCs w:val="28"/>
          <w:rtl w:val="true"/>
          <w:lang w:bidi="ar-SA"/>
        </w:rPr>
        <w:t xml:space="preserve">. </w:t>
      </w:r>
      <w:bookmarkStart w:id="98" w:name="pg14356_186626"/>
    </w:p>
    <w:p>
      <w:pPr>
        <w:pStyle w:val="Heading5"/>
        <w:numPr>
          <w:ilvl w:val="4"/>
          <w:numId w:val="1"/>
        </w:numPr>
        <w:rPr/>
      </w:pPr>
      <w:bookmarkStart w:id="99" w:name="__RefHeading___Toc7304632_3381743652"/>
      <w:bookmarkStart w:id="100" w:name="_Toc37"/>
      <w:bookmarkEnd w:id="98"/>
      <w:bookmarkEnd w:id="99"/>
      <w:r>
        <w:rPr>
          <w:rtl w:val="true"/>
        </w:rPr>
        <w:t>التقريب الأوّل للترتّب</w:t>
      </w:r>
      <w:bookmarkEnd w:id="100"/>
    </w:p>
    <w:p>
      <w:pPr>
        <w:pStyle w:val="Heading6"/>
        <w:numPr>
          <w:ilvl w:val="5"/>
          <w:numId w:val="1"/>
        </w:numPr>
        <w:rPr/>
      </w:pPr>
      <w:bookmarkStart w:id="101" w:name="__RefHeading___Toc7304634_3381743652"/>
      <w:bookmarkStart w:id="102" w:name="_Toc38"/>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قد قرر صاحب الكفاية دليل جواز الترتّب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مانع عقلاً عن تعلّق الأمر بالضدّين كذلك أي بأن يكون الأمر بالأهم مطلقاً و الأمر بغيره معلقاً على عصيان ذلك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الشرط المتأخر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البناء و العزم عليه بل هو واقع كثيراً عرفاً</w:t>
      </w:r>
      <w:r>
        <w:rPr>
          <w:rFonts w:eastAsia="Amiri" w:cs="Amiri" w:ascii="Amiri" w:hAnsi="Amiri"/>
          <w:color w:val="111111"/>
          <w:sz w:val="28"/>
          <w:szCs w:val="28"/>
          <w:rtl w:val="true"/>
          <w:lang w:bidi="ar-SA"/>
        </w:rPr>
        <w:t>.</w:t>
      </w:r>
      <w:r>
        <w:rPr>
          <w:rStyle w:val="FootnoteAnchor"/>
          <w:rtl w:val="true"/>
        </w:rPr>
        <w:footnoteReference w:id="18"/>
      </w:r>
    </w:p>
    <w:p>
      <w:pPr>
        <w:pStyle w:val="Heading6"/>
        <w:numPr>
          <w:ilvl w:val="5"/>
          <w:numId w:val="1"/>
        </w:numPr>
        <w:rPr/>
      </w:pPr>
      <w:bookmarkStart w:id="103" w:name="__RefHeading___Toc7304636_3381743652"/>
      <w:bookmarkStart w:id="104" w:name="_Toc39"/>
      <w:bookmarkEnd w:id="103"/>
      <w:r>
        <w:rPr>
          <w:rtl w:val="true"/>
        </w:rPr>
        <w:t>نقد المحقّق الخراساني دليل القائل بالترتّب</w:t>
      </w:r>
      <w:bookmarkEnd w:id="104"/>
    </w:p>
    <w:p>
      <w:pPr>
        <w:pStyle w:val="BookText"/>
        <w:rPr/>
      </w:pPr>
      <w:r>
        <w:rPr>
          <w:rFonts w:ascii="Amiri" w:hAnsi="Amiri" w:eastAsia="Amiri" w:cs="Amiri"/>
          <w:color w:val="111111"/>
          <w:sz w:val="28"/>
          <w:sz w:val="28"/>
          <w:szCs w:val="28"/>
          <w:rtl w:val="true"/>
          <w:lang w:bidi="ar-SA"/>
        </w:rPr>
        <w:t>إنّ المحقّق الخراساني نقد الدليل المذكور بما هذا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ملاك الامتناع في الأمرين المطلقين متوفر في الأمرين اللّذين أحدهما مطلق و الآخر مشروط، فانّ ملاك امتناع الأمرين العرضيين عبارة عن استلزامهما طلب الضدين،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النجاسة و في الوقت نفسه صلِّ، فمعنى ذلك طلب الضدّين مع عدم تمكين المكلّف من صرف القدرة إلاّ في امتثال أحد الأمرين</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الضدين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الملاك في امتناع الأمرين العرضيين المطلقين، فهو أيضاً موجود في الأمرين اللّذين أحدهما مطلق و الآخر مشروط، و ذلك لأنّ الأمر بالمهم و إن لم يكن في مرتبة الأمر بالأهم لكن الأمر بالأهم موجود </w:t>
      </w:r>
      <w:bookmarkStart w:id="105" w:name="pg14356_186627"/>
    </w:p>
    <w:p>
      <w:pPr>
        <w:pStyle w:val="BookText"/>
        <w:rPr/>
      </w:pPr>
      <w:bookmarkEnd w:id="105"/>
      <w:r>
        <w:rPr>
          <w:rFonts w:ascii="Amiri" w:hAnsi="Amiri" w:eastAsia="Amiri" w:cs="Amiri"/>
          <w:color w:val="111111"/>
          <w:sz w:val="28"/>
          <w:sz w:val="28"/>
          <w:szCs w:val="28"/>
          <w:rtl w:val="true"/>
          <w:lang w:bidi="ar-SA"/>
        </w:rPr>
        <w:t>في رتبة الأمر بالمهم، فانّ المفروض انّ الأمر بالأهم لم يسقط بعدُ لا بالامتثال و لا بالعصيان فيكون في رتبة الأمر بالمهم، فيجتمع أمران فعليان في رتبة الأمر بالمهمّ و إن لم يكونا كذلك في رتبة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المرتبة التي للأمر بالأهم دعوة إلى نفسه ليس للأمر بالمهم دعوة إلى امتثال نفسه و لكن في المرتبة التي للأمر بالمهم دعوة إلى متعلّقه فللأمر بالأهم أيضاً دعوة و طلب، لافتراض انّه بعدُ لم يسقط، لأنّ الشرط هو العصيان على نحو الشرط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الإشكال الذي اعتمد عليه المحقّق الخراساني في نفي الترتّب، و الذي عاقه عن تصويبه هو اجتماع الأمرين في مرتبة الأمر بالمهم و إن لم يكن اجتماع في مرتبة الأمر بالأهم</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7304638_3381743652"/>
      <w:bookmarkStart w:id="107" w:name="_Toc40"/>
      <w:bookmarkEnd w:id="106"/>
      <w:r>
        <w:rPr>
          <w:rtl w:val="true"/>
        </w:rPr>
        <w:t>تحليل نظرية المحقّق الخراساني</w:t>
      </w:r>
      <w:bookmarkEnd w:id="107"/>
    </w:p>
    <w:p>
      <w:pPr>
        <w:pStyle w:val="BookText"/>
        <w:rPr/>
      </w:pPr>
      <w:r>
        <w:rPr>
          <w:rFonts w:ascii="Amiri" w:hAnsi="Amiri" w:eastAsia="Amiri" w:cs="Amiri"/>
          <w:color w:val="111111"/>
          <w:sz w:val="28"/>
          <w:sz w:val="28"/>
          <w:szCs w:val="28"/>
          <w:rtl w:val="true"/>
          <w:lang w:bidi="ar-SA"/>
        </w:rPr>
        <w:t>إنّ الملاك في استحالة توجه أمرين مطلقين إلى المكلّف ليس هو طلب الضدّين، بل طلب الجمع بين الضدّين، فانّ طلب الضدّين إذا لم يكن هناك طلبُ جمع بينهما فلا مانع منه كما في الأمر بالسكون في ظرف و الأمر بالحركة في ظرف آخر، و إنّما الملاك في الاستحالة هو أن تكون نتيجة الأمرين هو طلب الجمع بينهما في زمان واحد، و هذا الملاك موجود في الأمرين المطلقين دون المطلق و المشروط، فهاهنا دعويان</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نتيجة الأمرين المطلقين هي طلب الجمع بين الضدّين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النجاسة و في الوقت نفسه صلِّ صلاة الظهر، فهو يطلب في زمان واحد صدور أمرين متضادين و هما بمعنى الجمع بين الضدين، لأنّه جعَل ظرف امتثال </w:t>
      </w:r>
    </w:p>
    <w:p>
      <w:pPr>
        <w:pStyle w:val="BookText"/>
        <w:rPr/>
      </w:pPr>
      <w:r>
        <w:rPr>
          <w:rFonts w:ascii="Amiri" w:hAnsi="Amiri" w:eastAsia="Amiri" w:cs="Amiri"/>
          <w:color w:val="111111"/>
          <w:sz w:val="28"/>
          <w:sz w:val="28"/>
          <w:szCs w:val="28"/>
          <w:rtl w:val="true"/>
          <w:lang w:bidi="ar-SA"/>
        </w:rPr>
        <w:t>الأمر الأوّل، نفس ظرف امتثال الأمر الثاني بشهادة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الوقت نفسه 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نتيجة الأمرين اللّذين أحدهما مطلق و الآخر مشروط هو طلب الضدين لا طلب الجمع بين الضدين، و ذلك لأنّه يطلب الإزالة بلا قيد و شرط كما هو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يطلب الصلاة في ظرف انصراف المكلّف عن امتثال الأمر بالإزالة، فتكون النتيجة طلب الضدين لا طلب الجمع بينهما، و إنّما يلزم طلب الجمع بين الضدّين لو طلب الأمر بالمهم حتّى في ظرف إرادته لامتثال الأمر بالأهم و المفروض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المولى يلاحظ انّ للمكلّف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يريد صرف قدرته في الأمر بالأهمّ، و هذا هو الذي يبعثه الأمر بالأهم إلى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لا يريد صرف قدرته فيه فلا يبعثه الأمر بالأهم إلى امتثاله لبعض الملابسات و لكن يوجد في نفسه داع إلى امتثال الأمر بالمهم، و لأجل رعاية كلتا الحالتين يأمر بالأهم و في ظرف العصيان على نحو الشرط المتأخر يأمر بالمهم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انّ شيئاً من الأُمور التالية ليس مانعاً من توجيه أمرين إلى المكلّف على نحو الترتب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اجتماع أمرين فعليين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الأمر بالأهم في رتبة الأمر بالمهم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استلزام اجتماعهما في مرتبة الأمر بالمهم طلب الضدين</w:t>
      </w:r>
      <w:r>
        <w:rPr>
          <w:rFonts w:eastAsia="Amiri" w:cs="Amiri" w:ascii="Amiri" w:hAnsi="Amiri"/>
          <w:color w:val="111111"/>
          <w:sz w:val="28"/>
          <w:szCs w:val="28"/>
          <w:rtl w:val="true"/>
          <w:lang w:bidi="ar-SA"/>
        </w:rPr>
        <w:t xml:space="preserve">. </w:t>
      </w:r>
      <w:bookmarkStart w:id="108" w:name="pg14356_186629"/>
    </w:p>
    <w:p>
      <w:pPr>
        <w:pStyle w:val="BookText"/>
        <w:rPr/>
      </w:pPr>
      <w:bookmarkEnd w:id="108"/>
      <w:r>
        <w:rPr>
          <w:rFonts w:ascii="Amiri" w:hAnsi="Amiri" w:eastAsia="Amiri" w:cs="Amiri"/>
          <w:color w:val="111111"/>
          <w:sz w:val="28"/>
          <w:sz w:val="28"/>
          <w:szCs w:val="28"/>
          <w:rtl w:val="true"/>
          <w:lang w:bidi="ar-SA"/>
        </w:rPr>
        <w:t>فليس شيء من هذه الأُمور مانعة عن إنشاء أمرين أحدهما مطلق و الآخر مشروط ما لم يكن هناك طلب الجمع بين الضدين، و إنّما المانع هو الأمر الرابع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استلزام توجه الأمرين طلب الجمع بين الضدين، و هذا موجود في الأمرين العرضيين لا في الأمرين الطوليين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بياناً انّ مفتاح الترتّب كلمة واحدة، و هي استلزام اجتماع الأمرين الفعليين هل هو طلب الضدين أو طلب الجمع بين الضدّين؟ فمن أحال فاعتمد على الأوّل مع أنّه ليس بمحال، و من جوزه فقد اعتمد على الثاني و انّ الترتب لا ينتهي إلى طلب الجمع بين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بذلك تقف انّ أكثر ما تداولته الألسن و الرسائل و الكتب حول الترتّب بحوث جانبية لا صلة لها بما هو مفتاح المسألة وحل معضلتها</w:t>
      </w:r>
      <w:r>
        <w:rPr>
          <w:rFonts w:eastAsia="Amiri" w:cs="Amiri" w:ascii="Amiri" w:hAnsi="Amiri"/>
          <w:color w:val="111111"/>
          <w:sz w:val="28"/>
          <w:szCs w:val="28"/>
          <w:rtl w:val="true"/>
          <w:lang w:bidi="ar-SA"/>
        </w:rPr>
        <w:t>.</w:t>
      </w:r>
    </w:p>
    <w:p>
      <w:pPr>
        <w:pStyle w:val="Heading6"/>
        <w:numPr>
          <w:ilvl w:val="5"/>
          <w:numId w:val="1"/>
        </w:numPr>
        <w:rPr/>
      </w:pPr>
      <w:bookmarkStart w:id="109" w:name="__RefHeading___Toc7304640_3381743652"/>
      <w:bookmarkStart w:id="110" w:name="_Toc41"/>
      <w:bookmarkEnd w:id="109"/>
      <w:r>
        <w:rPr>
          <w:rtl w:val="true"/>
        </w:rPr>
        <w:t>اعتراضات و أجوبتها</w:t>
      </w:r>
      <w:bookmarkEnd w:id="110"/>
    </w:p>
    <w:p>
      <w:pPr>
        <w:pStyle w:val="BookText"/>
        <w:rPr/>
      </w:pPr>
      <w:r>
        <w:rPr>
          <w:rFonts w:ascii="Amiri" w:hAnsi="Amiri" w:eastAsia="Amiri" w:cs="Amiri"/>
          <w:color w:val="111111"/>
          <w:sz w:val="28"/>
          <w:sz w:val="28"/>
          <w:szCs w:val="28"/>
          <w:rtl w:val="true"/>
          <w:lang w:bidi="ar-SA"/>
        </w:rPr>
        <w:t>ثمّ إنّ المحقّق الخراساني لما تبنَّى امتناعَ الترتّب و زعم أنّ لازمه طلب الضدّين، أثار أسئلة أربعة و أجاب عنها على النحو الرائج في الكتب العلمية، و نحن نذكر الأسئلة و الأجوبة مع القضاء بين المعترض و المجيب</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7304642_3381743652"/>
      <w:bookmarkStart w:id="112" w:name="_Toc42"/>
      <w:bookmarkEnd w:id="111"/>
      <w:r>
        <w:rPr>
          <w:rtl w:val="true"/>
        </w:rPr>
        <w:t>الاعتراض الأوّل لا دليل على امتناع طلب الضدّين إذا كان بسوء الاختيار حيث يعصي فيما بعدُ بالاختيار</w:t>
      </w:r>
      <w:bookmarkEnd w:id="11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فلولاه لما كان متوجهاً إليه إلاّ الطلب بالأهمّ و لا دليل على امتناع طلب الضدّين إذا كان بسوء الاختيار</w:t>
      </w:r>
      <w:r>
        <w:rPr>
          <w:rFonts w:eastAsia="Amiri" w:cs="Amiri" w:ascii="Amiri" w:hAnsi="Amiri"/>
          <w:color w:val="111111"/>
          <w:sz w:val="28"/>
          <w:szCs w:val="28"/>
          <w:rtl w:val="true"/>
          <w:lang w:bidi="ar-SA"/>
        </w:rPr>
        <w:t xml:space="preserve">. </w:t>
      </w:r>
      <w:bookmarkStart w:id="113" w:name="pg14356_186630"/>
    </w:p>
    <w:p>
      <w:pPr>
        <w:pStyle w:val="Heading6"/>
        <w:numPr>
          <w:ilvl w:val="5"/>
          <w:numId w:val="1"/>
        </w:numPr>
        <w:rPr/>
      </w:pPr>
      <w:bookmarkStart w:id="114" w:name="__RefHeading___Toc7304644_3381743652"/>
      <w:bookmarkStart w:id="115" w:name="_Toc43"/>
      <w:bookmarkEnd w:id="113"/>
      <w:bookmarkEnd w:id="114"/>
      <w:r>
        <w:rPr>
          <w:rtl w:val="true"/>
        </w:rPr>
        <w:t>إجابة المحقّق الخراساني</w:t>
      </w:r>
      <w:bookmarkEnd w:id="115"/>
    </w:p>
    <w:p>
      <w:pPr>
        <w:pStyle w:val="BookText"/>
        <w:rPr/>
      </w:pPr>
      <w:r>
        <w:rPr>
          <w:rFonts w:ascii="Amiri" w:hAnsi="Amiri" w:eastAsia="Amiri" w:cs="Amiri"/>
          <w:color w:val="111111"/>
          <w:sz w:val="28"/>
          <w:sz w:val="28"/>
          <w:szCs w:val="28"/>
          <w:rtl w:val="true"/>
          <w:lang w:bidi="ar-SA"/>
        </w:rPr>
        <w:t>أجاب عنه المحقّق الخراساني بأنّ استحالة طلب الضدّين إنّما هي لأجل كون صدور نفس التكليف بهذا النحو من الحكيم الملتفت إلى امتناعه، محالاً، بمعنى أنّه لا تنقدح في نفس الحكيم إرادتان متضادتان متعلّقتان بأمرين لا يتمكن المكلّف من جمعهما، و ما هذا شأنه لا يفرَّق فيه بين سوء الاختيار أو حسن الاختيار، فلا 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النجاسة و إن عصيت فصلّ، 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النجاسة و إن سلمت على زيد فصلِّ، و قد حقّق في محله انّ مرجع التكليف بالمحال إلى كون نفس التكليف محالاً، فلا ينقدح في ذهن المولى إرادة جديّة متعلّقة بطيران زيد إذا كان فاقداً لأسبابه</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7304646_3381743652"/>
      <w:bookmarkStart w:id="117" w:name="_Toc44"/>
      <w:bookmarkEnd w:id="116"/>
      <w:r>
        <w:rPr>
          <w:rtl w:val="true"/>
        </w:rPr>
        <w:t>تحليل السؤال و الجواب</w:t>
      </w:r>
      <w:bookmarkEnd w:id="117"/>
    </w:p>
    <w:p>
      <w:pPr>
        <w:pStyle w:val="BookText"/>
        <w:rPr/>
      </w:pPr>
      <w:r>
        <w:rPr>
          <w:rFonts w:ascii="Amiri" w:hAnsi="Amiri" w:eastAsia="Amiri" w:cs="Amiri"/>
          <w:color w:val="111111"/>
          <w:sz w:val="28"/>
          <w:sz w:val="28"/>
          <w:szCs w:val="28"/>
          <w:rtl w:val="true"/>
          <w:lang w:bidi="ar-SA"/>
        </w:rPr>
        <w:t>إنّ المعترض يسلِّم انّ الترتّب يستلزم المحال غير أنّ المكلّف لما كان مقصّراً في المقام، و سبباً لهذا النوع من التكليف فلا مانع من تكليفه أخذاً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المجيب يسلِّم انّ الترتّب يستلزم المحال و لكن يردّ على تجويز التكليف بغير المقدور حتّى و لو كان السبب هو المكلّف</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مع المجيب فإنّ التكليف بغير المقدور تكليف محال، و هو غير جائز في منطق العقل، سواء أ كان المكلّف مقصّراً أم لا، غير أنّ الكلام في مقام آخر و هو فقدان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مبحث الترتب، إذ غاية ما يترتب عليه هو طلب الضدّين و هو ليس بمحال و ما هو محال أي طلب الجمع بين الضدّين فليس بلازم في المقام</w:t>
      </w:r>
      <w:r>
        <w:rPr>
          <w:rFonts w:eastAsia="Amiri" w:cs="Amiri" w:ascii="Amiri" w:hAnsi="Amiri"/>
          <w:color w:val="111111"/>
          <w:sz w:val="28"/>
          <w:szCs w:val="28"/>
          <w:rtl w:val="true"/>
          <w:lang w:bidi="ar-SA"/>
        </w:rPr>
        <w:t xml:space="preserve">. </w:t>
      </w:r>
      <w:bookmarkStart w:id="118" w:name="pg14356_186631"/>
    </w:p>
    <w:p>
      <w:pPr>
        <w:pStyle w:val="BookText"/>
        <w:rPr/>
      </w:pPr>
      <w:bookmarkEnd w:id="118"/>
      <w:r>
        <w:rPr>
          <w:rFonts w:ascii="Amiri" w:hAnsi="Amiri" w:eastAsia="Amiri" w:cs="Amiri"/>
          <w:color w:val="111111"/>
          <w:sz w:val="28"/>
          <w:sz w:val="28"/>
          <w:szCs w:val="28"/>
          <w:rtl w:val="true"/>
          <w:lang w:bidi="ar-SA"/>
        </w:rPr>
        <w:t>فالسائل و المجيب يبحثان عن أمر لا وجود له في المقام كما عرفت</w:t>
      </w:r>
      <w:r>
        <w:rPr>
          <w:rFonts w:eastAsia="Amiri" w:cs="Amiri" w:ascii="Amiri" w:hAnsi="Amiri"/>
          <w:color w:val="111111"/>
          <w:sz w:val="28"/>
          <w:szCs w:val="28"/>
          <w:rtl w:val="true"/>
          <w:lang w:bidi="ar-SA"/>
        </w:rPr>
        <w:t>.</w:t>
      </w:r>
    </w:p>
    <w:p>
      <w:pPr>
        <w:pStyle w:val="Heading6"/>
        <w:numPr>
          <w:ilvl w:val="5"/>
          <w:numId w:val="1"/>
        </w:numPr>
        <w:rPr/>
      </w:pPr>
      <w:bookmarkStart w:id="119" w:name="__RefHeading___Toc7304648_3381743652"/>
      <w:bookmarkStart w:id="120" w:name="_Toc45"/>
      <w:bookmarkEnd w:id="119"/>
      <w:r>
        <w:rPr>
          <w:rtl w:val="true"/>
        </w:rPr>
        <w:t>الاعتراض الثاني إنّ قياس المقام بالأمرين العرضيين قياس مع الفارق،</w:t>
      </w:r>
      <w:bookmarkEnd w:id="120"/>
    </w:p>
    <w:p>
      <w:pPr>
        <w:pStyle w:val="BookText"/>
        <w:rPr/>
      </w:pPr>
      <w:r>
        <w:rPr>
          <w:rFonts w:ascii="Amiri" w:hAnsi="Amiri" w:eastAsia="Amiri" w:cs="Amiri"/>
          <w:color w:val="111111"/>
          <w:sz w:val="28"/>
          <w:sz w:val="28"/>
          <w:szCs w:val="28"/>
          <w:rtl w:val="true"/>
          <w:lang w:bidi="ar-SA"/>
        </w:rPr>
        <w:t>فانّ كلاً من الأمرين العرضيين يطارد الآخر،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النجاسة و في الوقت نفسه صلِّ، فكلّ يدعو إلى بذل القدرة في متعلّقه، و عندئذ تظهر المطاردة لوحدة القدرة و كثرة المقدور، بخلاف الأمرين الطوليين، أي إذا كان الأمر الثاني مقيداً بعصيان الأمر الأوّل، فانّ الأمر المتعلّق بالمهم لا يطرد الأمر المتعلق بالأهم، و ذلك لأنّ دعوة الأمر المتعلّق بالمهم إلى امتثاله في ظرف عدم الإتيان بالأهم، فلا يكاد يريد غير الأهم على تقدير إتيانه و إطاعة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لو كانت دعوة الآمر المتعلق بالمهم شاملة لصورة إطاعة الأمر بالأهم يلزم المطاردة، و أمّا لو اختصت دعوته بصورة عدم امتثاله فلا يكون هناك مطاردة</w:t>
      </w:r>
      <w:r>
        <w:rPr>
          <w:rFonts w:eastAsia="Amiri" w:cs="Amiri" w:ascii="Amiri" w:hAnsi="Amiri"/>
          <w:color w:val="111111"/>
          <w:sz w:val="28"/>
          <w:szCs w:val="28"/>
          <w:rtl w:val="true"/>
          <w:lang w:bidi="ar-SA"/>
        </w:rPr>
        <w:t>.</w:t>
      </w:r>
    </w:p>
    <w:p>
      <w:pPr>
        <w:pStyle w:val="Heading6"/>
        <w:numPr>
          <w:ilvl w:val="5"/>
          <w:numId w:val="1"/>
        </w:numPr>
        <w:rPr/>
      </w:pPr>
      <w:bookmarkStart w:id="121" w:name="__RefHeading___Toc7304650_3381743652"/>
      <w:bookmarkStart w:id="122" w:name="_Toc46"/>
      <w:bookmarkEnd w:id="121"/>
      <w:r>
        <w:rPr>
          <w:rtl w:val="true"/>
        </w:rPr>
        <w:t>إجابة المحقّق الخراساني</w:t>
      </w:r>
      <w:bookmarkEnd w:id="122"/>
    </w:p>
    <w:p>
      <w:pPr>
        <w:pStyle w:val="BookText"/>
        <w:rPr/>
      </w:pPr>
      <w:r>
        <w:rPr>
          <w:rFonts w:ascii="Amiri" w:hAnsi="Amiri" w:eastAsia="Amiri" w:cs="Amiri"/>
          <w:color w:val="111111"/>
          <w:sz w:val="28"/>
          <w:sz w:val="28"/>
          <w:szCs w:val="28"/>
          <w:rtl w:val="true"/>
          <w:lang w:bidi="ar-SA"/>
        </w:rPr>
        <w:t>و قد أجاب عنه المحقّق الخراساني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طرد الأمر المتعلّق بالمهم لا يختصّ بصورة إتيان الأمر بالأهم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مطاردة عندئذ بين الأمرين، بل يعمّ حتّى صورة عدم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المطاردة من جانب واحد و هو طرد الأمر المتعلّق بالأهمّ كاف في إبطال الترتّب</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فانّ الأمر المتعلّق بالمهم يطارد الأمر الآخر حتّى في صورة عصيان </w:t>
      </w:r>
    </w:p>
    <w:p>
      <w:pPr>
        <w:pStyle w:val="BookText"/>
        <w:rPr/>
      </w:pPr>
      <w:r>
        <w:rPr>
          <w:rFonts w:ascii="Amiri" w:hAnsi="Amiri" w:eastAsia="Amiri" w:cs="Amiri"/>
          <w:color w:val="111111"/>
          <w:sz w:val="28"/>
          <w:sz w:val="28"/>
          <w:szCs w:val="28"/>
          <w:rtl w:val="true"/>
          <w:lang w:bidi="ar-SA"/>
        </w:rPr>
        <w:t>الأمر بالأهم و عدم الإتيان به، و ذلك لأنّ المطاردة لازم فعلية الأمر بالمهم، و كلّ أمر فعلي يدعو إلى متعلّقه و لو في ظرف عدم الإتيان بالأهم و المفروض انّ الأمر المتعلّق بالأهم لم يسقط بعدُ، و هو أيضاً فعلي فيلزم اجتماع أمرين فعليين كل يدعو إلى متعلّقه، و هو نفس مطاردة الأمر بالمهم،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المعترض يركِّز في إنكار المطاردة على صورة إطاعة الأمر المتعلّق بالأهم، و من المعلوم أنّه ليس في هذه الصورة أيّة مطاردة، و لكن المجيب يركز في إثبات المطاردة على صورة أُخرى، و هي صورة عصيان الأمر المتعلّق بالأهم و وجه المطاردة فعلية كلّ من الحكمين لحصول شرط الفعلية و داعوية كلّ إلى متعلّقه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الإشكال المهم في الترتّب و هنا تُكْمنُ روح الترتب أو إنكاره، و لا بدّ من علاجه على وجه يقلع الشبهة عن الأذهان،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للأمر المتعلّق بالمهم في الصورة التي أشار إليها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عدم الإتيان بالأهم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انّه أمر فعلي يدعو إلى إيجاد متعلّقه لحصول شرط الفعلية، و عندئذ يتبادر إلى الذهن وجود المطاردة بينه و بين الأمر بالأهم غير الساقط بعدُ، و بما انّ الأمر بالأهم غير ساقط بعد يُستظهر منه وجود المطاردة، و هذا هو الذي جرّ المحقّق الخراساني إلى القول بوجود المطاردة حتّى من جانب الأمر بالمهم، و لكنّه غفل عن المفهوم الثاني للأمر بالمهم و هو</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بالمهم مع كونه فعلياً لا يأبى عن ترك امتثاله و الاشتغال بالأهم حتّى في نفس هذه الحالة، و هذا هو الذي يزيل المطاردة المتوهمة، فالمحقّق الخراساني أخذ بالمفهوم الأوّل و غفل عن المفهوم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بالمهم و إن كان يدعو إلى إنجاز متعلّقه و لكنّه في حدّ نفسه يرخِّص ترك امتثاله و الاشتغال بالأهم و بذلك تنثلم المطاردة المتوهمة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الجواب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الجواب الثاني فهو انّ المحقّق الخراساني اكتفى في إبطال الترتّب بوجود الطرد من جانب واحد و هو الأمر بالأهم، و أساسه ما مرّ من أنّ الأمر بالمهم و إن لم يكن في مرتبة الأمر بالأهم لكن الأمر بالأهم موجود في مرتبة الأمر بالمهم فيجتمع أمران فعليان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بما مرّ من أنّ اجتماع أمرين فعليين كلّ يدعو إلى إنجاز متعلّقه إنّما يستلزم الامتناع بما إذا لم يكن لواحد من الأمرين مرونة و ليونة و أمّا المقام فانّ الأمر بالأهم و إن لم يكن فيه مرونة و ليونة لكنّ اجتماعهما في مرتبة الأمر بالمهم، لا يضرّ ما دام الأمر الثاني يحتضن المرونة حيث إنّه في كلّ زمان ينسحب عن الساحة إذا أراد المكلّف امتثال الأمر المتعلّق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نزيد إيضاحاً 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مركز المطاردة الذي يعتمد عليه المحقّق الخراساني أحد المواضع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الجعل و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الفعلية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الامتثال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فقد عرفت أنّ المورد من قبيل المتزاحمين، و المتزاحمان متلائمان في مقام الجعل و لا تكاذب بينهما في تلك المرتبة، فلا إشكال في جعل الإيجاب على إزالة النجاسة و الصلاة و غيرهما من عشرات الموضوعات</w:t>
      </w:r>
      <w:r>
        <w:rPr>
          <w:rFonts w:eastAsia="Amiri" w:cs="Amiri" w:ascii="Amiri" w:hAnsi="Amiri"/>
          <w:color w:val="111111"/>
          <w:sz w:val="28"/>
          <w:szCs w:val="28"/>
          <w:rtl w:val="true"/>
          <w:lang w:bidi="ar-SA"/>
        </w:rPr>
        <w:t xml:space="preserve">. </w:t>
      </w:r>
      <w:bookmarkStart w:id="123" w:name="pg14356_186634"/>
    </w:p>
    <w:p>
      <w:pPr>
        <w:pStyle w:val="BookText"/>
        <w:rPr/>
      </w:pPr>
      <w:bookmarkEnd w:id="123"/>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المطاردة في مرحلة الفعلية فلا شكّ انّ كلاً من الحكمين فعلي يدعو إلى إنجاز متعلّقه، لأنّ الأوّل مطلق و الثاني مشروط قد تحقّق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 أمر يدعو إلى متعلّقه و لا ينظر إلى الأمر الآخر حتّى تكون النتيجة طلب الجمع، و على فرض تسليمه في سائر الموارد ليس للأمر بالمهم إطلاق بالنسبة إلى صورة امتثال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أي الامتثال، و من حسن الحظ عدم المطاردة فيه، و ذلك انّه لم يكن هناك صارف فالتأثير للأمر الأوّل، و إن كان صارف فالتأثير للأمر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انّه لا مطاردة في البين في أية مرحلة من المراحل الثلاث</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7304652_3381743652"/>
      <w:bookmarkStart w:id="125" w:name="_Toc47"/>
      <w:bookmarkEnd w:id="124"/>
      <w:r>
        <w:rPr>
          <w:rtl w:val="true"/>
        </w:rPr>
        <w:t>الاعتراض الثالث كيف تنكرون الترتب مع أنّه واقع في العرف كثيراً؟</w:t>
      </w:r>
      <w:bookmarkEnd w:id="125"/>
    </w:p>
    <w:p>
      <w:pPr>
        <w:pStyle w:val="Heading6"/>
        <w:numPr>
          <w:ilvl w:val="5"/>
          <w:numId w:val="1"/>
        </w:numPr>
        <w:rPr/>
      </w:pPr>
      <w:bookmarkStart w:id="126" w:name="__RefHeading___Toc7304654_3381743652"/>
      <w:bookmarkStart w:id="127" w:name="_Toc48"/>
      <w:bookmarkEnd w:id="126"/>
      <w:r>
        <w:rPr>
          <w:rtl w:val="true"/>
        </w:rPr>
        <w:t>إجابة المحقّق الخراساني</w:t>
      </w:r>
      <w:bookmarkEnd w:id="127"/>
    </w:p>
    <w:p>
      <w:pPr>
        <w:pStyle w:val="BookText"/>
        <w:rPr/>
      </w:pPr>
      <w:r>
        <w:rPr>
          <w:rFonts w:ascii="Amiri" w:hAnsi="Amiri" w:eastAsia="Amiri" w:cs="Amiri"/>
          <w:color w:val="111111"/>
          <w:sz w:val="28"/>
          <w:sz w:val="28"/>
          <w:szCs w:val="28"/>
          <w:rtl w:val="true"/>
          <w:lang w:bidi="ar-SA"/>
        </w:rPr>
        <w:t>يمكن الجواب عمّا يتراءى انّه من باب الترتّب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بالمهم بعد التجاوز عن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بالمهم إرشاداً إلى محبوبيته و بقائه على ما هو عليه من المصلحة و الغرض</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الجواب الأوّل أعني التجاوز عن الأمر بالأهم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ذا يريد من التجاوز؟ فهل يريد كونه منسوخاً و المفروض خلافه، و لأجل ذلك كلّما رجع إلى امتثال الأمر بالأهم لكان مطيعاً</w:t>
      </w:r>
      <w:r>
        <w:rPr>
          <w:rFonts w:eastAsia="Amiri" w:cs="Amiri" w:ascii="Amiri" w:hAnsi="Amiri"/>
          <w:color w:val="111111"/>
          <w:sz w:val="28"/>
          <w:szCs w:val="28"/>
          <w:rtl w:val="true"/>
          <w:lang w:bidi="ar-SA"/>
        </w:rPr>
        <w:t xml:space="preserve">. </w:t>
      </w:r>
      <w:bookmarkStart w:id="128" w:name="pg14356_186635"/>
    </w:p>
    <w:p>
      <w:pPr>
        <w:pStyle w:val="BookText"/>
        <w:rPr/>
      </w:pPr>
      <w:bookmarkEnd w:id="128"/>
      <w:r>
        <w:rPr>
          <w:rFonts w:ascii="Amiri" w:hAnsi="Amiri" w:eastAsia="Amiri" w:cs="Amiri"/>
          <w:color w:val="111111"/>
          <w:sz w:val="28"/>
          <w:sz w:val="28"/>
          <w:szCs w:val="28"/>
          <w:rtl w:val="true"/>
          <w:lang w:bidi="ar-SA"/>
        </w:rPr>
        <w:t>أو يريد انّه عند الخيبة عن تأثير الأمر الأوّل دون سقوطه، يأمر بالمهم، فهو نفس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الاعتراضات التي طرحها المحقّق الخراساني و أجاب عنها، و قد عرفت مدى صحّة الأجوبة</w:t>
      </w:r>
      <w:r>
        <w:rPr>
          <w:rFonts w:eastAsia="Amiri" w:cs="Amiri" w:ascii="Amiri" w:hAnsi="Amiri"/>
          <w:color w:val="111111"/>
          <w:sz w:val="28"/>
          <w:szCs w:val="28"/>
          <w:rtl w:val="true"/>
          <w:lang w:bidi="ar-SA"/>
        </w:rPr>
        <w:t>.</w:t>
      </w:r>
    </w:p>
    <w:p>
      <w:pPr>
        <w:pStyle w:val="Heading6"/>
        <w:numPr>
          <w:ilvl w:val="5"/>
          <w:numId w:val="1"/>
        </w:numPr>
        <w:rPr/>
      </w:pPr>
      <w:bookmarkStart w:id="129" w:name="__RefHeading___Toc7304656_3381743652"/>
      <w:bookmarkStart w:id="130" w:name="_Toc49"/>
      <w:bookmarkEnd w:id="129"/>
      <w:r>
        <w:rPr>
          <w:rtl w:val="true"/>
        </w:rPr>
        <w:t>الاستدلال على بطلان الترتّب بطريق الإن</w:t>
      </w:r>
      <w:bookmarkEnd w:id="130"/>
    </w:p>
    <w:p>
      <w:pPr>
        <w:pStyle w:val="BookText"/>
        <w:rPr/>
      </w:pPr>
      <w:r>
        <w:rPr>
          <w:rFonts w:ascii="Amiri" w:hAnsi="Amiri" w:eastAsia="Amiri" w:cs="Amiri"/>
          <w:color w:val="111111"/>
          <w:sz w:val="28"/>
          <w:sz w:val="28"/>
          <w:szCs w:val="28"/>
          <w:rtl w:val="true"/>
          <w:lang w:bidi="ar-SA"/>
        </w:rPr>
        <w:t>و قد استدلّ المحقّق الخراساني على بطلان الترتّب من طريق الإنّ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الترتّب للزم تعدّد التكليف، و لو تعدد التكليف و عصى المكلّف كلا الأمرين يلزم أن يعاقب بعقابين، و لكن التالي باطل لامتناع تعدّد العقوبة مع وحدة القدرة، فكذا المقدم أي تعدد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تعدّد العقاب و وحدته 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تعدّد العقاب و وحدته تابع لتعدّد القدرة و وحدتها، لا وحدة التكليف و تعدّده، فلو كانت القدرة واحدة و التكليف متعدداً، كما إذا تعدد الغريق و هو ترك نجاة الجميع لما كان عليه إلاّ عقاب واحد، لاستقلال العقل بقبح تعدّده مع عدم تعدّد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أفتوا بتعدّد العقاب في التكاليف العرضية كالصلاة و الصوم، فلو تركهما، يعاقب عقابين لتعدّد القدرة المستلزمة كون المخالفة لا عن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التكاليف الطولية فلا يوجب تعدد التكليف فيها تعدد العقاب مع وحدة القدرة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ذلك فالتكليف في الترتب متعدد و بما انّ القدرة واحدة فليس هنا إلاّ عقاب واحد</w:t>
      </w:r>
      <w:r>
        <w:rPr>
          <w:rFonts w:eastAsia="Amiri" w:cs="Amiri" w:ascii="Amiri" w:hAnsi="Amiri"/>
          <w:color w:val="111111"/>
          <w:sz w:val="28"/>
          <w:szCs w:val="28"/>
          <w:rtl w:val="true"/>
          <w:lang w:bidi="ar-SA"/>
        </w:rPr>
        <w:t xml:space="preserve">. </w:t>
      </w:r>
      <w:bookmarkStart w:id="131" w:name="pg14356_186636"/>
    </w:p>
    <w:p>
      <w:pPr>
        <w:pStyle w:val="BookText"/>
        <w:rPr/>
      </w:pPr>
      <w:bookmarkEnd w:id="13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تعدد العقاب و وحدته تابع لتعدد التكليف و وحدته عند المعصية، فلو كان هناك غريقان و ترك نجاة الكلّ، يعاقب بعقابين و إن لم يكن له إلاّ قدرة واحدة، و لا ينافي ذلك عدله سبحانه، لأنّه كان في وسع العبد مع تعدد التكليف و وحدة القدرة الاجتناب عن مخالفة التكليفين عن عذر، و ذلك ببذل قدرته في إنقاذ واحد، و الاعتذار عن ترك الأمر الآخر بالعجز، و مع أنّ هذا الباب كان مفتوحاً أمامه، فقد ترك إنقاذ الغريقين بلا عذر، فللمولى أن يؤاخذه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تركت إنقاذ زيد بلا عذر؟ لم تركت إنقاذ أخيه كذلك؟ فصار العبد التارك لكلا الأمرين مصدراً لمخالفة أمرين بلا عذر، فيستحقّ عقابين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يجب على العبد إمّا الامتثال و إمّا الاعتذار، فلو بذل قدرته في واحد يصحّ له الاعتذار عن عدم امتثال الآخر، و أمّا إذا ترك الجميع فليس له ما يصرف عنه العقاب، إذ لا امتثال و لا اعتذار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التقريب الذي ذكره المحقّق الخراساني للترتّب كما تمّت مناقشاته و تحليلاته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وجوه أُخرى لتقريب الترتب نذكرها تباعاً</w:t>
      </w:r>
      <w:r>
        <w:rPr>
          <w:rFonts w:eastAsia="Amiri" w:cs="Amiri" w:ascii="Amiri" w:hAnsi="Amiri"/>
          <w:color w:val="111111"/>
          <w:sz w:val="28"/>
          <w:szCs w:val="28"/>
          <w:rtl w:val="true"/>
          <w:lang w:bidi="ar-SA"/>
        </w:rPr>
        <w:t>.</w:t>
      </w:r>
    </w:p>
    <w:p>
      <w:pPr>
        <w:pStyle w:val="Heading6"/>
        <w:numPr>
          <w:ilvl w:val="5"/>
          <w:numId w:val="1"/>
        </w:numPr>
        <w:rPr/>
      </w:pPr>
      <w:bookmarkStart w:id="132" w:name="__RefHeading___Toc7304658_3381743652"/>
      <w:bookmarkStart w:id="133" w:name="_Toc50"/>
      <w:bookmarkEnd w:id="132"/>
      <w:r>
        <w:rPr>
          <w:rtl w:val="true"/>
        </w:rPr>
        <w:t>بيان للمحقّق الحائري في امتناع الترتّب</w:t>
      </w:r>
      <w:bookmarkEnd w:id="133"/>
    </w:p>
    <w:p>
      <w:pPr>
        <w:pStyle w:val="BookText"/>
        <w:rPr/>
      </w:pPr>
      <w:r>
        <w:rPr>
          <w:rFonts w:ascii="Amiri" w:hAnsi="Amiri" w:eastAsia="Amiri" w:cs="Amiri"/>
          <w:color w:val="111111"/>
          <w:sz w:val="28"/>
          <w:sz w:val="28"/>
          <w:szCs w:val="28"/>
          <w:rtl w:val="true"/>
          <w:lang w:bidi="ar-SA"/>
        </w:rPr>
        <w:t>إنّ لشيخ مشايخنا المحقّق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 للقول بامتناع الترتّب و نقداً عليه، و نحن نذكر إجمال التقريب ثمّ نذكر نظرنا فيه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هنا مقدّمتين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الضدّين ممّا لا يمكن إيجادهما في زمان واحد عقلاً، و هذه المقدّمة تعود إلى المكلَّف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يصحّ للمكلِّف أن يطلب الضدّين في زمان واحد على وجه الإطلاق، و هذه المقدمة راجعة للآمر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فإمّا أن يكون الأمران المتعلّقان بإيجاد الضدّين مطلقين، أو يكون أحدهما مطلقاً و الآخر مشروطاً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لا يلتزم به كلّ من أحال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كون التكليف الثاني مشروطاً فالشرط إمّا هو الترك الخارجي للأهم، و بتعبير آخر العصيان الخارجي المتقدّم أو تصور المولى عصيان العبد، بمعنى انّه يترك في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أي كون الشرط هو العصيان الخارجي خارج عن الترتّب، لأنّ الأمر الأوّل يسقط بالعصيان الخارجي كما لو غرق الأهم دون المهمّ فلا يكون هناك أمران و لو طوليان، فبقي كون الشرط هو العزم على العصيان أو العصيان على نحو الشرط المتأخر، فعندئذ يسأل هل الشرط متحقّق أو لا؟ فعلى الثاني لا يكون الأمر بالمشروط فعلياً، و على الأوّل ينقلب الواجب المشروط بعد حصول شرطه إلى الواجب المطلق فتقع هذه الصورة في عداد الصورة الأُولى، أي الأمرين العرضيين المطلقين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نختار الشقّ الأخير، و انّ الشرط هو تصوّر العصيان من جانب المولى أو علمه سبحانه بعصيان العبد، أو 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معرضاً عن امتثال الأمر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نفسك صارف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كلّ تقدير فالشرط </w:t>
      </w:r>
    </w:p>
    <w:p>
      <w:pPr>
        <w:pStyle w:val="BookText"/>
        <w:rPr/>
      </w:pPr>
      <w:r>
        <w:rPr>
          <w:rFonts w:ascii="Amiri" w:hAnsi="Amiri" w:eastAsia="Amiri" w:cs="Amiri"/>
          <w:color w:val="111111"/>
          <w:sz w:val="28"/>
          <w:sz w:val="28"/>
          <w:szCs w:val="28"/>
          <w:rtl w:val="true"/>
          <w:lang w:bidi="ar-SA"/>
        </w:rPr>
        <w:t>متحقق، و انّ القضية الشرطية بعد حصول شرطها تنقلب إلى قضية مطلقة، و مع ذلك كلّه فالأمر بالمهم على نحو لو انصرف من صرف القدرة في المهم و حاول أن يمتثل الأمر بالأهم لما منعه الأمر بالمهم، فهذا النوع من التكليف و إن كان مطلقاً لكن لا يزاحم الأمر بالإزالة على وجه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تقدّم منّا انّ السبب لكون المطاردة من طرف واحد لا من طرفين، هو اشتمال الأمر الثاني على شرط يوجد فيه مرونة بالنسبة إلى امتثال الأمر بالأهم</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انقلاب الواجب المشروط بعد حصول شرطه إلى الواجب المطلق، ممنوع جدّاً كما بيّن في محله</w:t>
      </w:r>
      <w:r>
        <w:rPr>
          <w:rFonts w:eastAsia="Amiri" w:cs="Amiri" w:ascii="Amiri" w:hAnsi="Amiri"/>
          <w:color w:val="111111"/>
          <w:sz w:val="28"/>
          <w:szCs w:val="28"/>
          <w:rtl w:val="true"/>
          <w:lang w:bidi="ar-SA"/>
        </w:rPr>
        <w:t xml:space="preserve">. </w:t>
      </w:r>
      <w:bookmarkStart w:id="134" w:name="pg14356_186639"/>
    </w:p>
    <w:p>
      <w:pPr>
        <w:pStyle w:val="Heading5"/>
        <w:numPr>
          <w:ilvl w:val="4"/>
          <w:numId w:val="1"/>
        </w:numPr>
        <w:rPr/>
      </w:pPr>
      <w:bookmarkStart w:id="135" w:name="__RefHeading___Toc7304660_3381743652"/>
      <w:bookmarkStart w:id="136" w:name="_Toc51"/>
      <w:bookmarkEnd w:id="134"/>
      <w:bookmarkEnd w:id="135"/>
      <w:r>
        <w:rPr>
          <w:rtl w:val="true"/>
        </w:rPr>
        <w:t>التقريب الثاني لتصحيح الترتّب</w:t>
      </w:r>
      <w:bookmarkEnd w:id="136"/>
    </w:p>
    <w:p>
      <w:pPr>
        <w:pStyle w:val="BookText"/>
        <w:rPr/>
      </w:pP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المحقّق الاصفهاني تقريباً عن بعض الأُصوليين 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اقتضاء كلّ أمر لإطاعة نفسه، في رتبة سابقة على إطاعته، كيف لا و هي مرتبة تأثيره و أثره، و من البديهي أنّ كلّ علّة منعزلة في مرتبة أثرها عن التأثير و إنّما اقتضاؤها، في مرتبة ذاتها المقدّمة على تأثيرها و أثرها، و لازم ذلك كون عصيان المكلّف و هو نقيض طاعته أيضاً في مرتبة متأخّرة عن الأمر و اقتضائه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فإذا أُنيط أمر بعصيان مثل هذا الأمر، فلا شبهة انّ هذه الإناطة تُخرج الأمرين عن المزاحمة في التأثير، إذ في رتبة الأمر بالأهم، لا وجود للأمر بالمهم، و في رتبة وجود الأمر بالمهم لا يكون اقتضاء للأمر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مطاردة بين الأمرين، بل كلّ يؤثر في رتبة نفسه على وجه لا يوجب تحيّر المكلّف في امتثال كلّ منها و لا يقتضي كلّ من الأمرين إلقاء المكلّف فيما لا يطاق، بل كلّ يقتضي موضوعاً لا يقتضي غيره</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التأخر الرتبي يحتاج إلى وجود الملاك في نفس الشيء و إلاّ فبمجرّد كونه مقارناً لما هو متأخر رتبة عن شيء لا يوجب اتّصافه بالتأخّر الرتبي و المقام من هذا القبيل، لأنّ تأخّر الطاعة عن الأمر لا يوجب تأخّر العصيان عن الأمر، إذ ملاك التأخّر موجود في الطاعة دون العصيان، لأنّ الطاعة </w:t>
      </w:r>
    </w:p>
    <w:p>
      <w:pPr>
        <w:pStyle w:val="BookText"/>
        <w:rPr/>
      </w:pPr>
      <w:r>
        <w:rPr>
          <w:rFonts w:ascii="Amiri" w:hAnsi="Amiri" w:eastAsia="Amiri" w:cs="Amiri"/>
          <w:color w:val="111111"/>
          <w:sz w:val="28"/>
          <w:sz w:val="28"/>
          <w:szCs w:val="28"/>
          <w:rtl w:val="true"/>
          <w:lang w:bidi="ar-SA"/>
        </w:rPr>
        <w:t>أثر الأمر و معلوله، و المعلول متأخّر رتبة عن العلّة، بخلاف العصيان، فإنّه ليس أثرَ الأمر لأنّ أثر الأمر هو البعث و التحريك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منّا انّ قانون المساواة إنّما يحتجّ به في المسائل الهندسية، كمساواة الزوايا مثلاً و في الزمانيات، فلو كان زيد متأخراً عن عمرو تأخراً زمانياً، و كان زيد و بكر من حيث الزمان متقارنين، فيكون بكر أيضاً متأخراً عن عمرو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التأخّر العقلي الذي يعبر عنه بالتأخّر الرتبي فلا يكفي فيه المقارنة، بل يجب أن يكون في المتأخر ملاك التأخر الرتبي، و لذلك لا يكون ملازم المعلول متأخراً عن العلة تأخّراً رتبياً مع أنّ ملازم المعلول متّحد معه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التزاحم و التضاد ليس في المعية العقلية حتّى يرتفعا بالتأخر الرتبي للأمر بالمهم، بل موردهما هو المعية الزمانية، إذ الزمان الذي يكون الأمر بالأهم فيه فعلياً يكون الأمر بالمهم فيه أيضاً فعلياً باعثاً، فاللازم رفع التضاد في ذلك الظرف لا رفعه باختلاف الرتب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مجرّد تأخّر الأمر بالمهم عن الأمر بالأهم بحسب الرتبة العقلية مع المعية في الاقتضاء بحسب الزمان لا يدفع المطاردة، إذ مناط الاستحالة هي المعية الكونية في المتزاحمات و المتضادات لا في الرتب العقلية من المراتب الوجودية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الإشكال يرد على أكثر من يحاول تصحيح الترتّب من طريق الاختلاف في الرتبة العقلية مع أنّه لا ينجع في رفع التضاد في زمان الامتثال</w:t>
      </w:r>
      <w:r>
        <w:rPr>
          <w:rFonts w:eastAsia="Amiri" w:cs="Amiri" w:ascii="Amiri" w:hAnsi="Amiri"/>
          <w:color w:val="111111"/>
          <w:sz w:val="28"/>
          <w:szCs w:val="28"/>
          <w:rtl w:val="true"/>
          <w:lang w:bidi="ar-SA"/>
        </w:rPr>
        <w:t xml:space="preserve">. </w:t>
      </w:r>
      <w:bookmarkStart w:id="137" w:name="pg14356_186641"/>
    </w:p>
    <w:p>
      <w:pPr>
        <w:pStyle w:val="Heading5"/>
        <w:numPr>
          <w:ilvl w:val="4"/>
          <w:numId w:val="1"/>
        </w:numPr>
        <w:rPr/>
      </w:pPr>
      <w:bookmarkStart w:id="138" w:name="__RefHeading___Toc7304662_3381743652"/>
      <w:bookmarkStart w:id="139" w:name="_Toc52"/>
      <w:bookmarkEnd w:id="137"/>
      <w:bookmarkEnd w:id="138"/>
      <w:r>
        <w:rPr>
          <w:rtl w:val="true"/>
        </w:rPr>
        <w:t>التقريب الثالث لتصحيح الترتّب</w:t>
      </w:r>
      <w:bookmarkEnd w:id="139"/>
    </w:p>
    <w:p>
      <w:pPr>
        <w:pStyle w:val="BookText"/>
        <w:rPr/>
      </w:pPr>
      <w:r>
        <w:rPr>
          <w:rFonts w:ascii="Amiri" w:hAnsi="Amiri" w:eastAsia="Amiri" w:cs="Amiri"/>
          <w:color w:val="111111"/>
          <w:sz w:val="28"/>
          <w:sz w:val="28"/>
          <w:szCs w:val="28"/>
          <w:rtl w:val="true"/>
          <w:lang w:bidi="ar-SA"/>
        </w:rPr>
        <w:t>ما نقله المحقّق الاصفهاني أيضاً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مرجع إطلاق الأمر بالأهم إلى سدّ باب عدمه من جميع الجهات حتّى العدم الآتي من قبل الأمر بالمهم فهو بإطلاقه يدعو إلى حفظه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بالمهم فلما كان مترتّباً على عدم الأهم و تركه، فإطلاقه يقتضي سدّ باب عدمه من كل الجهات إلاّ في ناحية الإتيان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بالمهم يقتضي سدّ باب عدمه في ظرف انفتاح باب عدم الأهم من باب الاتفاق و لا منافاة بين قيام المولى بسدّ باب عدم الأهم مطلقاً، و سدّ باب عدم المهم في ظرف انفتاح باب عدم الأهم من باب الاتفاق، فالأمر بالمهم و إن كان فعليّاً لكنّه حيث تعلّق بسدِّ باب عدم المهم في ظرف انفتاح باب عدم الأهم من باب الاتفاق، فلا محالة لا محركية للأمر بالمهم نحو طرد عدم المهم إلاّ في ظرف انفتاح باب عدم الأهم من باب الاتفاق</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لكلّ شيء اعداماً من جانب فقد المقتضي و فقد الشرط و وجود المانع و هو الضدّ هنا، و الأمر بالأهم يقتضي سدّ كلّ عدم يتطرق إليه من أية جهة كان حتّى من جانب وجود المانع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الأمر بالمهم فهو يقتضي سدّ باب عدمه من جانب المقتضي، و من </w:t>
      </w:r>
    </w:p>
    <w:p>
      <w:pPr>
        <w:pStyle w:val="BookText"/>
        <w:rPr/>
      </w:pPr>
      <w:r>
        <w:rPr>
          <w:rFonts w:ascii="Amiri" w:hAnsi="Amiri" w:eastAsia="Amiri" w:cs="Amiri"/>
          <w:color w:val="111111"/>
          <w:sz w:val="28"/>
          <w:sz w:val="28"/>
          <w:szCs w:val="28"/>
          <w:rtl w:val="true"/>
          <w:lang w:bidi="ar-SA"/>
        </w:rPr>
        <w:t>جانب الشرط، و أمّا من ناحية المانع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الأهم فانّه يقتضي سدّ باب عدم المهم، إلاّ فيما إذا كان سبب عدمه هو وجود الأهم فلا يقتضي عند ذلك سدّ عدمه، فحينئذ لا محركية للأمر بالمهم نحو طرد عدم نفسه، إلاّ إذا تطرق العدم إلى الأهم من باب الصدفة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التزاحم بعد باق فنحن نفترض انّه تطرق العدم على الأهم من باب الاتفاق، و عندئذ فهل الأمر بالأهم عندئذ ساقط أو لا؟ و الأوّل خلاف المفروض و الثاني يستلزم المطاردة حيث إنّ الأمر بالأهم يطلب قلب عدمه إلى الوجود مع التحفظ على عدم المهم لكون وجوده مانعاً مع أنّ الأمر بالمهم في هذه الحالة أي عند تطرق العدم إلى الأهم فعلي يطلب طرد عدمه إلى الوجود فتقع المطاردة بين الاقتضاءين</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لعمري الحقّ انّ الترتّب أمر عرفي لا يتوقف على هذه الدقائق العقلية، فالمهم ألاّ يكون نتيجته طلب الجمع بين الضدّين و إن كان نتيجته طلب الضدّين</w:t>
      </w:r>
      <w:r>
        <w:rPr>
          <w:rFonts w:eastAsia="Amiri" w:cs="Amiri" w:ascii="Amiri" w:hAnsi="Amiri"/>
          <w:color w:val="111111"/>
          <w:sz w:val="28"/>
          <w:szCs w:val="28"/>
          <w:rtl w:val="true"/>
          <w:lang w:bidi="ar-SA"/>
        </w:rPr>
        <w:t xml:space="preserve">. </w:t>
      </w:r>
      <w:bookmarkStart w:id="140" w:name="pg14356_186643"/>
    </w:p>
    <w:p>
      <w:pPr>
        <w:pStyle w:val="Heading5"/>
        <w:numPr>
          <w:ilvl w:val="4"/>
          <w:numId w:val="1"/>
        </w:numPr>
        <w:rPr/>
      </w:pPr>
      <w:bookmarkStart w:id="141" w:name="__RefHeading___Toc7304664_3381743652"/>
      <w:bookmarkStart w:id="142" w:name="_Toc53"/>
      <w:bookmarkEnd w:id="140"/>
      <w:bookmarkEnd w:id="141"/>
      <w:r>
        <w:rPr>
          <w:rtl w:val="true"/>
        </w:rPr>
        <w:t>التقريب الرابع لتصحيح الترتّب</w:t>
      </w:r>
      <w:bookmarkEnd w:id="142"/>
    </w:p>
    <w:p>
      <w:pPr>
        <w:pStyle w:val="BookText"/>
        <w:rPr/>
      </w:pPr>
      <w:r>
        <w:rPr>
          <w:rFonts w:ascii="Amiri" w:hAnsi="Amiri" w:eastAsia="Amiri" w:cs="Amiri"/>
          <w:color w:val="111111"/>
          <w:sz w:val="28"/>
          <w:sz w:val="28"/>
          <w:szCs w:val="28"/>
          <w:rtl w:val="true"/>
          <w:lang w:bidi="ar-SA"/>
        </w:rPr>
        <w:t>و هناك تقريب رابع ذكره المحقّق البروجردي، و قد ركز على خلاف التقريبين السابقين على عدم التزاحم في المواضع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الجعل و التشريع، و مقام الفعلية، و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قرره تارة في هذا المبحث و أُخرى في مبحث الجمع بين الحكم الظاهري و الواقعي، و إليك إجمال ما أفاد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لا إشكال في أنّ التكليف بالمحال، بنفسه محال، فإنّ التكليف الحقيقي إنّما يصدر من المولى بداعي انبعاث المكلّف و تحرّكه نحو العمل، فإذا كان نفس المكلّف به محالاً، كالجمع بين السواد و البياض، أو الصعود إلى السماء بلا وسيلة، فلا محالة لا تنقدح الإرادة في نفسه جدّاً، و إن تكلّم به فإنّما يتكلّم به لدواع أُخر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إذا كان هناك تكليف و كان كلّ واحد منهما أمراً ممكناً، و الزمان لا يتّسع إلاّ لواحد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أيضاً لا يصدر من المولى، لا لأنّ المكلّف به أمر محال، لأنّ المفروض أنّ كلّ واحد منهما أمر ممكن، و ليس الجمع هو المأمور به حتّى يكون الامتناع لأجل طلب الجمع، بل من جهة تزاحمهما في مقام التأثير و إيجاد الداعي، فإنّ كلّ واحد من الضدّين، و إن كان بحياله أمراً ممكناً، لكن لمّا كان قيامه بهذا الواجب و ذاك الواجب في زمان لا يسع إلاّ واحداً منهما، أمراً غير ممكن، كان صدور الطلب من المولى بهذا النحو، أمراً محالاً بعد التفاته إلى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إذا فرض البعثان غير متزاحمين في مقام التأثير، بل كان تأثير أحدهما عند عدم تأثير الآخر و خلوّ الظرف من المزاحم، فلا محالة ينقدح في نفس المولى طلب آخر يتعلّق بالضدّ، إذ الفعل مقدور للمكلّف، و الأمر الأوّل غير باعث و لا داع، و الزمان خال عن الفعل بحيث لو لم يشغله المهمّ، لكان الزمان فارغاً عن الفعل مطلقاً، فأيّ مانع من طلب المهم عند عدم تأثير الأهم و عدم باعثيته؟ و هذا التقريب جميل في بابه حقيق بالتصديق، و قد أجال فكره في مجال التطبيق من دون أن يركز على الدقائق العقلية فيرفع التزاحم بجعل الأمرين في رتبتين، و بالتالي لم تأخذه هيبة الأمر بالمهم و فعليته في ظرف فعلية الأمر بالأهم الذي صار سبباً لذهاب جمع من الأعاظم إلى امتناع الترتب، منهم المحقّق الخراساني و منهم سيدنا العلاّمة الحجّة الكوهكمري، فقد شغلت بالهم فعلية الأمر بالمهم و قالوا بأنّ نتيجة فعلية الأمرين هي طلب الضدّين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نزيد بياناً انّ التلاؤم و التضاد يعني الأمرين أمر عرضي، و مصبهما هو متعلّقات الأوامر، و قد عرفت أنّ بين المتعلّقين كمال التلاؤم في المجالات الثلاثة، و المهم هو مقام الامتثال فانّ تقييد أحد الأمرين بالعصيان يوجب التلاؤم بين الامتثالين</w:t>
      </w:r>
      <w:r>
        <w:rPr>
          <w:rFonts w:eastAsia="Amiri" w:cs="Amiri" w:ascii="Amiri" w:hAnsi="Amiri"/>
          <w:color w:val="111111"/>
          <w:sz w:val="28"/>
          <w:szCs w:val="28"/>
          <w:rtl w:val="true"/>
          <w:lang w:bidi="ar-SA"/>
        </w:rPr>
        <w:t xml:space="preserve">. </w:t>
      </w:r>
      <w:bookmarkStart w:id="143" w:name="pg14356_186645"/>
    </w:p>
    <w:p>
      <w:pPr>
        <w:pStyle w:val="Heading5"/>
        <w:numPr>
          <w:ilvl w:val="4"/>
          <w:numId w:val="1"/>
        </w:numPr>
        <w:rPr/>
      </w:pPr>
      <w:bookmarkStart w:id="144" w:name="__RefHeading___Toc7304666_3381743652"/>
      <w:bookmarkStart w:id="145" w:name="_Toc54"/>
      <w:bookmarkEnd w:id="143"/>
      <w:bookmarkEnd w:id="144"/>
      <w:r>
        <w:rPr>
          <w:rtl w:val="true"/>
        </w:rPr>
        <w:t>التقريب الخامس لتصحيح الترتّب</w:t>
      </w:r>
      <w:bookmarkEnd w:id="145"/>
    </w:p>
    <w:p>
      <w:pPr>
        <w:pStyle w:val="Heading6"/>
        <w:numPr>
          <w:ilvl w:val="5"/>
          <w:numId w:val="1"/>
        </w:numPr>
        <w:rPr/>
      </w:pPr>
      <w:bookmarkStart w:id="146" w:name="__RefHeading___Toc7304668_3381743652"/>
      <w:bookmarkStart w:id="147" w:name="_Toc55"/>
      <w:bookmarkEnd w:id="146"/>
      <w:r>
        <w:rPr>
          <w:rtl w:val="true"/>
        </w:rPr>
        <w:t>اشارة</w:t>
      </w:r>
      <w:bookmarkEnd w:id="147"/>
    </w:p>
    <w:p>
      <w:pPr>
        <w:pStyle w:val="BookText"/>
        <w:rPr/>
      </w:pPr>
      <w:r>
        <w:rPr>
          <w:rFonts w:ascii="Amiri" w:hAnsi="Amiri" w:eastAsia="Amiri" w:cs="Amiri"/>
          <w:color w:val="111111"/>
          <w:sz w:val="28"/>
          <w:sz w:val="28"/>
          <w:szCs w:val="28"/>
          <w:rtl w:val="true"/>
          <w:lang w:bidi="ar-SA"/>
        </w:rPr>
        <w:t xml:space="preserve">و هناك تقريب خامس قام بتفصيله و تهذيبه و تشييد معالمه المحقّق النائيني آخذاً أصله من المحقّق المجدد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13121230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من تلميذه السيد محمد الفشاركي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أسرارهم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أطال الكلام في المقام و رتّب لإثبات الترتّب مقدّمات خمس، و نحن نذكر من كلّ مقدمة ملخّصها</w:t>
      </w:r>
      <w:r>
        <w:rPr>
          <w:rFonts w:eastAsia="Amiri" w:cs="Amiri" w:ascii="Amiri" w:hAnsi="Amiri"/>
          <w:color w:val="111111"/>
          <w:sz w:val="28"/>
          <w:szCs w:val="28"/>
          <w:rtl w:val="true"/>
          <w:lang w:bidi="ar-SA"/>
        </w:rPr>
        <w:t>.</w:t>
      </w:r>
    </w:p>
    <w:p>
      <w:pPr>
        <w:pStyle w:val="Heading6"/>
        <w:numPr>
          <w:ilvl w:val="5"/>
          <w:numId w:val="1"/>
        </w:numPr>
        <w:rPr/>
      </w:pPr>
      <w:bookmarkStart w:id="148" w:name="__RefHeading___Toc7304670_3381743652"/>
      <w:bookmarkStart w:id="149" w:name="_Toc56"/>
      <w:bookmarkEnd w:id="148"/>
      <w:r>
        <w:rPr>
          <w:rtl w:val="true"/>
        </w:rPr>
        <w:t>المقدّمة الأُولى</w:t>
      </w:r>
      <w:r>
        <w:rPr>
          <w:rtl w:val="true"/>
        </w:rPr>
        <w:t xml:space="preserve">: </w:t>
      </w:r>
      <w:r>
        <w:rPr>
          <w:rtl w:val="true"/>
        </w:rPr>
        <w:t>هل الموجب للجمع إطلاق الخطابين أو نفسهما؟</w:t>
      </w:r>
      <w:bookmarkEnd w:id="149"/>
    </w:p>
    <w:p>
      <w:pPr>
        <w:pStyle w:val="BookText"/>
        <w:rPr/>
      </w:pPr>
      <w:r>
        <w:rPr>
          <w:rFonts w:ascii="Amiri" w:hAnsi="Amiri" w:eastAsia="Amiri" w:cs="Amiri"/>
          <w:color w:val="111111"/>
          <w:sz w:val="28"/>
          <w:sz w:val="28"/>
          <w:szCs w:val="28"/>
          <w:rtl w:val="true"/>
          <w:lang w:bidi="ar-SA"/>
        </w:rPr>
        <w:t>لا إشكال في أنّ الذي يوجب وقوع المكلّف في مضيقة المحال و استلزام التكليف بما لا يطاق إنّما هو إيجاب الجمع بين الضدّين، و على ذلك لا إشكال في سقوط ما هو منشأ إيجاب الجمع ليس إلاّ، و لا يمكن سقوط ما لا يوجب ذلك، و هذان الأمران ممّا لا كلام فيهما، بل الكلام كلّه في أنّ الموجب لإيجاب الجمع بين الضدّين هل هو نفس الخطابين و اجتماعهما و فعليتهما مع وحدة زمان امتثالهما لمكان تحقّق شرطهما؟ أو انّ الموجب لإيجاب الجمع هو إطلاق كلّ من الخطابين لحالتي فعل متعلق الآخر و عدمه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قلنا بأنّ الموجب لإيجاب الجمع هو إطلاق الخطابين يسقط الإطلاق و يبقى أصل الخطاب و يصحّ الترتب و لو قلنا بأنّ الموجب هو نفس الخطابين و اجتماعهما و فعليتهما مع وحدة زمان امتثالهما يسقط الخطابان من رأس وعليه </w:t>
      </w:r>
    </w:p>
    <w:p>
      <w:pPr>
        <w:pStyle w:val="BookText"/>
        <w:rPr/>
      </w:pPr>
      <w:r>
        <w:rPr>
          <w:rFonts w:ascii="Amiri" w:hAnsi="Amiri" w:eastAsia="Amiri" w:cs="Amiri"/>
          <w:color w:val="111111"/>
          <w:sz w:val="28"/>
          <w:sz w:val="28"/>
          <w:szCs w:val="28"/>
          <w:rtl w:val="true"/>
          <w:lang w:bidi="ar-SA"/>
        </w:rPr>
        <w:t>يبتني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الغريب ما صدر من الشيخ حيث إنّه أنكر الترتّب في الضدين اللّذين يكون أحدهما أهم، و لكنّه في مبحث التعادل و الترجيح التزم بالترتب من الجانبين عند التساوي و فقد المرجّح حيث قال في ذيل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المتعارضين عدم حجّية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لفظه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لما كان امتثال التكليف بالعمل بكلّ منهما كسائر التكاليف الشرعية و العرفية مشروطاً بالقدرة، و المفروض انّ كلاً منهما مقدور في حال ترك الآخر و غير مقدور مع إيجاد الآخر، فكلّ منهما مع ترك الآخر مقدور يحرم تركه ويتعيّن فعله، و مع إيجاد الآخر يجوز تركه و لا يعاقب عليه، فوجوب الأخذ بأحدهما نتيجة أدلّة وجوب الامتثال و العمل بكلّ منهما بعد تقييد وجوب الامتثال بالقدرة، و هذا ممّا تحكم به بديهية العقل كما في كلّ واجبين اجتمعا على المكلّف و لا مانع من تعيين كلّ منهما على المكلّف بمقتضى دليله إلاّ تعيين الآخر عليه كذلك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تبيين محل النزاع لا غبار عليه، إنّما الكلام في عزو الترتب من الجانبين إلى الشيخ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ما ذكره الشيخ لا صلة له بالترتّب المصطلح في المقام و ذلك بالبيان التالي</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الشيخ إلى أنّ القول بحجّية الأخبار من باب الطريقية يستلزم السقوط و طرح كليهما، و أمّا على القول بحجّيتها من باب السببية و اشتمال العمل بكلّ واحد منهما على مصلحة، فاللازم هو التخيير بين الخبرين، و هذا الخطاب التخييري يستفاد من نفس الأمر بالعمل بخبر العادل،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العمل به في كلّ، مع الأخذ بالآخر غير ممكن، فيُقتصر في تقييد </w:t>
      </w:r>
      <w:bookmarkStart w:id="150" w:name="pg14356_186647"/>
    </w:p>
    <w:p>
      <w:pPr>
        <w:pStyle w:val="BookText"/>
        <w:rPr/>
      </w:pPr>
      <w:bookmarkEnd w:id="150"/>
      <w:r>
        <w:rPr>
          <w:rFonts w:ascii="Amiri" w:hAnsi="Amiri" w:eastAsia="Amiri" w:cs="Amiri"/>
          <w:color w:val="111111"/>
          <w:sz w:val="28"/>
          <w:sz w:val="28"/>
          <w:szCs w:val="28"/>
          <w:rtl w:val="true"/>
          <w:lang w:bidi="ar-SA"/>
        </w:rPr>
        <w:t>الدليل بتركه حين الأخذ بالآخر، فالحكم في الدرجة الأُولى هو الأخذ بهما، و لمّا كان الأخذ بهما محالاً يقتصر في الأخذ بكلّ عند ترك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يظهر الفرق بين المقامين،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التزاحم في مورد الترتّب و إن كان في مرحلة الامتثال لكن لا يعالج التزاحم فيها إلاّ بالتصرّف في مقام التشريع بتقييد خطاب المهم بعصيان الأهم، و سيوافيك انّ الترتّب من المسائل التي يلازم إمكانُها وقوعَها، فالدليلان بإطلاقهما يستلزمان التزاحم في مقام الامتثال، و لا يعالج إلاّ بتقييد المهم بعصيان الأهم فيرتفع التزاحم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التعارض في كلام الشيخ فلا يمكن علاجه بالتصرّف في مقام التشريع للعلم بكذب أحدهما و لكن لمّا كان كلّ واحد مشتملاً على المصلحة مع كذب واحد منهما يقتصر في ترك المصلحة، بالأخذ بالآخر فيختصّ مورد العلاج بمقام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بالمهم في المقام في طول الأمر بالأهم كما سيوافيك تفصيله و هذا بخلاف الترتّب في كلام الشيخ فانّ كلاً من الدليلين في عرض الآخر غير انّه يتخير في العمل بواحد مع ترك الآخر، فكيف يقاس هذا الترتب بذلك؟</w:t>
      </w:r>
    </w:p>
    <w:p>
      <w:pPr>
        <w:pStyle w:val="Heading6"/>
        <w:numPr>
          <w:ilvl w:val="5"/>
          <w:numId w:val="1"/>
        </w:numPr>
        <w:rPr/>
      </w:pPr>
      <w:bookmarkStart w:id="151" w:name="__RefHeading___Toc7304672_3381743652"/>
      <w:bookmarkStart w:id="152" w:name="_Toc57"/>
      <w:bookmarkEnd w:id="151"/>
      <w:r>
        <w:rPr>
          <w:rtl w:val="true"/>
        </w:rPr>
        <w:t>الثانية</w:t>
      </w:r>
      <w:r>
        <w:rPr>
          <w:rtl w:val="true"/>
        </w:rPr>
        <w:t xml:space="preserve">: </w:t>
      </w:r>
      <w:r>
        <w:rPr>
          <w:rtl w:val="true"/>
        </w:rPr>
        <w:t>الواجب المشروط</w:t>
      </w:r>
      <w:r>
        <w:rPr>
          <w:rtl w:val="true"/>
        </w:rPr>
        <w:t xml:space="preserve">) </w:t>
      </w:r>
      <w:r>
        <w:rPr>
          <w:rtl w:val="true"/>
        </w:rPr>
        <w:t xml:space="preserve">بعد حصول شرطه </w:t>
      </w:r>
      <w:r>
        <w:rPr>
          <w:rtl w:val="true"/>
        </w:rPr>
        <w:t>(</w:t>
      </w:r>
      <w:r>
        <w:rPr>
          <w:rtl w:val="true"/>
        </w:rPr>
        <w:t>لا ينقلب إلى الواجب المطلق</w:t>
      </w:r>
      <w:bookmarkEnd w:id="152"/>
    </w:p>
    <w:p>
      <w:pPr>
        <w:pStyle w:val="BookText"/>
        <w:rPr/>
      </w:pPr>
      <w:r>
        <w:rPr>
          <w:rFonts w:ascii="Amiri" w:hAnsi="Amiri" w:eastAsia="Amiri" w:cs="Amiri"/>
          <w:color w:val="111111"/>
          <w:sz w:val="28"/>
          <w:sz w:val="28"/>
          <w:szCs w:val="28"/>
          <w:rtl w:val="true"/>
          <w:lang w:bidi="ar-SA"/>
        </w:rPr>
        <w:t>إنّ الواجب المشروط بعد حصول شرطه لا ينقلب إلى الواجب المطلق، فالحجّ واجب مشروط في حقّ الفقير و الغني، و المستطيع و غيره حتّى بعد حصول شرطه، و بنى ذلك على أمرين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الأحكام الشرعية مجعولة على نهج القضايا الحقيقية، و هي الحكم على </w:t>
      </w:r>
    </w:p>
    <w:p>
      <w:pPr>
        <w:pStyle w:val="BookText"/>
        <w:rPr/>
      </w:pPr>
      <w:r>
        <w:rPr>
          <w:rFonts w:ascii="Amiri" w:hAnsi="Amiri" w:eastAsia="Amiri" w:cs="Amiri"/>
          <w:color w:val="111111"/>
          <w:sz w:val="28"/>
          <w:sz w:val="28"/>
          <w:szCs w:val="28"/>
          <w:rtl w:val="true"/>
          <w:lang w:bidi="ar-SA"/>
        </w:rPr>
        <w:t>عنوان له مصاديق محقّقة و مقدرة و ليست من قبيل القضايا الشخصية، بل هي أحكام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شرط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يبالغ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موضوع 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الاستطاعة إن كانت بظاهرها شرطاً للوجوب لكنّها موضوعة للوجوب و كأنّه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العاقل البالغ المستطيع يجب عليه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الحكم المجعول على موضوعه، لا ينقلب عمّا هو عليه، و لا يخرج الموضوع عن كونه موضوعاً، و لا الحكم عن كونه مجعولاً على موضوعه و وجود الشرط عبارة عن تحقّق موضوعه خارجاً، و بتحقّق الموضوع خارجاً لا ينقلب الواجب المجعول من الكيفية التي جعل عليها و لا يوصف بالإطلاق بعد ما كان مشروطاً، لأنّ انقلابه إلى الإطلاق يستلزم خروج ما فرض كونه موضوعاً عن كونه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الأحكام الشرعية أحكاماً شخصية لصحّ ما ذكر</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إرجاع عامّة الشروط إلى الموضوع مخالف لواقع الشروط فانّها حسب الواقع تنقسم إلى أقسام و نكتفي بذكر أقسام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قيداً للوجوب و مفاد الهيئة و الحكم المنشأ، المعبِّر عن الإرادة، كما إذا كان الشخص غير محب للضيف و لكن لو فاجأه الضيف لم يكن له بدّ من التكريم فيقول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 بك الضيف فأكرمه، فالوجوب معلّق على نزوله، و لولاه فلا إرادة و لا وجوب بل ربما تتعلّق به الكراهة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يكون قيداً لمتعلّق الحكم، كما إذا تعلّقت إرادة المولى على الصلاة في المسجد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الظهر في المسجد فالقيد ظرف للصلاة يجب تحصيله كتحصيلها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قيداً للموضوع، ككونه إنساناً عاقلاً 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القيود على أقسام ثلاثة فكيف نجعلها قسماً واحداً؟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بقاء القضايا الكلية المشروطة على وصفها السابق مبني على القول بعدم انحلالها إلى أحكام جزئية و شخصية لهذا الفرد و ذاك الفرد، و إلاّ فلو ثبت الانحلال يكون الخطاب الشخصي إلى الفقير مشروطاً بالاستطاعة دون خطابه إلى الغني مطلقاً، إذ يقبح أن يخاطب الغني السالم بأنّك إذا استطعت فحج، مع علمنا و علمه بأنّ المقتضي تام و المانع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رحى الترتّب لا تدور على بقاء الواجب المشروط بعد حصول شرطه على ما كان عليه، بل تدور على أن يكون الشرط المأخوذ في موضوع الأمر بالمهم على وجه لا يقتضي طلب الجمع بين الضدّين و إن اقتضى طلب 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فلا بدّ من التركيز على أنّ العصيان هل يقتضي طلب الجمع بين الضدين أو يقتضي طلب الضدّين؟ فعلى الأوّل يمتنع الترتّب، و على الثاني يصحّ، مثلاً لو كان الشرط هو امتثال الأمر الأهم على نحو الشرط المتأخر أي تصوّر الامتثال أو كان الشرط هو التسليم على زيد و افترضنا انّه سلم، ففي هذا القسم لا ينجع الشرط في صحّة الترتّب، سواء قلنا بأنّ الواجب المشروط بعد تحقّق شرطه باق على مشروطيته، أو ينقلب إلى الواجب المطلق، كما أنّه إذا كان الشرط هو العصيان على نحو الشرط المتأخر فهو نافع في رفع طلب الجمع، من غير فرق بين بقاء الواجب المشروط بعد حصول شرطه على الشرطية أو لا، فالواجب التركيز على دراسة واقعية الشرط و انّه هل يمنع عن طلب الجمع أو لا يمنع؟ لا على انقلاب الواجب المشروط إلى المطلق و عدمه</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فالمحقّق النائيني مكان التركيز على هذا الأمر المهم الذي تدور عليه رحى </w:t>
      </w:r>
      <w:bookmarkStart w:id="153" w:name="pg14356_186650"/>
    </w:p>
    <w:p>
      <w:pPr>
        <w:pStyle w:val="BookText"/>
        <w:rPr/>
      </w:pPr>
      <w:bookmarkEnd w:id="153"/>
      <w:r>
        <w:rPr>
          <w:rFonts w:ascii="Amiri" w:hAnsi="Amiri" w:eastAsia="Amiri" w:cs="Amiri"/>
          <w:color w:val="111111"/>
          <w:sz w:val="28"/>
          <w:sz w:val="28"/>
          <w:szCs w:val="28"/>
          <w:rtl w:val="true"/>
          <w:lang w:bidi="ar-SA"/>
        </w:rPr>
        <w:t>الترتّب ركّز على قضية لا ينتفع بها في الترتب إلاّ على وجه بعيد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النائيني بحث في مقدّمة مستقلة ثالثة عن تقسيم الواجب المضيق إلى قسمين، و أفاد انّ هذه المقدّمة ليست بمهمة في إثبات الترتّب، و لأجل ذلك تركناها و نعرّج إلى المقدمة الرابعة في كلامه التي هي مقدّمة ثالثة في كلامنا و قد وصفها بأنّ رحى الترتّب تدور مدارها</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7304674_3381743652"/>
      <w:bookmarkStart w:id="155" w:name="_Toc58"/>
      <w:bookmarkEnd w:id="154"/>
      <w:r>
        <w:rPr>
          <w:rtl w:val="true"/>
        </w:rPr>
        <w:t>المقدّمة الثالثة</w:t>
      </w:r>
      <w:r>
        <w:rPr>
          <w:rtl w:val="true"/>
        </w:rPr>
        <w:t xml:space="preserve">: </w:t>
      </w:r>
      <w:r>
        <w:rPr>
          <w:rtl w:val="true"/>
        </w:rPr>
        <w:t>في أنّ الأمر بالمهم في طول الأمر بالأهم</w:t>
      </w:r>
      <w:bookmarkEnd w:id="155"/>
    </w:p>
    <w:p>
      <w:pPr>
        <w:pStyle w:val="BookText"/>
        <w:rPr/>
      </w:pPr>
      <w:r>
        <w:rPr>
          <w:rFonts w:ascii="Amiri" w:hAnsi="Amiri" w:eastAsia="Amiri" w:cs="Amiri"/>
          <w:color w:val="111111"/>
          <w:sz w:val="28"/>
          <w:sz w:val="28"/>
          <w:szCs w:val="28"/>
          <w:rtl w:val="true"/>
          <w:lang w:bidi="ar-SA"/>
        </w:rPr>
        <w:t>إنّ السبب لوجود الخطاب في صورة خاصة أو في عامّة الصور هو التقييد أو الإطلاق، فالتقييد آية وجود الخطاب في ظرف خاص، و الإطلاق آية وجود الخطاب في عامة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الإطلاق إلى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و التقييد اللحاظيان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نتيجة الإطلاق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انّ مصب الأوّل هو الانقسامات الطارئة على المتعلّق قبل تعلّق الحكم، كتقييد الصلاة بالوضوء أو إطلاقها بالنسبة إلى جميع الأمكنة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مصبّ الثاني هو الانقسامات اللاحقة بعد تعلّق الحكم كاختصاص وجوب الجهر أو القصر بالعالم دون الجاهل، أو كاشتراك أحكام اللّه بين العالم و الجاهل فانّ التقييد و الإطلاق نتيجة دليل ثانوي يفيد الاختصاص أو التعميم و لا يكون الدليل الأوّل متكفلاً لا للاختصاص و لا للتعميم، لأنّ المفروض انّهما من الأحوال الطارئة بعد تعلّق الحكم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المهم في المقام هو الإطلاق الذاتي، و المراد وجود الخطاب في حالتي الفعل و الترك بنفسه و باقتضاء هويته الذاتية، فالخطاب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النجاسة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يشمل صورة الإزالة و عدمها، نظير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الإنسان موجود، فالموضوع ذات الإنسان لا بوصف الوجود، و إلاّ لانقلبت النسبة إلى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بوصف العدم، و إلاّ لانقلبت إلى الامتناع بل الماهية المعراة من كلّ قيد و منه الوجود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المقام يتعلّق الوجوب بذات الإزالة لا بقيد الوجود الذي نعبر عنه بالامتثال، و لا بقيد العدم الذي نعبر عنه بقيد العصيان، فينتج انّ خطاب أزل النجاسة محفوظ في حالتي الوجود و العدم و الامتثال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الأمر بالأهم، و أمّا الأمر بالمهم فنلفت نظرك إلى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مرّ في المقدّمة الثانية من أنّ الشرط أي العصيان موضوع في الأمر بالمهم فمرجع قولك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عصيت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العاصي 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الواضح انّ الحكم لا يتكفّل حال موضوعه من وضع أو رفع، بل هو حكم على تقدير وجوده و مشروط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العاصي 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انّه إن وجد العصيان صدفة فصلّ و ليس الأمر بالصلاة داعياً إلى إيجاد العصيان، لأنّ الحكم لا يثبت موضوعه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معنى الإطلاق في الأهم أي كونه محفوظاً في حالتي العصيان و الامتثال، و عرفت أنّ العصيان مأخوذ في موضوع الأمر بالمهم من دون أن يكون للأمر دعوة إلى إيجاد موضوعه أي العصيان، يظهر لك انّ الأمر بالصلاة في طول الأمر بالإزالة و ذلك ببيانين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مقتضى الإطلاق الذاتي في الأمر بالأهم كونه محفوظاً في حالتي الامتثال و العصيان و داعياً إلى إيجاد متعلّقه في حالة العصيان أيضاً فيكون طارداً للعصيان و رافضاً له من أن يدخل في حوزة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الأمر بالمهم فلا يدعو إلى حفظ العصيان و إثباته و إيجاده، بل يدعو إلى الأمر بالصلاة لو تحقّق العصيان صدفة و على عفو الخاطر و ما يشبه ذلك، فيكون الأمر بالمهم غير مزاحم للأمر بالأهم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خطاب الأهم في رتبة متقدمة على موضوع خطاب المهم و هو العصيان، لما عرفت من أنّ العصيان كالطاعة متأخران عن الحكم، و المفروض انّ العصيان موضوع في الأمر بالمهم فهو مقدّم على حكمه تقدّم الموضوع على حكمه، فينتج تقدّم خطاب الأهم على خطاب المهم برتبتين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تصويره فلاحظ العناوين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بالأهم علة فهو في رتبة 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العصيان في رتبة الإطاعة التي هي متأخرة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العصيان موضوع في الأمر المهم و هو متقدّم على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الأمر بالمهم متأخّراً عن الأمر بالأهم برتبتين</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يلاحظ على هذه المقدّمة بطولها التي لخصناها في هذه السطور بوجهين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الطاعة و إن كانت متأخّرة عن الأمر بالأهم، لأنّها أثرها، و الأثر كالمعلول يكون متأخّراً عن العلة رتبة، إلاّ انّه لا دليل على تأخر العصيان رتبة عن الحكم، لعدم وجود ملاك المعلولية في العصيان</w:t>
      </w:r>
      <w:r>
        <w:rPr>
          <w:rFonts w:eastAsia="Amiri" w:cs="Amiri" w:ascii="Amiri" w:hAnsi="Amiri"/>
          <w:color w:val="111111"/>
          <w:sz w:val="28"/>
          <w:szCs w:val="28"/>
          <w:rtl w:val="true"/>
          <w:lang w:bidi="ar-SA"/>
        </w:rPr>
        <w:t xml:space="preserve">. </w:t>
      </w:r>
      <w:bookmarkStart w:id="156" w:name="pg14356_186653"/>
    </w:p>
    <w:p>
      <w:pPr>
        <w:pStyle w:val="BookText"/>
        <w:rPr/>
      </w:pPr>
      <w:bookmarkEnd w:id="156"/>
      <w:r>
        <w:rPr>
          <w:rFonts w:ascii="Amiri" w:hAnsi="Amiri" w:eastAsia="Amiri" w:cs="Amiri"/>
          <w:color w:val="111111"/>
          <w:sz w:val="28"/>
          <w:sz w:val="28"/>
          <w:szCs w:val="28"/>
          <w:rtl w:val="true"/>
          <w:lang w:bidi="ar-SA"/>
        </w:rPr>
        <w:t>نعم الطاعة و العصيان متأخران زماناً عن الأمر بالأهم و لكن الكلام في التأخّر الرتبي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التأخّر الرتبي لا ينفع ما لم يرفع فساد طلب الجمع بين الفعلين بشهادة انّه لو جعل الشرط في الأمر الثاني امتثال الأمر الأوّل على نحو الشرط المتأخر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أزل النجاسة إن امتثلت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يرتفع الفساد، بل يلزم طلب الجمع بين الفعلين مع أنّ الأمر الثاني متأخّر عن الأمر الأوّل برتبتين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انّ التأخّر الرتبي مهما بذلت الجهود على إثباته لا ينجح، فانّ التزاحم في مقام الامتثال، و الامتثال أمر زماني و لا يرتفع طلب الجمع إلاّ أن يكون زمان تأثير الأوّل مغايراً لتأثير زمان الثاني على النحو الذي عرفت في تقريب السيد المحقّق البروجردي</w:t>
      </w:r>
      <w:r>
        <w:rPr>
          <w:rFonts w:eastAsia="Amiri" w:cs="Amiri" w:ascii="Amiri" w:hAnsi="Amiri"/>
          <w:color w:val="111111"/>
          <w:sz w:val="28"/>
          <w:szCs w:val="28"/>
          <w:rtl w:val="true"/>
          <w:lang w:bidi="ar-SA"/>
        </w:rPr>
        <w:t>.</w:t>
      </w:r>
    </w:p>
    <w:p>
      <w:pPr>
        <w:pStyle w:val="Heading6"/>
        <w:numPr>
          <w:ilvl w:val="5"/>
          <w:numId w:val="1"/>
        </w:numPr>
        <w:rPr/>
      </w:pPr>
      <w:bookmarkStart w:id="157" w:name="__RefHeading___Toc7304676_3381743652"/>
      <w:bookmarkStart w:id="158" w:name="_Toc59"/>
      <w:bookmarkEnd w:id="157"/>
      <w:r>
        <w:rPr>
          <w:rtl w:val="true"/>
        </w:rPr>
        <w:t>المقدّمة الرابعة</w:t>
      </w:r>
      <w:r>
        <w:rPr>
          <w:rtl w:val="true"/>
        </w:rPr>
        <w:t xml:space="preserve">: </w:t>
      </w:r>
      <w:r>
        <w:rPr>
          <w:rtl w:val="true"/>
        </w:rPr>
        <w:t>في أنّ الخطاب الترتّبي لا يقتضي الجمع</w:t>
      </w:r>
      <w:bookmarkEnd w:id="158"/>
    </w:p>
    <w:p>
      <w:pPr>
        <w:pStyle w:val="BookText"/>
        <w:rPr/>
      </w:pPr>
      <w:r>
        <w:rPr>
          <w:rFonts w:ascii="Amiri" w:hAnsi="Amiri" w:eastAsia="Amiri" w:cs="Amiri"/>
          <w:color w:val="111111"/>
          <w:sz w:val="28"/>
          <w:sz w:val="28"/>
          <w:szCs w:val="28"/>
          <w:rtl w:val="true"/>
          <w:lang w:bidi="ar-SA"/>
        </w:rPr>
        <w:t>هذه المقدّمة كما قلنا سابقاً و يفصح عنوانُها سيقت لإثبات أنّ الخطابَ الترتبيّ لا يقتضي إيجابَ الجمع، و هي تحمل روح الترتّب و لها أهمية خاصة، و قد فصّل المستدل الكلام في بيان مقصوده، و نحن نقتصر على ما هو اللازم المؤثر في إثبات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أحد الدليلين متعرّضاً لحال الدليل الآخر، فإمّا أن يكون نفس الخطاب رافعاً أو دافعاً لموضوع الآخر، و إمّا أن يكون امتثاله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الأوّل فهذا ممّا يوجب عدم اجتماع الخطابين في الفعلية، و لا يعقل أن يكون كلّ من الخطابين فعليّاً، لأنّ وجود أحد الخطابين رافع لموضوع الآخر فلا يبقى مجال لفعلية الآخر حتى تقع المزاحمة، و هذا كما إذا ربح الرجل و كان عليه </w:t>
      </w:r>
    </w:p>
    <w:p>
      <w:pPr>
        <w:pStyle w:val="BookText"/>
        <w:rPr/>
      </w:pPr>
      <w:r>
        <w:rPr>
          <w:rFonts w:ascii="Amiri" w:hAnsi="Amiri" w:eastAsia="Amiri" w:cs="Amiri"/>
          <w:color w:val="111111"/>
          <w:sz w:val="28"/>
          <w:sz w:val="28"/>
          <w:szCs w:val="28"/>
          <w:rtl w:val="true"/>
          <w:lang w:bidi="ar-SA"/>
        </w:rPr>
        <w:t>دين من عام الربح، فخطاب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رافع لموضوع خطاب الخمس الوارد في الآية المباركة، و ذلك لأنّ الخمس بعد المئونة و أداء الدين</w:t>
      </w:r>
      <w:r>
        <w:rPr>
          <w:rStyle w:val="FootnoteAnchor"/>
          <w:rtl w:val="true"/>
        </w:rPr>
        <w:footnoteReference w:id="25"/>
      </w:r>
      <w:r>
        <w:rPr>
          <w:rFonts w:ascii="Amiri" w:hAnsi="Amiri" w:eastAsia="Amiri" w:cs="Amiri"/>
          <w:color w:val="111111"/>
          <w:sz w:val="28"/>
          <w:sz w:val="28"/>
          <w:szCs w:val="28"/>
          <w:rtl w:val="true"/>
          <w:lang w:bidi="ar-SA"/>
        </w:rPr>
        <w:t>من المئونة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الثاني، أي كان أحد الخطابين بامتثاله رافعاً لموضوع الآخر، فهذا هو محلّ البحث في الخطاب الترتّبي حيث يتحقّق اجتماع كلّ من الخطابين في الفعلية، لأنّه ما لم يمتثل خطاب الأهمّ لا يرتفع خطاب الآخر لعدم ارتفاع موضوعه بعدُ، فيجتمع الخطابان في الزمان و في الفعلية بتحقّق موضوعهما، فيقع الكلام في أنّ اجتماع مثل هذين الخطابين يوجب إيجاب الجمع أو لا، و الحقّ أنّه لا يوجب لوجوه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لزم إيجاب الجمع يلزم المحال في جانب المطلوب، لأنّ مطلوبية المهمّ و وقوعه على هذه الصفة إنّما يكون في ظرف عصيان الأهم و خلوّ الزمان عنه، بداهة أنّ ما يكون قيداً للطلب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عصيت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قيداً للمطلوب، فيكون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بعد العصيان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كالحجّ بعد الاستطاعة، فلو فرض وقوعه على صفة المطلوبية في حال وجود الأهم و امتثاله، يلزم الجمع بين النقيضين، إذ يلزم أن يكون مطلوباً مقيداً بكونه بعد العصيان و في الوقت نفسه مطلوباً و لو حال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لزم إيجاب الجمع لزم المحال في ظرف الوجوب، لأنّ خطاب الأهمّ يكون من علل عدم خطاب المهم لاقتضائه رفع موضوعه، فلو اجتمع خطاب الأهم و المهم و صار المهمّ في عرض خطاب الأهمّ كما هو لازم إيجاب الجمع لكان من قبيل اجتماع الشيء مع علّة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البرهان المنطقي أيضاً يقتضي عدم إيجاب الجمع فانّ الخطاب الترتبي بمنزلة المنفصلة المانعة الجمع، بين النسبة الطلبيّة في جانب المهمّ و النسبة </w:t>
      </w:r>
    </w:p>
    <w:p>
      <w:pPr>
        <w:pStyle w:val="BookText"/>
        <w:rPr/>
      </w:pPr>
      <w:r>
        <w:rPr>
          <w:rFonts w:ascii="Amiri" w:hAnsi="Amiri" w:eastAsia="Amiri" w:cs="Amiri"/>
          <w:color w:val="111111"/>
          <w:sz w:val="28"/>
          <w:sz w:val="28"/>
          <w:szCs w:val="28"/>
          <w:rtl w:val="true"/>
          <w:lang w:bidi="ar-SA"/>
        </w:rPr>
        <w:t>الفاعليّة في جانب الأهم، فصورة القضية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الشخص فاعلاً للأهم، و إمّا أن يجب عليه المهم و معه كيف يعقل إيجاب الجمع</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يلاحظ على الوجه الأوّل، منع كون العصيان قيداً للطلب و المطلوب، و إنّما هو قيد للطلب دون المطلوب بشهادة أنّه لو تمكّن عن طريق الإعجاز الجمع بين الأهم و المهمّ لوقع المهمّ على وصف المطلوبية فما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عدم كون المهم مطلوباً في غير صورة العصيان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أنّ ما ذكره من أنّ خطاب الأهم من علل عدم خطاب المهمّ لاقتضائه رفع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يوافق جعل المقام من القسم الثاني، أي كون أحد الخطابين بامتثاله رافعاً لموضوع الآخر، فكيف يصحّ أن يقول إنّ خطاب الأهم من علل عدم خطاب المهم لاقتضائه رفع موضوعه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النائيني أتعب نفسه الشريفة في ترتيب هذه المقدّمات لتصحيح الترتّب، لكن تصحيحه و استنباطه، لا يتوقّف على هذه المقدّمات المفصّلة، و كان في وسعه أن يرد من أقصر الطرق و أسهلها كما عرفت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مساعي علمائنا</w:t>
      </w:r>
      <w:r>
        <w:rPr>
          <w:rFonts w:eastAsia="Amiri" w:cs="Amiri" w:ascii="Amiri" w:hAnsi="Amiri"/>
          <w:color w:val="111111"/>
          <w:sz w:val="28"/>
          <w:szCs w:val="28"/>
          <w:rtl w:val="true"/>
          <w:lang w:bidi="ar-SA"/>
        </w:rPr>
        <w:t xml:space="preserve">. </w:t>
      </w:r>
      <w:bookmarkStart w:id="159" w:name="pg14356_186656"/>
    </w:p>
    <w:p>
      <w:pPr>
        <w:pStyle w:val="Heading5"/>
        <w:numPr>
          <w:ilvl w:val="4"/>
          <w:numId w:val="1"/>
        </w:numPr>
        <w:rPr/>
      </w:pPr>
      <w:bookmarkStart w:id="160" w:name="__RefHeading___Toc7304678_3381743652"/>
      <w:bookmarkStart w:id="161" w:name="_Toc60"/>
      <w:bookmarkEnd w:id="159"/>
      <w:bookmarkEnd w:id="160"/>
      <w:r>
        <w:rPr>
          <w:rtl w:val="true"/>
        </w:rPr>
        <w:t>ثمرات بحث الترتّب</w:t>
      </w:r>
      <w:r>
        <w:rPr>
          <w:rtl w:val="true"/>
        </w:rPr>
        <w:t>:</w:t>
      </w:r>
      <w:bookmarkEnd w:id="161"/>
    </w:p>
    <w:p>
      <w:pPr>
        <w:pStyle w:val="Heading5"/>
        <w:numPr>
          <w:ilvl w:val="4"/>
          <w:numId w:val="1"/>
        </w:numPr>
        <w:rPr/>
      </w:pPr>
      <w:bookmarkStart w:id="162" w:name="__RefHeading___Toc7304680_3381743652"/>
      <w:bookmarkStart w:id="163" w:name="_Toc61"/>
      <w:bookmarkEnd w:id="162"/>
      <w:r>
        <w:rPr>
          <w:rtl w:val="true"/>
        </w:rPr>
        <w:t>الفروع الفقهية المترتّبة على صحّة الترتّب</w:t>
      </w:r>
      <w:bookmarkEnd w:id="163"/>
    </w:p>
    <w:p>
      <w:pPr>
        <w:pStyle w:val="BookText"/>
        <w:rPr/>
      </w:pPr>
      <w:r>
        <w:rPr>
          <w:rFonts w:ascii="Amiri" w:hAnsi="Amiri" w:eastAsia="Amiri" w:cs="Amiri"/>
          <w:color w:val="111111"/>
          <w:sz w:val="28"/>
          <w:sz w:val="28"/>
          <w:szCs w:val="28"/>
          <w:rtl w:val="true"/>
          <w:lang w:bidi="ar-SA"/>
        </w:rPr>
        <w:t>إنّ أدلّ دليل على إمكان الشيء وقوعه، و نحن إذا راجعنا الفقه نرى أنّ هناك أحكاماً شرعية أفتى بها العلماء، و لا يصحّ الإفتاء بها إلاّ على القول بصحّة الترتّب، و إليك بعض ما عثرنا عليه أو ذكره غيرنا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المسألة المعروفة،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رأى المكلّف نجاسة في المسجد و قد دخل وقت الصلاة، فلا شكّ أنّه تجب المبادرة إلى إزالتها قبل أن يصلي مع سعة الوقت، و مع الضيق يقدّم الصلاة، و لكن لو ترك الإزالة مع سعة الوقت و اشتغل بالصلاة عصى، لأنّه ترك الأهمّ، و إنّما الكلام في صحّة صلاته، فتحكم بالصحّة على الترتّب</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بدن المكلّف أو ثوبه نجساً، و من جانب آخر كان محدثاً و ليس عنده من الماء إلاّ بقدر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الحدث أو الخبث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أنّ لرفع الحدث بدلاً و هو التيمّم، يجب استعمال الماء في رفع الخبث، فصار رفع الخبث أهمّ، و رفع الحدث هو 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عصى و استعمل الماء في رفع الحدث بالتوضّؤ أو الاغتسال، فصحّتهما مبنيّة على القول بالترتّب، أي توجّه الأمر إلى رفع الحدث </w:t>
      </w:r>
    </w:p>
    <w:p>
      <w:pPr>
        <w:pStyle w:val="BookText"/>
        <w:rPr/>
      </w:pPr>
      <w:r>
        <w:rPr>
          <w:rFonts w:ascii="Amiri" w:hAnsi="Amiri" w:eastAsia="Amiri" w:cs="Amiri"/>
          <w:color w:val="111111"/>
          <w:sz w:val="28"/>
          <w:sz w:val="28"/>
          <w:szCs w:val="28"/>
          <w:rtl w:val="true"/>
          <w:lang w:bidi="ar-SA"/>
        </w:rPr>
        <w:t>عند العزم على عصيان الأمر بالأهم</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وظيفة المكلّف التيمّم لضيق الوقت عن استعمال الماء، و مع ذلك خالف فتوضّأ أو اغتسل، فصحّة الوضوء أو الغسل مبنية على صحّة الترتّب أو الاكتفاء بالملاك</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وضوء الزوجة مفوِّتاً لحقّ الزوج، مع سعة الوقت فتوضأت، فصحّة وضوئها مبنيّة على صحّة الترتّب، أو القول بكفاية الملاك، كما هو الحال في عامة المسائل</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انحصر ماء الوضوء بما يوجد في الآنية المغصوبة، فإن اغترف منها مرّة واحدة لأجل التوضّؤ ما يكفيه للوضوء، فيجب عليه الوضوء، و إن عصى في الاغتراف، و لا صلة للصحّة هنا بالترتّب، لسقوط النهي عن الاغتراف بالعصيان، و أمّا إذا كان بناؤه على الاغتراف تدريجياً، فاغترف مرّة ما يكفيه لغسل الوجه، فصحّة وضوئه بهذا الشكل بأن يغترف مرّة أُخرى بعد غسل الوجه، لغَسْل اليمنى ثمّ اليسرى مبنية على صحّة الترتّب، فانّ القدرة على كلّ غسلة من غسلات الوضوء حاصلة عند كلّ غسلة بالعصيان بالتصرّف في الآنية المغصوبة</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نظيره الاغتراف من آنية الذهب أو الفضّة، و ليست القدرة الفعلية على </w:t>
      </w:r>
    </w:p>
    <w:p>
      <w:pPr>
        <w:pStyle w:val="BookText"/>
        <w:rPr/>
      </w:pPr>
      <w:r>
        <w:rPr>
          <w:rFonts w:ascii="Amiri" w:hAnsi="Amiri" w:eastAsia="Amiri" w:cs="Amiri"/>
          <w:color w:val="111111"/>
          <w:sz w:val="28"/>
          <w:sz w:val="28"/>
          <w:szCs w:val="28"/>
          <w:rtl w:val="true"/>
          <w:lang w:bidi="ar-SA"/>
        </w:rPr>
        <w:t>مجموع العمل قبل الشروع فيه شرطاً، بل تكفي القدرة عند كلّ جزء من أجزائه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توقّف حفظ نفس محترمة على ترك الصلاة أو قطعها، فلو عصى و اشتغل بالصلاة، مبتدأ بها أو مستمرّاً فيها، فالصحّة مبنية على صحّة الترتّب أو القول بكفاية الملاك</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المكلّف في حال الصلاة فسلّم عليه شخص، وجب عليه ردّ السلام، و لو عصى و استمرّ في الصلاة، صحّت لمكان الأمر الترتبي</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شرع في اليومية مع سعة وقتها، ثمّ ظهر له ضيق وقت صلاة الآية، يجب عليه قطعها و الاشتغال بصلاة الآية، فلو لم يقطعها و استمرّ في الصلاة، فالصحّة مبنية على القول بالترتّب أو كفاية الملاك</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مثله كلّ صلاة موسّعة عارضت صلاة مضيّقة، كالنافلة في وقت الفريضة مع ضيق وقتها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وجب السفر في شهر رمضان بإيجاب أهم من صومه، كسفر الحجّ، فلو عصى و لم يسافر توجّه إليه الأمر بالصوم بحيث لو أفطر وجبت عليه الكفّارة، كما يجب عليه الإتمام و لا يصحّ منه القصر، فكأنّ المولى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سافر، و أفطر، و قصّر، و لو عصيت فصم و أتمم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زاحم الصوم، حفظ نفس الغير أو عرضه أو زاحمه حفظ مال أهمّ في نظر الشارع من الصوم، و مع ذلك صام، فالصحّة مبنية على أحد الأمرين الترتّب أو القول بكفاية الملاك</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اعتكاف الزوجة منافياً لحقّ الزوج، أو اعتكاف المستأجر منافياً لحقّ الأجير، فلو خالف و صام و اعتكف، فتصحيح العبادة بأحد الأمرين كما مرّ</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عليه خمس من عام الربح الماضي، و كان عليه دين حال، فيقدّم الدين على الخمس، فلو خالف و لم يؤدّ الدين يمكن القول بوجوب الخمس مترتّباً على العصيان</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صلّى العصر قبل الظهر في الوقت المشترك نسياناً فلا مانع من الإتيان بالظهر في الوقت المختصّ بالعصر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ترك الإتيان بالظهر في هذا الوقت و اشتغل بصلاة أُخرى قضاءً فيمكن أن يقال إنّ اشتغال الذمّة بالواجب الفوريّ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الظهر لا ينافي صحّة عبادة أُخرى مضادّة له بناء على تعلّق الأمر بالموسّع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القضاء فعلاً أيضاً على الترتّب</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فرضت حرمة الإقامة على المسافر من أوّل الفجر إلى الزوال، فلو</w:t>
      </w:r>
    </w:p>
    <w:p>
      <w:pPr>
        <w:pStyle w:val="BookText"/>
        <w:rPr/>
      </w:pPr>
      <w:r>
        <w:rPr>
          <w:rFonts w:ascii="Amiri" w:hAnsi="Amiri" w:eastAsia="Amiri" w:cs="Amiri"/>
          <w:color w:val="111111"/>
          <w:sz w:val="28"/>
          <w:sz w:val="28"/>
          <w:szCs w:val="28"/>
          <w:rtl w:val="true"/>
          <w:lang w:bidi="ar-SA"/>
        </w:rPr>
        <w:t>فرض أنّه عصى هذا الخطاب و أقام، فلا إشكال في أنّه يجب عليه الصوم و يكون مخاطباً به، فيكون في الآن الأوّل الحقيقي من الفجر قد توجّه إليه كلّ من حرمة الإقامة و وجوب الصوم و لكن مترتّباً، فيكون وجوب الصوم أو وجوب التمام مترتّباً على عصيان حرمة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لك الإقامة، و إن عصيت بنيّة الإقامة، فصُم و اتمم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فرض وجوب الإقامة على المسافر من أوّل الزوال، فلو عصى و لم ينو الإقامة وجب عليه القصر و إفطار الصوم، و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و إن عصيت فقصّر و أفطر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64" w:name="pg14356_186661"/>
    </w:p>
    <w:p>
      <w:pPr>
        <w:pStyle w:val="Heading4"/>
        <w:numPr>
          <w:ilvl w:val="3"/>
          <w:numId w:val="1"/>
        </w:numPr>
        <w:rPr/>
      </w:pPr>
      <w:bookmarkStart w:id="165" w:name="__RefHeading___Toc7304682_3381743652"/>
      <w:bookmarkStart w:id="166" w:name="_Toc62"/>
      <w:bookmarkEnd w:id="164"/>
      <w:bookmarkEnd w:id="165"/>
      <w:r>
        <w:rPr>
          <w:rtl w:val="true"/>
        </w:rPr>
        <w:t>خاتمة المطاف نظرية الأمر بالأهم و المهم عرضاً لا بنحو الترتّب</w:t>
      </w:r>
      <w:bookmarkEnd w:id="166"/>
    </w:p>
    <w:p>
      <w:pPr>
        <w:pStyle w:val="Heading5"/>
        <w:numPr>
          <w:ilvl w:val="4"/>
          <w:numId w:val="1"/>
        </w:numPr>
        <w:rPr/>
      </w:pPr>
      <w:bookmarkStart w:id="167" w:name="__RefHeading___Toc7304684_3381743652"/>
      <w:bookmarkStart w:id="168" w:name="_Toc63"/>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إنّ سيّدنا الأُستاذ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لم يرتض بالترتّب على النحو الذي أقام دعائمه المحقّق النائيني، سلك مسلكاً آخر في تصحيح الأمر بالمهم مع الأمر بالأهم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حفظ الأمر على الموضوعين بلا تقييد المهم بالعصيان، و ذلك بترتيب مقدّمات مفصّلة، نذكر ملخّصاً منها</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7304686_3381743652"/>
      <w:bookmarkStart w:id="170" w:name="_Toc64"/>
      <w:bookmarkEnd w:id="169"/>
      <w:r>
        <w:rPr>
          <w:rtl w:val="true"/>
        </w:rPr>
        <w:t>الأُولى</w:t>
      </w:r>
      <w:r>
        <w:rPr>
          <w:rtl w:val="true"/>
        </w:rPr>
        <w:t xml:space="preserve">: </w:t>
      </w:r>
      <w:r>
        <w:rPr>
          <w:rtl w:val="true"/>
        </w:rPr>
        <w:t>الأحكام تتعلّق بالطبائع</w:t>
      </w:r>
      <w:bookmarkEnd w:id="170"/>
    </w:p>
    <w:p>
      <w:pPr>
        <w:pStyle w:val="BookText"/>
        <w:rPr/>
      </w:pPr>
      <w:r>
        <w:rPr>
          <w:rFonts w:ascii="Amiri" w:hAnsi="Amiri" w:eastAsia="Amiri" w:cs="Amiri"/>
          <w:color w:val="111111"/>
          <w:sz w:val="28"/>
          <w:sz w:val="28"/>
          <w:szCs w:val="28"/>
          <w:rtl w:val="true"/>
          <w:lang w:bidi="ar-SA"/>
        </w:rPr>
        <w:t>إنّ الأحكام الشرعية تتعلّق بنفس العناوين الكلّية، لا بها مع سائر الخصوصيات، فانّ الطبيعي في الخارج لا ينفك عن الزمان و المكان و سائر الملابسات، لكن المأمور به نفس الصلاة لا ضمائمها الكلّية، و هكذا النواهي، و ذلك لأنّ المحصِّل للغرض هو نفس وجود الطبيعة دون الضمائم و إن كانت الطبيعة لا تنفك عنها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يُعلم أنّ مراد القائل بتعلّق الأحكام بالأفراد ليس هو المصاديق </w:t>
      </w:r>
      <w:bookmarkStart w:id="171" w:name="pg14356_186662"/>
    </w:p>
    <w:p>
      <w:pPr>
        <w:pStyle w:val="BookText"/>
        <w:rPr/>
      </w:pPr>
      <w:bookmarkEnd w:id="171"/>
      <w:r>
        <w:rPr>
          <w:rFonts w:ascii="Amiri" w:hAnsi="Amiri" w:eastAsia="Amiri" w:cs="Amiri"/>
          <w:color w:val="111111"/>
          <w:sz w:val="28"/>
          <w:sz w:val="28"/>
          <w:szCs w:val="28"/>
          <w:rtl w:val="true"/>
          <w:lang w:bidi="ar-SA"/>
        </w:rPr>
        <w:t>الخارجية، بل الضمائم و المشخّصات الكلّية، فالوجوب في الصلاة يتعلّق بنفس الطبيعة لا بملازماتها، كالصلاة في المساجد و البيوت و الشوارع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قس على ذلك، النواهي</w:t>
      </w:r>
      <w:r>
        <w:rPr>
          <w:rFonts w:eastAsia="Amiri" w:cs="Amiri" w:ascii="Amiri" w:hAnsi="Amiri"/>
          <w:color w:val="111111"/>
          <w:sz w:val="28"/>
          <w:szCs w:val="28"/>
          <w:rtl w:val="true"/>
          <w:lang w:bidi="ar-SA"/>
        </w:rPr>
        <w:t>.</w:t>
      </w:r>
    </w:p>
    <w:p>
      <w:pPr>
        <w:pStyle w:val="Heading5"/>
        <w:numPr>
          <w:ilvl w:val="4"/>
          <w:numId w:val="1"/>
        </w:numPr>
        <w:rPr/>
      </w:pPr>
      <w:bookmarkStart w:id="172" w:name="__RefHeading___Toc7304688_3381743652"/>
      <w:bookmarkStart w:id="173" w:name="_Toc65"/>
      <w:bookmarkEnd w:id="172"/>
      <w:r>
        <w:rPr>
          <w:rtl w:val="true"/>
        </w:rPr>
        <w:t>الثانية</w:t>
      </w:r>
      <w:r>
        <w:rPr>
          <w:rtl w:val="true"/>
        </w:rPr>
        <w:t xml:space="preserve">: </w:t>
      </w:r>
      <w:r>
        <w:rPr>
          <w:rtl w:val="true"/>
        </w:rPr>
        <w:t>الإطلاق</w:t>
      </w:r>
      <w:r>
        <w:rPr>
          <w:rtl w:val="true"/>
        </w:rPr>
        <w:t xml:space="preserve">: </w:t>
      </w:r>
      <w:r>
        <w:rPr>
          <w:rtl w:val="true"/>
        </w:rPr>
        <w:t>كون الطبيعة تمام موضوع الحكم</w:t>
      </w:r>
      <w:bookmarkEnd w:id="173"/>
    </w:p>
    <w:p>
      <w:pPr>
        <w:pStyle w:val="BookText"/>
        <w:rPr/>
      </w:pPr>
      <w:r>
        <w:rPr>
          <w:rFonts w:ascii="Amiri" w:hAnsi="Amiri" w:eastAsia="Amiri" w:cs="Amiri"/>
          <w:color w:val="111111"/>
          <w:sz w:val="28"/>
          <w:sz w:val="28"/>
          <w:szCs w:val="28"/>
          <w:rtl w:val="true"/>
          <w:lang w:bidi="ar-SA"/>
        </w:rPr>
        <w:t>إنّ الإطلاق عبارة عن كون الطبيعة تمام الموضوع للحكم، ففي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 و مرسل عن القيد باسم المؤمنة، فهي تمام الموضوع، بخلاف المقيّد، فالمطلق فيها جزء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تفسير الإطلاق بلحاظ سريان الطبيعة في أفرادها و أصنافها بأن يلاحظ المولى الرقبة في ضمن المؤمنة و الكافرة و العادلة و الفاسقة و هكذا فليس بتام، فما ربّما يفسر الإطلاق بكون الرقبة واجبة سواء أ كانت مؤمنة أم كافرة و هكذا، فهو إطلاق لحاظي غير ثابت و لا دليل عليه، إذ يكفي بالاحتجاج بالمطلق جعله تمام الموضوع من دون لحاظ سيلانه أو سريانه في أصنافه و مصاديقه</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7304690_3381743652"/>
      <w:bookmarkStart w:id="175" w:name="_Toc66"/>
      <w:bookmarkEnd w:id="174"/>
      <w:r>
        <w:rPr>
          <w:rtl w:val="true"/>
        </w:rPr>
        <w:t>الثالثة</w:t>
      </w:r>
      <w:r>
        <w:rPr>
          <w:rtl w:val="true"/>
        </w:rPr>
        <w:t xml:space="preserve">: </w:t>
      </w:r>
      <w:r>
        <w:rPr>
          <w:rtl w:val="true"/>
        </w:rPr>
        <w:t>انّ الدليل غير ناظر لحال التزاحم</w:t>
      </w:r>
      <w:bookmarkEnd w:id="1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تعلّق الحكم بنفس الإزالة فالمقنن في حال التقنين لا يلاحظ زمان تزاحمه بالصلاة و غيرها، و ذلك لأنّ الحكم المتعلّق بالصلاة متأخّر عن الحكم بوجوب الإزالة بمرحلتين، و ما يتأخّر عن الشيء بمرحلتين، لا يصحّ أن يكون الحكم ناظراً إليه، و ذلك لأنّ الحكم بالإزالة متقدّم على تطبيق الحكم على الصعيد العملي،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الامتثال، كما هو متقدّم على حدوث التزاحم بينه و بين سائر الواجبات، فيكون الحكم بالإزالة متقدّماً على التزاحم برتبتين، فكيف يكون ناظراً لحال ما يتأخّر عنه برتبتين؟ </w:t>
      </w:r>
      <w:bookmarkStart w:id="176" w:name="pg14356_186663"/>
    </w:p>
    <w:p>
      <w:pPr>
        <w:pStyle w:val="BookText"/>
        <w:rPr/>
      </w:pPr>
      <w:bookmarkEnd w:id="176"/>
      <w:r>
        <w:rPr>
          <w:rFonts w:ascii="Amiri" w:hAnsi="Amiri" w:eastAsia="Amiri" w:cs="Amiri"/>
          <w:color w:val="111111"/>
          <w:sz w:val="28"/>
          <w:sz w:val="28"/>
          <w:szCs w:val="28"/>
          <w:rtl w:val="true"/>
          <w:lang w:bidi="ar-SA"/>
        </w:rPr>
        <w:t>أضف إلى ذلك انّ الأمر بالإزالة مشتمل على الهيئة و المادة، و الهيئة تدلّ على الوجوب و المادة على الطبيعة فليس هناك دالّ على صورة التزاحم</w:t>
      </w:r>
      <w:r>
        <w:rPr>
          <w:rFonts w:eastAsia="Amiri" w:cs="Amiri" w:ascii="Amiri" w:hAnsi="Amiri"/>
          <w:color w:val="111111"/>
          <w:sz w:val="28"/>
          <w:szCs w:val="28"/>
          <w:rtl w:val="true"/>
          <w:lang w:bidi="ar-SA"/>
        </w:rPr>
        <w:t>.</w:t>
      </w:r>
    </w:p>
    <w:p>
      <w:pPr>
        <w:pStyle w:val="Heading5"/>
        <w:numPr>
          <w:ilvl w:val="4"/>
          <w:numId w:val="1"/>
        </w:numPr>
        <w:rPr/>
      </w:pPr>
      <w:bookmarkStart w:id="177" w:name="__RefHeading___Toc7304692_3381743652"/>
      <w:bookmarkStart w:id="178" w:name="_Toc67"/>
      <w:bookmarkEnd w:id="177"/>
      <w:r>
        <w:rPr>
          <w:rtl w:val="true"/>
        </w:rPr>
        <w:t>الرابعة</w:t>
      </w:r>
      <w:r>
        <w:rPr>
          <w:rtl w:val="true"/>
        </w:rPr>
        <w:t xml:space="preserve">: </w:t>
      </w:r>
      <w:r>
        <w:rPr>
          <w:rtl w:val="true"/>
        </w:rPr>
        <w:t>ليس للحكم إلاّ مرحلتان</w:t>
      </w:r>
      <w:bookmarkEnd w:id="178"/>
    </w:p>
    <w:p>
      <w:pPr>
        <w:pStyle w:val="BookText"/>
        <w:rPr/>
      </w:pPr>
      <w:r>
        <w:rPr>
          <w:rFonts w:ascii="Amiri" w:hAnsi="Amiri" w:eastAsia="Amiri" w:cs="Amiri"/>
          <w:color w:val="111111"/>
          <w:sz w:val="28"/>
          <w:sz w:val="28"/>
          <w:szCs w:val="28"/>
          <w:rtl w:val="true"/>
          <w:lang w:bidi="ar-SA"/>
        </w:rPr>
        <w:t>المعروف أنّ للحكم الشرعي مراتب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الاقتضاء، و هي مرحلة المصالح و المفاسد المقتضية لإنشاء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الإنشاء، و هي إنشاء الحكم على وفق المصالح و المفاسد بالإيجاب في الأُولى و النهي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مرحلة بيان الحكم على المناهج المعروفة سابقاً و لاحقاً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قيام الحجّة عند المكلّف على حكم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أنكر كون الأُولى و الرابعة من مراحل الحكم،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مرحلة الاقتضاء من مقدّمات الحكم لا نفسه، كما أنّ مرحلة التنجّز مرحلة متأخّرة عن الحكم، و هو حكم العقل بتنجّز الحكم على المكلّف و أثره استحقاق الثواب و العقاب و لا صلة للتنجّز بالحكم</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7304694_3381743652"/>
      <w:bookmarkStart w:id="180" w:name="_Toc68"/>
      <w:bookmarkEnd w:id="179"/>
      <w:r>
        <w:rPr>
          <w:rtl w:val="true"/>
        </w:rPr>
        <w:t>الخامسة</w:t>
      </w:r>
      <w:r>
        <w:rPr>
          <w:rtl w:val="true"/>
        </w:rPr>
        <w:t xml:space="preserve">: </w:t>
      </w:r>
      <w:r>
        <w:rPr>
          <w:rtl w:val="true"/>
        </w:rPr>
        <w:t>الخطاب الشرعي خطاب قانوني واحد</w:t>
      </w:r>
      <w:bookmarkEnd w:id="18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الخطابات الشرعية بل الأحكام مطلقاً سواء أ كان هناك خطاب أم لا خطاب أو حكم واحد، و هو بوحدته حجّة على عامّة المكلّفين، فالحكم أو الخطاب واحد، و المتعلّق كثير، مثلاً،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عَلَى النّاسِ حِجُّ </w:t>
      </w:r>
    </w:p>
    <w:p>
      <w:pPr>
        <w:pStyle w:val="BookText"/>
        <w:rPr/>
      </w:pP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حكم واحد لا كثرة فيه و إن كان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الكثرة لكن الحكم بوحدته بما انّه متعلّق بالناس حجّة على الجميع، فكلّ فرد وقف على ذلك الحكم، تتمّ الحجّة عليه لكونه من مصاديق الناس، و لا حاجة لتكثير الحكم و الخطاب حسب تعدد المكلّفين بأن يكون لكلّ فرد من أفراد المكلّفين حكم خاص أو خطاب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على ذلك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الوجدان، فانّ من يخاطب الجمع الكثير لإنجاز عمل فإنّما يدعوهم إليه بخطاب واحد و لا يدعو كلّ فرد بخطاب خاص لكفاية وحدة الخطاب مع تعدد المتعلّق مع كون كلّ مكلّف مصداقاً للمتعلّق و مخاطباً به بنفس الخطاب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صحّ انحلال الخطاب الواحد إلى خطابات في الجمل الإنشائية لصحّ في الجمل الإخبارية، فإذا أخبر بأنّ القوم جاءوا، و الحال انّه لم يجئ منهم أحد، فلو قلنا بالانحلال يلزم أن يحكم عليه بأنّه كذب حسب تعدد الأفراد مع أنّه لم يكذب إلاّ كذبة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قلنا بانحلال الخطاب يلزم خروج الكفّار و العصاة عن مصبِّ الخطابات، و ذلك لأنّ خطاب العاصي و الكافر أمر قبيح لا يصدر من الحكيم، فانّ من نعلم أنّه يعصي على وجه القطع و الجزم لا نطلب منه شيئاً على وجه الجد، مع أنّ العصاة و الكفّار محكومون بالفروع، كما أنّهم محكومون بالأُصول، و هذا بخلاف ما إذا قلنا إنّ الخطاب واحد و هو حجّة على الكلّ سواء أطاع أم خالف، و لا يشترط في الخطاب القانوني إلاّ وجود جماعة ينبعثون من بعث المولى أو ينتهون </w:t>
      </w:r>
      <w:bookmarkStart w:id="181" w:name="pg14356_186665"/>
    </w:p>
    <w:p>
      <w:pPr>
        <w:pStyle w:val="BookText"/>
        <w:rPr/>
      </w:pPr>
      <w:bookmarkEnd w:id="181"/>
      <w:r>
        <w:rPr>
          <w:rFonts w:ascii="Amiri" w:hAnsi="Amiri" w:eastAsia="Amiri" w:cs="Amiri"/>
          <w:color w:val="111111"/>
          <w:sz w:val="28"/>
          <w:sz w:val="28"/>
          <w:szCs w:val="28"/>
          <w:rtl w:val="true"/>
          <w:lang w:bidi="ar-SA"/>
        </w:rPr>
        <w:t>من نهيه، و لا يشترط انبعاث الكلّ أو انزجارهم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اشتهرت هذه المقدّمة عن سيّدنا الأُستاذ بأنّه يفرّق بين الخطابات الشخصية و الخطابات القانونية، و انّه لا حاجة في الخطاب القانوني إلى الانحلال في الخطاب و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هذه المقدّمة تدور رحى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اجتماع خطابين عرضيين في وقت واحد</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7304696_3381743652"/>
      <w:bookmarkStart w:id="183" w:name="_Toc69"/>
      <w:bookmarkEnd w:id="182"/>
      <w:r>
        <w:rPr>
          <w:rtl w:val="true"/>
        </w:rPr>
        <w:t>السادسة</w:t>
      </w:r>
      <w:r>
        <w:rPr>
          <w:rtl w:val="true"/>
        </w:rPr>
        <w:t xml:space="preserve">: </w:t>
      </w:r>
      <w:r>
        <w:rPr>
          <w:rtl w:val="true"/>
        </w:rPr>
        <w:t>انّ الأحكام غير مقيّدة بالقدرة</w:t>
      </w:r>
      <w:bookmarkEnd w:id="183"/>
    </w:p>
    <w:p>
      <w:pPr>
        <w:pStyle w:val="BookText"/>
        <w:rPr/>
      </w:pPr>
      <w:r>
        <w:rPr>
          <w:rFonts w:ascii="Amiri" w:hAnsi="Amiri" w:eastAsia="Amiri" w:cs="Amiri"/>
          <w:color w:val="111111"/>
          <w:sz w:val="28"/>
          <w:sz w:val="28"/>
          <w:szCs w:val="28"/>
          <w:rtl w:val="true"/>
          <w:lang w:bidi="ar-SA"/>
        </w:rPr>
        <w:t>المعروف أنّ الأحكام الشرعية مقيّدة عقلاً بالقدرة، و ذلك لأنّ خطاب العاجز أمر قبيح، بل أمر محال، إذ لا تنقدح الإرادة في ذهن المولى الذي يعلم بعجز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المعروف، غير أنّ سيدنا الأُستاذ أنكر هذه المقدّمة و ذهب إلى أنّه ليس للعقل التصرّف في حكم الغير و الشرع غير العقل فلا تكون الأحكام مقيّدة بالقدرة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خطاب العاجز قبيح بل محال فكيف للشارع الأمر به أو الحكم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الخطاب القانوني و الخطاب الشخصي، فما ذكرته صحيح في الخطاب الشخصي، إذ لا يصحّ خطاب العاجز مع العلم بعجزه، بخلاف الخطابات القانونية فانّ الحكم فيها واحد و الكثرة في المتعلّق، و ليس لكلّ فرد حكم و خطاب حتّى يطلب لنفسه التقيّد بالقدرة، بل خطاب واحد متعلّق بالعنوان و هو حجّة على الجميع</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يشترط في الخطاب القانوني وجود جماعة مستعدّة لامتثال أمر المولى </w:t>
      </w:r>
      <w:bookmarkStart w:id="184" w:name="pg14356_186666"/>
    </w:p>
    <w:p>
      <w:pPr>
        <w:pStyle w:val="BookText"/>
        <w:rPr/>
      </w:pPr>
      <w:bookmarkEnd w:id="184"/>
      <w:r>
        <w:rPr>
          <w:rFonts w:ascii="Amiri" w:hAnsi="Amiri" w:eastAsia="Amiri" w:cs="Amiri"/>
          <w:color w:val="111111"/>
          <w:sz w:val="28"/>
          <w:sz w:val="28"/>
          <w:szCs w:val="28"/>
          <w:rtl w:val="true"/>
          <w:lang w:bidi="ar-SA"/>
        </w:rPr>
        <w:t>و الانتهاء بنهيه حتّى لا يكون جعل الحكم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يدلّ على أنّ الحكم الشرعي غير مقيّد بالقدرة عقلاً و لكن لا مانع من القول بتقيّد الأحكام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هذه النظرية هو إجراء البراءة عند الشكّ في القدرة، لأنّ مرجع الشكّ إلى الشكّ في وجود شرط التكليف، و الأصل عدم وجوده، مع أنّهم لا يلتزمون بها عند الشكّ في القدرة، بل الكلّ صائرون إلى القول بالاحتياط مع الشكّ فيها، و لذلك لو شكّ في الاستطاعة أو بلوغ النتاج، النصاب وجب الفحص، و لا تجري البراءة</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7304698_3381743652"/>
      <w:bookmarkStart w:id="186" w:name="_Toc70"/>
      <w:bookmarkEnd w:id="185"/>
      <w:r>
        <w:rPr>
          <w:rtl w:val="true"/>
        </w:rPr>
        <w:t>السابعة</w:t>
      </w:r>
      <w:r>
        <w:rPr>
          <w:rtl w:val="true"/>
        </w:rPr>
        <w:t xml:space="preserve">: </w:t>
      </w:r>
      <w:r>
        <w:rPr>
          <w:rtl w:val="true"/>
        </w:rPr>
        <w:t>كلّ من الضدين أمر مقدور</w:t>
      </w:r>
      <w:bookmarkEnd w:id="186"/>
    </w:p>
    <w:p>
      <w:pPr>
        <w:pStyle w:val="BookText"/>
        <w:rPr/>
      </w:pPr>
      <w:r>
        <w:rPr>
          <w:rFonts w:ascii="Amiri" w:hAnsi="Amiri" w:eastAsia="Amiri" w:cs="Amiri"/>
          <w:color w:val="111111"/>
          <w:sz w:val="28"/>
          <w:sz w:val="28"/>
          <w:szCs w:val="28"/>
          <w:rtl w:val="true"/>
          <w:lang w:bidi="ar-SA"/>
        </w:rPr>
        <w:t>إنّ المأمور به هو كلّ من الضدّين بما هو هو و ذلك أمر مقدور، و أمّا غير المقدور فهو الجمع بين الضدّين و هو ليس بمأمور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و قامت حجّة على إزالة النجاسة عن المسجد و قامت حجّة أُخرى على صلاة الظهر، فهناك حجّتان تامتان قامتا على العبد كلّ يطلب نفسه و لا يطلب الجمع، فقيامهما في هذه الحالة كقيام الحجّتين عند طلوع الفجر في شهر رمضان فكلّ حجّة في مفاده سواء أ كانتا غير متزاحمتين كما في الصوم و الصلاة أو متزاحمتين كما في الإزالة و الصلاة</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حال الشرع، و أمّا العقل فإن رأى التكليفين متساويين في الأهمية حكم بالتخيير بين الأمرين، فيكون في ترك الأمر الآخر معذوراً </w:t>
      </w:r>
    </w:p>
    <w:p>
      <w:pPr>
        <w:pStyle w:val="BookText"/>
        <w:rPr/>
      </w:pPr>
      <w:r>
        <w:rPr>
          <w:rFonts w:ascii="Amiri" w:hAnsi="Amiri" w:eastAsia="Amiri" w:cs="Amiri"/>
          <w:color w:val="111111"/>
          <w:sz w:val="28"/>
          <w:sz w:val="28"/>
          <w:szCs w:val="28"/>
          <w:rtl w:val="true"/>
          <w:lang w:bidi="ar-SA"/>
        </w:rPr>
        <w:t>من دون أن يقيد أحد الأمرين بترك الآخر، و أمّا لو كان أحدهما أهم من الآخر فيحكم العقل بتقديم الأهم على المهم على نحو لو اشتغل بالأهم يكون في ترك الآخر معذوراً و لو اشتغل بالمهم فقد امتثل أحد التكليفين لكن لا يكون معذوراً في ترك الأهم، كما أنّه لو ترك اشتغاله بالأهمّ و المهمّ معاً فلا يكون معذوراً في ترك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المقدّمات السبع، فقد استنتج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المقدّمات بقاء الحكمين أو الخطابين على الموضوعين من دون تقييد الأمر بالمهم بالعصيان، و ذلك لما مرّ في المقدّمة الخامسة من أنّ الخطابات الشخصية تختلف عن الخطابات القانونية، فالخطاب الشخصي ناظر إلى صورة الابتلاء فلا محيص من تقييد الخطاب بالمهم بترك الأهم و عصيانه، و أمّا الخطابات القانونية فبما انّ الخطاب واحد و هو غير ناظر إلى حالة التزاحم بحكم المقدّمة الرابعة فلا داعي لتقييد امتثال الأمر بالمهم بعصيان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بهذه النتيجة بقاء الحكمين و الخطابين بحالهما عند الابتلاء بالتزاحم غاية الأمر للمكلّف تحصيل العذر في ترك أحدهما، فلو امتثل الأمر بالأهم فقد حصّل العذر، و إن امتثل الأمر بالمهم لم يحصّل العذر في ترك الأهم، و إن عصى كلا الأمرين فلم يحصّل عذراً أبداً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بهذا تبين انّ الأهم و المهم نظير المتساويين في أنّ كلّ واحد مأمور به في عرض الآخر، و هذان الأمران العرضيان فعليّان متعلّقان بعنوانين كلّيين من غير تعرّض لهما لحال التزاحم و عجز المكلّف، إذ المطاردة التي تحصل في مقام الإتيان لا توجب تقييد الآخرين أو أحدهما أو اشتراطهما أو اشتراط أحدهما بحال عصيان الآخر لا شرعاً و لا عقلاً، بل تلك المطاردة لا توجب عقلاً إلاّ المعذورية العقلية في ترك أحد التكليفين حال الاشتغال بالآخر في المتساويين و في ترك المهم حال اشتغاله بالأهم</w:t>
      </w:r>
      <w:r>
        <w:rPr>
          <w:rFonts w:eastAsia="Amiri" w:cs="Amiri" w:ascii="Amiri" w:hAnsi="Amiri"/>
          <w:color w:val="111111"/>
          <w:sz w:val="28"/>
          <w:szCs w:val="28"/>
          <w:rtl w:val="true"/>
          <w:lang w:bidi="ar-SA"/>
        </w:rPr>
        <w:t>.</w:t>
      </w:r>
      <w:r>
        <w:rPr>
          <w:rStyle w:val="FootnoteAnchor"/>
          <w:rtl w:val="true"/>
        </w:rPr>
        <w:footnoteReference w:id="40"/>
      </w:r>
      <w:bookmarkStart w:id="187" w:name="pg14356_186668"/>
    </w:p>
    <w:p>
      <w:pPr>
        <w:pStyle w:val="Heading4"/>
        <w:numPr>
          <w:ilvl w:val="3"/>
          <w:numId w:val="1"/>
        </w:numPr>
        <w:rPr/>
      </w:pPr>
      <w:bookmarkStart w:id="188" w:name="__RefHeading___Toc7304700_3381743652"/>
      <w:bookmarkStart w:id="189" w:name="_Toc71"/>
      <w:bookmarkEnd w:id="187"/>
      <w:bookmarkEnd w:id="188"/>
      <w:r>
        <w:rPr>
          <w:rtl w:val="true"/>
        </w:rPr>
        <w:t>نظرنا في المقدّمات و النتيجة</w:t>
      </w:r>
      <w:bookmarkEnd w:id="189"/>
    </w:p>
    <w:p>
      <w:pPr>
        <w:pStyle w:val="BookText"/>
        <w:rPr/>
      </w:pPr>
      <w:r>
        <w:rPr>
          <w:rFonts w:ascii="Amiri" w:hAnsi="Amiri" w:eastAsia="Amiri" w:cs="Amiri"/>
          <w:color w:val="111111"/>
          <w:sz w:val="28"/>
          <w:sz w:val="28"/>
          <w:szCs w:val="28"/>
          <w:rtl w:val="true"/>
          <w:lang w:bidi="ar-SA"/>
        </w:rPr>
        <w:t>هذا ما أفاده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شكر اللّه مساعيه و لكنّ لنا في بعض المقدّمات و النتيجة نظراً نطرحه على صعيد البحث؟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استدلّ على نفي الانحلال بأنّه لو صحّ الانحلال في الإنشاء لصحّ في الإخبار، و لو صحّ في الإخبار يلزم أن يُحكم على القائل بأنّ النار باردة انّه كذب بعدد وجود النار في العالم ماضية و حاضرة، غير تام، و ذلك إذ لا ملازمة بين الانحلال و تعدّد الكذب، لأنّ الثاني من صفات الكلام المتفوَّه به، فإذا كان ما تفوَّه به كلاماً واحداً و إن كان الموضوع وسيعاً فلا يلزم إلاّ كذباً واحداً، فلو جاء القوم و لم يجئ واحد منهم لم يكذب إلاّ كذباً واحداً، إذ لم يصدر منه إلاّ كلام واحد مع وحدة المجلس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ما أفاده في المقدّمة السادسة بأنّ الأحكام الشرعية غير متقيّدة بالقدرة عقلاً و إلاّ يلزم تصرّف العقل في حكم الغير، و لا شرعاً و إلاّ يلزم إجراء البراءة عند الشكّ في التكليف، غير تام، لأنّ موقف العقل في المقام موقف الكشف لا التصرّف، فإذا وقف العقل على صفات الشارع يستكشف بما انّه حكيم انّه لا يوجه الحكم إلاّ إلى القادر لا الأعم منه و العاجز، فالأحكام الشرعية مقيّدة بالقدرة الشرعية دلّ على ذلك العقل دون أن يتصرّف في حكم الشرع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الاعتراف بأنّ الأحكام الشرعية مقيّدة بالقدرة فمع الشكّ في القدرة يجب الاحتياط و لا يجوز إجراء البراءة، لما قلنا في محلّه من أنّ كلّ شرط لا يعلم وجوده و عدمه إلاّ بالفحص يجب الفحص عنه، و لذلك يجب التفحّص عن </w:t>
      </w:r>
    </w:p>
    <w:p>
      <w:pPr>
        <w:pStyle w:val="BookText"/>
        <w:rPr/>
      </w:pPr>
      <w:r>
        <w:rPr>
          <w:rFonts w:ascii="Amiri" w:hAnsi="Amiri" w:eastAsia="Amiri" w:cs="Amiri"/>
          <w:color w:val="111111"/>
          <w:sz w:val="28"/>
          <w:sz w:val="28"/>
          <w:szCs w:val="28"/>
          <w:rtl w:val="true"/>
          <w:lang w:bidi="ar-SA"/>
        </w:rPr>
        <w:t>الاستطاعة في الحج، و النصاب في الزكاة و القدرة في كلّ الأحكام، و إلاّ يلزم تعطيل قسم كبير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بعض ما أفاده 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النتيجة التي استنتجها من هذه المقدّمات فهي مبنيّة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الإطلاق هو كون ما وقع تحت دائرة الطلب تمام الموضوع من دون سريان حكمه إلى حالات الموضوع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الدليل غير ناظر إلى صورة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صحيح في عالم الإثبات دون الثبوت، و الدليل و إن كان غير ناظر إلى حالات المكلّف من الابتلاء و التزاحم إلاّ انّ المولى يمكنه التفطّن إلى صورة الابتلاء، و عندئذ نسأل هل يرى المولى نوع المكلّف محكوماً بالحجّتين و ملزماً بالعمل بهما أو لا؟ فعلى الأوّل يلزم التكليف بغير المقدور، و على الثاني يلزم رفع اليد عن إحدى الحجّتين تعييناً أو تخييراً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الشرعية متقيّدة بالقدرة بالمعنى الذي عرفت، و على ضوء ذلك فلو سئل المولى عن انبساط طلبه و شموله لصورة التزاحم في حقّ نوع المكلّف، لا شخصه حتّى يقال انّ الخطاب قانوني لا شخصي فامّا أن يجيب بالإثبات لزم الأمر بغير المقدور، و إن أجاب بالسلب فمعنى هذا انّه رفع يده عن إحدى الحجّتين تعييناً أو تخييراً، و هذا ما يجرّنا إلى القول بعدم التحفّظ بالأمرين معاً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وقع الخلط بين مقام الإثبات و مقام الثبوت، فما ذكره صحيح في مقام الإثبات، فالدليل غير ناظر لصورة التزاحم و الخطاب واحد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هناك خطابات، إلاّ انّ الكلام في مقام الثبوت و توجّه المولى إلى أنّه ربّما يبتلي نوع المكلّف بالأمرين، و من المعلوم أنّ هذا الموقف لا يقبل الإهمال، فإمّا أن يكون هناك إرادتان و حجّتان على المكلّف من دون رفع اليد عن أحدهما تخييراً أو تعييناً فيلزم الأمر بغير المقدور أو لا يكون إلاّ إحدى الحجّتين تعييناً أو تخييراً فهو على جانب النقيض ممّا اختاره</w:t>
      </w:r>
      <w:r>
        <w:rPr>
          <w:rFonts w:eastAsia="Amiri" w:cs="Amiri" w:ascii="Amiri" w:hAnsi="Amiri"/>
          <w:color w:val="111111"/>
          <w:sz w:val="28"/>
          <w:szCs w:val="28"/>
          <w:rtl w:val="true"/>
          <w:lang w:bidi="ar-SA"/>
        </w:rPr>
        <w:t xml:space="preserve">. </w:t>
      </w:r>
      <w:bookmarkStart w:id="190" w:name="pg14356_186671"/>
    </w:p>
    <w:p>
      <w:pPr>
        <w:pStyle w:val="Heading3"/>
        <w:numPr>
          <w:ilvl w:val="2"/>
          <w:numId w:val="1"/>
        </w:numPr>
        <w:rPr/>
      </w:pPr>
      <w:bookmarkStart w:id="191" w:name="__RefHeading___Toc7304702_3381743652"/>
      <w:bookmarkStart w:id="192" w:name="_Toc72"/>
      <w:bookmarkEnd w:id="190"/>
      <w:bookmarkEnd w:id="191"/>
      <w:r>
        <w:rPr>
          <w:rtl w:val="true"/>
        </w:rPr>
        <w:t>الفصل السادس في جواز الأمر مع العلم بانتفاء شرطه</w:t>
      </w:r>
      <w:bookmarkEnd w:id="192"/>
    </w:p>
    <w:p>
      <w:pPr>
        <w:pStyle w:val="Heading4"/>
        <w:numPr>
          <w:ilvl w:val="3"/>
          <w:numId w:val="1"/>
        </w:numPr>
        <w:rPr/>
      </w:pPr>
      <w:bookmarkStart w:id="193" w:name="__RefHeading___Toc7304704_3381743652"/>
      <w:bookmarkStart w:id="194" w:name="_Toc73"/>
      <w:bookmarkEnd w:id="193"/>
      <w:r>
        <w:rPr>
          <w:rtl w:val="true"/>
        </w:rPr>
        <w:t>اشارة</w:t>
      </w:r>
      <w:bookmarkEnd w:id="194"/>
    </w:p>
    <w:p>
      <w:pPr>
        <w:pStyle w:val="BookText"/>
        <w:rPr/>
      </w:pPr>
      <w:r>
        <w:rPr>
          <w:rFonts w:ascii="Amiri" w:hAnsi="Amiri" w:eastAsia="Amiri" w:cs="Amiri"/>
          <w:color w:val="111111"/>
          <w:sz w:val="28"/>
          <w:sz w:val="28"/>
          <w:szCs w:val="28"/>
          <w:rtl w:val="true"/>
          <w:lang w:bidi="ar-SA"/>
        </w:rPr>
        <w:t>هل يجوز أمر الآمر مع علم الآمر بانتفاء شرطه، أو لا؟ ظاهر العنوان يعرب عن أنّه من فروع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بما لا يطاق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فالأشاعرة على الجواز و العدلية على المنع، و على كلّ تقدير ففي مرجع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شرطه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الضمير يرجع إلى نفس الأمر، و المراد من شرط الآمر هو علل وجوده، فانّ الأمر ظاهرة كونيّة و لكلّ ظاهرة علّة و من أجزاء العلّة هو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الكلام في جواز الأمر مع انتفاء شرط من شرائط علّة وجود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علّة وجود الأمر فهو عبارة عن تصور الشيء، و التصديق بفائدته، و الشوق المؤكّد إليه، و دفع موانعه و</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يكون المراد من الجواز هو الإمكان الوقوعي، و أنّه هل يصدر الأمر من الآمر في هذا الظرف أو لا يصدر؟ و الجواب هو عدم الجواز، لأنّ صدور المعلول مع عدم العلّة التامّة أشبه بصدور المعلول بلا علّة، و هو محال وقوعاً و إن كان بالذات ممكناً و هذا شأن </w:t>
      </w:r>
    </w:p>
    <w:p>
      <w:pPr>
        <w:pStyle w:val="BookText"/>
        <w:rPr/>
      </w:pPr>
      <w:r>
        <w:rPr>
          <w:rFonts w:ascii="Amiri" w:hAnsi="Amiri" w:eastAsia="Amiri" w:cs="Amiri"/>
          <w:color w:val="111111"/>
          <w:sz w:val="28"/>
          <w:sz w:val="28"/>
          <w:szCs w:val="28"/>
          <w:rtl w:val="true"/>
          <w:lang w:bidi="ar-SA"/>
        </w:rPr>
        <w:t>كلّ معلول ممكن بالذات، ممتنع بعدم وجود علّته، فيكون ممكناً بالذات ممتنعاً بالغير، و هذا هو الذي يعبر عنه بالامتناع الوقوعي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الضمير يرجع إلى الأمر مثل الاحتمال الأوّل، لكن يراد من المرجع نفس الأمر و من الضمير الراجع إليه بعض مراتبه على نحو الاستخدام،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أمر الآمر مع علم الآمر بانتفاء شرط الفعلية أو شرط التنجز؟ و هذا هو الذي اختاره المحقّق الخراساني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داعي إنشاء الطلب لا ينحصر بالبعث و التحريك حقيقة و قد يكون صورياً و ربما يكون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انّ القائلين بالجواز يستدلّون بأمره تعالى إبراهيمَ الخليلَ بذبح ولده إسماعيل مع علمه تعالى بفقدان شرط فعلية الأمر أو تنجّزه، و الشرط هو عدم النسخ، و قد كان منتفياً و الأمر منسوخاً، و إلى هذا الاحتمال يرجع ما ذكره العلاّمة الطباطبائي في تعليقته على الكفاية من رجوع الضمير إلى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يجوز أمر الآمر مع علمه بانتفاء شرط الامتثال؟ و هذا التعبير أفضل و أوضح من تعبير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منّا القول بأنّ شرط فعلية الأمر هو بيان المولى و المفروض انّه سبحانه بيّن أمره للخليل، و إنّما المنتفي هو شرط التنجز و هو عدم النسخ فهو شرط تنجز الأمر لا فعليته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الخراساني ذكر انّ هذا الاحتمال يرفع النزاع من البين و يقع التصالح بين الجانبين فالقائل بالجواز يريد من الأمر بالشيء هو الإنشاء الصوري مع عدم بلوغ الأمر إلى مرحلة الفعلية و التنجّز، كما أنّ القائل بالامتناع يريد من الأمر بالشيء هو الأمر به بعامّة مراتبه حتّى التنجز، فعندئذ لا نزاع بين النافي و المثبت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المراد الأمر بالشيء مع انتفاء شرائط المأمور به، كما إذا أمر بالصلاة مع الطهارة و هو يعلم عدم تمكّن المكلّف منها، 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بجوازه و ذلك مستنداً بما اختاره في البحث السابق من وجود الفرق بين الخطاب الشخصي و الخطاب القانوني حيث لا يصحّ توجيه الخطاب الشخصي إلى الفاقد بأن يقول لفاقد الماء و التراب، صل مع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الخطاب القانوني فيصحّ، و ذلك لأنّه ليس خطاباً شخصياً، بل خطاباً لعامّة المكلّفين، و هم بين واجد للشرط و فاقد له، فيصحّ خطاب الجميع بالأمر و إن كان بعضهم فاقداً للشرط، إذ عند الفقدان تصل النوبة إلى العقل فيعد العاجز معذوراً و الواجد غير معذور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لا ينطبق على المثال الذي طرحه كلّ من النافي و المثبت، و هو أمر الخليل بذبح إسماعيل مع عدم شرطه، إذ لم يكن الخطاب في هذا المورد إلاّ خطاباً شخصياً لا قانونياً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ما ذكرناه سابقاً من أنّ الخطابات القانونية و إن كانت غير ناظرة إلى صورة التزاحم أو إلى صورة فقد المكلّف شرط المأمور به، لكن عدم النظارة يختص بعالم الإثبات فالدليل في مقام الدلالة غير ناظر إلى صورة التزاحم و فقد الشرط</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المولى سبحانه واقف باختلاف المكلّفين من حيث الشروط و أنّهم بين واجد لشرط المكلّف به و فاقد له و عندئذ فهل يبقى خطابه عند التوجه إلى اختلاف المكلّفين في الشرط أو لا؟ فعلى الأوّل عاد محذور التكليف بالمحال و على الثاني لا يكون للخطاب القانوني دور في المقام، لأنّ الخطاب الشخصي أيضاً مثله</w:t>
      </w:r>
      <w:r>
        <w:rPr>
          <w:rFonts w:eastAsia="Amiri" w:cs="Amiri" w:ascii="Amiri" w:hAnsi="Amiri"/>
          <w:color w:val="111111"/>
          <w:sz w:val="28"/>
          <w:szCs w:val="28"/>
          <w:rtl w:val="true"/>
          <w:lang w:bidi="ar-SA"/>
        </w:rPr>
        <w:t xml:space="preserve">. </w:t>
      </w:r>
      <w:bookmarkStart w:id="195" w:name="pg14356_186674"/>
    </w:p>
    <w:p>
      <w:pPr>
        <w:pStyle w:val="Heading4"/>
        <w:numPr>
          <w:ilvl w:val="3"/>
          <w:numId w:val="1"/>
        </w:numPr>
        <w:rPr/>
      </w:pPr>
      <w:bookmarkStart w:id="196" w:name="__RefHeading___Toc7304706_3381743652"/>
      <w:bookmarkStart w:id="197" w:name="_Toc74"/>
      <w:bookmarkEnd w:id="195"/>
      <w:bookmarkEnd w:id="196"/>
      <w:r>
        <w:rPr>
          <w:rtl w:val="true"/>
        </w:rPr>
        <w:t>ثمرة البحث</w:t>
      </w:r>
      <w:bookmarkEnd w:id="197"/>
    </w:p>
    <w:p>
      <w:pPr>
        <w:pStyle w:val="BookText"/>
        <w:rPr/>
      </w:pPr>
      <w:r>
        <w:rPr>
          <w:rFonts w:ascii="Amiri" w:hAnsi="Amiri" w:eastAsia="Amiri" w:cs="Amiri"/>
          <w:color w:val="111111"/>
          <w:sz w:val="28"/>
          <w:sz w:val="28"/>
          <w:szCs w:val="28"/>
          <w:rtl w:val="true"/>
          <w:lang w:bidi="ar-SA"/>
        </w:rPr>
        <w:t>تظهر الثمرة في لزوم الكفّارة على من أفطر يوم شهر رمضان مع فقد شرط المأمور به في الواقع، دون أن يكون المكلّف عالماً به، كما إذا أفطر ثمّ بدا له السفر قبل الظهر أو مات أو مرض كذلك، فعلى القول بصحّة التكليف تجب عليه الكفارة بخلاف القول بعدم صحّته، لفقدان الشرط</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لزوم الكفّارة مطلقاً، إذ ليست الكفّارة دائرة مدار وجوب الصوم و عدمه واقعاً حتّى يقال بأنّ المكلّف لم يكن مكلّفاً بالصوم لفقدان الشرط في الواقع به، بل تدور على الإفطار بلا عذر و المفروض انّه أفطر بلا عذر ثمّ طرأ عليه العذر</w:t>
      </w:r>
      <w:r>
        <w:rPr>
          <w:rFonts w:eastAsia="Amiri" w:cs="Amiri" w:ascii="Amiri" w:hAnsi="Amiri"/>
          <w:color w:val="111111"/>
          <w:sz w:val="28"/>
          <w:szCs w:val="28"/>
          <w:rtl w:val="true"/>
          <w:lang w:bidi="ar-SA"/>
        </w:rPr>
        <w:t xml:space="preserve">. </w:t>
      </w:r>
      <w:bookmarkStart w:id="198" w:name="pg14356_186675"/>
    </w:p>
    <w:p>
      <w:pPr>
        <w:pStyle w:val="Heading3"/>
        <w:numPr>
          <w:ilvl w:val="2"/>
          <w:numId w:val="1"/>
        </w:numPr>
        <w:rPr/>
      </w:pPr>
      <w:bookmarkStart w:id="199" w:name="__RefHeading___Toc7304708_3381743652"/>
      <w:bookmarkStart w:id="200" w:name="_Toc75"/>
      <w:bookmarkEnd w:id="198"/>
      <w:bookmarkEnd w:id="199"/>
      <w:r>
        <w:rPr>
          <w:rtl w:val="true"/>
        </w:rPr>
        <w:t>الفصل السابع هل الأوامر و النواهي تتعلّق بالطبائع أو الافراد؟</w:t>
      </w:r>
      <w:bookmarkEnd w:id="200"/>
    </w:p>
    <w:p>
      <w:pPr>
        <w:pStyle w:val="Heading4"/>
        <w:numPr>
          <w:ilvl w:val="3"/>
          <w:numId w:val="1"/>
        </w:numPr>
        <w:rPr/>
      </w:pPr>
      <w:bookmarkStart w:id="201" w:name="__RefHeading___Toc7304710_3381743652"/>
      <w:bookmarkStart w:id="202" w:name="_Toc76"/>
      <w:bookmarkEnd w:id="201"/>
      <w:r>
        <w:rPr>
          <w:rtl w:val="true"/>
        </w:rPr>
        <w:t>و قبل الدخول في صلب الموضوع نقدّم أُموراً</w:t>
      </w:r>
      <w:r>
        <w:rPr>
          <w:rtl w:val="true"/>
        </w:rPr>
        <w:t>:</w:t>
      </w:r>
      <w:bookmarkEnd w:id="202"/>
    </w:p>
    <w:p>
      <w:pPr>
        <w:pStyle w:val="Heading5"/>
        <w:numPr>
          <w:ilvl w:val="4"/>
          <w:numId w:val="1"/>
        </w:numPr>
        <w:rPr/>
      </w:pPr>
      <w:bookmarkStart w:id="203" w:name="__RefHeading___Toc7304712_3381743652"/>
      <w:bookmarkStart w:id="204" w:name="_Toc77"/>
      <w:bookmarkEnd w:id="203"/>
      <w:r>
        <w:rPr>
          <w:rtl w:val="true"/>
        </w:rPr>
        <w:t>الأوّل</w:t>
      </w:r>
      <w:r>
        <w:rPr>
          <w:rtl w:val="true"/>
        </w:rPr>
        <w:t xml:space="preserve">: </w:t>
      </w:r>
      <w:r>
        <w:rPr>
          <w:rtl w:val="true"/>
        </w:rPr>
        <w:t>ليس النزاع في الدلالة اللفظية</w:t>
      </w:r>
      <w:bookmarkEnd w:id="204"/>
    </w:p>
    <w:p>
      <w:pPr>
        <w:pStyle w:val="BookText"/>
        <w:rPr/>
      </w:pPr>
      <w:r>
        <w:rPr>
          <w:rFonts w:ascii="Amiri" w:hAnsi="Amiri" w:eastAsia="Amiri" w:cs="Amiri"/>
          <w:color w:val="111111"/>
          <w:sz w:val="28"/>
          <w:sz w:val="28"/>
          <w:szCs w:val="28"/>
          <w:rtl w:val="true"/>
          <w:lang w:bidi="ar-SA"/>
        </w:rPr>
        <w:t>إنّ النزاع لا يختصّ بالأمر و النهي باللفظ بل يعمّ الأمر بالجملة الخبرية أو النهي بمثلها، كما يعمّ الأمر و النهي بالإشارة فيقع الكلام في الجميع فيما هو المتعلّق للأمر و النهي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يعرب عن عمومية محلّ النزاع ما نقل عن السكاكي من اتّفاق علماء العربيّة على أنّ المصدر المجرّد عن اللام و التنوين لا يدلّ إلاّ على نفس الماهية، فلو كان النزاع في الدلالة اللفظية لكان اللازم عدم النزاع، لأنّ المادة في الأمر و النهي هي المصدر المجرّد من اللام و التنوين فلا يدلّ إلاّ على نفس الماهية، و هي المتعلّق للأمر، فيجب على الأُصوليّين الاتّفاق على كون المتعلّق هو الطبيعة، لكن وجود النزاع يُعرب عن كون محلّه أعمّ من اللفظ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اللفظ أعم من الإنشاء و الإخبار</w:t>
      </w:r>
      <w:r>
        <w:rPr>
          <w:rFonts w:eastAsia="Amiri" w:cs="Amiri" w:ascii="Amiri" w:hAnsi="Amiri"/>
          <w:color w:val="111111"/>
          <w:sz w:val="28"/>
          <w:szCs w:val="28"/>
          <w:rtl w:val="true"/>
          <w:lang w:bidi="ar-SA"/>
        </w:rPr>
        <w:t xml:space="preserve">. </w:t>
      </w:r>
      <w:bookmarkStart w:id="205" w:name="pg14356_186676"/>
    </w:p>
    <w:p>
      <w:pPr>
        <w:pStyle w:val="Heading5"/>
        <w:numPr>
          <w:ilvl w:val="4"/>
          <w:numId w:val="1"/>
        </w:numPr>
        <w:rPr/>
      </w:pPr>
      <w:bookmarkStart w:id="206" w:name="__RefHeading___Toc7304714_3381743652"/>
      <w:bookmarkStart w:id="207" w:name="_Toc78"/>
      <w:bookmarkEnd w:id="205"/>
      <w:bookmarkEnd w:id="206"/>
      <w:r>
        <w:rPr>
          <w:rtl w:val="true"/>
        </w:rPr>
        <w:t>الثاني</w:t>
      </w:r>
      <w:r>
        <w:rPr>
          <w:rtl w:val="true"/>
        </w:rPr>
        <w:t xml:space="preserve">: </w:t>
      </w:r>
      <w:r>
        <w:rPr>
          <w:rtl w:val="true"/>
        </w:rPr>
        <w:t>ليس النزاع مبنيّاً على المسائل الفلسفية</w:t>
      </w:r>
      <w:bookmarkEnd w:id="207"/>
    </w:p>
    <w:p>
      <w:pPr>
        <w:pStyle w:val="BookText"/>
        <w:rPr/>
      </w:pPr>
      <w:r>
        <w:rPr>
          <w:rFonts w:ascii="Amiri" w:hAnsi="Amiri" w:eastAsia="Amiri" w:cs="Amiri"/>
          <w:color w:val="111111"/>
          <w:sz w:val="28"/>
          <w:sz w:val="28"/>
          <w:szCs w:val="28"/>
          <w:rtl w:val="true"/>
          <w:lang w:bidi="ar-SA"/>
        </w:rPr>
        <w:t>إنّ في الفلسفة مسألتين هامّتين لهما تأثيران في سائر المسائل الفلسفية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الأصل في الخارج، و المنشأ للأثر هو الوجود أو حدّ الوجود و هو الماهية؟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المحصّل للغرض هو الوجود و تحقّق الشيء أو المحصّل هو الشيء لكن عند التلبّس بالتحقق؟ فربّما يقال بتعلّق الأمر بالفرد على القول الأوّل و بالطبيعة على القول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الموجود في الخارج هو طبيعي الشيء أو فرده؟ فعلى الأوّل يكون المتعلّق هو الطبيعة، و على الثاني هو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كلا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المسائل الأُصولية مسائل عرفية، و بتعبير آخر عقلائية لا صلة لها بالمسائل الفلسفية الدقيقة، فانّ الحاكم في المسائل الفلسفية هو العقل الدقيق، و لكن الحاكم في المسائل الأُصولية هو العرف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لا وجه لابتناء البحوث الأُصولية على البحوث الفلسفية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ما أطنب به المحقّق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النزاع مبني على أنّ الطبيعي بنفسه موجود أو هو موجود بوجود أفراده تبعيد للمسافة و خروج عن طور البحث في المسائل الأُصولية</w:t>
      </w:r>
      <w:r>
        <w:rPr>
          <w:rFonts w:eastAsia="Amiri" w:cs="Amiri" w:ascii="Amiri" w:hAnsi="Amiri"/>
          <w:color w:val="111111"/>
          <w:sz w:val="28"/>
          <w:szCs w:val="28"/>
          <w:rtl w:val="true"/>
          <w:lang w:bidi="ar-SA"/>
        </w:rPr>
        <w:t>.</w:t>
      </w:r>
    </w:p>
    <w:p>
      <w:pPr>
        <w:pStyle w:val="Heading5"/>
        <w:numPr>
          <w:ilvl w:val="4"/>
          <w:numId w:val="1"/>
        </w:numPr>
        <w:rPr/>
      </w:pPr>
      <w:bookmarkStart w:id="208" w:name="__RefHeading___Toc7304716_3381743652"/>
      <w:bookmarkStart w:id="209" w:name="_Toc79"/>
      <w:bookmarkEnd w:id="208"/>
      <w:r>
        <w:rPr>
          <w:rtl w:val="true"/>
        </w:rPr>
        <w:t>الثالث</w:t>
      </w:r>
      <w:r>
        <w:rPr>
          <w:rtl w:val="true"/>
        </w:rPr>
        <w:t xml:space="preserve">: </w:t>
      </w:r>
      <w:r>
        <w:rPr>
          <w:rtl w:val="true"/>
        </w:rPr>
        <w:t>ما هو المراد من الطبيعة؟</w:t>
      </w:r>
      <w:bookmarkEnd w:id="20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تطلق الطبيعة و يراد بها الماهية الحقيقية التي لو وجدت في الخارج لكانت من إحدى الحقائق الكونيّة و تكون داخلة تحت مقولة واحدة كالإنسان </w:t>
      </w:r>
      <w:bookmarkStart w:id="210" w:name="pg14356_186677"/>
    </w:p>
    <w:p>
      <w:pPr>
        <w:pStyle w:val="BookText"/>
        <w:rPr/>
      </w:pPr>
      <w:bookmarkEnd w:id="210"/>
      <w:r>
        <w:rPr>
          <w:rFonts w:ascii="Amiri" w:hAnsi="Amiri" w:eastAsia="Amiri" w:cs="Amiri"/>
          <w:color w:val="111111"/>
          <w:sz w:val="28"/>
          <w:sz w:val="28"/>
          <w:szCs w:val="28"/>
          <w:rtl w:val="true"/>
          <w:lang w:bidi="ar-SA"/>
        </w:rPr>
        <w:t>الذي هو داخل تحت مقولة الجوهر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تطلق على العنوان المنتزع من حقائق متعددة داخلة تحت مقولات مختلفة، كالصلاة التي هي ليست داخلة تحت مقولة من المقولات، بل هي عنوان منتزع من حقائق متباينة كالقراءة التي هي من مقولة الفعل، و الجهر و المخافتة اللّتين هما من مقولة الكيف، و الركوع و السجود اللّذين هما من مقولة الوضع، و لأجل ذلك توصف الصلاة، بالماهية المخترعة و هي في الحقيقة عنوان منتزع من ماهيات و حقائق متباينة</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7304718_3381743652"/>
      <w:bookmarkStart w:id="212" w:name="_Toc80"/>
      <w:bookmarkEnd w:id="211"/>
      <w:r>
        <w:rPr>
          <w:rtl w:val="true"/>
        </w:rPr>
        <w:t>الرابع</w:t>
      </w:r>
      <w:r>
        <w:rPr>
          <w:rtl w:val="true"/>
        </w:rPr>
        <w:t xml:space="preserve">: </w:t>
      </w:r>
      <w:r>
        <w:rPr>
          <w:rtl w:val="true"/>
        </w:rPr>
        <w:t>ما هو المراد من الافراد في عنوان البحث؟</w:t>
      </w:r>
      <w:bookmarkEnd w:id="212"/>
    </w:p>
    <w:p>
      <w:pPr>
        <w:pStyle w:val="BookText"/>
        <w:rPr/>
      </w:pPr>
      <w:r>
        <w:rPr>
          <w:rFonts w:ascii="Amiri" w:hAnsi="Amiri" w:eastAsia="Amiri" w:cs="Amiri"/>
          <w:color w:val="111111"/>
          <w:sz w:val="28"/>
          <w:sz w:val="28"/>
          <w:szCs w:val="28"/>
          <w:rtl w:val="true"/>
          <w:lang w:bidi="ar-SA"/>
        </w:rPr>
        <w:t>هذا هو بيت القصيد في المقام و هناك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من الافراد هو المصاديق الخارجية من أفراد الطبيعة بحيث يتعلّق الأمر أوّلاً و بالذات بنفس الفرد لا على العنوان حتّى يكون مرآة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من الأمر هو تحصيل ما ليس بموجود، و لو تعلّق الأمر بالفرد الخارجي، يلزم تحصيل الحاصل، إذ بعد وجود الفرد الذي هو متعلّق الأمر لا معنى للبعث إليه، فانّ ظرف الفرد بهذا المعنى ظرف سقوط الأمر لا تعلّقه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يراد من الفرد، المشخّصات الكلّية و الضمائم التي لا تنفك الطبيعة عنها فالمتعلّق و الضمائم عناوين كلّية يتعلّق بهما الأمر أيضاً، فبما انّ الطبيعة و المشخّصات عناوين كلّية و المفروض تعلّق الأمر بكليهما، فيُصبح الفرد الخارجي مصداقاً للواجب بكلتا الحيثيتين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مصداقاً للطبيعة كما أنّه يكون مصداقاً للضمائم و المشخّصات و الأعراض التي لا ينفك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فالنزاع في أنّ المأمور به هو الطبيعي بما هو هو أو هو مع المشخّصات و الأعراض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قال بالأوّل فقد جعل الواجب هو الحيثية الطبيعية و من قال بالثاني جعل الواجب الحيثيتين الطبيعية و الضمائم المقترنة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فرضنا انّه توضأ بماء حار في البرد القارص، فهل متعلّق الأمر هو نفس التوضؤ بالماء، أو أنّ متعلّقه هو الضميمة المقترنة بها كحرارة الماء؟ فلو افترضنا انّه قصد القربة في أصل الوضوء دون الوضوء بالماء الحارّ، فعلى القول بأنّ متعلّقه هو الطبيعة يصحّ وضوؤه دون القول الثاني لأنّه لم يقصد القربة في الضمائم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الخوئي اعترض على تفسير الفرد بهذا المعنى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تشخّص الطبيعي بنفس وجوده، و تشخّص الوجود بذاته، و أمّا الأُمور الملازمة للوجود الجوهري خارجاًً التي لا تنفك عنه، كأعراضه من الكم و الكيف و الأين و الوضع و غيرها، فهي موجودات أُخرى في قبال ذلك الموجود و مباينة له ذاتاً و حقيقة، و متشخّصات بنفس ذواتها، و افراد لطبائع شتّى، لكلّ منها وجود و ماهية فلا يعقل أن تكون الأعراض مشخّصات لذلك الوجود لما عرفت من أنّ الوجود هو نفس التشخّص، فلا يعقل أن يكون تشخّصه بكمه و كيفه و أينه و وضعه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خلط بين المصطلحين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مصطلح الفلاسفة و ما اصطلح عليه الأُصوليون</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الرأي السائد قبل الفارابي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w:t>
      </w:r>
    </w:p>
    <w:p>
      <w:pPr>
        <w:pStyle w:val="BookText"/>
        <w:rPr/>
      </w:pPr>
      <w:r>
        <w:rPr>
          <w:rFonts w:ascii="Amiri" w:hAnsi="Amiri" w:eastAsia="Amiri" w:cs="Amiri"/>
          <w:color w:val="111111"/>
          <w:sz w:val="28"/>
          <w:sz w:val="28"/>
          <w:szCs w:val="28"/>
          <w:rtl w:val="true"/>
          <w:lang w:bidi="ar-SA"/>
        </w:rPr>
        <w:t>التشخّص بالاعراض و انّ الجواهر تتشخّص بالكم و الكيف و سائر الاعراض، فالإنسان الطبيعي بالبياض و السواد يتميّز عن الآخر، كما أنّه بطول قامته و قصرها يتميّز عن الآخر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انقلب الرأي السائد في عصر الفارابي إلى يومنا هذا بأنّ تشخّص الإنسان بوجوده، و مع قطع النظر عن الوجود فالإنسان كلّي، و ضم 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كلي آخر لا يفيد التشخّص، فإذاً التشخّص الخارجي، يتحقق بنفس وجود الجوهر فله طبيعة و وجود، كما أنّ للعرض طبيعة و وجوداً، فالوجود هو الذي يضفي التشخّص على الجوهر و على العرض، فتعيّن الجوهر بوجوده كما أنّ تعيّن العرض به و لا يتشخّص الجوهر لا بطبيعة العرض و لا بوجوده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مصطلح الفلاسفة المتأخرين عن الفارابي و لكنّ للتشخّص اصطلاحاً آخر عند الأُصوليين و هو مبنيّ على الفهم العرفي، حيث إنّ تميّز فرد عن فرد آخر عند العرف بعوارضه و اعراضه ككون زيد أبيض و أطول من عمرو الذي هو أسود و أقصر، أو كون زيد ابن فلان و عمرو ابن فلان آخر، فهذه الاعراض تميّز الجواهر بعضها 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المصطلحين صحيح في موطنه، ففي الدقّة العقلية التشخّص مطلقاً بالوجود لا بالاعراض و لكن التشخّص بين الناس إنّما هو بالاعراض و لكل قوم مصطلحهم و مشربهم</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اختاره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انّ المراد من الافراد هو المصاديق المتصوّرة بنحو الإجمال كما هو الحال في الوضع العام و الموضوع له الخاص فيكون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أوجد فرد الصلاة و مصداقها، لا بمعنى انّ الواجب هو الفرد الخارجي أو الذهني بما هو كذلك، بل ذات الفرد المتصوّر إجمالاً، فانّ الافراد قابلة للتصوّر إجمالاً قبل وجودها كما انّ الطبيعة قابلة للتصوّر كذلك</w:t>
      </w:r>
      <w:r>
        <w:rPr>
          <w:rFonts w:eastAsia="Amiri" w:cs="Amiri" w:ascii="Amiri" w:hAnsi="Amiri"/>
          <w:color w:val="111111"/>
          <w:sz w:val="28"/>
          <w:szCs w:val="28"/>
          <w:rtl w:val="true"/>
          <w:lang w:bidi="ar-SA"/>
        </w:rPr>
        <w:t>.</w:t>
      </w:r>
      <w:r>
        <w:rPr>
          <w:rStyle w:val="FootnoteAnchor"/>
          <w:rtl w:val="true"/>
        </w:rPr>
        <w:footnoteReference w:id="42"/>
      </w:r>
      <w:bookmarkStart w:id="213" w:name="pg14356_186680"/>
    </w:p>
    <w:p>
      <w:pPr>
        <w:pStyle w:val="Heading4"/>
        <w:numPr>
          <w:ilvl w:val="3"/>
          <w:numId w:val="1"/>
        </w:numPr>
        <w:rPr/>
      </w:pPr>
      <w:bookmarkStart w:id="214" w:name="__RefHeading___Toc7304720_3381743652"/>
      <w:bookmarkStart w:id="215" w:name="_Toc81"/>
      <w:bookmarkEnd w:id="213"/>
      <w:bookmarkEnd w:id="214"/>
      <w:r>
        <w:rPr>
          <w:rtl w:val="true"/>
        </w:rPr>
        <w:t>دليل القول المختار</w:t>
      </w:r>
      <w:bookmarkEnd w:id="215"/>
    </w:p>
    <w:p>
      <w:pPr>
        <w:pStyle w:val="BookText"/>
        <w:rPr/>
      </w:pPr>
      <w:r>
        <w:rPr>
          <w:rFonts w:ascii="Amiri" w:hAnsi="Amiri" w:eastAsia="Amiri" w:cs="Amiri"/>
          <w:color w:val="111111"/>
          <w:sz w:val="28"/>
          <w:sz w:val="28"/>
          <w:szCs w:val="28"/>
          <w:rtl w:val="true"/>
          <w:lang w:bidi="ar-SA"/>
        </w:rPr>
        <w:t>إذا عرفت هذه الأُمور فالظاهر انّ المراد من الفرد هو المعنى الثاني، و على ذلك فالأمر يتعلّق بنفس الطبيعة لا بالمشخّصات التي نعبّر عنها بالضمائم أو الجهات الفردية، و دليله واضح و هو انّ البعث لا يتعلّق إلاّ بما هو دخيل في غرض المولى و لا يتعلّق بما ليس له دخل فيه، و من المعلوم أنّ المؤمِّن لغرض المولى هو نفس الطبيعة مع قطع النظر عن الضمائم و المشخّصات الفردية بحيث لو أمكن أن توجد الطبيعة مجرّدة عن الضمائم و المشخّصات لكان صالحاً للامتثال، غير أنّ الطبيعة لا تتحقّق في الخارج بلا ضمائم</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7304722_3381743652"/>
      <w:bookmarkStart w:id="217" w:name="_Toc82"/>
      <w:bookmarkEnd w:id="216"/>
      <w:r>
        <w:rPr>
          <w:rtl w:val="true"/>
        </w:rPr>
        <w:t>أدلّة القول بتعلّقه بالافراد</w:t>
      </w:r>
      <w:bookmarkEnd w:id="217"/>
    </w:p>
    <w:p>
      <w:pPr>
        <w:pStyle w:val="BookText"/>
        <w:rPr/>
      </w:pPr>
      <w:r>
        <w:rPr>
          <w:rFonts w:ascii="Amiri" w:hAnsi="Amiri" w:eastAsia="Amiri" w:cs="Amiri"/>
          <w:color w:val="111111"/>
          <w:sz w:val="28"/>
          <w:sz w:val="28"/>
          <w:szCs w:val="28"/>
          <w:rtl w:val="true"/>
          <w:lang w:bidi="ar-SA"/>
        </w:rPr>
        <w:t>استدلّ القائل بتعلّق الأوامر بالافراد بأُمور فلسفية غير مفيدة في المقام، و إليك بيانها ضمن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الطبيعة ليست موجودة في الخارج و إنّما الموجود هو الفرد، فكيف يكون ما ليس موجوداً في الخارج متعلقاً بالأمر؟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بما ذكر غفلة عن تفسير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انّ الطبيعي موجود بوجود 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تحقق الفرد عين تحقّق الطبيعة و هي تتحقّق في ضمن كلّ فرد مع تكثّر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مجلس عشرة أشخاص فهناك طبائع كثيرة حسب تكثّر الأفراد، فزيد إنسان تام كما أنّ عمرو إنسان تام آخر و هكذا، و التفصيل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اشتهر بين الفلاسفة أنّ الطبيعة بما هي هي ليست إلاّ هي، فهي لا موجودة و لا معدومة، و لا مطلوبة و لا مبغوضة، فإذا كان هذا مقام الطبيعة و شأنها </w:t>
      </w:r>
    </w:p>
    <w:p>
      <w:pPr>
        <w:pStyle w:val="BookText"/>
        <w:rPr/>
      </w:pPr>
      <w:r>
        <w:rPr>
          <w:rFonts w:ascii="Amiri" w:hAnsi="Amiri" w:eastAsia="Amiri" w:cs="Amiri"/>
          <w:color w:val="111111"/>
          <w:sz w:val="28"/>
          <w:sz w:val="28"/>
          <w:szCs w:val="28"/>
          <w:rtl w:val="true"/>
          <w:lang w:bidi="ar-SA"/>
        </w:rPr>
        <w:t>فكيف تكون متعلّقة للأمر و موضوعاً للبعث؟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الاستدلال بهذه الكلمة المأثورة من الفلاسفة نابع من تفسير خاطئ لها فانّ المراد من سلب الوجود و العدم أو المطلوبية و المبغوضية عن الماهيّة هو عدم كون هذه الأُمور في مرتبة الماهية، إذ لو كان الوجود أو العدم مأخوذين في مرتبتها لأصبحت واجبة الوجود أو ممتنعة فلا محيص عن توصيف الماهية بالإمكان بمعنى سلب الوجود و العدم عن حدّها و كونهما غير مأخوذين في تلك المرحلة، و هكذا المطلوبية و المبغوضية فليستا في حد الماهية، إذ لو كانت الأُولى مأخوذة لما صحّ السلب عنه في ظرف من الظروف، و هكذا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هذا الاعتراف تكون الماهية في مرتبة دون حدها موجودة معدومة مطلوبة و مبغوضة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الماهية بالحمل الأوّلي ليست واجدة لهذه الأُمور بشهادة انّ مفهوم الإنسان غير مفاهيم هؤلاء، و أمّا بالحمل الشائع الصناعي فلا شك انّ الإنسان موجود و العنقاء معدوم و الصلاة مطلوبة و شرب الخمر مبغوض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الطبيعي الصرف لا يقضي حاجة الإنسان و إنّما القاضي لها هو وجوده الخارجي و معه كيف يكون الطبيعي الصرف متعلقاً للبعث و الزجر؟ 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المستدل خلط بين متعلّق البعث و ما هو غاية البعث المفهومة من القرينة، فالبعث يتعلّق بالطبيعي الصرف من كلّ قيد و لكن الغاية من البعث إليه هو إيجادها،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فقد بعثه إلى السقي من دون تجاوز الطلب عن السقي إلى شيء آخر لكن الغاية هو إيجادها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الخراساني لما وقف على الاستدلال حاول أن يجيب عنه بالتفريق بين متعلّق الأمر و متعلّق الطلب،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يتعلّق بالطبيعة و أمّا </w:t>
      </w:r>
    </w:p>
    <w:p>
      <w:pPr>
        <w:pStyle w:val="BookText"/>
        <w:rPr/>
      </w:pPr>
      <w:r>
        <w:rPr>
          <w:rFonts w:ascii="Amiri" w:hAnsi="Amiri" w:eastAsia="Amiri" w:cs="Amiri"/>
          <w:color w:val="111111"/>
          <w:sz w:val="28"/>
          <w:sz w:val="28"/>
          <w:szCs w:val="28"/>
          <w:rtl w:val="true"/>
          <w:lang w:bidi="ar-SA"/>
        </w:rPr>
        <w:t>الطلب فهو يتعلق بوجودها و إليك نصّه،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بتعلّق الأوامر بالطبائع دون الافراد هو انّ الطبائع بوجودها السعي بما هو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قبالاً لخصوص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متعلّقة للطلب لا أنّها بما هي هي، كانت متعلّقة لها كما ربما يتوهّم فانّها كذلك ليست إلاّ هي، نعم هي كذلك تكون متعلّقة للأمر فانّه طلب الوجود</w:t>
      </w:r>
      <w:r>
        <w:rPr>
          <w:rFonts w:eastAsia="Amiri" w:cs="Amiri" w:ascii="Amiri" w:hAnsi="Amiri"/>
          <w:color w:val="111111"/>
          <w:sz w:val="28"/>
          <w:szCs w:val="28"/>
          <w:rtl w:val="true"/>
          <w:lang w:bidi="ar-SA"/>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كلامه مبني على أنّ الهيئة تدلّ على أخذ الوجود في متعلّق الطلب،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فمعنى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منك وجود السقي، لكنّه كلام غير تام، لأنّ الهيئة وضعت للبعث أو الطلب المجرّدين عن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فالأولى في الإجابة ما قلنا من أنّ البعث إلى الطبيعة لغاية الإيجاد، فبما انّ المؤمِّن للغرض هو الوجود فهذا يشكِّل قرينة على أنّ البعث لتلك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يجاب عن الإشكال بأنّ الطبيعة تؤخذ مرآة للخارج شأن كلّ المفاهيم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فقد جعل السقي مرآة إلى الحيثية الوجودية و الجهة العينية من الطبيعي فيطلب الطبيعي بما هو حاك عن الخارج و مرآة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 في مبحث الوضع من أنّ الطبيعة لا يمكن أن تكون مرآة إلى الافراد، لأنّ اللفظ لا يحكي إلاّ عن معناه، و المفروض انّ الخصوصيات الفردية خارجة عن الموضوع له، فكيف تدلّ عليها الطبيعة؟ و مجرّد اتحاد الطبيعة مع المشخّصات الفردية لا يكون سبباً لحكاية الطبيعة عن الملازمات فلا بدّ من إرادة المشخّص من لفظ و دالّ آخر، و المفروض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المتلازمين يجب أن يكونا متّحدين في الحكم، فإذا تعلّق البعث بالطبيعة، يجب أن يتعلّق بلوازمها و ضمائمها</w:t>
      </w:r>
      <w:r>
        <w:rPr>
          <w:rFonts w:eastAsia="Amiri" w:cs="Amiri" w:ascii="Amiri" w:hAnsi="Amiri"/>
          <w:color w:val="111111"/>
          <w:sz w:val="28"/>
          <w:szCs w:val="28"/>
          <w:rtl w:val="true"/>
          <w:lang w:bidi="ar-SA"/>
        </w:rPr>
        <w:t>.</w:t>
      </w:r>
      <w:bookmarkStart w:id="218" w:name="pg14356_186683"/>
    </w:p>
    <w:p>
      <w:pPr>
        <w:pStyle w:val="BookText"/>
        <w:rPr/>
      </w:pPr>
      <w:bookmarkEnd w:id="218"/>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مرّ في مبحث وجوب المقدمة من أنّ المتلازمين يجب أن يكونا غير متضادين في الحكم كأن يكون أحدهما واجباً و الآخر محرّماً، أمّا اتحادهما في الحكم فلا</w:t>
      </w:r>
      <w:r>
        <w:rPr>
          <w:rFonts w:eastAsia="Amiri" w:cs="Amiri" w:ascii="Amiri" w:hAnsi="Amiri"/>
          <w:color w:val="111111"/>
          <w:sz w:val="28"/>
          <w:szCs w:val="28"/>
          <w:rtl w:val="true"/>
          <w:lang w:bidi="ar-SA"/>
        </w:rPr>
        <w:t>.</w:t>
      </w:r>
    </w:p>
    <w:p>
      <w:pPr>
        <w:pStyle w:val="Heading4"/>
        <w:numPr>
          <w:ilvl w:val="3"/>
          <w:numId w:val="1"/>
        </w:numPr>
        <w:rPr/>
      </w:pPr>
      <w:bookmarkStart w:id="219" w:name="__RefHeading___Toc7304724_3381743652"/>
      <w:bookmarkStart w:id="220" w:name="_Toc83"/>
      <w:bookmarkEnd w:id="219"/>
      <w:r>
        <w:rPr>
          <w:rtl w:val="true"/>
        </w:rPr>
        <w:t>ثمرة البحث</w:t>
      </w:r>
      <w:bookmarkEnd w:id="220"/>
    </w:p>
    <w:p>
      <w:pPr>
        <w:pStyle w:val="BookText"/>
        <w:rPr/>
      </w:pPr>
      <w:r>
        <w:rPr>
          <w:rFonts w:ascii="Amiri" w:hAnsi="Amiri" w:eastAsia="Amiri" w:cs="Amiri"/>
          <w:color w:val="111111"/>
          <w:sz w:val="28"/>
          <w:sz w:val="28"/>
          <w:szCs w:val="28"/>
          <w:rtl w:val="true"/>
          <w:lang w:bidi="ar-SA"/>
        </w:rPr>
        <w:t>تظهر ثمرة البحث في موارد نشير إلى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في الصيف بماء بارد و قصد القربة في أصل الوضوء لا في الضمائم، فلو قلنا بتعلّق الأمر بالطبائع يكفي وجود القربة في أصل التوضّؤ بالماء، و أمّا لو قلنا بتعلّقها مضافاً إلى الطبائع بالافراد أي اللوازم و المقارنات يبطل الوضوء لعدم القربة فيها، بل الغاية منها هو التبرّد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صلّى في دار مغصوبة فعلى القول بأنّ متعلّق الأمر و النهي هو نفس الطبيعة لا المشخّصات الفردية يكون متعلّق الأمر غير متعلّق النهي، لأنّ الصلاة تتشخّص تارة بالمباح و أُخرى بالمغصوب و الكلّ من الملازمات المتّحدة معها في الوجود فلا يتجاوز الأمر عن متعلّقه إلى ملازماته و متشخّصاته، بخلاف ما لو قلنا بتعلّق الأمر بالأفراد حيث تكون الملازمات المتّحدة متعلقة للأمر فيلزم أن يتعلّق الأمر بنفس ما تعلّق به النهي و هو غير جائز</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المحقّق الخوئي بما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الأمر على كلا القولين تعلّق بالصلاة أو بفرد ما منها، و لم يتعلق بفرد ما من هذه الطبيعة و فرد ما من الطبائع الأُخرى الملازمة لها في الوجود الخارجي، و على ذلك فالقائل بتعلّق الأمر بالطبائع يدّعي تعلّقه بطبيعة الصلاة مع عدم ملاحظة أيّة خصوصية من الخصوصيات، و القائل بتعلّقه بالافراد يدّعي انّه تعلّق </w:t>
      </w:r>
    </w:p>
    <w:p>
      <w:pPr>
        <w:pStyle w:val="BookText"/>
        <w:rPr/>
      </w:pPr>
      <w:r>
        <w:rPr>
          <w:rFonts w:ascii="Amiri" w:hAnsi="Amiri" w:eastAsia="Amiri" w:cs="Amiri"/>
          <w:color w:val="111111"/>
          <w:sz w:val="28"/>
          <w:sz w:val="28"/>
          <w:szCs w:val="28"/>
          <w:rtl w:val="true"/>
          <w:lang w:bidi="ar-SA"/>
        </w:rPr>
        <w:t>بفرد ما من أفرادها، و لا يدّعي انّه تعلّق بفرد ما من أفرادها و فرد ما من الطبائع الأُخرى كالغصب أو نحوه، فالخصوصيات من الاعراض خارجة عن مصب الأمر</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مبني على تفسير الفرد بالمعنى الأوّل و انّ مدار القولين هو تعلّق الأمر بالطبيعي أو فرد ما من ذلك الطبيعي، فعندئذ يصحّ ما يقول من أنّ المقصود من تعلّق الأمر بالفرد، هو الفرد من طبيعي واحد لا الفرد من طبيعة أُخرى أيضاً كالغصب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عرفت أنّ هذا التفسير تفسير خاطئ، لأنّ الفرد بهذا المعنى ظرف سقوط الوجوب لا ظرف ثبوته و تعلّقه، بل المراد من الفرد هو الضمائم و اللوازم التي لا تنفك عن الطبيعة مطلقاً أو تقارنها أحياناً، و عندئذ يقع البحث في أنّ متعلّق الأمر هو ذلك الطبيعي أو الطبيعي مع ضمائمه الكلية و لوازمه غير المنفكة عند التحقّق، فعلى القول الأوّل، يجوز اجتماع الأمر و النهي، لأنّ متعلّق الأمر الحيثية الصلاتية و متعلّق النهي هو الحيثية الغصبية و كلّ ثابت على متعلّقه، و هذا بخلاف القول بتعلّق الأمر بالفرد، أي اللوازم و الضمائم الكلّية، فبما انّ الصلاة تارة تقام في مكان مباح و أُخرى في مكان مغصوب فالأمر يتعلّق بالصلاة في المكان المباح أو بالصلاة في مكان مغصوب، فعندئذ تكون الحيثية الغصبيّة متعلّقة بالأمر كما تكون نفس الصلاة كذلك، فيلزم من القول باجتماع الأمر و النهي اجتماعهما في عنوان واحد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ظهر انّ الأمر كالنهي يتعلّقان بالطبائع دون الخصوصيات الفردية</w:t>
      </w:r>
      <w:r>
        <w:rPr>
          <w:rFonts w:eastAsia="Amiri" w:cs="Amiri" w:ascii="Amiri" w:hAnsi="Amiri"/>
          <w:color w:val="111111"/>
          <w:sz w:val="28"/>
          <w:szCs w:val="28"/>
          <w:rtl w:val="true"/>
          <w:lang w:bidi="ar-SA"/>
        </w:rPr>
        <w:t xml:space="preserve">. </w:t>
      </w:r>
      <w:bookmarkStart w:id="221" w:name="pg14356_186685"/>
    </w:p>
    <w:p>
      <w:pPr>
        <w:pStyle w:val="Heading4"/>
        <w:numPr>
          <w:ilvl w:val="3"/>
          <w:numId w:val="1"/>
        </w:numPr>
        <w:rPr/>
      </w:pPr>
      <w:bookmarkStart w:id="222" w:name="__RefHeading___Toc7304726_3381743652"/>
      <w:bookmarkStart w:id="223" w:name="_Toc84"/>
      <w:bookmarkEnd w:id="221"/>
      <w:bookmarkEnd w:id="222"/>
      <w:r>
        <w:rPr>
          <w:rtl w:val="true"/>
        </w:rPr>
        <w:t>تكميل للطبيعة أفراد لا حصص</w:t>
      </w:r>
      <w:bookmarkEnd w:id="223"/>
    </w:p>
    <w:p>
      <w:pPr>
        <w:pStyle w:val="BookText"/>
        <w:rPr/>
      </w:pPr>
      <w:r>
        <w:rPr>
          <w:rFonts w:ascii="Amiri" w:hAnsi="Amiri" w:eastAsia="Amiri" w:cs="Amiri"/>
          <w:color w:val="111111"/>
          <w:sz w:val="28"/>
          <w:sz w:val="28"/>
          <w:szCs w:val="28"/>
          <w:rtl w:val="true"/>
          <w:lang w:bidi="ar-SA"/>
        </w:rPr>
        <w:t>إنّ الدائر في ألسن كثير من المحقّقين كالشيخ النائيني و ضياء الدين العراقي و السيد الخوئي وجود الحصص للطبيعة، و الحقّ انّ للطبيعة أفراداً لا حصصاً، و إليك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الكلّي ينقسم إلى كلي منطقي و طبيعي و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مفهوم الكلي في مقابل مفهوم الجزئي، فالأوّل ما لا يمتنع فرض صدقه على كثيرين، و الثاني ما يمتنع فرض صدقه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معروض الكلي أي المفهوم الذي يصدق عليه انّه كلي كالإنسان و الحيوان و الشجر، فالطبيعي عبارة عن المفهوم الذي ينطبق عليه عنوان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لحاظ العارض و المعروض معاً، أي الإنسان بما انّه كلي فعندئذ يطلق عليه انّه كليّ عقلي، و ليس للأوّل و لا للثالث موطن إلاّ العقل، إنّما الكلام في الثاني أي ذات الطبيعي، و الحقّ انّه موجود في الخارج متكثّر بتكثّر الأفراد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لأنّ مفهوم الإنسان لما كان معرًّى عن كلّ قيد حتّى قيد كونه في الذهن يتكثّر في الخارج بتكثّر الأفراد فلو كان على أديم الأرض إنسان واحد فهناك طبيعة واحدة، و إذا كان عليه أفراد كثيرة فهناك طبائع كثيرة محققة في </w:t>
      </w:r>
    </w:p>
    <w:p>
      <w:pPr>
        <w:pStyle w:val="BookText"/>
        <w:rPr/>
      </w:pP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 يوقع الإنسان غالباً في الاشتباه هو الخلط بين ذات الطبيعي و الطبيعي بقيد الكلية، فالثاني غير موجود لأنّ ظرف الكلية هو الذهن دون الخارج، بخلاف ذات الطبيعي فانّه معرّى عن كلّ قيد فيوجد في الذهن كما يوجد في الخارج، فلو وجد في الذهن يوصف بالكلية، و لو وجد في الخارج يتكثر بتكثر أفراده، و لذلك اشتهر عن الشيخ الرئيس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إنسانية زيد غير إنسانية عمرو و إنسانيته غير إنسانية بكر، و كلّ واحد إنسان، تام الإنسانية، لأنّها تقبل الكثرة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فمثل الطبيعي إلى أفراده كمثل الآباء إلى الأبناء لا كمثل أب واحد إلى الأبناء، و هذا ما يقال انّ الطبيعي واحد نوعي و الفرد واحد شخصي، فلو وجد فرد في الخارج فقد وجد الطبيعي بعامّة حقيقته و هو لا يمنع أن يوجد في ضمن فرد آخر بعامّة حقيقته، و ذلك لأنّه واحد نوعي فلا تمنع الوحدة النوعية عن الكثرة العددية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كلّ فرد من أفراد الإنسان تمام الإنسان لا حصة منه، كما أنّ كلّ فرد من أفراد الصلاة نفس الصلاة لا حصة منها، فإذا كان الإنسان يقبل التكثّر حسب تكثّر الأفراد فلا معنى لكون الفرد حصة من الإنسان، بل الفرد كلّ الإنسان، لا جزء منه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قال بأنّ الطبيعي واحد بالشخص و انّه موجود خاص جزئي، فالأفراد تكون حصصاً بالنسبة إليه، و بالتالي يكون كلّ إنسان ناقصاً في إنسانيته، بل جميع الأفراد تشكل إنساناً تاماً، و هذه هي نظرية الشيخ الهمداني الذي رآه الشيخ الرئيس في مدينة همدان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الطبيعي واحد بالشخص، فألّف </w:t>
      </w:r>
    </w:p>
    <w:p>
      <w:pPr>
        <w:pStyle w:val="BookText"/>
        <w:rPr/>
      </w:pPr>
      <w:r>
        <w:rPr>
          <w:rFonts w:ascii="Amiri" w:hAnsi="Amiri" w:eastAsia="Amiri" w:cs="Amiri"/>
          <w:color w:val="111111"/>
          <w:sz w:val="28"/>
          <w:sz w:val="28"/>
          <w:szCs w:val="28"/>
          <w:rtl w:val="true"/>
          <w:lang w:bidi="ar-SA"/>
        </w:rPr>
        <w:t>رسالة مستقلة في ردّه و كان في التعبير بالحصة شيئاً من التأثر بتلك النظرية المردودة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اعتذر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الورود في هذه المسألة التي ليس لها مسيس بالمسائل الأُصولية و إنّما ألجأته إليه كثرة استعمال الحصة و الحصص في كلمات المتأخرين من الأُصوليين</w:t>
      </w:r>
      <w:r>
        <w:rPr>
          <w:rFonts w:eastAsia="Amiri" w:cs="Amiri" w:ascii="Amiri" w:hAnsi="Amiri"/>
          <w:color w:val="111111"/>
          <w:sz w:val="28"/>
          <w:szCs w:val="28"/>
          <w:rtl w:val="true"/>
          <w:lang w:bidi="ar-SA"/>
        </w:rPr>
        <w:t xml:space="preserve">. </w:t>
      </w:r>
      <w:bookmarkStart w:id="224" w:name="pg14356_186688"/>
    </w:p>
    <w:p>
      <w:pPr>
        <w:pStyle w:val="Heading3"/>
        <w:numPr>
          <w:ilvl w:val="2"/>
          <w:numId w:val="1"/>
        </w:numPr>
        <w:rPr/>
      </w:pPr>
      <w:bookmarkStart w:id="225" w:name="__RefHeading___Toc7304728_3381743652"/>
      <w:bookmarkStart w:id="226" w:name="_Toc85"/>
      <w:bookmarkEnd w:id="224"/>
      <w:bookmarkEnd w:id="225"/>
      <w:r>
        <w:rPr>
          <w:rtl w:val="true"/>
        </w:rPr>
        <w:t>الفصل الثامن بقاء الجواز عند نسخ الوجوب</w:t>
      </w:r>
      <w:bookmarkEnd w:id="226"/>
    </w:p>
    <w:p>
      <w:pPr>
        <w:pStyle w:val="Heading4"/>
        <w:numPr>
          <w:ilvl w:val="3"/>
          <w:numId w:val="1"/>
        </w:numPr>
        <w:rPr/>
      </w:pPr>
      <w:bookmarkStart w:id="227" w:name="__RefHeading___Toc7304730_3381743652"/>
      <w:bookmarkStart w:id="228" w:name="_Toc86"/>
      <w:bookmarkEnd w:id="227"/>
      <w:r>
        <w:rPr>
          <w:rtl w:val="true"/>
        </w:rPr>
        <w:t>اشارة</w:t>
      </w:r>
      <w:bookmarkEnd w:id="228"/>
    </w:p>
    <w:p>
      <w:pPr>
        <w:pStyle w:val="BookText"/>
        <w:rPr/>
      </w:pPr>
      <w:r>
        <w:rPr>
          <w:rFonts w:ascii="Amiri" w:hAnsi="Amiri" w:eastAsia="Amiri" w:cs="Amiri"/>
          <w:color w:val="111111"/>
          <w:sz w:val="28"/>
          <w:sz w:val="28"/>
          <w:szCs w:val="28"/>
          <w:rtl w:val="true"/>
          <w:lang w:bidi="ar-SA"/>
        </w:rPr>
        <w:t>إذا استعقب وجوبَ الشيء نسخُه فهل يبقى الجواز بعد نسخ الوجوب أو لا؟ مثلاً إنّه سبحانه أمر المؤمنين إذا أرادوا النجوى مع رسول اللّه أن يُقدِّموا صدقة قبل نجواهم حتّى يُصان بذلك وقتُ النبي الثمين، حيث كان الأكثر راغبين في النجوى و المسارّة مع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أُمور تافهة غير ناجعة، فلأجل الحيلولة دون فوات وقت النبي أمرهم بإعطاء دينار، و قد حكاه سبحانه في الذكر الحكيم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 أَطْهَرُ فَإِنْ لَمْ تَجِدُوا فَإِنَّ اللّهَ غَفُورٌ رَحِيمٌ </w:t>
      </w:r>
      <w:r>
        <w:rPr>
          <w:rFonts w:eastAsia="Amiri" w:cs="Amiri" w:ascii="Amiri" w:hAnsi="Amiri"/>
          <w:color w:val="111111"/>
          <w:sz w:val="28"/>
          <w:szCs w:val="28"/>
          <w:rtl w:val="true"/>
          <w:lang w:bidi="ar-SA"/>
        </w:rPr>
        <w:t>).</w:t>
      </w:r>
      <w:r>
        <w:rPr>
          <w:rStyle w:val="FootnoteAnchor"/>
          <w:rtl w:val="true"/>
        </w:rPr>
        <w:footnoteReference w:id="4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نُهوا عن المناجاة إلاّ بالصدقة ضنّ كثير من الناس بماله فلم يناجه أحد إلاّ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تصدّق بدينار و ناجى، و بذلك امتحن المؤمنون امتحاناً في ذلك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حصلت الغاية المتوخّاة من فرض الصدقة و علم أنّ الدينار عند الأكثر أثمن من وقت النبي فاجأهم النسخ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أَشْفَقْتُمْ أَنْ تُقَدِّمُوا بَيْنَ يَدَيْ نَجْواكُمْ صَدَقاتٍ فَإِذْ لَمْ تَفْعَلُوا وَ تابَ اللّهُ عَلَيْكُمْ فَأَقِيمُوا الصَّلاةَ وَ آتُوا الزَّكاةَ وَ أَطِيعُوا اللّهَ وَ رَسُولَهُ وَ اللّهُ خَبِيرٌ بِما تَعْمَلُونَ </w:t>
      </w:r>
      <w:r>
        <w:rPr>
          <w:rFonts w:eastAsia="Amiri" w:cs="Amiri" w:ascii="Amiri" w:hAnsi="Amiri"/>
          <w:color w:val="111111"/>
          <w:sz w:val="28"/>
          <w:szCs w:val="28"/>
          <w:rtl w:val="true"/>
          <w:lang w:bidi="ar-SA"/>
        </w:rPr>
        <w:t>).</w:t>
      </w:r>
      <w:r>
        <w:rPr>
          <w:rStyle w:val="FootnoteAnchor"/>
          <w:rtl w:val="true"/>
        </w:rPr>
        <w:footnoteReference w:id="46"/>
      </w:r>
      <w:bookmarkStart w:id="229" w:name="pg14356_186689"/>
    </w:p>
    <w:p>
      <w:pPr>
        <w:pStyle w:val="BookText"/>
        <w:rPr/>
      </w:pPr>
      <w:bookmarkEnd w:id="229"/>
      <w:r>
        <w:rPr>
          <w:rFonts w:ascii="Amiri" w:hAnsi="Amiri" w:eastAsia="Amiri" w:cs="Amiri"/>
          <w:color w:val="111111"/>
          <w:sz w:val="28"/>
          <w:sz w:val="28"/>
          <w:szCs w:val="28"/>
          <w:rtl w:val="true"/>
          <w:lang w:bidi="ar-SA"/>
        </w:rPr>
        <w:t>فعندئذ يقع الكلام في أنّه هل يبقى الجواز بعد النسخ على نحو يصحّ لمن يناجي النبي أن يدفع الصدقة قبل النجوى بنيّة العمل بالآية لا بنيّة مطلق الصدقة؟ إذا علمت ذلك فاعلم أنّ الكلام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بقاء الجواز بعد النسخ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بقائه إذ ليس كلّ ممكن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استسهل البحث في المقام الأوّل و سلم إمكانه بعد نسخ الوجوب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ضرورة انّ ثبوت كلّ واحد من الأحكام الأربعة الباقية بعد ارتفاع الوجوب واقعاً ممكن</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إذا عرفت هذا فلنبحث في الموضعين واحداً تلو الآخر</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7304732_3381743652"/>
      <w:bookmarkStart w:id="231" w:name="_Toc87"/>
      <w:bookmarkEnd w:id="230"/>
      <w:r>
        <w:rPr>
          <w:rtl w:val="true"/>
        </w:rPr>
        <w:t>الموضع الأوّل</w:t>
      </w:r>
      <w:r>
        <w:rPr>
          <w:rtl w:val="true"/>
        </w:rPr>
        <w:t xml:space="preserve">: </w:t>
      </w:r>
      <w:r>
        <w:rPr>
          <w:rtl w:val="true"/>
        </w:rPr>
        <w:t>إمكان بقاء الجواز</w:t>
      </w:r>
      <w:bookmarkEnd w:id="231"/>
    </w:p>
    <w:p>
      <w:pPr>
        <w:pStyle w:val="BookText"/>
        <w:rPr/>
      </w:pPr>
      <w:r>
        <w:rPr>
          <w:rFonts w:ascii="Amiri" w:hAnsi="Amiri" w:eastAsia="Amiri" w:cs="Amiri"/>
          <w:color w:val="111111"/>
          <w:sz w:val="28"/>
          <w:sz w:val="28"/>
          <w:szCs w:val="28"/>
          <w:rtl w:val="true"/>
          <w:lang w:bidi="ar-SA"/>
        </w:rPr>
        <w:t>إنّ إمكان بقاء الجواز رهن ثبوت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مجعول شرعي و مفاد للأمر، و ليس أمراً انتزاعياً من أمر المولى مع سكوته عن جواز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مركب من أُمور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الرجحان، اللزوم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ذينك الأمرين فإذا نسخ الوجوب فيمكن أن يتعلق النسخ بالفصل الأخير أي اللزوم و يبقى الجواز و الرجحان ضمن فصل آخر أي جواز الترك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بقاء الجنس مع ذهاب الفصل أمر غير ممكن فانّ الفصل </w:t>
      </w:r>
    </w:p>
    <w:p>
      <w:pPr>
        <w:pStyle w:val="BookText"/>
        <w:rPr/>
      </w:pPr>
      <w:r>
        <w:rPr>
          <w:rFonts w:ascii="Amiri" w:hAnsi="Amiri" w:eastAsia="Amiri" w:cs="Amiri"/>
          <w:color w:val="111111"/>
          <w:sz w:val="28"/>
          <w:sz w:val="28"/>
          <w:szCs w:val="28"/>
          <w:rtl w:val="true"/>
          <w:lang w:bidi="ar-SA"/>
        </w:rPr>
        <w:t>علّة تحقق الجنس فالجنس حقيقة مغمورة و مبهمة لا تخرج من الإبهام إلاّ بفضل الفصل فالفصل و الجنس متّحدان زماناً اتحاد المتقوم مع المقوّم، و عندئذ كيف يمكن أن يبقى الثاني مع ذهاب الأوّل؟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صحيح في عالم التكوين دون الاعتبار فلا مانع من قيام الجنس بفصلين متتاليين كالخيمة التي تقوم بدعامة بعد زوال دعامة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الأمرين غير ثابتين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الوجوب أمر بسيط ربما ينحل إلى المفاهيم الثلاثة، فالجواز و الرجحان و الالزام يفهم من الوجوب عند التحليل، فهذه المفاهيم الثلاثة تنضوي تحت لواء الوجوب انضواء الكثرات في الواحد البسيط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الوجوب ليس مفاد الأمر فانّ مفاده هو البعث، و أمّا الوجوب و الاستحباب فإنّما يستفاد من القرائن أو من حكم العقل، فإذا أمر و سكت يحكم العقل بلزوم إطاعة أمر المولى، لأنّه لا يترك أمر المولى بلا 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إذا أمر و رخّص يستفاد منه الاستحباب، فالوجوب و الاستحباب مفاهيم انتزاعية من الأمر بالشيء حسب ظروف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بذلك انّ إمكان البقاء رهن أمرين و كلاهما منتفيان، لأنّ الوجوب بسيط، و ليس بمركب، كما أنّ الوجوب و الاستحباب ليسا من المجعولات الشرعية بل من المفاهيم الانتزاعية</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للمحقّق الخوئي كلاماً في تفسير الوجوب و الحرمة و هو انّ المجعول في الواجبات و المحرّمات ليس إلاّ اعتبار الفعل على ذمّة المكلّف أو محروميته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رتب على ذلك أنّ الوجوب و الحرمة ليسا مجعولين شرعاً، بل منتزعان من اعتبار الشارع شيئاً في الذمة فينتزع منه الوجوب، و من اعتبار محرومية المكلف من الفعل فينتزع منه الحرمة، فالمجعول إنّما هو نفس ذلك الاعتبار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الشيء في ذمة الإنسان أو محروميته عن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الوجوب و الحرمة 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لا يعقل القول بأنّ المرفوع هو نسخ الوجوب دون جنسه ضرورة انّ الوجوب ليس مجعولاً شرعيّاً ليكون هو المرفوع بتمام ذاته أو بفصله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أفاده من أنّ الوجوب من الأُمور المنتزعة و إن كان صحيحاً لكن تفسير الوجوب بجعل الفعل في ذمة المكلّف و الحرمة بحرمان المكلف عن الفعل تفسير غير تام و ذلك لتغاير الاعتبار في المثالين التاليين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عليه دين كذا أو له على زيد عمل 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 دينك أو اعمل في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الاعتبار في المورد الأوّل هو جعل الفعل في ذمّة المكلّف بخلاف الاعتبار في الثاني ففيه البعث إلى أداء الدين، و العمل في اليوم، فإرجاع أحد الاعتبارين إلى الآخر أمر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الالتزام بكون الحرمة غير مجعولة و انّه ينتزع من حرمان المكلّف عن الفعل أمر لا يساعده الكتاب العزيز فانّ الظاهر منه إنشاء نفس الحرمة بالمصطلح الدارج فلاحظ الآيات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حَرَّمَ عَلَيْكُمُ الْمَيْتَةَ وَ الدَّمَ </w:t>
      </w:r>
      <w:r>
        <w:rPr>
          <w:rFonts w:eastAsia="Amiri" w:cs="Amiri" w:ascii="Amiri" w:hAnsi="Amiri"/>
          <w:color w:val="111111"/>
          <w:sz w:val="28"/>
          <w:szCs w:val="28"/>
          <w:rtl w:val="true"/>
          <w:lang w:bidi="ar-SA"/>
        </w:rPr>
        <w:t>).</w:t>
      </w:r>
      <w:r>
        <w:rPr>
          <w:rStyle w:val="FootnoteAnchor"/>
          <w:rtl w:val="true"/>
        </w:rPr>
        <w:footnoteReference w:id="4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أَحَلَّ اللّهُ الْبَيْعَ وَ حَرَّمَ الرِّبا </w:t>
      </w:r>
      <w:r>
        <w:rPr>
          <w:rFonts w:eastAsia="Amiri" w:cs="Amiri" w:ascii="Amiri" w:hAnsi="Amiri"/>
          <w:color w:val="111111"/>
          <w:sz w:val="28"/>
          <w:szCs w:val="28"/>
          <w:rtl w:val="true"/>
          <w:lang w:bidi="ar-SA"/>
        </w:rPr>
        <w:t>).</w:t>
      </w:r>
      <w:r>
        <w:rPr>
          <w:rStyle w:val="FootnoteAnchor"/>
          <w:rtl w:val="true"/>
        </w:rPr>
        <w:footnoteReference w:id="50"/>
      </w:r>
      <w:bookmarkStart w:id="232" w:name="pg14356_186692"/>
    </w:p>
    <w:p>
      <w:pPr>
        <w:pStyle w:val="BookText"/>
        <w:rPr/>
      </w:pPr>
      <w:bookmarkEnd w:id="232"/>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حَرَّمَ رَبِّيَ الْفَواحِشَ ما ظَهَرَ مِنْها وَ ما بَطَنَ </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صحّ ما ذكر فإنّما يصحّ في الأحكام الأربعة دون الإباحة، إذ ليس فيه أيُّ واحد من الاعتبارين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جعل الفعل في ذمة المكلّف أو حرمانه منه، بل مفاده فسح المجال للمكلّف و كونه مخيّراً بين الفعل و الترك إلاّ أن يكون كلامه في غير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الموضع الأوّل، و قد عرفت عدم إمكان بقاء الجواز لفقد الشرطين، فليس الوجوب أمراً مركباً و لا مجعولاً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البحث في الموضع الثاني و هو بحث افتراضي أي لو فرضنا إمكان بقاء الجواز نبحث في الدلالة عليه</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7304734_3381743652"/>
      <w:bookmarkStart w:id="234" w:name="_Toc88"/>
      <w:bookmarkEnd w:id="233"/>
      <w:r>
        <w:rPr>
          <w:rtl w:val="true"/>
        </w:rPr>
        <w:t>الموضع الثاني</w:t>
      </w:r>
      <w:r>
        <w:rPr>
          <w:rtl w:val="true"/>
        </w:rPr>
        <w:t xml:space="preserve">: </w:t>
      </w:r>
      <w:r>
        <w:rPr>
          <w:rtl w:val="true"/>
        </w:rPr>
        <w:t>فيما يدلّ على بقاء الجواز</w:t>
      </w:r>
      <w:bookmarkEnd w:id="234"/>
    </w:p>
    <w:p>
      <w:pPr>
        <w:pStyle w:val="BookText"/>
        <w:rPr/>
      </w:pPr>
      <w:r>
        <w:rPr>
          <w:rFonts w:ascii="Amiri" w:hAnsi="Amiri" w:eastAsia="Amiri" w:cs="Amiri"/>
          <w:color w:val="111111"/>
          <w:sz w:val="28"/>
          <w:sz w:val="28"/>
          <w:szCs w:val="28"/>
          <w:rtl w:val="true"/>
          <w:lang w:bidi="ar-SA"/>
        </w:rPr>
        <w:t>لو افترضنا إمكان بقاء الجواز بعد نسخ الوجوب، فيقع الكلام في فعلية الجواز و انّه هل هنا دليل على بقائه أو لا؟ ثمّ الدليل إمّا داخلي أو خارجي، و المراد من الداخلي هو دلالة كلّ من الناسخ و المنسوخ على البقاء، كما أنّ المراد من الخارجي هو 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فيستدلّ عليه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القدر المتيقّن من دليل الناسخ هو رفع خصوص الإلزام، و أمّا ما عداه فيؤخذ من دليل المنسوخ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المقام نظير ما لو دلّ دليل على وجوب شيء، و دلّ دليل آخر على عدم وجوبه، كما إذا ورد أكرم زيداً 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 إكرامه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فيحكم </w:t>
      </w:r>
    </w:p>
    <w:p>
      <w:pPr>
        <w:pStyle w:val="BookText"/>
        <w:rPr/>
      </w:pPr>
      <w:r>
        <w:rPr>
          <w:rFonts w:ascii="Amiri" w:hAnsi="Amiri" w:eastAsia="Amiri" w:cs="Amiri"/>
          <w:color w:val="111111"/>
          <w:sz w:val="28"/>
          <w:sz w:val="28"/>
          <w:szCs w:val="28"/>
          <w:rtl w:val="true"/>
          <w:lang w:bidi="ar-SA"/>
        </w:rPr>
        <w:t>بأظهرية الدليل الثاني ببقاء الجواز و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للأمر إلاّ ظهور واحد و هو البعث نحو المأمور به، فإذا دلّ الناسخ على أنّ المولى رفع اليد عن بعثه فلا معنى للالتزام ببقاء الجواز و الرجحان، إذ ليس له إلاّ ظهور واحد لا ظهورات متعددة حتّى يؤخذ بالباقي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قياس المقام بالدليلين المتعارضين قياس مع الفارق، لأنّ استكشاف الجواز هنا إنّما هو لاتفاق الدليلين عليه، و ذلك لأجل تحكيم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بترك إكرامه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المقام فليس من هذا القبيل بل هو من قبيل نفي الدليل الأوّل بالدليل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بكلمة مختصرة ليس هنا أيُّ دليل على بقاء الجواز، أمّا المنسوخ فالمفروض ارتفاعه، و أمّا الناسخ فالمفروض انّ مفاده منحصر في رفع البعث أو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بكونه مدلولاً لفظياً لا إثبات أمر 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القرينة الداخلية، و أمّا القرينة الخارجية فليس هناك دليل إلاّ الاستصحاب بأن يقال كان التصدّق قبل النجوى جائزاً و الأصل بقاؤه حتّى بعد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يشترط في المستصحب أن يكون حكماً شرعياً أو موضوعاً لحكم شرعي، و لكن الجواز ليس حكماً شرعياً، لأنّ المراد من الجواز في المقام هو الجواز الجامع بين الأحكام الأربعة و من المعلوم أنّه أمر عقلي ينتزعه العقل من البعث إلى المأمور به الكاشف عن الإرادة الحتمية، الكاشفة عن جوازه عند المولى فلا يكون عندئذ حكماً شرعياً قابلاً للاستصحاب</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الاستصحاب في المقام أشبه بالقسم الثالث من أقسام </w:t>
      </w:r>
    </w:p>
    <w:p>
      <w:pPr>
        <w:pStyle w:val="BookText"/>
        <w:rPr/>
      </w:pPr>
      <w:r>
        <w:rPr>
          <w:rFonts w:ascii="Amiri" w:hAnsi="Amiri" w:eastAsia="Amiri" w:cs="Amiri"/>
          <w:color w:val="111111"/>
          <w:sz w:val="28"/>
          <w:sz w:val="28"/>
          <w:szCs w:val="28"/>
          <w:rtl w:val="true"/>
          <w:lang w:bidi="ar-SA"/>
        </w:rPr>
        <w:t>استصحاب الكلي، لأنّ المتيقن هو الجواز في ضمن الوجوب، و المفروض انتفاؤه، فلو بقي الجواز فانّما يبقى ضمن إقامة فرض آخر كالاستحباب مكانه، و من المعلوم أنّ استصحاب الكلي بهذه الصورة غير جار لعدم اتحاد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الوجوب إلى الاستحباب نسبة الشديد إلى الضعيف فيرجع الشك إلى انتفاء البعث الشديد من رأس أو تبدّله إلى فرد ضعيف كالاستحباب و قد استثناه بعضهم من هذا القسم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و إن كان صحيحاً عند العقل لكنّهما عند العرف متباينان</w:t>
      </w:r>
      <w:r>
        <w:rPr>
          <w:rFonts w:eastAsia="Amiri" w:cs="Amiri" w:ascii="Amiri" w:hAnsi="Amiri"/>
          <w:color w:val="111111"/>
          <w:sz w:val="28"/>
          <w:szCs w:val="28"/>
          <w:rtl w:val="true"/>
          <w:lang w:bidi="ar-SA"/>
        </w:rPr>
        <w:t xml:space="preserve">. </w:t>
      </w:r>
      <w:bookmarkStart w:id="235" w:name="pg14356_186695"/>
    </w:p>
    <w:p>
      <w:pPr>
        <w:pStyle w:val="Heading3"/>
        <w:numPr>
          <w:ilvl w:val="2"/>
          <w:numId w:val="1"/>
        </w:numPr>
        <w:rPr/>
      </w:pPr>
      <w:bookmarkStart w:id="236" w:name="__RefHeading___Toc7304736_3381743652"/>
      <w:bookmarkStart w:id="237" w:name="_Toc89"/>
      <w:bookmarkEnd w:id="235"/>
      <w:bookmarkEnd w:id="236"/>
      <w:r>
        <w:rPr>
          <w:rtl w:val="true"/>
        </w:rPr>
        <w:t>الفصل التاسع الواجب التخييري</w:t>
      </w:r>
      <w:bookmarkEnd w:id="237"/>
    </w:p>
    <w:p>
      <w:pPr>
        <w:pStyle w:val="Heading4"/>
        <w:numPr>
          <w:ilvl w:val="3"/>
          <w:numId w:val="1"/>
        </w:numPr>
        <w:rPr/>
      </w:pPr>
      <w:bookmarkStart w:id="238" w:name="__RefHeading___Toc7304738_3381743652"/>
      <w:bookmarkStart w:id="239" w:name="_Toc90"/>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عُرِّف الواجبُ التعييني بما لا بدل له و لا يسقط بإتيان شيء آخر، إذ لا بدل له، بخلاف التخييري فللواجب بدل و يسقط بإتيان بدله، و قد وقع في الشرع كخصال كفّارة الصوم ودية قتل العمد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بيان ما هو واقع الواجب التخييري حيث اختلفوا في المأمور به إلى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أصحابنا و جمهور المعتزلة إلى أنّ كلّ واحد واجب على البدل، و أيّاً منها أتى فقد أتى بالواجب لا البدل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الأشاعرة إلى أنّ أحد الأبدال واجب لا بعينه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الواجب هو الجميع و يسقط بفعل البعض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الواجب معيّن عند اللّه و لكن يسقط به و بالآخر و قد نُسِبَ هذان القولان إلى المعتزلة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يفعله المكلّف و يختاره هو الواجب عند اللّه فيختلف باختلاف المكلّفين</w:t>
      </w:r>
      <w:r>
        <w:rPr>
          <w:rFonts w:eastAsia="Amiri" w:cs="Amiri" w:ascii="Amiri" w:hAnsi="Amiri"/>
          <w:color w:val="111111"/>
          <w:sz w:val="28"/>
          <w:szCs w:val="28"/>
          <w:rtl w:val="true"/>
          <w:lang w:bidi="ar-SA"/>
        </w:rPr>
        <w:t>.</w:t>
      </w:r>
      <w:r>
        <w:rPr>
          <w:rStyle w:val="FootnoteAnchor"/>
          <w:rtl w:val="true"/>
        </w:rPr>
        <w:footnoteReference w:id="52"/>
      </w:r>
      <w:bookmarkStart w:id="240" w:name="pg14356_186696"/>
    </w:p>
    <w:p>
      <w:pPr>
        <w:pStyle w:val="Heading4"/>
        <w:numPr>
          <w:ilvl w:val="3"/>
          <w:numId w:val="1"/>
        </w:numPr>
        <w:rPr/>
      </w:pPr>
      <w:bookmarkStart w:id="241" w:name="__RefHeading___Toc7304740_3381743652"/>
      <w:bookmarkStart w:id="242" w:name="_Toc91"/>
      <w:bookmarkEnd w:id="240"/>
      <w:bookmarkEnd w:id="241"/>
      <w:r>
        <w:rPr>
          <w:rtl w:val="true"/>
        </w:rPr>
        <w:t>شبهات مثارة حول تصوير الواجب التخييري</w:t>
      </w:r>
      <w:bookmarkEnd w:id="242"/>
    </w:p>
    <w:p>
      <w:pPr>
        <w:pStyle w:val="Heading5"/>
        <w:numPr>
          <w:ilvl w:val="4"/>
          <w:numId w:val="1"/>
        </w:numPr>
        <w:rPr/>
      </w:pPr>
      <w:bookmarkStart w:id="243" w:name="__RefHeading___Toc7304742_3381743652"/>
      <w:bookmarkStart w:id="244" w:name="_Toc92"/>
      <w:bookmarkEnd w:id="243"/>
      <w:r>
        <w:rPr>
          <w:rtl w:val="true"/>
        </w:rPr>
        <w:t>اشارة</w:t>
      </w:r>
      <w:bookmarkEnd w:id="244"/>
    </w:p>
    <w:p>
      <w:pPr>
        <w:pStyle w:val="BookText"/>
        <w:rPr/>
      </w:pPr>
      <w:r>
        <w:rPr>
          <w:rFonts w:ascii="Amiri" w:hAnsi="Amiri" w:eastAsia="Amiri" w:cs="Amiri"/>
          <w:color w:val="111111"/>
          <w:sz w:val="28"/>
          <w:sz w:val="28"/>
          <w:szCs w:val="28"/>
          <w:rtl w:val="true"/>
          <w:lang w:bidi="ar-SA"/>
        </w:rPr>
        <w:t>قد عرفت أنّ الأصحاب ذهبوا إلى أنّ الواجب كلّ واحد منها على البدل، فقد طرأت هناك عدّة إشكالات نطرحها على طاولة البحث</w:t>
      </w:r>
      <w:r>
        <w:rPr>
          <w:rFonts w:eastAsia="Amiri" w:cs="Amiri" w:ascii="Amiri" w:hAnsi="Amiri"/>
          <w:color w:val="111111"/>
          <w:sz w:val="28"/>
          <w:szCs w:val="28"/>
          <w:rtl w:val="true"/>
          <w:lang w:bidi="ar-SA"/>
        </w:rPr>
        <w:t>.</w:t>
      </w:r>
    </w:p>
    <w:p>
      <w:pPr>
        <w:pStyle w:val="Heading5"/>
        <w:numPr>
          <w:ilvl w:val="4"/>
          <w:numId w:val="1"/>
        </w:numPr>
        <w:rPr/>
      </w:pPr>
      <w:bookmarkStart w:id="245" w:name="__RefHeading___Toc7304744_3381743652"/>
      <w:bookmarkStart w:id="246" w:name="_Toc93"/>
      <w:bookmarkEnd w:id="245"/>
      <w:r>
        <w:rPr/>
        <w:t>1</w:t>
      </w:r>
      <w:r>
        <w:rPr>
          <w:rtl w:val="true"/>
        </w:rPr>
        <w:t xml:space="preserve">. </w:t>
      </w:r>
      <w:r>
        <w:rPr>
          <w:rtl w:val="true"/>
        </w:rPr>
        <w:t>الإرادة و البعث لا تتعلّقان بالأمر المردّد</w:t>
      </w:r>
      <w:bookmarkEnd w:id="246"/>
    </w:p>
    <w:p>
      <w:pPr>
        <w:pStyle w:val="BookText"/>
        <w:rPr/>
      </w:pPr>
      <w:r>
        <w:rPr>
          <w:rFonts w:ascii="Amiri" w:hAnsi="Amiri" w:eastAsia="Amiri" w:cs="Amiri"/>
          <w:color w:val="111111"/>
          <w:sz w:val="28"/>
          <w:sz w:val="28"/>
          <w:szCs w:val="28"/>
          <w:rtl w:val="true"/>
          <w:lang w:bidi="ar-SA"/>
        </w:rPr>
        <w:t>و حاصل هذا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الإرادة الفاعلية إنّما تتعلّق بالأمر المعيّن لا بالأمر المردد، و هو أمر واضح و مثله الإرادة الآمرية فلا تتعلّق إلاّ بأمر معيّن، و وجه ذلك انّ تشخّص الإرادة في كلا المقامين بالمراد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المراد مردداً لا تتعلّق به الإرادة، و ظاهر كون كلّ واحد واجباً على البدل، تعلّق الإرادة بالأمر المردد، و نظيره البعث، إذ لا معنى للبعث إلى المردد</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7304746_3381743652"/>
      <w:bookmarkStart w:id="248" w:name="_Toc94"/>
      <w:bookmarkEnd w:id="247"/>
      <w:r>
        <w:rPr/>
        <w:t>2</w:t>
      </w:r>
      <w:r>
        <w:rPr>
          <w:rtl w:val="true"/>
        </w:rPr>
        <w:t xml:space="preserve">. </w:t>
      </w:r>
      <w:r>
        <w:rPr>
          <w:rtl w:val="true"/>
        </w:rPr>
        <w:t>كيف يكون واجباً و يجوز تركه؟</w:t>
      </w:r>
      <w:bookmarkEnd w:id="248"/>
    </w:p>
    <w:p>
      <w:pPr>
        <w:pStyle w:val="BookText"/>
        <w:rPr/>
      </w:pPr>
      <w:r>
        <w:rPr>
          <w:rFonts w:ascii="Amiri" w:hAnsi="Amiri" w:eastAsia="Amiri" w:cs="Amiri"/>
          <w:color w:val="111111"/>
          <w:sz w:val="28"/>
          <w:sz w:val="28"/>
          <w:szCs w:val="28"/>
          <w:rtl w:val="true"/>
          <w:lang w:bidi="ar-SA"/>
        </w:rPr>
        <w:t>و هذا هو الإشكال الثاني، فانّ كلّ واحد من أطراف الواجب التخييري واجب و لكن يجوز تركه إلى بدل و هذا ينافي كون الشيء واجباً</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7304748_3381743652"/>
      <w:bookmarkStart w:id="250" w:name="_Toc95"/>
      <w:bookmarkEnd w:id="249"/>
      <w:r>
        <w:rPr/>
        <w:t>3</w:t>
      </w:r>
      <w:r>
        <w:rPr>
          <w:rtl w:val="true"/>
        </w:rPr>
        <w:t xml:space="preserve">. </w:t>
      </w:r>
      <w:r>
        <w:rPr>
          <w:rtl w:val="true"/>
        </w:rPr>
        <w:t>وحدة العقاب مع كثرة الواجب</w:t>
      </w:r>
      <w:bookmarkEnd w:id="250"/>
    </w:p>
    <w:p>
      <w:pPr>
        <w:pStyle w:val="BookText"/>
        <w:rPr/>
      </w:pPr>
      <w:r>
        <w:rPr>
          <w:rFonts w:ascii="Amiri" w:hAnsi="Amiri" w:eastAsia="Amiri" w:cs="Amiri"/>
          <w:color w:val="111111"/>
          <w:sz w:val="28"/>
          <w:sz w:val="28"/>
          <w:szCs w:val="28"/>
          <w:rtl w:val="true"/>
          <w:lang w:bidi="ar-SA"/>
        </w:rPr>
        <w:t>و هذا هو الإشكال الثالث حيث إنّه إذا ترك الكلّ يعاقب بعقاب واحد، مع كون الواجب متعدداً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الأُمور هي التي دعت المتأخرين إلى البحث عن ماهية الواجب التخييري و واقعه حتّى يتيسر لهم الذب عن هذه الإشكالات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سنتناولها بالتفصيل واحداً تلو الآخر</w:t>
      </w:r>
      <w:r>
        <w:rPr>
          <w:rFonts w:eastAsia="Amiri" w:cs="Amiri" w:ascii="Amiri" w:hAnsi="Amiri"/>
          <w:color w:val="111111"/>
          <w:sz w:val="28"/>
          <w:szCs w:val="28"/>
          <w:rtl w:val="true"/>
          <w:lang w:bidi="ar-SA"/>
        </w:rPr>
        <w:t xml:space="preserve">. </w:t>
      </w:r>
      <w:bookmarkStart w:id="251" w:name="pg14356_186697"/>
    </w:p>
    <w:p>
      <w:pPr>
        <w:pStyle w:val="Heading4"/>
        <w:numPr>
          <w:ilvl w:val="3"/>
          <w:numId w:val="1"/>
        </w:numPr>
        <w:rPr/>
      </w:pPr>
      <w:bookmarkStart w:id="252" w:name="__RefHeading___Toc7304750_3381743652"/>
      <w:bookmarkStart w:id="253" w:name="_Toc96"/>
      <w:bookmarkEnd w:id="251"/>
      <w:bookmarkEnd w:id="252"/>
      <w:r>
        <w:rPr>
          <w:rtl w:val="true"/>
        </w:rPr>
        <w:t>أمّا تعلّق الإرادة بالأمر المردد و هو المهم بين الإشكالات فقد أجيب عنه بوجوه</w:t>
      </w:r>
      <w:r>
        <w:rPr>
          <w:rtl w:val="true"/>
        </w:rPr>
        <w:t>.</w:t>
      </w:r>
      <w:bookmarkEnd w:id="253"/>
    </w:p>
    <w:p>
      <w:pPr>
        <w:pStyle w:val="Heading5"/>
        <w:numPr>
          <w:ilvl w:val="4"/>
          <w:numId w:val="1"/>
        </w:numPr>
        <w:rPr/>
      </w:pPr>
      <w:bookmarkStart w:id="254" w:name="__RefHeading___Toc7304752_3381743652"/>
      <w:bookmarkStart w:id="255" w:name="_Toc97"/>
      <w:bookmarkEnd w:id="254"/>
      <w:r>
        <w:rPr/>
        <w:t>1</w:t>
      </w:r>
      <w:r>
        <w:rPr>
          <w:rtl w:val="true"/>
        </w:rPr>
        <w:t xml:space="preserve">. </w:t>
      </w:r>
      <w:r>
        <w:rPr>
          <w:rtl w:val="true"/>
        </w:rPr>
        <w:t>نظرية المحقّق الخراساني</w:t>
      </w:r>
      <w:bookmarkEnd w:id="255"/>
    </w:p>
    <w:p>
      <w:pPr>
        <w:pStyle w:val="BookText"/>
        <w:rPr/>
      </w:pPr>
      <w:r>
        <w:rPr>
          <w:rFonts w:ascii="Amiri" w:hAnsi="Amiri" w:eastAsia="Amiri" w:cs="Amiri"/>
          <w:color w:val="111111"/>
          <w:sz w:val="28"/>
          <w:sz w:val="28"/>
          <w:szCs w:val="28"/>
          <w:rtl w:val="true"/>
          <w:lang w:bidi="ar-SA"/>
        </w:rPr>
        <w:t>و حاصل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التخييري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فقسم منه يكون التخيير فيه تخييراً عقلياً، و القسم الآخر يكون التخيير تخييراً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ففيما إذا كان الغرض واحداً يقوم به كلّ من الطرفين، كما إذا كان الغرض هو إنارة الغرفة و هي تتحقّق بإسراج المصباح أو إيقاد النار في الموقد فيأمر المولى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اسرج المصباح أو أوقد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غرض واحد يحصل بكلا الأمرين، و بما انّ الواحد لا يصدر إلاّ من الواحد فلا بدّ من القول بأنّ إنارة الغرفة معلولة للجامع بين الفعلين، لامتناع صدور الواحد عن الكثير فيكون الواجب هو الجامع، فجعلهما متعلّقين للخطاب الشرعي كما عرفت تبيان انّ الواجب هو الجامع بين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المكلّف إيجاده في الخارج لتحصيل الغرض الواحد، و في هذا القسم تتعلّق الإرادة بأمر معين و هو الجامع بين الفعلين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ما إذا كان التخيير شرعياً، فهناك أغراض متعددة للمكلّف لكن بينها تزاحم في مقام الإتيان بأن تكون الأغراض غير قابلة للتحصيل و الجمع فلا يمكن للمولى الأمر بتحصيلها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فعندئذ يكون كلّ واحد واجباً لكن بنحو من الوجوب تَكشف عنه تبعاتُه و آثارُه، أعني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ترك كلّ واحد إلاّ إلى الآخر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ترتّب الثواب على فعل الواحد منهما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على تركهما لا على ترك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الصورة يكون الواجب كلّ واحد لكن بنحو من الوجوب يتفاوت سنخه مع وجوب الواجب التعييني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و الصوم في شهر رمضان واجبان تعيينيان و الحمد أو التسبيحات واجبان تخييريان في الركعتين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سنخ الوجوب في الأوّل غير سنخه في الثاني، مع اشتراك الجميع في تعلّق إرادة مستقلة بكلّ واحد كتعلّق البعث المستقل بكلّ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تقرير نظرية المحقّق الخراساني</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ثمّ إنّ المحقّق الخراساني استطاع أن يذب عن الإشكالات الثلاثة بما اختاره في حقيقة الواجب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التخيير العقلي فلأنّ الواجب هو الجهة الجامعة التي تؤمّن غرض المولى فالواجب واحد و الإرادة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التخيير الشرعي فلما كانت الأغراض متعددة، و بتبعها تتعدد الإرادة، و كلّ إرادة متعلّقة بموضوع خاص و هو محصّل لغرض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البعث فليس هنا بعث متعلّق بالمردد، بل لكلّ بعث خاص دون أن يكون هناك تردد في المتعلّق</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حول الإشكال الأوّل الذي هو المهم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 الشيء واجباً مع جواز تركه و الإتيان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أجاب عنه انّ هذا خصيصة نحو هذا الوجوب، فانّ الوجوب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الإتيان بأحد الفعلين لا يجزي عن الفعل الآخر كالصلاة و الصوم في شهر رمضان، و أُخرى يكون الوجوب على نحو لو أتى بواحد ممّا تعلّق به الوجوب يغني عن إتيان الآخر و ذلك نتيجة تزاحم الأغراض و عدم اجتماعها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يشير المحقّق الخراساني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كلّ واحد واجباً بنحو من الوجوب يُستكشف عنه تبعاتُه من عدم جواز تركه إلاّ إلى الآخر</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هذا كلّه حول الإشكال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تعدد الواجب يقتضي تعدد العقاب عند ترك عامّة الأطراف مع أنّهم اتفقوا على وحدة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الإجابة عنه واضحة، و ذلك لأنّ تعدد العقاب إمّا لأجل تفويت المصلحتين الملزمتين أو لأجل مخالفة التكليفين الفعليين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المفروض عدم إمكان الجمع بين الغرضين و تنافيهما في مقام التأثير في الغرض، فإذا كان كذلك فليس عليه إلاّ تحصيل غرض واحد و بفوته يستحقّ عقاباً واحداً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الحكمين و إن كانا فعليين و لكن مخالفة التكليفين الفعليين إنّما توجب كثرة العقاب إذا لم يكتف المولى في مقام الامتثال بواحد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هذا التصريح لا ملاك لتعدد العقاب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الكبرى أي مخالفة كلّ حكم فعلي توجب العقاب ممنوعة، و إنّما توجبه إذا لم يصرح المولى بأنّه يكفي إتيان واحد منهما، ففي مثله لا يتعدد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بما ذكرنا انّ نظرية المحقّق الخراساني خصوصاً في التخيير الشرعي نظرية صالحة لدفع الإشكالات الثلاثة، و المؤثر في دفعها هو تعدد الغرض الموجب لتعدد الإرادة و التزاحم بين الأغراض في مقام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هذه النظرية إشكالان يرجع أحدهما إلى التخيير العقلي و الثاني إلى التخيير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التخيير العقلي، فقد أسس نظريته على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يصدر الواحد إلاّ من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بما انّ الغرض واحد فلا يصدر إلاّ من واحد و هو الجهة الجامعة بين إيقاد النار و إسراج المصباح و لا يصدر من كلّ واحد منهما لاستلزامه صدور الواحد عن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القاعدة صحيحة إلاّ أنّ تطبيقها على المورد تطبيق خاطئ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القاعدة فتظهر بملاحظة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صدور شيء عن شيء رهن وجود صلة بينهما، و إلاّ يلزم أن يكون كلّ شيء علّة لكلّ شيء، و هذا ما يعبّر عنه في الفلسفة بقانون السنخية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انّ شرب الماء يزيل العطش دون أكل الخبز، و هذا يدلّ على وجود صلة بين الأوّلين و عدمها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السنخية المعتبرة هي سنخية ظلية لا سنخية توليدية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انتاجية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كالسنخية الموجودة بين المطر و الندى</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مصب القاعدة هو المعلول البسيط من كلّ الجهات كالعقل </w:t>
      </w:r>
    </w:p>
    <w:p>
      <w:pPr>
        <w:pStyle w:val="BookText"/>
        <w:rPr/>
      </w:pPr>
      <w:r>
        <w:rPr>
          <w:rFonts w:ascii="Amiri" w:hAnsi="Amiri" w:eastAsia="Amiri" w:cs="Amiri"/>
          <w:color w:val="111111"/>
          <w:sz w:val="28"/>
          <w:sz w:val="28"/>
          <w:szCs w:val="28"/>
          <w:rtl w:val="true"/>
          <w:lang w:bidi="ar-SA"/>
        </w:rPr>
        <w:t>الأوّل فانّه عند الفلاسفة إنّي الوجود فلا يصدر إلاّ من سبب واحد، فلو صدر من كثير يلزم أن يكون مشتملاً على أكثر من جهة حتّى تكون كلّ جهة سبباً لصدوره عن السبب المحتمل عليها أخذاً بما تقدّم من اشتراط السنخية بين العلة و المعلول، و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السنخية و الرابطة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 أن يكون الواحد كثيراً لكثرة الجهات و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إجمال ما عليه الفلاسفة في مفاد القاعدة و هو كما ترى يجري في المعلول البسيط من جميع الجهات، و أين هذا من النور الصادر من إيقاد الموقد و إسراج المصباح؟ فهناك نوران مختلفان و إن كانا يتحدان في الاسم أي النور، فإعمال القاعدة في المتكثّر بالذات إعمال لها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استند المحقّق الخراساني إلى هذه القاعدة في محل آخر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الجامع بين أفراد الصلاة الصحيحة و نستكشف وجود الجامع من وحدة الأثر، فانّ اشتراك جميع الصلوات الصحيحة في الأثر كاشف عن وجود جامع بين الصلوات يؤثر الكلّ فيه بذاك الجامع،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الفحشاء أثر واحد مشترك بين الجميع فيحكم بوحدة الأثر على وجود الجامع الذي هو المؤثر في ذلك الأثر و إلاّ يلزم صدور الكثير عن الواحد</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الأثر واحد بالنوع و لكنّه متعدد في الخارج و مصب القاعدة هو الواحد الشخصي لا الواحد النوعي، فكلّ من أقام صلاة صحيحة يترتب عليه النهي عن الفحشاء و هو في كلّ مورد يغاير الفرد الآخر في مورد آخر</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 انّ أثر الصلاة متعدد لا واحد، فأين قربان كلّ تقي، من الناهية عن الفحشاء و المنكر؟ و أين كلاهما من عمود الدين؟ إلى غير ذلك</w:t>
      </w:r>
      <w:r>
        <w:rPr>
          <w:rFonts w:eastAsia="Amiri" w:cs="Amiri" w:ascii="Amiri" w:hAnsi="Amiri"/>
          <w:color w:val="111111"/>
          <w:sz w:val="28"/>
          <w:szCs w:val="28"/>
          <w:rtl w:val="true"/>
          <w:lang w:bidi="ar-SA"/>
        </w:rPr>
        <w:t xml:space="preserve">. </w:t>
      </w:r>
      <w:bookmarkStart w:id="256" w:name="pg14356_186702"/>
    </w:p>
    <w:p>
      <w:pPr>
        <w:pStyle w:val="BookText"/>
        <w:rPr/>
      </w:pPr>
      <w:bookmarkEnd w:id="256"/>
      <w:r>
        <w:rPr>
          <w:rFonts w:ascii="Amiri" w:hAnsi="Amiri" w:eastAsia="Amiri" w:cs="Amiri"/>
          <w:color w:val="111111"/>
          <w:sz w:val="28"/>
          <w:sz w:val="28"/>
          <w:szCs w:val="28"/>
          <w:rtl w:val="true"/>
          <w:lang w:bidi="ar-SA"/>
        </w:rPr>
        <w:t>هذا كلّه حول التخيير العقلي و أمّا التخيير الشرعي فقد بنى نظريته على أنّ الأغراض متنافية غير قابلة للجمع، فعندئذ يتوجّه إليه السؤال الثاني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مصب التزاحم إمّا مقام الامتثال و إمّا ملاكات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تزاحم فيه، إذ لا مانع من أن يقوم المفطر بعتق رقبة و إطعام ستين مسكيناً وصوم ستين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التزاحم في مقام الملاكات،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التزاحم في المرتبة المتقدمة على الخطاب فهو أيضاً منتف بشهادة انّه لو أفطر بالمحرّم وجب عليه الخصال جميعاً من دون أن يكون أيّ تزاحم بين الملاكات، و الظاهر انّ ملاك التخيير هو التسهيل على العباد و رفع الحرج عنهم لا التزاحم بين الملاكات كما يدور عليه كلام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نظرية المحقّق الخراساني نقلاً و تحليلاً</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7304754_3381743652"/>
      <w:bookmarkStart w:id="258" w:name="_Toc98"/>
      <w:bookmarkEnd w:id="257"/>
      <w:r>
        <w:rPr/>
        <w:t>2</w:t>
      </w:r>
      <w:r>
        <w:rPr>
          <w:rtl w:val="true"/>
        </w:rPr>
        <w:t xml:space="preserve">. </w:t>
      </w:r>
      <w:r>
        <w:rPr>
          <w:rtl w:val="true"/>
        </w:rPr>
        <w:t>نظرية المحقّق النائيني</w:t>
      </w:r>
      <w:bookmarkEnd w:id="258"/>
    </w:p>
    <w:p>
      <w:pPr>
        <w:pStyle w:val="BookText"/>
        <w:rPr/>
      </w:pPr>
      <w:r>
        <w:rPr>
          <w:rFonts w:ascii="Amiri" w:hAnsi="Amiri" w:eastAsia="Amiri" w:cs="Amiri"/>
          <w:color w:val="111111"/>
          <w:sz w:val="28"/>
          <w:sz w:val="28"/>
          <w:szCs w:val="28"/>
          <w:rtl w:val="true"/>
          <w:lang w:bidi="ar-SA"/>
        </w:rPr>
        <w:t>ذهب المحقّق النائيني إلى أنّ الواجب هو العنوان المردّد،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الفعلين أو أحد الأفعال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الخصوصيات المعتبرة في الإرادة على قسمين، فتارة تعتبر فيها لا لخصوصية كونها تكوينية، بل لكونها إرادة، فهذا النوع من الخصوصية معتبرة في التشريعية أيضاً، و أُخرى يكون اعتبارها فيها لأجل كونها تكوينية فلا يعم التشريعية قطعاً</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هذا لا مانع من تعلّق الإرادة التشريعية بالأمر الكلي بين الفردين بخلاف الإرادة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فانّها لكونها علّة لإيجاد المراد لا </w:t>
      </w:r>
    </w:p>
    <w:p>
      <w:pPr>
        <w:pStyle w:val="BookText"/>
        <w:rPr/>
      </w:pPr>
      <w:r>
        <w:rPr>
          <w:rFonts w:ascii="Amiri" w:hAnsi="Amiri" w:eastAsia="Amiri" w:cs="Amiri"/>
          <w:color w:val="111111"/>
          <w:sz w:val="28"/>
          <w:sz w:val="28"/>
          <w:szCs w:val="28"/>
          <w:rtl w:val="true"/>
          <w:lang w:bidi="ar-SA"/>
        </w:rPr>
        <w:t>تتعلّق إلاّ بالشخص لامتناع ايجاد الكلّي في الخارج إلاّ في ضمن فرده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امتناع تعلّق الإرادة التكوينية بالمردّد و ما له بدل من لوازمها خاصة و لا يعم التشريعية فانّ الغرض المترتب على كلّ من الفعلين، إذا كان أمراً واحداً، كما هو ظاهر العطف بكلمة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عطف جملة على جملة كما هو الغالب أو عطف مفرد على مفرد انّه حسب مقام الإثبات الموافق لمقام الثبوت يدل على أنّ هناك غرضاً واحداً يترتّب على واحد من الفعلين على البدل، فلا بدّ و أن يكون طلب المولى بأحدهما على البدل أيضاً لعدم الترجيح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امتناع تعلّق الإرادة بالمبهم و المردد من خصائص الإرادة التكوينية لكونها علّة للمراد و لا معنى لتعلّق العلّة بالكلي بخلاف الإرادة التشريعية</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ثمّ إنّ هذه النظرية هي خيرة تلميذه المحقّق الخوئي في تعليقته على أجود التقريرات و في محاضراته التي دوّنها بعض تلاميذه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ما هذا حاصله</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ينبغي أن يقال في هذه المسألة تحفظاً على ظواهر الأدلّة هو انّ الواجب أحد الفعلين أو الأفعال لا بعينه، و تطبيقه على كلّ منها في الخارج بيد المكلّف، كما هو الحال في موارد الواجبات التعيينية غاية الأمر انّ متعلّق الوجوب في الواجبات التعيينية الطبيعة المتأصّلة و الجامع الحقيقي، و في الواجبات التخييرية الطبيعة المنتزعة و الجامع العنواني، فهذا هو الفارق بينها و تخيّل انّه لا يمكن تعلق الأمر بالجامع الانتزاعي و هو عنوان أحدهما في المقام، ضرورة انّه ليس </w:t>
      </w:r>
    </w:p>
    <w:p>
      <w:pPr>
        <w:pStyle w:val="BookText"/>
        <w:rPr/>
      </w:pPr>
      <w:r>
        <w:rPr>
          <w:rFonts w:ascii="Amiri" w:hAnsi="Amiri" w:eastAsia="Amiri" w:cs="Amiri"/>
          <w:color w:val="111111"/>
          <w:sz w:val="28"/>
          <w:sz w:val="28"/>
          <w:szCs w:val="28"/>
          <w:rtl w:val="true"/>
          <w:lang w:bidi="ar-SA"/>
        </w:rPr>
        <w:t>له واقع موضوعي غير تحقّقه في عالم الانتزاع و النفس فلا يمكن أن يتعدّى عن أفق النفس إلى ما في الخارج، و من الواضح انّ مثله لا يصلح أن يتعلّق به الأمر، خيال خاطئ جداً، بداهة انّه لا مانع من تعلق الأمر به أصلاً بل تتعلّق به الصفات الحقيقية كالعلم و الإرادة و ما شاكلهما فما ظنك بالحكم الشرعي الذي هو أمر اعتباري محض</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إنّ الأُستاذ و التلميذ قد نجحا لو قلنا بصحّة المعنى في الذب عن الإشكالات الآنفة الذكر، أمّا تعلّق الإرادة بالفرد المردد مفهوماً فلأجل الفرق بين الإرادة الفاعلية و الإرادة الآمرية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الامتناع من خصائص الإرادة الفاعلية دون الآمرية، و أمّا ترك أحد الأطراف عند الإتيان بالآخر فذلك لازم كون الواجب أحد الأفعال لا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يُعلم دفع الإشكال الثالث، لأنّ وحدة العقاب لأجل وحدة الواجب المتحقّق بإنجاز واحد من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تلك النظرية انّها لم تتحفظ على ظواهر النصوص فانّ ظاهرها على أنّ الواجب هو نفس تلك العناوين لا العنوان المنتزع عنها باسم أحدهما، فانّ العنوان المنتزع أمر عقلي ينتزعه من تعلّق الحكم بالعناوين الأصلية على وجه التخيير و إن كنت في شكّ فلاحظ الآيتين التاليتين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يُؤاخِذُكُمُ اللّهُ بِاللَّغْوِ فِي أَيْمانِكُمْ وَ لكِنْ يُؤاخِذُكُمْ بِما عَقَّدْتُمُ الْأَيْمانَ فَكَفّارَتُهُ إِطْعامُ عَشَرَةِ مَساكِينَ مِنْ أَوْسَطِ ما تُطْعِمُونَ أَهْلِيكُمْ أَوْ كِسْوَتُهُمْ أَوْ تَحْرِيرُ رَقَبَةٍ </w:t>
      </w:r>
      <w:r>
        <w:rPr>
          <w:rFonts w:eastAsia="Amiri" w:cs="Amiri" w:ascii="Amiri" w:hAnsi="Amiri"/>
          <w:color w:val="111111"/>
          <w:sz w:val="28"/>
          <w:szCs w:val="28"/>
          <w:rtl w:val="true"/>
          <w:lang w:bidi="ar-SA"/>
        </w:rPr>
        <w:t>).</w:t>
      </w:r>
      <w:r>
        <w:rPr>
          <w:rStyle w:val="FootnoteAnchor"/>
          <w:rtl w:val="true"/>
        </w:rPr>
        <w:footnoteReference w:id="58"/>
      </w:r>
      <w:bookmarkStart w:id="259" w:name="pg14356_186705"/>
    </w:p>
    <w:p>
      <w:pPr>
        <w:pStyle w:val="BookText"/>
        <w:rPr/>
      </w:pPr>
      <w:bookmarkEnd w:id="259"/>
      <w:r>
        <w:rPr>
          <w:rFonts w:ascii="Amiri" w:hAnsi="Amiri" w:eastAsia="Amiri" w:cs="Amiri"/>
          <w:color w:val="111111"/>
          <w:sz w:val="28"/>
          <w:sz w:val="28"/>
          <w:szCs w:val="28"/>
          <w:rtl w:val="true"/>
          <w:lang w:bidi="ar-SA"/>
        </w:rPr>
        <w:t>فانّ المتبادر من الآية أنّ الواجب هو نفس العناوين لا عنوان أحدها، و مثلها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فانّ المتبادر من الآيات انّ الواجب، هو كلاً من الفك و الإطعام في يوم ذي مسغبة لا عنوان أحدهما،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أبدع تلك النظرية ليتحفظ بها على ظواهر الأدلة، و لكن كانت النتيجة هي العكس</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7304756_3381743652"/>
      <w:bookmarkStart w:id="261" w:name="_Toc99"/>
      <w:bookmarkEnd w:id="260"/>
      <w:r>
        <w:rPr/>
        <w:t>3</w:t>
      </w:r>
      <w:r>
        <w:rPr>
          <w:rtl w:val="true"/>
        </w:rPr>
        <w:t xml:space="preserve">. </w:t>
      </w:r>
      <w:r>
        <w:rPr>
          <w:rtl w:val="true"/>
        </w:rPr>
        <w:t>نظرية المحقّق الأصفهاني</w:t>
      </w:r>
      <w:bookmarkEnd w:id="261"/>
    </w:p>
    <w:p>
      <w:pPr>
        <w:pStyle w:val="BookText"/>
        <w:rPr/>
      </w:pPr>
      <w:r>
        <w:rPr>
          <w:rFonts w:ascii="Amiri" w:hAnsi="Amiri" w:eastAsia="Amiri" w:cs="Amiri"/>
          <w:color w:val="111111"/>
          <w:sz w:val="28"/>
          <w:sz w:val="28"/>
          <w:szCs w:val="28"/>
          <w:rtl w:val="true"/>
          <w:lang w:bidi="ar-SA"/>
        </w:rPr>
        <w:t>و للمحقّق الأصفهاني نظرية أُخرى، حاصلها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واحد منها واجباً تعيينياً و يكون الإتيان بواحد منهما في الخارج موجباً لسقوط الآخر أيضاً بحكم المولى إرفاقاً و تسهيلاً على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لخّصه تلميذه المحقّق الخوئي</w:t>
      </w:r>
      <w:r>
        <w:rPr>
          <w:rStyle w:val="FootnoteAnchor"/>
          <w:rtl w:val="true"/>
        </w:rPr>
        <w:footnoteReference w:id="60"/>
      </w:r>
      <w:r>
        <w:rPr>
          <w:rFonts w:ascii="Amiri" w:hAnsi="Amiri" w:eastAsia="Amiri" w:cs="Amiri"/>
          <w:color w:val="111111"/>
          <w:sz w:val="28"/>
          <w:sz w:val="28"/>
          <w:szCs w:val="28"/>
          <w:rtl w:val="true"/>
          <w:lang w:bidi="ar-SA"/>
        </w:rPr>
        <w:t>و إليك نصّ عبارة صاحب النظرية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يفرض غرضان، لكلّ منهما اقتضاء إيجاب محصَّله، إلاّ أنّ مصلحة الإرفاق و التسهيل تقتضي الترخيص في ترك أحدهما، فيوجب كليهما لما في كلّ منهما من الغرض الملزم في نفسه، و يرخِّص في ترك كلّ منهما إلى بدل، فيكون الإيجاب التخييري، شرعيّاً، محضاً من دون لزوم الإرجاع إلى الجامع</w:t>
      </w:r>
      <w:r>
        <w:rPr>
          <w:rFonts w:eastAsia="Amiri" w:cs="Amiri" w:ascii="Amiri" w:hAnsi="Amiri"/>
          <w:color w:val="111111"/>
          <w:sz w:val="28"/>
          <w:szCs w:val="28"/>
          <w:rtl w:val="true"/>
          <w:lang w:bidi="ar-SA"/>
        </w:rPr>
        <w:t>.</w:t>
      </w:r>
      <w:r>
        <w:rPr>
          <w:rStyle w:val="FootnoteAnchor"/>
          <w:rtl w:val="true"/>
        </w:rPr>
        <w:footnoteReference w:id="61"/>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النظرية قريبة من نظرية المحقّق الخراساني و ليست عينها غير أنّ الأُستاذ علل عدم وجوب الإتيان بسائر الابدال لأجل التزاحم في الملاك و لكن </w:t>
      </w:r>
    </w:p>
    <w:p>
      <w:pPr>
        <w:pStyle w:val="BookText"/>
        <w:rPr/>
      </w:pPr>
      <w:r>
        <w:rPr>
          <w:rFonts w:ascii="Amiri" w:hAnsi="Amiri" w:eastAsia="Amiri" w:cs="Amiri"/>
          <w:color w:val="111111"/>
          <w:sz w:val="28"/>
          <w:sz w:val="28"/>
          <w:szCs w:val="28"/>
          <w:rtl w:val="true"/>
          <w:lang w:bidi="ar-SA"/>
        </w:rPr>
        <w:t>التلميذ علله بالتسهيل و الإرفاق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الخوئي اعترض على تلك النظرية في تعاليق الأجود و في المحاضرات بإشكالين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يستلزم تعدد العقاب عند عصيان الوجوب التخييري و عدم الإتيان بشيء من الفعلين ضرورة انّ الجائز هو ترك كلّ منهما إلى بدل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طريق لنا إلى إحراز الملاك في كلّ من الطرفين إلاّ بالأمر، و حيث إنّ الأمر فيما نحن فيه تعلّق بأحد الطرفين أو الأطراف فلا محال لا نستكشف إلاّ قيام الغرض به</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يلاحظ على 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العقاب رهن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تفويت المصلحتين الملزمتين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عصيان الخطابين العقليين المطلقين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خلاف الفرض، لأنّ المفروض انّ المولى رخص في ترك أحد الغرضين لأجل التسهيل</w:t>
      </w:r>
      <w:r>
        <w:rPr>
          <w:rFonts w:eastAsia="Amiri" w:cs="Amiri" w:ascii="Amiri" w:hAnsi="Amiri"/>
          <w:color w:val="111111"/>
          <w:sz w:val="28"/>
          <w:szCs w:val="28"/>
          <w:rtl w:val="true"/>
          <w:lang w:bidi="ar-SA"/>
        </w:rPr>
        <w:t xml:space="preserve">. </w:t>
      </w:r>
      <w:bookmarkStart w:id="262" w:name="pg14356_186707"/>
    </w:p>
    <w:p>
      <w:pPr>
        <w:pStyle w:val="BookText"/>
        <w:rPr/>
      </w:pPr>
      <w:bookmarkEnd w:id="262"/>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عصيان الخطابين الفعليين المطلقين إنّما يُصحح تعدّد العقاب إذا لم يصرّح المولى بأنّه يجوز ترك أحدهما عند الإتيان بالآخر، فانّ معنى ذلك انّ المطلوب الجدّي المصحح للعقاب هو واحد لا كثير، و معه كيف يوجب تعدد العقاب؟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دائرة التكليف لا تكون أوسع من الملاك اللازم تحصيلُه، و المفروض انّ اللازم تحصيله هو أحد الملاكين لا كلاهما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فظاهره انّه لا ملاك في كلّ واحد من أحد الأطراف، بل الملاك في واحد منها غير معيّن، و هذا خلاف فرض المحقّق الاصفهاني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فيوجب كليهما لما في كلّ منهما من الغرض الملزم في نفسه قطعاً، إذ لو لم يكن كلّ واحد منها مشتملاً على الملاك، لما صحّ الأمر بأحدها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تعدّد الأمر لا يلازم تعدّد الغرض، بل يجتمع مع وحدة الغرض، المتحقّق بكلّ من الأطراف</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7304758_3381743652"/>
      <w:bookmarkStart w:id="264" w:name="_Toc100"/>
      <w:bookmarkEnd w:id="263"/>
      <w:r>
        <w:rPr/>
        <w:t>4</w:t>
      </w:r>
      <w:r>
        <w:rPr>
          <w:rtl w:val="true"/>
        </w:rPr>
        <w:t xml:space="preserve">. </w:t>
      </w:r>
      <w:r>
        <w:rPr>
          <w:rtl w:val="true"/>
        </w:rPr>
        <w:t>نظرية بعض القدماء</w:t>
      </w:r>
      <w:bookmarkEnd w:id="264"/>
    </w:p>
    <w:p>
      <w:pPr>
        <w:pStyle w:val="BookText"/>
        <w:rPr/>
      </w:pPr>
      <w:r>
        <w:rPr>
          <w:rFonts w:ascii="Amiri" w:hAnsi="Amiri" w:eastAsia="Amiri" w:cs="Amiri"/>
          <w:color w:val="111111"/>
          <w:sz w:val="28"/>
          <w:sz w:val="28"/>
          <w:szCs w:val="28"/>
          <w:rtl w:val="true"/>
          <w:lang w:bidi="ar-SA"/>
        </w:rPr>
        <w:t>إنّ الواجب هو الواحد المعيّن الذي يعلم اللّه انّ العبد يختاره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لازم ذلك عدم الاشتراك في التكليف و انّ تكليف من يختار العتق هو العتق و تكليف من يختار الصوم هو الصوم، و هذا ممّا اتّفق العلماء على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عدم العقاب على من ترك التكليف رأساً، لأنّ الواجب هو ما يختاره العبد في علم اللّه، فإذا لم يختر واحداً منهما كشف عن عدم موضوع للتكليف في علم اللّه و مع فقد الموضوع لا عقاب</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7304760_3381743652"/>
      <w:bookmarkStart w:id="266" w:name="_Toc101"/>
      <w:bookmarkEnd w:id="265"/>
      <w:r>
        <w:rPr/>
        <w:t>5</w:t>
      </w:r>
      <w:r>
        <w:rPr>
          <w:rtl w:val="true"/>
        </w:rPr>
        <w:t xml:space="preserve">. </w:t>
      </w:r>
      <w:r>
        <w:rPr>
          <w:rtl w:val="true"/>
        </w:rPr>
        <w:t>ما هو المختار في تفسير الوجوب التخييري؟</w:t>
      </w:r>
      <w:bookmarkEnd w:id="266"/>
    </w:p>
    <w:p>
      <w:pPr>
        <w:pStyle w:val="BookText"/>
        <w:rPr/>
      </w:pPr>
      <w:r>
        <w:rPr>
          <w:rFonts w:ascii="Amiri" w:hAnsi="Amiri" w:eastAsia="Amiri" w:cs="Amiri"/>
          <w:color w:val="111111"/>
          <w:sz w:val="28"/>
          <w:sz w:val="28"/>
          <w:szCs w:val="28"/>
          <w:rtl w:val="true"/>
          <w:lang w:bidi="ar-SA"/>
        </w:rPr>
        <w:t>هذا ما ذكره القوم في المقام و هناك نظرية خامسة هي أقرب إلى الواقع و ما هو الدارج بين الموالي و العبيد في الواجبات التخييرية</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للمولى غرض واحد يتحقّق بأُمور متعددة و ليس بينهما جامع أصيل كما في المثالين التاليين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تخلّف السائق عن مراعاة قوانين المرور، فيمكن للحاكم تأديبه بأحد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عليه بتأدية غرامة نقدية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عليه بزجّه في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أفطر في شهر رمضان متعمداً فللمولى أن يوبخ المكلّف بأحد الأُمور الثلاثة المعروفة بخصال الكفارة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فبما انّ إيجاب واحد معيّن خال عن الوجه، و كلّ منهما محصّل للغرض فعندئذ يخاطب المكلّف بإيجاب الجميع لكن على وجه التخيير لأجل وحدة الغرض، و هذه النظرية تشارك نظرية المحقّق الخراساني من جهة، و تفارقها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المشاركة فهي إيجاب الجميع لكن على وجه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الوجوب التخييري نحو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المفارقة فتفارقها بوحدة الغرض على هذه النظرية و كثرتها على نظرية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كلتا النظريتين تستمدان من أنّ الوجوب التخييري نحو من الوجوب كالتعييني و لكن يفارق التخييريُّ، التعيينيَ باكتفاء المولى بالإتيان بأحد الأطراف في الواجب التخييري دون الواجبات التعيينية، و يعود وجهه إلى وحدة الغرض في الأوّل و تعدّده في الثاني حسب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مختار المحقّق الخراساني فالاكتفاء في الأوّل بأحد الأطراف لأجل امتناع الجمع بين الغرضين في التخييري، و إمكانه في الواجبات التعيينيّة</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تقدر على الذبّ عن الإشكالات الثلاثة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الإرادة فلم تتعلّق بالمراد، بل تعلّقت بالمعيّن، حيث إنّ المراد متعدد كالإرادة و المبعوث إليه متعدد كالمراد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الثاني أي جواز ترك أحدهما عند الإتيان بالآخر فانّه مقتضى وحدة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وحدة العقاب عند ترك الجميع فلما عرفت من أنّ تعدد العقاب رهن أحد أمرين و كلاهما منتفيان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الغرض متعدداً و المفروض في المقام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مخالفة الخطابين الفعليين المطلقين، و قد عرفت عدم كلّية هذه الضابطة في تعدد العقاب و إنّما هو إذا لم يكن هناك تصريح أو تلويح من المولى بكفاية أحد الأطراف دون الآخرين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الواجب التخييري</w:t>
      </w:r>
      <w:r>
        <w:rPr>
          <w:rFonts w:eastAsia="Amiri" w:cs="Amiri" w:ascii="Amiri" w:hAnsi="Amiri"/>
          <w:color w:val="111111"/>
          <w:sz w:val="28"/>
          <w:szCs w:val="28"/>
          <w:rtl w:val="true"/>
          <w:lang w:bidi="ar-SA"/>
        </w:rPr>
        <w:t xml:space="preserve">. </w:t>
      </w:r>
      <w:bookmarkStart w:id="267" w:name="pg14356_186710"/>
    </w:p>
    <w:p>
      <w:pPr>
        <w:pStyle w:val="Heading4"/>
        <w:numPr>
          <w:ilvl w:val="3"/>
          <w:numId w:val="1"/>
        </w:numPr>
        <w:rPr/>
      </w:pPr>
      <w:bookmarkStart w:id="268" w:name="__RefHeading___Toc7304762_3381743652"/>
      <w:bookmarkStart w:id="269" w:name="_Toc102"/>
      <w:bookmarkEnd w:id="267"/>
      <w:bookmarkEnd w:id="268"/>
      <w:r>
        <w:rPr>
          <w:rtl w:val="true"/>
        </w:rPr>
        <w:t>التخيير بين الأقل و الأكثر</w:t>
      </w:r>
      <w:bookmarkEnd w:id="269"/>
    </w:p>
    <w:p>
      <w:pPr>
        <w:pStyle w:val="Heading5"/>
        <w:numPr>
          <w:ilvl w:val="4"/>
          <w:numId w:val="1"/>
        </w:numPr>
        <w:rPr/>
      </w:pPr>
      <w:bookmarkStart w:id="270" w:name="__RefHeading___Toc7304764_3381743652"/>
      <w:bookmarkStart w:id="271" w:name="_Toc103"/>
      <w:bookmarkEnd w:id="270"/>
      <w:r>
        <w:rPr>
          <w:rtl w:val="true"/>
        </w:rPr>
        <w:t>اشارة</w:t>
      </w:r>
      <w:bookmarkEnd w:id="271"/>
    </w:p>
    <w:p>
      <w:pPr>
        <w:pStyle w:val="BookText"/>
        <w:rPr/>
      </w:pPr>
      <w:r>
        <w:rPr>
          <w:rFonts w:ascii="Amiri" w:hAnsi="Amiri" w:eastAsia="Amiri" w:cs="Amiri"/>
          <w:color w:val="111111"/>
          <w:sz w:val="28"/>
          <w:sz w:val="28"/>
          <w:szCs w:val="28"/>
          <w:rtl w:val="true"/>
          <w:lang w:bidi="ar-SA"/>
        </w:rPr>
        <w:t>لا شكّ في التخيير بين المتباينين أو الأُمور المتباينة كما في خصال الكفّارة، إنّما الكلام في جوازه بين الأقلّ و الأكثر كتخيير المصلّي بين تسبيحة أو ثلاث تسبيحات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الإشكال هو انّ المكلّف إذا أتى بالأقلّ يحصل الامتثال و يسقط الأمر و لا تصل النوبة إلى امتثال الأمر بالأكثر و بذلك يكون الأمر بالأكثر لغواً، و لذلك حمل القائلون بكفاية التسبيحة الواحدة على أنّ الزائد أمر مستحبّ</w:t>
      </w:r>
      <w:r>
        <w:rPr>
          <w:rFonts w:eastAsia="Amiri" w:cs="Amiri" w:ascii="Amiri" w:hAnsi="Amiri"/>
          <w:color w:val="111111"/>
          <w:sz w:val="28"/>
          <w:szCs w:val="28"/>
          <w:rtl w:val="true"/>
          <w:lang w:bidi="ar-SA"/>
        </w:rPr>
        <w:t>.</w:t>
      </w:r>
    </w:p>
    <w:p>
      <w:pPr>
        <w:pStyle w:val="Heading5"/>
        <w:numPr>
          <w:ilvl w:val="4"/>
          <w:numId w:val="1"/>
        </w:numPr>
        <w:rPr/>
      </w:pPr>
      <w:bookmarkStart w:id="272" w:name="__RefHeading___Toc7304766_3381743652"/>
      <w:bookmarkStart w:id="273" w:name="_Toc104"/>
      <w:bookmarkEnd w:id="272"/>
      <w:r>
        <w:rPr>
          <w:rtl w:val="true"/>
        </w:rPr>
        <w:t>تصحيح التخيير بين الأقل و الأكثر</w:t>
      </w:r>
      <w:bookmarkEnd w:id="273"/>
    </w:p>
    <w:p>
      <w:pPr>
        <w:pStyle w:val="BookText"/>
        <w:rPr/>
      </w:pPr>
      <w:r>
        <w:rPr>
          <w:rFonts w:ascii="Amiri" w:hAnsi="Amiri" w:eastAsia="Amiri" w:cs="Amiri"/>
          <w:color w:val="111111"/>
          <w:sz w:val="28"/>
          <w:sz w:val="28"/>
          <w:szCs w:val="28"/>
          <w:rtl w:val="true"/>
          <w:lang w:bidi="ar-SA"/>
        </w:rPr>
        <w:t>ذهب المحقّق الخراساني إلى التفصيل، و انّ التخيير غير جائز في صورة و جائز في صورة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الغرض مترتباً على ذات الأقل و لو في ضمن الأكثر لامتنع التخيير بين الأقل و الأكثر، لأنّ الأقلّ حاصل مطلقاً قبل حصول الأكثر و كان الزائد على الأقل زائداً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ترتّب الغرض لا على مطلق الأقل و لو في ضمن الأكثر، بل على خصوص الأقل الذي لم يكن معه الأكثر، فعندئذ يحصل الامتثال بكلا الطرفين</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الأقلّ الذي لم يكن معه الأكثر فهو أحد الواجبين، و أمّا الأكثر الذي في ضمنه الأقل فالغرض قائم بالأكثر لا بالأقل الذي في ضمنه، لما عرفت من أنّ الأقل إنّما يحصِّل الغرض إذا انقطع عن الأكثر و صار فرداً مستقلاً، و أمّا إذا انضمّ </w:t>
      </w:r>
    </w:p>
    <w:p>
      <w:pPr>
        <w:pStyle w:val="BookText"/>
        <w:rPr/>
      </w:pPr>
      <w:r>
        <w:rPr>
          <w:rFonts w:ascii="Amiri" w:hAnsi="Amiri" w:eastAsia="Amiri" w:cs="Amiri"/>
          <w:color w:val="111111"/>
          <w:sz w:val="28"/>
          <w:sz w:val="28"/>
          <w:szCs w:val="28"/>
          <w:rtl w:val="true"/>
          <w:lang w:bidi="ar-SA"/>
        </w:rPr>
        <w:t>إليه شيء فلا يكون مصداقاً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تصويره بالمثال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أمر المولى برسم خط طولي إمّا متراً أو مترين، فلو كان الغرض حاصلاً بمطلق الأقل سواء كان الأقل منفكّاً عن الأكثر أو في ضمن الأكثر ففي مثله لا يصحّ التخيير، لأنّه إذا أتى بالأكثر فبالأقل الموجود في ضمنه يحصل الامتثال و يكون الزائد أمراً زائداً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ترتّب الغرض على الأقل التام المنفصل عن الأكثر، أو نفس الأكثر دون الأقل الذي في ضمنه، فعندئذ يصحّ الأمر بترسيم أحد الخطين، فالمكلّف إمّا يأتي بالواجب الأقل أو يأتي بالواجب الأكثر و ليس في ضمن الأكثر إلاّ ذات الأقلّ لا الأقلّ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المحاولة يخرج المورد من التخيير بين الأقل و الأكثر فانّ البحث دائر على إمكان التخيير بين الأقل و الأكثر لا بين المتباينين، و ما فرضه من جواز التخيير بين الأقل و الأكثر فإنّما هو من قبيل المتباينين و إن كان في نظر العرف الساذج تخييراً بين الأقل و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على ما فرضه يكون الموضوع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الأقل بشرط لا، أي الخط الذي بلغ طوله متراً بشرط أن لا يَضمّ إليه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بشرط شيء، أي ذات الأقل الذي يضاف إليه متر آخر، ففي مثله يكون التخيير بين الأقل بشرط لا و الأكثر بشرط شيء و هو خارج عن الموضوع</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يصدق عليه عرفاً التخيير بين الأقل و الأكثر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استشكل على نفسه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ذكرته من المحاولة إنّما يصحّ إذا كان الأقل مندكّاً في الأكثر و لم يكن للأقل في ضمنه وجود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الأقلّ الذي يكون له وجود مستقل مطلقاً سواء زيد عليه أم لا غير مندك في ضمن الأكثر كالتخيير بين تسبيحة أو ضمن ثلاث تسبيحات أو التخيير بين نزح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دلواً، ففي مثله يسقط الأمر بالواجب بالأقل مطلقاً و لا تصل النوبة إلى الامتثال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نظير ما إذا خيره بين ترسيم خط طوله متر أو مترين بشرط تخلل العدم بعد رسمه متراً، فعندئذ يحصل الامتثال بالأقل مطلقاً و لا تصل النوبة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أجاب عن الإشكال بأنّ التخيير في مثل هذه الموارد إنّما يتحقّق إذا أخذ الأقل بشرط لا أي عدم انضمام شيء إليه و الأكثر بشرط شيء أي بشرط الانضمام فعندئذ لو أتى بالأقل و لم ينضم إليه شيء يسقط الأمر بالأقل، و أمّا إذا أضاف إلى التسبيحة الواحدة تسبيحتين أُخريين، ففي مثله لا يسقط الأمر بالأقل، لأنّ الأقل يفقد شرطه، و إنّما يحصل بالأكثر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ما ذكرناه في البحث السابق فانّ أخذ التسبيحة الواحدة بشرط لا، و الأكثر بشرط شيء، يخرج المورد عن الأقل و الأكثر و يدخله في التخيير بين المتباينين، و مثله التخيير بين ثلاثين دلواً أو أربعين، فإذا أخذ الثلاثين بشرط لا، و العِدْل الآخر بشرط شيء، فلا يكون فيه الأقل موجوداً في ضمن الأكثر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الخراساني عاد في آخر البحث إلى ذكر النتيجة،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الغرض الواحد مترتّباً على الأقل و الأكثر فالواجب هو الجامع بين الفردين، لما عرفت من امتناع صدور الواحد عن الكثير فيكون التخيير عقلياً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إذا كان هناك غرضان مختلفان متزاحمان فيكون التخيير تخييراً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الغرض مترتّباً على الأقلّ مطلقاً سواء أ كان له وجود مستقلّ أو في ضمن الأكثر فالواجب يسقط بالأقل و الزائد عليه مستحب لحصول الأقل مطلقاً قبل الأكثر</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عرفت عدم تمامية نظره، فلاحظ</w:t>
      </w:r>
      <w:r>
        <w:rPr>
          <w:rFonts w:eastAsia="Amiri" w:cs="Amiri" w:ascii="Amiri" w:hAnsi="Amiri"/>
          <w:color w:val="111111"/>
          <w:sz w:val="28"/>
          <w:szCs w:val="28"/>
          <w:rtl w:val="true"/>
          <w:lang w:bidi="ar-SA"/>
        </w:rPr>
        <w:t xml:space="preserve">. </w:t>
      </w:r>
      <w:bookmarkStart w:id="274" w:name="pg14356_186714"/>
    </w:p>
    <w:p>
      <w:pPr>
        <w:pStyle w:val="Heading3"/>
        <w:numPr>
          <w:ilvl w:val="2"/>
          <w:numId w:val="1"/>
        </w:numPr>
        <w:rPr/>
      </w:pPr>
      <w:bookmarkStart w:id="275" w:name="__RefHeading___Toc7304768_3381743652"/>
      <w:bookmarkStart w:id="276" w:name="_Toc105"/>
      <w:bookmarkEnd w:id="274"/>
      <w:bookmarkEnd w:id="275"/>
      <w:r>
        <w:rPr>
          <w:rtl w:val="true"/>
        </w:rPr>
        <w:t>الفصل العاشر الواجب الكفائي</w:t>
      </w:r>
      <w:bookmarkEnd w:id="276"/>
    </w:p>
    <w:p>
      <w:pPr>
        <w:pStyle w:val="Heading4"/>
        <w:numPr>
          <w:ilvl w:val="3"/>
          <w:numId w:val="1"/>
        </w:numPr>
        <w:rPr/>
      </w:pPr>
      <w:bookmarkStart w:id="277" w:name="__RefHeading___Toc7304770_3381743652"/>
      <w:bookmarkStart w:id="278" w:name="_Toc106"/>
      <w:bookmarkEnd w:id="277"/>
      <w:r>
        <w:rPr>
          <w:rtl w:val="true"/>
        </w:rPr>
        <w:t>اشارة</w:t>
      </w:r>
      <w:bookmarkEnd w:id="278"/>
    </w:p>
    <w:p>
      <w:pPr>
        <w:pStyle w:val="BookText"/>
        <w:rPr/>
      </w:pPr>
      <w:r>
        <w:rPr>
          <w:rFonts w:ascii="Amiri" w:hAnsi="Amiri" w:eastAsia="Amiri" w:cs="Amiri"/>
          <w:color w:val="111111"/>
          <w:sz w:val="28"/>
          <w:sz w:val="28"/>
          <w:szCs w:val="28"/>
          <w:rtl w:val="true"/>
          <w:lang w:bidi="ar-SA"/>
        </w:rPr>
        <w:t>و قبل الخوض في المقصود نقدّم أُموراً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شكّ في وجود الواجبات الكفائية بين العقلاء و الشريعة الإسلامية المقدسة حيث إنّ الوالد يأمر أولاده بتنظيف البيت، و شراء اللحم و الخبز إلى غير ذلك من الأُمور، فلو قام واحد منهم بهذا الواجب لسقط عن الجميع، و لو عصوا يُعاقب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نظيره ما في الشريعة من الأمر بإجراء الحدود و الأمر بالمعروف و إقامة النظام فانّها واجبات كفائية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 واحد من المكلّفين بهذه الأُمور لسقط عن الجميع، و لو عَصوا لعوقبوا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تقسيم الواجب إلى العيني و الكفائي، تقسيم للوجوب باعتبار إضافته إلى المكلَّف، كما أنّ تقسيمه إلى التعييني و التخييري تقسيم له بالإضافة إلى المكلَّف به، و ذلك لأنّ التكليف من الأُمور ذات الإضافة، فله إضافة إلى المكلِّف و في الوقت نفسه إضافة إلى متعلّق التكليف الذي يطلق عليه المكلّف به، كما أنّ له إضافة إلى المكلَّف الذي ربما يطلق عليه الموضوع في مصطلح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فباعتبار كون المكلَّف به واحداً أو متعدداً على وجه التخيير ينقسم الواجب إلى التعييني و التخييري، كما أنّ باعتبار كون امتثال بعض مسقطاً عن الآخرين أو </w:t>
      </w:r>
    </w:p>
    <w:p>
      <w:pPr>
        <w:pStyle w:val="BookText"/>
        <w:rPr/>
      </w:pPr>
      <w:r>
        <w:rPr>
          <w:rFonts w:ascii="Amiri" w:hAnsi="Amiri" w:eastAsia="Amiri" w:cs="Amiri"/>
          <w:color w:val="111111"/>
          <w:sz w:val="28"/>
          <w:sz w:val="28"/>
          <w:szCs w:val="28"/>
          <w:rtl w:val="true"/>
          <w:lang w:bidi="ar-SA"/>
        </w:rPr>
        <w:t>غير مسقط، ينقسم الواجب إلى العيني و الكفائي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لصدور الفعل من مكلّف مشخص مدخلية في حصول الغرض أو لا، بل الغرض يحصل بصدور الفعل من مكلّف ما، فالأوّل هو الواجب العيني، و الثاني هو الواجب الكفائي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لبّ الفرق بينهما يرجع إلى أنّ المكلّف في العيني آحاد المكلّفين مستغرقاً، و في الكفائي صرف المكلّف، فالفرق بين العيني و الكفائي يرجع إلى جانب المكلَّف، خلافاً للمحقّق البروجردي حيث أرجع الفرق بينهما إلى جانب المكلّف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الكفائي هو نفس الطبيعة، كما أنّ متعلّق العيني هو الطبيعة بقيد مباشرة كلّ مكلف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جعل متعلّق التكليف في الكفائي نفس الطبيعة و في العيني الطبيعة بقيده صدورها من كلّ مكلف بالخصوص، عبارة أُخرى عن لحاظ المكلف في العيني بصورة العام الاستغراقي و في الكفائي بصورة العام البدلي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ضوء ما ذكرنا عرف الواجب الكفائي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الواجب الذي لو أتى به فرد من المكلّفين لسقط عن الباقي، و إن تركه الجميع لعوقبوا، فعندئذ يجري الإشكال المذكور في الواجب التخييري في المقام أيضاً حيث إنّ كلاً من الواجب التخييري و الكفائي واضحان مفهوماً و لكن مبهمان كنهاً حيث إنّ مشكلة كيفية تعلّق الإرادة بالأمر المردد قائمة في كلا الواجبين، و قد عرفت كيفية دفع الإشكال في الواجب التخييري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المقام فيقرر الإشكال بالنحو التالي</w:t>
      </w:r>
      <w:r>
        <w:rPr>
          <w:rFonts w:eastAsia="Amiri" w:cs="Amiri" w:ascii="Amiri" w:hAnsi="Amiri"/>
          <w:color w:val="111111"/>
          <w:sz w:val="28"/>
          <w:szCs w:val="28"/>
          <w:rtl w:val="true"/>
          <w:lang w:bidi="ar-SA"/>
        </w:rPr>
        <w:t xml:space="preserve">: </w:t>
      </w:r>
      <w:bookmarkStart w:id="279" w:name="pg14356_186716"/>
    </w:p>
    <w:p>
      <w:pPr>
        <w:pStyle w:val="BookText"/>
        <w:rPr/>
      </w:pPr>
      <w:bookmarkEnd w:id="279"/>
      <w:r>
        <w:rPr>
          <w:rFonts w:ascii="Amiri" w:hAnsi="Amiri" w:eastAsia="Amiri" w:cs="Amiri"/>
          <w:color w:val="111111"/>
          <w:sz w:val="28"/>
          <w:sz w:val="28"/>
          <w:szCs w:val="28"/>
          <w:rtl w:val="true"/>
          <w:lang w:bidi="ar-SA"/>
        </w:rPr>
        <w:t>إنّ المكلّف إن كان هو الفرد المردد يلزم تعلّق الإرادة و الوجوب بالفرد المردد، و الإرادة لا تتعلّق بالمردد، سواء أ كانت فاعلية أم آمرية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هو جميع الأفراد فلما ذا يسقط بفعل واحد منهم؟ و قد أجاب الأُصوليون عن الإشكال بنظريات</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7304772_3381743652"/>
      <w:bookmarkStart w:id="281" w:name="_Toc107"/>
      <w:bookmarkEnd w:id="280"/>
      <w:r>
        <w:rPr>
          <w:rtl w:val="true"/>
        </w:rPr>
        <w:t>النظرية الأُولى</w:t>
      </w:r>
      <w:r>
        <w:rPr>
          <w:rtl w:val="true"/>
        </w:rPr>
        <w:t xml:space="preserve">: </w:t>
      </w:r>
      <w:r>
        <w:rPr>
          <w:rtl w:val="true"/>
        </w:rPr>
        <w:t>تعلّق التكليف بعموم المكلّفين</w:t>
      </w:r>
      <w:bookmarkEnd w:id="281"/>
    </w:p>
    <w:p>
      <w:pPr>
        <w:pStyle w:val="Heading5"/>
        <w:numPr>
          <w:ilvl w:val="4"/>
          <w:numId w:val="1"/>
        </w:numPr>
        <w:rPr/>
      </w:pPr>
      <w:bookmarkStart w:id="282" w:name="__RefHeading___Toc7304774_3381743652"/>
      <w:bookmarkStart w:id="283" w:name="_Toc108"/>
      <w:bookmarkEnd w:id="282"/>
      <w:r>
        <w:rPr>
          <w:rtl w:val="true"/>
        </w:rPr>
        <w:t>اشارة</w:t>
      </w:r>
      <w:bookmarkEnd w:id="283"/>
    </w:p>
    <w:p>
      <w:pPr>
        <w:pStyle w:val="BookText"/>
        <w:rPr/>
      </w:pPr>
      <w:r>
        <w:rPr>
          <w:rFonts w:ascii="Amiri" w:hAnsi="Amiri" w:eastAsia="Amiri" w:cs="Amiri"/>
          <w:color w:val="111111"/>
          <w:sz w:val="28"/>
          <w:sz w:val="28"/>
          <w:szCs w:val="28"/>
          <w:rtl w:val="true"/>
          <w:lang w:bidi="ar-SA"/>
        </w:rPr>
        <w:t>إنّ الواجب الكفائي سنخ من الوجوب و له تعلّق بكلّ واحد، بحيث لو أخلّ الكلّ بامتثاله لعوقبوا على مخالفته جميعاً، و إن أتى به بعضهم لسقط عنهم، و ذلك لأنّه قضية ما إذا كان هناك غرض واحد يحصل بفعل واحد صادر عن الكلّ أو البعض</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و حاصل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الوجوب يتعلّق بعامّة المكلّفين فلا يكون متعلّق الإرادة و الوجوب أمراً مردداً، غير أنّ تعلّقه بالجميع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الغرض متعدداً و يتوقّف حصوله على قيام كلّ واحد من المكلّفين بالواجب كالصلوات اليومية، فلا يسقط تكليف مكلّف، بفعل مكلّف آخر، و أُخرى يكون الغرض واحداً يحصل بقيام واحد منهم، و مقتضى هذا، سقوط الواجب بفعل أحد المكلّفين، و معاقبة الجميع حين تركهم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ما يركّز عليه صاحب الكفاية، و كان الأولى أن يضيف إليه شيئاً آخر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الواجب العيني و الكفائي أمران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صرح به صاحب الكفاية من تعدد الغرض في العيني و وحدته في الكفائي</w:t>
      </w:r>
      <w:r>
        <w:rPr>
          <w:rFonts w:eastAsia="Amiri" w:cs="Amiri" w:ascii="Amiri" w:hAnsi="Amiri"/>
          <w:color w:val="111111"/>
          <w:sz w:val="28"/>
          <w:szCs w:val="28"/>
          <w:rtl w:val="true"/>
          <w:lang w:bidi="ar-SA"/>
        </w:rPr>
        <w:t xml:space="preserve">. </w:t>
      </w:r>
      <w:bookmarkStart w:id="284" w:name="pg14356_186717"/>
    </w:p>
    <w:p>
      <w:pPr>
        <w:pStyle w:val="BookText"/>
        <w:rPr/>
      </w:pPr>
      <w:bookmarkEnd w:id="284"/>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مدخلية قيام مكلّف خاص بالمأمور به في تحصيل غرض المولى في العيني دون الكفائي، بل يكفي صدور الفعل عن أيّ واحد من المكلّفين، كالصلاة على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الغرض واحداً حاصلاً بإنجاز فرد من المكلّفين فلما ذا وجّه التكليف إلى عامّة المكلّفين؟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الغرض حاصلاً بفعل الواحد فلما ذا وجّه التكليف إلى عامّتهم؟ و إن لم يكن حاصلاً إلاّ بفعل الجميع فكيف يسقط بفعل الواحد؟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الشق الأوّل، و هو انّ الغرض واحد يحصل بفعل واحد من المكلّفين، لكن عدم تخصيصه بمكلف خاص لأجل رعاية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عدم مدخلية صدور الفعل عن مكلَّف خاص، فلذلك لم يوجهه إلى واحد معيّن، بل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توجيه التكليف إلى الجميع بهذا النحو يؤمِّن غرض المولى في الإتيان به، إذ لو وجّهه إلى فئة خاصّة ربما يتساهلون في القيام بواجبهم لعذر أو لغير عذر، بخلاف ما لو جعل التكليف في ذمة الجميع و حذّرهم من مخالفته فعندئذ لقام الأمثل فالأمثل بامتثال التكليف قطعاً</w:t>
      </w:r>
      <w:r>
        <w:rPr>
          <w:rFonts w:eastAsia="Amiri" w:cs="Amiri" w:ascii="Amiri" w:hAnsi="Amiri"/>
          <w:color w:val="111111"/>
          <w:sz w:val="28"/>
          <w:szCs w:val="28"/>
          <w:rtl w:val="true"/>
          <w:lang w:bidi="ar-SA"/>
        </w:rPr>
        <w:t>.</w:t>
      </w:r>
    </w:p>
    <w:p>
      <w:pPr>
        <w:pStyle w:val="Heading5"/>
        <w:numPr>
          <w:ilvl w:val="4"/>
          <w:numId w:val="1"/>
        </w:numPr>
        <w:rPr/>
      </w:pPr>
      <w:bookmarkStart w:id="285" w:name="__RefHeading___Toc7304776_3381743652"/>
      <w:bookmarkStart w:id="286" w:name="_Toc109"/>
      <w:bookmarkEnd w:id="285"/>
      <w:r>
        <w:rPr>
          <w:rtl w:val="true"/>
        </w:rPr>
        <w:t>سؤال و إجابة</w:t>
      </w:r>
      <w:bookmarkEnd w:id="28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الخطاب في الواجب الكفائي متوجّهاً إلى عامة المكلّفين فلما ذا جعل سبحانه فريضة الأمر بالمعروف و النهي عن المنكر التي هي من الواجبات الكفائية على عاتق طائفة من الأُمّة، لا على نفسها، قال سبحانه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وَ أُولئِكَ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نشأوية لا تبعيضيّة، مثل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ليكن لي منك صديق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كن صديقاً، و المراد كونوا أُمّة يدعون إلى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تبعيضيّة، لكن الآية ناظرة إلى حال الامتثال و تجسيد التشريع المتوجّه إلى الكل و انّه يكفي في تحقيقه قيام أُمّة من المسلمين بهذه الفريضة الحيويّة، بشهادة انّ الأمر بالمعروف فُرض في بعض الآيات على قاطبة المؤمنين، لا إلى لفيف منهم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الْمُؤْمِنُونَ وَ الْمُؤْمِناتُ بَعْضُهُمْ أَوْلِياءُ بَعْضٍ يَأْمُرُونَ بِالْمَعْرُوفِ وَ يَنْهَوْنَ عَنِ الْمُنْكَرِ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للأمر بالمعروف و النهي عن المنكر، 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مرتبة يشمل وجوبها عامّة المؤمنين و ذلك كالإنكار بالقلب و اللسان و إظهار الاشمئزاز بالوجه، 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نلقى أهل المعاصي بوجوه مكفهرّة </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مرتبة منها تختص بأصحاب القدرة، كقطع يد السارق، و حدّ الزاني، روى مسعدة بن صدقة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الأمر بالمعروف و النهي عن المنكر، أ واجب على الأُمّة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القوي المطاع، العالم بالمعروف من المنكر، لا على الضعيف الذي لا يهتدي سبيلاً إلى أيّ من أيّ، يقول في الحقّ إلى الباطل، و الدليل على ذلك </w:t>
      </w:r>
      <w:bookmarkStart w:id="287" w:name="pg14356_186719"/>
    </w:p>
    <w:p>
      <w:pPr>
        <w:pStyle w:val="BookText"/>
        <w:rPr/>
      </w:pPr>
      <w:bookmarkEnd w:id="287"/>
      <w:r>
        <w:rPr>
          <w:rFonts w:ascii="Amiri" w:hAnsi="Amiri" w:eastAsia="Amiri" w:cs="Amiri"/>
          <w:color w:val="111111"/>
          <w:sz w:val="28"/>
          <w:sz w:val="28"/>
          <w:szCs w:val="28"/>
          <w:rtl w:val="true"/>
          <w:lang w:bidi="ar-SA"/>
        </w:rPr>
        <w:t xml:space="preserve">كتاب اللّه عزّ و جلّ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لْتَكُنْ مِنْكُمْ أُمَّةٌ يَدْعُونَ إِلَى الْخَيْرِ وَ يَأْمُرُونَ بِالْمَعْرُوفِ وَ يَنْهَوْنَ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خاص غير عام </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و على ضوء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إجراء الحدود، و الأحكام التأديبية، واجبة على عامّة القضاة و الحكام لا على صنف منهم لكن على نحو لو قام واحد منهم بإجراء الحكم أو تصدّى أحد القضاة للقضاء في موضوع، سقط عن الآخرين</w:t>
      </w:r>
      <w:r>
        <w:rPr>
          <w:rFonts w:eastAsia="Amiri" w:cs="Amiri" w:ascii="Amiri" w:hAnsi="Amiri"/>
          <w:color w:val="111111"/>
          <w:sz w:val="28"/>
          <w:szCs w:val="28"/>
          <w:rtl w:val="true"/>
          <w:lang w:bidi="ar-SA"/>
        </w:rPr>
        <w:t>.</w:t>
      </w:r>
    </w:p>
    <w:p>
      <w:pPr>
        <w:pStyle w:val="Heading5"/>
        <w:numPr>
          <w:ilvl w:val="4"/>
          <w:numId w:val="1"/>
        </w:numPr>
        <w:rPr/>
      </w:pPr>
      <w:bookmarkStart w:id="288" w:name="__RefHeading___Toc7304778_3381743652"/>
      <w:bookmarkStart w:id="289" w:name="_Toc110"/>
      <w:bookmarkEnd w:id="288"/>
      <w:r>
        <w:rPr>
          <w:rtl w:val="true"/>
        </w:rPr>
        <w:t>نقد النظرية و الإجابة عنه</w:t>
      </w:r>
      <w:bookmarkEnd w:id="289"/>
    </w:p>
    <w:p>
      <w:pPr>
        <w:pStyle w:val="BookText"/>
        <w:rPr/>
      </w:pPr>
      <w:r>
        <w:rPr>
          <w:rFonts w:ascii="Amiri" w:hAnsi="Amiri" w:eastAsia="Amiri" w:cs="Amiri"/>
          <w:color w:val="111111"/>
          <w:sz w:val="28"/>
          <w:sz w:val="28"/>
          <w:szCs w:val="28"/>
          <w:rtl w:val="true"/>
          <w:lang w:bidi="ar-SA"/>
        </w:rPr>
        <w:t>إنّ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تناول تلك النظرية بالنقد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يتعلق الوجوب بعامّة المكلفين مع أنّ الواجب الكفائي 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يقبل التعدد و ما لا يمكن امتثاله إلاّ مرّة واحدة كقتل ساب النبي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يقبل التكثّر، و لكن الفرد الثاني مبغوض ممنوع كمواراة الميت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يقبل التكثّر و ليس الفرد الثاني مبغوضاً، و لكنّه ليس مطلوباً أيضاً كتكفين الميّت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يقبل التكثر و يكون مطلوباً كالصلاة على الميت</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الشقّ الأوّل، فيمتنع بعث عامّة المكلّفين إليه، لأنّه فرع إمكان التكثّر، و أمّا الثاني و الثالث اللّذان يقبلان التكثر لكن الفرد الثاني إمّا مبغوض أو غير مطلوب، فبعث عامة المكلّفين إليه الملازم للتكثر إمّا نقض للغرض أو بعث إلى ما ليس بمطلوب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الرابع فإمكان بعث الجميع إليه و إن كان لا يُنكَر، إلاّ انّ لازمه هو لزوم اجتماعهم في إيجاد صرف الوجود، على نحو لو لم يحضر، عُدّ المتخلف عاصياً لترك الأمر المطلق</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دعوة عامة المكلّفين إلى إيجاد الطبيعة في الواجب الكفائي ليس مثل دعوتهم إلى إيجادها في الواجب العيني، بأن يقوم كلّ مكلّف في زمان واحد بإيجادها حتّى يقال بأنّ الطبيعة ربّما لا يكون قابلاً للتكرار أو يكون قابلاً له و لكن يكون مبغوضاً، أو غير مطلوب، بل دعوة الجميع إلى إيجاد الطبيعة على نحو البدلية مثلها في الواجب التخييري الذي قد مرّ انّ الكلّ واجب على البدل، فإذا قام أحد الأفراد بامتثال التكليف سقط الواجب و لا تصل النوبة إلى التكرار بأنواعه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النكتة لتوجيه الخطاب إلى عامّة المكلّفين مع أنّه يكفي في حصول الغرض قيام فرد منهم بالواجب، هو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قيام الغرض بقيام مكلّف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التحفّظ عليه، إذ احتمال التسامح و ترك الامتثال أمر محتمل في فرد منهم، لا في جميعهم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الصورة الرابعة التي يكون الفعل قابلاً للتكرار و مطلوباً، لا يلازم كون المتخلّف عاصياً، لأنّ الأمر و إن كان في الظاهر مطلقاً غير مقيد، لكنّه بشهادة القرائن مقيّد بالبدلية، و معه لا يعد تركه عصياناً، كأخذها في جانب المكلف به في الواجب التخييري</w:t>
      </w:r>
      <w:r>
        <w:rPr>
          <w:rFonts w:eastAsia="Amiri" w:cs="Amiri" w:ascii="Amiri" w:hAnsi="Amiri"/>
          <w:color w:val="111111"/>
          <w:sz w:val="28"/>
          <w:szCs w:val="28"/>
          <w:rtl w:val="true"/>
          <w:lang w:bidi="ar-SA"/>
        </w:rPr>
        <w:t xml:space="preserve">. </w:t>
      </w:r>
      <w:bookmarkStart w:id="290" w:name="pg14356_186721"/>
    </w:p>
    <w:p>
      <w:pPr>
        <w:pStyle w:val="Heading4"/>
        <w:numPr>
          <w:ilvl w:val="3"/>
          <w:numId w:val="1"/>
        </w:numPr>
        <w:rPr/>
      </w:pPr>
      <w:bookmarkStart w:id="291" w:name="__RefHeading___Toc7304780_3381743652"/>
      <w:bookmarkStart w:id="292" w:name="_Toc111"/>
      <w:bookmarkEnd w:id="290"/>
      <w:bookmarkEnd w:id="291"/>
      <w:r>
        <w:rPr>
          <w:rtl w:val="true"/>
        </w:rPr>
        <w:t>النظرية الثانية</w:t>
      </w:r>
      <w:r>
        <w:rPr>
          <w:rtl w:val="true"/>
        </w:rPr>
        <w:t xml:space="preserve">: </w:t>
      </w:r>
      <w:r>
        <w:rPr>
          <w:rtl w:val="true"/>
        </w:rPr>
        <w:t>التكليف على ذمّة واحد من المكلّفين</w:t>
      </w:r>
      <w:bookmarkEnd w:id="292"/>
    </w:p>
    <w:p>
      <w:pPr>
        <w:pStyle w:val="BookText"/>
        <w:rPr/>
      </w:pPr>
      <w:r>
        <w:rPr>
          <w:rFonts w:ascii="Amiri" w:hAnsi="Amiri" w:eastAsia="Amiri" w:cs="Amiri"/>
          <w:color w:val="111111"/>
          <w:sz w:val="28"/>
          <w:sz w:val="28"/>
          <w:szCs w:val="28"/>
          <w:rtl w:val="true"/>
          <w:lang w:bidi="ar-SA"/>
        </w:rPr>
        <w:t>هذه هي النظرية الثانية التي تؤكد على أنّ التكليف على ذمّة واحد من المكلّفين لا بعينه نظير الواجب التخييري، غير أنّ الواحد لا بعينه في الواجب التخييري في ناحية متعلّق التكليف، و في الكفائي في جانب موضوعه، و هذا واقع في العرف كما إذا أمر الوالد أولاده،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فليقم واحد منكم بالعمل الفلاني</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اختاره السيد الأُستاذ لكن بتفصيل خاص، و هو انّ المكلّف أحد المكلّفين بشرط لا في الثلاثة الأُولى،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التكثّر، أو يقبل لكن يكون مبغوضاً أو غير مطلوب، أو أحد المكلّفين لا بشرط في الصورة الرابعة،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التكثر و يكون مطلوباً</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النظرية لبعض القدماء من الأُصوليين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و لذلك تناولها السيد البروجردي بالنقد،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من توجه التكليف إلى أحد المكلفين، هو أحدهم المردد مفهوماً، أو أحدهم المردد مصداقاً و خارجاً؟ أمّا الأوّل فهو غير قابل لتوجه التكليف إليه كما هو معلوم و أمّا الثاني فليس له مصداق في الخارج، لأنّ كلّ فرد من آحاد المكلّفين فرد معين، و الوجود يلازم التشخّص و التعيّن، فكيف يكون الفرد موجوداً و مع ذلك مردداً؟</w:t>
      </w:r>
      <w:r>
        <w:rPr>
          <w:rStyle w:val="FootnoteAnchor"/>
          <w:rtl w:val="true"/>
        </w:rPr>
        <w:footnoteReference w:id="73"/>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نختار الشقّ الثاني، و انّ المراد من قولهم بأنّ التكليف يتوجه إلى الفرد المردد، هو ذات الفرد الخارجي، و لكن ليس التردد قيداً له، حتّى </w:t>
      </w:r>
      <w:bookmarkStart w:id="293" w:name="pg14356_186722"/>
    </w:p>
    <w:p>
      <w:pPr>
        <w:pStyle w:val="BookText"/>
        <w:rPr/>
      </w:pPr>
      <w:bookmarkEnd w:id="293"/>
      <w:r>
        <w:rPr>
          <w:rFonts w:ascii="Amiri" w:hAnsi="Amiri" w:eastAsia="Amiri" w:cs="Amiri"/>
          <w:color w:val="111111"/>
          <w:sz w:val="28"/>
          <w:sz w:val="28"/>
          <w:szCs w:val="28"/>
          <w:rtl w:val="true"/>
          <w:lang w:bidi="ar-SA"/>
        </w:rPr>
        <w:t>يمنع تشخصه، بل المردد عنوان مشير إلى أحد المكلّفين و انّه لا خصوصية لمكلف دون 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 أن تقول مكان الفرد المردد، أحد المكلّفين، و كلّهم مصاديق لهذا العنوان على نحو البدلية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تلك النظرية أنّه مخالف لظاهر الأدلّة في الواجب الكفائي فلاحظ</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7304782_3381743652"/>
      <w:bookmarkStart w:id="295" w:name="_Toc112"/>
      <w:bookmarkEnd w:id="294"/>
      <w:r>
        <w:rPr>
          <w:rtl w:val="true"/>
        </w:rPr>
        <w:t>النظرية الثالثة</w:t>
      </w:r>
      <w:r>
        <w:rPr>
          <w:rtl w:val="true"/>
        </w:rPr>
        <w:t xml:space="preserve">: </w:t>
      </w:r>
      <w:r>
        <w:rPr>
          <w:rtl w:val="true"/>
        </w:rPr>
        <w:t>تعلّق الوجوب بمجموع المكلّفين</w:t>
      </w:r>
      <w:bookmarkEnd w:id="295"/>
    </w:p>
    <w:p>
      <w:pPr>
        <w:pStyle w:val="BookText"/>
        <w:rPr/>
      </w:pPr>
      <w:r>
        <w:rPr>
          <w:rFonts w:ascii="Amiri" w:hAnsi="Amiri" w:eastAsia="Amiri" w:cs="Amiri"/>
          <w:color w:val="111111"/>
          <w:sz w:val="28"/>
          <w:sz w:val="28"/>
          <w:szCs w:val="28"/>
          <w:rtl w:val="true"/>
          <w:lang w:bidi="ar-SA"/>
        </w:rPr>
        <w:t>إن هناك تكليفاً واحداً يتعلّق بمجموع المكلّفين من حيث المجموع، فالمكلّف هو مجموع الأشخاص على نحو العام المجموعي، غاية الأمر انّه يتحقّق فعل المجموع بفعل الواحد منهم و تركه بترك المجموع، نسبه في حاشية القوانين إلى قطب الدين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على هذه النظرية بأنّ المجموع أمر اعتباري لا وجود له في الخارج و إنّما الموجود ذوات الأفراد فلا معنى لتكليف المجموع</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صحيح على الأُصول العقلية الفلسفية، إذ لا وجود للهيئة الاجتماعية، بل الوجود للأفراد، و أمّا النظر إلى الموضوع من منظار العرف فللهيئة واقعية تصحّح تعلّق التكليف بها، و لذلك نرى أنّ الأُمّة وقعت موضوعاً لأوصاف أو أحكام في القرآن و السنّة كما سيوافيك بيانه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يرد على تلك النظرية التي جعل المكلّف عنوان مجموع المكلّفين انّ لازمه لزوم اشتراك الجميع في التكليف لا سقوط التكليف بفعل واحد منهم، لأنّ </w:t>
      </w:r>
    </w:p>
    <w:p>
      <w:pPr>
        <w:pStyle w:val="BookText"/>
        <w:rPr/>
      </w:pPr>
      <w:r>
        <w:rPr>
          <w:rFonts w:ascii="Amiri" w:hAnsi="Amiri" w:eastAsia="Amiri" w:cs="Amiri"/>
          <w:color w:val="111111"/>
          <w:sz w:val="28"/>
          <w:sz w:val="28"/>
          <w:szCs w:val="28"/>
          <w:rtl w:val="true"/>
          <w:lang w:bidi="ar-SA"/>
        </w:rPr>
        <w:t>المفروض هو توجّه التكليف إلى المجموع من حيث المجموع لا إلى البعض، و عندئذ كيف يسقط عن المجموع بفعل الواحد أوّلاً و عدم إمكان اشتراك المجموع في كثير من الواجبات الكفائية كغسل الميت و مواراته ثانياً؟ نعم يمكن إصلاح تلك النظرية ببيان آخر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الواجبات العينية و الكفائية هو انّ الأوّل يتعلّق بذوات الأفراد فكلّ فرد محكوم بحكم خاص غير حكم الفرد الآخر، و أمّا الواجبات الكفائية فهي عبارة عن الأحكام التي تتعلّق بالأُمة و بالمجتمع، فالمولى يطلب من المجتمع إقامة النظام و جهاد العدو، و تجهيز الميّت و القضاء بين الناس و الأمر بالمعروف و النهي عن المنكر، فإذا كان المسئول هو المجتمع فيجب عليهم تنظيم الأُمور من خلال تقسيم الوظائف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النظرية قريبة من النظرية الأُولى، فانّ الأُولى تركّز على تعلّق الأحكام بذوات الأفراد، و أمّا هذه النظرية فهي تركِّز على تعلّق الأحكام بذات المجتمع و الأُمّة، و من الواضح انّ واقع الأُمّة بواقعية أفرادها، نعم في مقام تعلّق الأمر يظهر التغاير بين الموضوعين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إتقان تلك النظرية أنّ القرآن يخاطب الأُمّة مكان مخاطبة الأفراد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خَيْرَ أُمَّةٍ أُخْرِجَتْ لِلنّاسِ تَأْمُرُونَ بِالْمَعْرُوفِ وَ تَنْهَوْنَ عَنِ الْمُنْكَرِ </w:t>
      </w:r>
      <w:r>
        <w:rPr>
          <w:rFonts w:eastAsia="Amiri" w:cs="Amiri" w:ascii="Amiri" w:hAnsi="Amiri"/>
          <w:color w:val="111111"/>
          <w:sz w:val="28"/>
          <w:szCs w:val="28"/>
          <w:rtl w:val="true"/>
          <w:lang w:bidi="ar-SA"/>
        </w:rPr>
        <w:t>).</w:t>
      </w:r>
      <w:r>
        <w:rPr>
          <w:rStyle w:val="FootnoteAnchor"/>
          <w:rtl w:val="true"/>
        </w:rPr>
        <w:footnoteReference w:id="75"/>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آية أُخرى تعدّ إقامة الصلاة و إيتاء الزكاة، و الأمر بالمعروف و النهي عن المنكر من وظائف الأُمّة المتمكنة لا الفرد المتمكن،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إِنْ مَكَّنّاهُمْ فِي الْأَرْضِ أَقامُوا الصَّلاةَ وَ آتَوُا الزَّكاةَ وَ أَمَرُوا بِالْمَعْرُوفِ وَ نَهَوْا عَنِ الْمُنْكَرِ وَ لِلّهِ عاقِبَةُ </w:t>
      </w:r>
      <w:bookmarkStart w:id="296" w:name="pg14356_186724"/>
    </w:p>
    <w:p>
      <w:pPr>
        <w:pStyle w:val="BookText"/>
        <w:rPr/>
      </w:pPr>
      <w:bookmarkEnd w:id="296"/>
      <w:r>
        <w:rPr>
          <w:rFonts w:ascii="Amiri" w:hAnsi="Amiri" w:eastAsia="Amiri" w:cs="Amiri"/>
          <w:color w:val="111111"/>
          <w:sz w:val="28"/>
          <w:sz w:val="28"/>
          <w:szCs w:val="28"/>
          <w:rtl w:val="true"/>
          <w:lang w:bidi="ar-SA"/>
        </w:rPr>
        <w:t xml:space="preserve">اَلْأُمُورِ </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فجعل إقامة الصلاة و ما تلاه في ذمّة الأُمّة المتمكّنة و هو روح الواجبات الكفائية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بسط الكلام شيخنا الأُستاذ مدّ ظلّه في تبيين هذه النظرية في موسوعته المسمّاة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مفاهيم القرآن </w:t>
      </w:r>
      <w:r>
        <w:rPr>
          <w:rFonts w:eastAsia="Amiri" w:cs="Amiri" w:ascii="Amiri" w:hAnsi="Amiri"/>
          <w:color w:val="111111"/>
          <w:sz w:val="28"/>
          <w:szCs w:val="28"/>
          <w:rtl w:val="true"/>
          <w:lang w:bidi="ar-SA"/>
        </w:rPr>
        <w:t>«.</w:t>
      </w:r>
      <w:r>
        <w:rPr>
          <w:rStyle w:val="FootnoteAnchor"/>
          <w:rtl w:val="true"/>
        </w:rPr>
        <w:footnoteReference w:id="77"/>
      </w:r>
    </w:p>
    <w:p>
      <w:pPr>
        <w:pStyle w:val="Heading4"/>
        <w:numPr>
          <w:ilvl w:val="3"/>
          <w:numId w:val="1"/>
        </w:numPr>
        <w:rPr/>
      </w:pPr>
      <w:bookmarkStart w:id="297" w:name="__RefHeading___Toc7304784_3381743652"/>
      <w:bookmarkStart w:id="298" w:name="_Toc113"/>
      <w:bookmarkEnd w:id="297"/>
      <w:r>
        <w:rPr>
          <w:rtl w:val="true"/>
        </w:rPr>
        <w:t>النظرية الرابعة</w:t>
      </w:r>
      <w:r>
        <w:rPr>
          <w:rtl w:val="true"/>
        </w:rPr>
        <w:t xml:space="preserve">: </w:t>
      </w:r>
      <w:r>
        <w:rPr>
          <w:rtl w:val="true"/>
        </w:rPr>
        <w:t>تعلّق الوجوب بواحد معيّن</w:t>
      </w:r>
      <w:bookmarkEnd w:id="298"/>
    </w:p>
    <w:p>
      <w:pPr>
        <w:pStyle w:val="BookText"/>
        <w:rPr/>
      </w:pPr>
      <w:r>
        <w:rPr>
          <w:rFonts w:ascii="Amiri" w:hAnsi="Amiri" w:eastAsia="Amiri" w:cs="Amiri"/>
          <w:color w:val="111111"/>
          <w:sz w:val="28"/>
          <w:sz w:val="28"/>
          <w:szCs w:val="28"/>
          <w:rtl w:val="true"/>
          <w:lang w:bidi="ar-SA"/>
        </w:rPr>
        <w:t>و حاصل هذه النظرية انّ التكليف منصبٌّ على واحد معيّن عند اللّه سبحانه، فإن قام هو بالفريضة و إلاّ يسقط عنه بفعل غيره، لأنّ المفروض انّ الغرض واحد، فإذا حصل في الخارج فلا محالة يسقط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السبب لتعلّق التكليف بشخص معين عند اللّه دون إعلامه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خلاف ظواهر الأدلّة فانّ التكليف إمّا متوجّه إلى عامّة المكلّفين استغراقاً، أو إلى الفرد غير المعيّن أو مجموع المكلّفين</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7304786_3381743652"/>
      <w:bookmarkStart w:id="300" w:name="_Toc114"/>
      <w:bookmarkEnd w:id="299"/>
      <w:r>
        <w:rPr>
          <w:rtl w:val="true"/>
        </w:rPr>
        <w:t>إكمال فيه أمران</w:t>
      </w:r>
      <w:r>
        <w:rPr>
          <w:rtl w:val="true"/>
        </w:rPr>
        <w:t>:</w:t>
      </w:r>
      <w:bookmarkEnd w:id="300"/>
    </w:p>
    <w:p>
      <w:pPr>
        <w:pStyle w:val="Heading5"/>
        <w:numPr>
          <w:ilvl w:val="4"/>
          <w:numId w:val="1"/>
        </w:numPr>
        <w:rPr/>
      </w:pPr>
      <w:bookmarkStart w:id="301" w:name="__RefHeading___Toc7304788_3381743652"/>
      <w:bookmarkStart w:id="302" w:name="_Toc115"/>
      <w:bookmarkEnd w:id="301"/>
      <w:r>
        <w:rPr/>
        <w:t>1</w:t>
      </w:r>
      <w:r>
        <w:rPr>
          <w:rtl w:val="true"/>
        </w:rPr>
        <w:t xml:space="preserve">. </w:t>
      </w:r>
      <w:r>
        <w:rPr>
          <w:rtl w:val="true"/>
        </w:rPr>
        <w:t>ربّما يظهر من المحقّق الخراساني عند البحث فيما إذا دار أمر الواجب بين العينية و الكفائية، كون الواجب الكفائي من قبيل الواجب المشروط،</w:t>
      </w:r>
      <w:bookmarkEnd w:id="30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قال في وجه الحمل على كون الواجب واجباً عينياً بأنّ الحكمة تقتضي كونه مطلقاً </w:t>
      </w:r>
      <w:bookmarkStart w:id="303" w:name="pg14356_186725"/>
    </w:p>
    <w:p>
      <w:pPr>
        <w:pStyle w:val="BookText"/>
        <w:rPr/>
      </w:pPr>
      <w:bookmarkEnd w:id="303"/>
      <w:r>
        <w:rPr>
          <w:rFonts w:ascii="IRNazanin" w:hAnsi="IRNazanin" w:eastAsia="IRNazanin"/>
          <w:color w:val="111111"/>
          <w:sz w:val="28"/>
          <w:sz w:val="28"/>
          <w:szCs w:val="28"/>
          <w:rtl w:val="true"/>
          <w:lang w:bidi="fa-IR"/>
        </w:rPr>
        <w:t>سواء أتى به آخر أو لا</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و مفاد ذلك انّ الواجب الكفائي مشروط بعدم إتيان الآخر به، بخلاف العيني، و هو كما ترى، لأنّ الترك إمّا شرط للوجوب أو شرط للواجب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يلزم على الجميع وجوب القيام بالفعل، دفعة واحدة لحصول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يلزم عدم حصول الامتثال إذا أتى به الجميع لعدم الإتيان بالواجب مع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هذه النظرية مستوحاة من عبارة الكفاية و لا نص عليها، فلم نردفها بسائر النظريات</w:t>
      </w:r>
      <w:r>
        <w:rPr>
          <w:rFonts w:eastAsia="Amiri" w:cs="Amiri" w:ascii="Amiri" w:hAnsi="Amiri"/>
          <w:color w:val="111111"/>
          <w:sz w:val="28"/>
          <w:szCs w:val="28"/>
          <w:rtl w:val="true"/>
          <w:lang w:bidi="ar-SA"/>
        </w:rPr>
        <w:t>.</w:t>
      </w:r>
    </w:p>
    <w:p>
      <w:pPr>
        <w:pStyle w:val="Heading5"/>
        <w:numPr>
          <w:ilvl w:val="4"/>
          <w:numId w:val="1"/>
        </w:numPr>
        <w:rPr/>
      </w:pPr>
      <w:bookmarkStart w:id="304" w:name="__RefHeading___Toc7304790_3381743652"/>
      <w:bookmarkStart w:id="305" w:name="_Toc116"/>
      <w:bookmarkEnd w:id="304"/>
      <w:r>
        <w:rPr/>
        <w:t>2</w:t>
      </w:r>
      <w:r>
        <w:rPr>
          <w:rtl w:val="true"/>
        </w:rPr>
        <w:t xml:space="preserve">. </w:t>
      </w:r>
      <w:r>
        <w:rPr>
          <w:rtl w:val="true"/>
        </w:rPr>
        <w:t>إذا قلنا بأنّ الواجب الكفائي ما له بدل فإذا قام أحد يسقط الحكم عن الأبدال الأُخر، فالمقصود البدل الذي يكون مثل الأبدال الأُخر في توجّه الوجوب إليه،</w:t>
      </w:r>
      <w:bookmarkEnd w:id="305"/>
    </w:p>
    <w:p>
      <w:pPr>
        <w:pStyle w:val="BookText"/>
        <w:rPr/>
      </w:pPr>
      <w:r>
        <w:rPr>
          <w:rFonts w:ascii="Amiri" w:hAnsi="Amiri" w:eastAsia="Amiri" w:cs="Amiri"/>
          <w:color w:val="111111"/>
          <w:sz w:val="28"/>
          <w:sz w:val="28"/>
          <w:szCs w:val="28"/>
          <w:rtl w:val="true"/>
          <w:lang w:bidi="ar-SA"/>
        </w:rPr>
        <w:t>فخرج وجوب أداء الدين عن التعريف فانّه و إن كان يسقط بأداء البريء، لكنّه ليس بدلاً بهذا المعنى، إذ ليس الأداء عليه واجباً و إنّما هو متبرّع له أن يؤدي و له أن لا يؤدي</w:t>
      </w:r>
      <w:r>
        <w:rPr>
          <w:rFonts w:eastAsia="Amiri" w:cs="Amiri" w:ascii="Amiri" w:hAnsi="Amiri"/>
          <w:color w:val="111111"/>
          <w:sz w:val="28"/>
          <w:szCs w:val="28"/>
          <w:rtl w:val="true"/>
          <w:lang w:bidi="ar-SA"/>
        </w:rPr>
        <w:t>.</w:t>
      </w:r>
      <w:r>
        <w:rPr>
          <w:rStyle w:val="FootnoteAnchor"/>
          <w:rtl w:val="true"/>
        </w:rPr>
        <w:footnoteReference w:id="79"/>
      </w:r>
    </w:p>
    <w:p>
      <w:pPr>
        <w:pStyle w:val="Heading4"/>
        <w:numPr>
          <w:ilvl w:val="3"/>
          <w:numId w:val="1"/>
        </w:numPr>
        <w:rPr/>
      </w:pPr>
      <w:bookmarkStart w:id="306" w:name="__RefHeading___Toc7304792_3381743652"/>
      <w:bookmarkStart w:id="307" w:name="_Toc117"/>
      <w:bookmarkEnd w:id="306"/>
      <w:r>
        <w:rPr>
          <w:rtl w:val="true"/>
        </w:rPr>
        <w:t>ثمرات البحث</w:t>
      </w:r>
      <w:bookmarkEnd w:id="307"/>
    </w:p>
    <w:p>
      <w:pPr>
        <w:pStyle w:val="BookText"/>
        <w:rPr/>
      </w:pPr>
      <w:r>
        <w:rPr>
          <w:rFonts w:ascii="Amiri" w:hAnsi="Amiri" w:eastAsia="Amiri" w:cs="Amiri"/>
          <w:color w:val="111111"/>
          <w:sz w:val="28"/>
          <w:sz w:val="28"/>
          <w:szCs w:val="28"/>
          <w:rtl w:val="true"/>
          <w:lang w:bidi="ar-SA"/>
        </w:rPr>
        <w:t>ثمّ إنّه يقع الكلام في ثمرات الاختلاف في واقع الواجب الكفائي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ثمرات فقهية و كلامية على تلك النظريات، و إليك الفقهية ثم الكلامية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نذر أحد أن يعطي عشرة رجال لكلّ درهماً إذا أتى كلّ واحد منهم بواجب، فلو قام الكلّ بالصلاة على الميّت و دفع الشخص لكلّ واحد درهماً، فهل</w:t>
      </w:r>
    </w:p>
    <w:p>
      <w:pPr>
        <w:pStyle w:val="BookText"/>
        <w:rPr/>
      </w:pPr>
      <w:r>
        <w:rPr>
          <w:rFonts w:ascii="Amiri" w:hAnsi="Amiri" w:eastAsia="Amiri" w:cs="Amiri"/>
          <w:color w:val="111111"/>
          <w:sz w:val="28"/>
          <w:sz w:val="28"/>
          <w:szCs w:val="28"/>
          <w:rtl w:val="true"/>
          <w:lang w:bidi="ar-SA"/>
        </w:rPr>
        <w:t>برَّ نذره أو لا؟ يختلف حسب اختلاف الأنظار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فقد امتثل نذره، لأنّ المفروض انّ الوجوب يتعلّق بآحاد المكلّفين فكلّ واحد من هذه العشرة كان مخاطباً بتجهيز الميّت و الصلاة عليه غاية الأمر لو سبق أحد منهم إلى الواجب لسقط عن الآخر، و أمّا إذا شارك الكلّ دفعة واحدة، أو كان التكثّر و التعدد مطلوباً فقد أتى كلّ بواجبه، فيكون إعطاء الدرهم إعطاءً لمن أتى بواجبه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بصدق الطاعة و الامتثال على النظرية الثانية أيضاً لما عرفت من أنّ متعلّق التكليف هو الفرد الخارجي أو الفرد الذي يصدق عليه عنوان المكلّف، و المفروض انّ كلّ واحد من المصلّين مصداق للفرد، و ينطبق عليه عنوان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بأنّ المتعلّق هو المجموع فالوجوب تعلّق به لا بكلّ واحد من آحاد المكلّفين فليس هناك إلاّ امتثال واحد لا امتثالات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النظرية الرابعة فانّ التكليف تعلّق بفرد مشخّص عند اللّه فليس هناك إلاّ تكليف واحد و مكلّف معيّن و الباقي من العشرة غير 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حصيلة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دفع لكلّ واحد من المصلّين درهماً فقد أبرّ نذره على النظريتين الأُوليين دون الأُخريين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قصد الأمر لكلّ واحد من المكلّفين إذا كان المتعلّق قابلاً للتكرار و مطلوباً غير مبغوض كتحصيل علم الدين مع قيام عدّة معه بالتحصيل، فعلى النظريتين الأُوليين يصحّ لكلّ واحد قصد الأمر لما عرفت من أنّ النظرية الثانية تتحد نتيجة مع الأُولى و إن كانت تختلف عنها في كيفية التحليل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الثالثة فالأمر متوجّه إلى المجموع و ليس الفرد نفس المجموع، فكيف </w:t>
      </w:r>
    </w:p>
    <w:p>
      <w:pPr>
        <w:pStyle w:val="BookText"/>
        <w:rPr/>
      </w:pPr>
      <w:r>
        <w:rPr>
          <w:rFonts w:ascii="Amiri" w:hAnsi="Amiri" w:eastAsia="Amiri" w:cs="Amiri"/>
          <w:color w:val="111111"/>
          <w:sz w:val="28"/>
          <w:sz w:val="28"/>
          <w:szCs w:val="28"/>
          <w:rtl w:val="true"/>
          <w:lang w:bidi="ar-SA"/>
        </w:rPr>
        <w:t>يتقرب بالأمر غير المتوجّه إليه؟ و مثلها النظرية الرابعة حيث إنّ المكلّف فرد معيّن عند اللّه، لا كلّ من بلغ و 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رجلان متيمّمين فوجدا ماءً لا يفي إلاّ بوضوء واحد منهما فهل يبطل تيمم كلّ منهما أو لا يبطل واحد منهما، أو يبطل واحد منهما على البدل؟ فاختار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 و ذلك لأنّ بطلان التيمّم مترتّب على وجدان الماء، المحقّق في ظرف القدرة على الحيازة، فيبطل التيمّمان معاً، و ليس بطلانه مترتباً على الأمر بالوضوء حتّى يقال بوجود التزاحم في تلك الناحية حيث إنّ الأمر بواحد منهما بالتوضّؤ يزاحم الأمر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تلميذه الجليل في التعليقة بين صورة سبق أحدهما إلى الحيازة و عدمه، ففي الأُولى يبطل تيمم السابق فقط و يستكشف به عدم قدرة الآخر على الوضوء و بقائه على ما كان عليه من عدم وجدانه الماء، و أمّا الصورة الثانية فيبطل كلّ من التيمّمين لتحقّق ما ترتّب عليه بطلانه و هو وجدان الماء، فإذا تحقّق يترتّب عليه كلّ من الأمرين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قال السيد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جماعة متيمّمون ماءً مباحاً لا يكفي إلاّ لأحدهم بطل تيمّمهم أجمع إذا كان في سعة الوقت و إن كان في ضيقه بقى تيمّم الجميع</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 تَجِدُوا ماءً 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هو الوجدان العرفي الملازم مع التمكّن من استعماله بلا نزاع، و على ذلك يختلف </w:t>
      </w:r>
    </w:p>
    <w:p>
      <w:pPr>
        <w:pStyle w:val="BookText"/>
        <w:rPr/>
      </w:pPr>
      <w:r>
        <w:rPr>
          <w:rFonts w:ascii="Amiri" w:hAnsi="Amiri" w:eastAsia="Amiri" w:cs="Amiri"/>
          <w:color w:val="111111"/>
          <w:sz w:val="28"/>
          <w:sz w:val="28"/>
          <w:szCs w:val="28"/>
          <w:rtl w:val="true"/>
          <w:lang w:bidi="ar-SA"/>
        </w:rPr>
        <w:t>حكم الصور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تسابقوا عليه فسبق واحد منهم لحيازته بطل تيمّمه خاصّة، لأنّه وجد الماء عرفاً متمكّناً من استعماله بالانتزاع دون الآخرين فانّهم و إن وجدوا ماءً و لكن غير متمكّنين من استعماله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و لكن كان المسبوق قادراً على التغلّب فتسامح، ففي تعليقة السيد الحكيم بطل تيممه أيضاً، و الحقّ صحته لما عرفت من أنّ المراد هو التمكّن العرفي بلا مغالبة و مصارعة، و المفروض هنا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وجدا ماءً مع الانصراف عن الحيازة فهل يبطل تيمم الكلّ لتحقّق شرط البطلان في كلّ واحد لصدق وجدان الماء و التمكّن منه بلا نزاع، لأنّ المفروض انصرافهما عن حيازته؟ </w:t>
      </w:r>
      <w:bookmarkStart w:id="308" w:name="pg14356_186729"/>
    </w:p>
    <w:p>
      <w:pPr>
        <w:pStyle w:val="Heading3"/>
        <w:numPr>
          <w:ilvl w:val="2"/>
          <w:numId w:val="1"/>
        </w:numPr>
        <w:rPr/>
      </w:pPr>
      <w:bookmarkStart w:id="309" w:name="__RefHeading___Toc7304794_3381743652"/>
      <w:bookmarkStart w:id="310" w:name="_Toc118"/>
      <w:bookmarkEnd w:id="308"/>
      <w:bookmarkEnd w:id="309"/>
      <w:r>
        <w:rPr>
          <w:rtl w:val="true"/>
        </w:rPr>
        <w:t>الفصل الحادي عشر تقسيم الواجب إلى المطلق و المؤقّت و تقسيم المؤقت إلى الموسّع و المضيّق</w:t>
      </w:r>
      <w:bookmarkEnd w:id="310"/>
    </w:p>
    <w:p>
      <w:pPr>
        <w:pStyle w:val="Heading4"/>
        <w:numPr>
          <w:ilvl w:val="3"/>
          <w:numId w:val="1"/>
        </w:numPr>
        <w:rPr/>
      </w:pPr>
      <w:bookmarkStart w:id="311" w:name="__RefHeading___Toc7304796_3381743652"/>
      <w:bookmarkStart w:id="312" w:name="_Toc119"/>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قُسِّم الواجب إلى المطلق و المؤقّت، و المطلق إلى فوري و غير فوري، و المؤقّت إلى موسّع و مضيّق، و إليك بيان كلا التقسيمين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انّ الفعل لا ينفك عن زمان فالإنسان المادّي بما هو يعيش في عالم المادة لا يفارق فعلُه الزمانَ بل فعلُه يولِّد الزمان، و مع ذلك كلّه فنسبة الفعل إلى الزمان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لا يكون للزمان تأثير في وصف الفعل بالمصلحة أو المفسدة و إنّما يكون الزمان ظرفاً للفعل، و أُخرى يكون للزمان دور وراء كونه ظرفاً للفعل في وصف الفعل بالملاك، و يكون له مدخلية في تحقّق الغرض، و عندئذ ينقسم الواجب إلى مطلق مرسل من مدخلية الزمان فيه و موقّت قُيّد الفعل بالوقت و الزمان</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المطلق أي الواجب الذي لا دور للزمان فيه، تارة يكون واجباً فوريّاً </w:t>
      </w:r>
    </w:p>
    <w:p>
      <w:pPr>
        <w:pStyle w:val="BookText"/>
        <w:rPr/>
      </w:pPr>
      <w:r>
        <w:rPr>
          <w:rFonts w:ascii="Amiri" w:hAnsi="Amiri" w:eastAsia="Amiri" w:cs="Amiri"/>
          <w:color w:val="111111"/>
          <w:sz w:val="28"/>
          <w:sz w:val="28"/>
          <w:szCs w:val="28"/>
          <w:rtl w:val="true"/>
          <w:lang w:bidi="ar-SA"/>
        </w:rPr>
        <w:t>لا يجوز تأخيره كصلاة الآيات، و أُخرى يكون غير فوري كقضاء الفوائت الذي يجوز 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المؤقت و هو الواجب الذي للزمان فيه دور، تارة يكون مضيّقاً كصوم رمضان و أُخرى موسّعاً كالصلوات اليومية بالنسبة إلى أوقاتها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فالمؤقت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الوقت بمقدار الفعل لا أوسع و لا أضيق كصوم رمضان، و أُخرى يكون الزمان أوسع من الفعل كالصلوات اليومية، و أمّا عكس الثاني فغير صحيح أي كون الفعل أكثر من الزمان، لأنّه يستلزم التكليف بما لا يطاق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تقسيم الواجب إلى المطلق و المؤقّت، و الأوّل إلى فوري و غير فوري، و الثاني إلى الموسّع و المضيّق، فلنذكر أُموراً لها صلة بالمقام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وجبت الصلاة بين الزوال و المغرب فللطبيعة أفراد عرضية كالصلاة في المسجد أو البيت، كما أنّ لها أفراداً طولية كالصلاة في الساعة الأُولى و الثانية و هكذا، فالتخيير بين تلك الأفراد تخيير عقلي لا شرعي فالعقل يخيّر بين هذه الأفراد في مقام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في المسجد أو في البيت أو في الوقت الأوّل أو في الوقت الثاني، يكون التخيير شرعيّاً كخصال الكفّارة، و المفروض انّه فرض الصلاة بين الحدين فقط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أخر المكلّفُ الواجبَ الموسّع حتّى ضاق الوقت فلا يخرج الواجب عن كونه موسّعاً و لا يدخل في المضيّق، نعم يكون مضيقاً بالعرض، و عدم تأخيره لكونه مفوِّتاً للواجب لا لكونه مضيَّقاً بالذات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أشكل على الواجب الموسّع بأنّه ما يجوز تركه في بعض الأوقات، فكيف يكون واجباً و يجوز تركه؟ </w:t>
      </w:r>
      <w:bookmarkStart w:id="313" w:name="pg14356_186731"/>
    </w:p>
    <w:p>
      <w:pPr>
        <w:pStyle w:val="BookText"/>
        <w:rPr/>
      </w:pPr>
      <w:bookmarkEnd w:id="313"/>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عبارة عمّا لا يجوز تركه بتاتاً، و الموسّع كذلك، و لا ينافيه تركه في بعض الأوقات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عُرِّف الواجبُ المضيّق بأنّه عبارة عمّا يكون وقت الوجوب و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المكلّف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 مع أنّ مقتضى القاعدة أن يكون وقت الوجوب أوسع من وقت الواجب و لو بلحظة، لأنّ الإتيان بالواجب انبعاث و هو معلول البعث و الوجوب فيجب أن يكون الوجوب متقدّماً على الانبعاث تقدّمَ العلّة على المعلول فيكون وقت الوجوب أوسع من وقت الواجب الذي يعبّر عنه بوقت الانبعاث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تقدّم العلّة على المعلول ترتبيّ لا زماني كتقدّم حركة اليد على حركة المفتاح، و أقصى ما يمكن أن يقال انّه يجب تقدّم بيان الوجوب على زمان الواجب حتّى يتمكّن المكلّف من امتثاله، و أمّا تقدّم زمان الوجوب على الواجب فليس بلازم</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7304798_3381743652"/>
      <w:bookmarkStart w:id="315" w:name="_Toc120"/>
      <w:bookmarkEnd w:id="314"/>
      <w:r>
        <w:rPr>
          <w:rtl w:val="true"/>
        </w:rPr>
        <w:t>هل القضاء تابع للأداء أو بأمر جديد؟</w:t>
      </w:r>
      <w:bookmarkEnd w:id="315"/>
    </w:p>
    <w:p>
      <w:pPr>
        <w:pStyle w:val="BookText"/>
        <w:rPr/>
      </w:pPr>
      <w:r>
        <w:rPr>
          <w:rFonts w:ascii="Amiri" w:hAnsi="Amiri" w:eastAsia="Amiri" w:cs="Amiri"/>
          <w:color w:val="111111"/>
          <w:sz w:val="28"/>
          <w:sz w:val="28"/>
          <w:szCs w:val="28"/>
          <w:rtl w:val="true"/>
          <w:lang w:bidi="ar-SA"/>
        </w:rPr>
        <w:t>هذه مسألة أُصولية يعبّر عنها تارة بما ذكر، و أُخرى بأنّ القضاء بالأمر الأوّل أو بأمر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مضى وقت الفعل هل الأمر الأوّل كاف في وجوب قضائه خارج الوقت أو يتوقّف على وجود أمر جديد و إلاّ فالأمر الأوّل قد سقط؟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يقول بكفاية الأمر الأوّل في إيجاب القضاء، و منهم من يقول بلزوم أمر جديد متعلّق بالفعل خارج الوقت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يتوقّف على البحث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الثبوت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الإثبات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فحاصله انّه لو قلنا بتعدّد المطلوب و أنّ إيجاد الفعل مطلوب و إيجاده في وقته مطلوب آخر فالقضاء بالأمر الأوّل، و أمّا لو قلنا بوحدة المطلوب و انّ هنا مطلوباً واحداً و هو إيجاد الفعل في وقته، فإيجاده خارج الوقت رهن أمر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البحث إثباتاً فهو فرع استظهار التعدد أو الوحدة من لسان الدليل، فالحقّ انّ الدليل قاصر عن إفادة تعدد المطلوب، فإذا أمر بالوقوف في عرفات من الزوال إلى الغروب فلو فات الموقف من المكلّف فإيجاب القضاء عليه بوقوفه فيها في خارج الوقت الذي يعبّر عنه بالوقوف الاضطراري يحتاج إلى الدليل، و ذلك لأنّ الأمر متعلّق بالمقيّد بالوقت، فالواجب هو الفعل المحدد بالوقت فلا دلالة للأمر على إيجاب الفعل المجرّد عن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استثنى المحقّق الخراساني ممّا ذكرنا مورداً خاصّاً بالشروط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لدليل الواجب إطلاق بالنسبة إلى خارج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التقييد منفصلاً لا متّصلاً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في الدليل المقيّد إطلاق حاك عن كون الوقت دخيلاً في أصل المصلحة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المولى يطلبه مطلقاً متمكناً كان أو عاجزاً غاية الأمر إذا عجز المكلّف منه سقط وجوب الباقي، فعندئذ يجب قضاء الفعل بنفس الأمر الأوّل، قال</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كان التوقيت بدليل منفصل و لم يكن له إطلاق على التقييد بالوقت و كان لدليل الواجب إطلاق لكان قضية إطلاقه ثبوت الوجوب بعد انقضاء الوقت و كون التقييد به بحسب تمام المطلوب لا أصله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مثلاً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من دون تحديد، ثمّ قال في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اغتسل يوم الجمعة، فلو افترضنا وجود الإطلاق في دليل الواجب و الإهمال في دليل القيد بالنسبة إلى خارج الوقت، فعندئذ يكون إطلاق دليل الواجب محكّماً خارج الوقت، فعليه الغسل بعد غروب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خارج عن محل النزاع، فإنّ البحث فيما إذا لم يكن في المقام دليل اجتهادي بالنسبة إلى تعدد المطلوب أو وحدته، و إلاّ فالمتبع هو الدليل الاجتهادي، و لو افترضنا كون البحث في نطاق وسيع، فعليه أن يطرح الصور الأربع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لكلّ من دليلي الواجب و التوقيت إطلاق و المراد من وجود الإطلاق في دليل الواجب كونه بذاته مطلوباً، سواء أُتي به في الوقت أو خارجه، كما أنّ المراد من الإطلاق لدليل التوقيت كون الوقت دخيلاً في أصل المصلحة و انّه مطلوب في حالتي التمكن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كل من الدليلين مهملاً من هذه الناحية فلا يدلّ دليل الواجب على كون الفعل بذاته مطلوباً مع قطع النظر عن القيد كما لا يدلّ دليل التوقيت على مدخلية الوقت في أصل المصلحة و كونه مطلوباً في حالي التمكّن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لدليل الواجب إطلاق دون دليل التوقيت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بإطلاق دليل التقييد لأظهريته من إطلاق دليل الواجب، و يكون المراد انّ الوقت دخيل في أصل المصلحة لا في كمالها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المرجع في الثاني هو الأُصول العملية لفقدان الدليل الاجتهادي، </w:t>
      </w:r>
      <w:bookmarkStart w:id="316" w:name="pg14356_186734"/>
    </w:p>
    <w:p>
      <w:pPr>
        <w:pStyle w:val="BookText"/>
        <w:rPr/>
      </w:pPr>
      <w:bookmarkEnd w:id="316"/>
      <w:r>
        <w:rPr>
          <w:rFonts w:ascii="Amiri" w:hAnsi="Amiri" w:eastAsia="Amiri" w:cs="Amiri"/>
          <w:color w:val="111111"/>
          <w:sz w:val="28"/>
          <w:sz w:val="28"/>
          <w:szCs w:val="28"/>
          <w:rtl w:val="true"/>
          <w:lang w:bidi="ar-SA"/>
        </w:rPr>
        <w:t>و سيوافيك ما هو المرجع من الأُصول، و على الثالث يؤخذ بإطلاق دليل الواجب و يثبت تعدد المطلوب و يجب القضاء بنفس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الرابع يكون الأمر على العكس، إذ إطلاق القيد يثبت كون الوقت دخيلاً في تمام مراتب مصلحة الواجب لا في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يكون إطلاق المقيَّد بياناً للمطلق، فيؤخذ به لا بالمطلق فلا تتم مقدّمات الحكمة في جانب دليل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انّ محط النزاع هو الثاني لا الأوّل و لا الأخيران</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7304800_3381743652"/>
      <w:bookmarkStart w:id="318" w:name="_Toc121"/>
      <w:bookmarkEnd w:id="317"/>
      <w:r>
        <w:rPr>
          <w:rtl w:val="true"/>
        </w:rPr>
        <w:t>الأصل العملي في المسألة</w:t>
      </w:r>
      <w:bookmarkEnd w:id="318"/>
    </w:p>
    <w:p>
      <w:pPr>
        <w:pStyle w:val="BookText"/>
        <w:rPr/>
      </w:pPr>
      <w:r>
        <w:rPr>
          <w:rFonts w:ascii="Amiri" w:hAnsi="Amiri" w:eastAsia="Amiri" w:cs="Amiri"/>
          <w:color w:val="111111"/>
          <w:sz w:val="28"/>
          <w:sz w:val="28"/>
          <w:szCs w:val="28"/>
          <w:rtl w:val="true"/>
          <w:lang w:bidi="ar-SA"/>
        </w:rPr>
        <w:t>إذا كان دليل الواجب أو دليل التوقيت مهملاً بالنسبة إلى خارج الوقت فما هو المرجع عند الشكّ؟ فقد ذهب المحقّق الخراساني إلى أنّ المرجع هو أصالة البراءة و عدم وجوبها في خارج الوقت لا استصحاب وجوب المؤقت بعد انقضاء الوقت، و ذلك لعدم جريان الاستصحاب في المقام لعدم اتحاد القضيتين، و ذلك لأنّ الوقت إمّا قيد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للمحمول الوجوب، و على كلا الفرضين فإبقاء الحكم بعد خروج الوقت قضية أُخرى غير القضية المتيقنة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يستظهر من الروايات الواردة في المستحبّات المقيّدة انّ القيد ليس ركناً بل يأتي بالمستحب خارج الوقت أيضاً كما إذا ورد بزيارة الحسين تحت السماء إذا لم يتمكّن منه لعذر أو لغير عذر فيجوز له الزيارة في البيت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ثمرات القولين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تظهر الثمرة في موارد نذكر منها ما يلي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ترك الواجب في وقته قطعاً، فهل يجب عليه القضاء أو لا؟ يجب على القول الثاني دون الأوّل، كما إذا لم يخرج الفطرة في وقتها المحدد، أو تساهل في صلاة الخسوف و الكسوف حتّى انجلى النيران، فهل يجب القضاء أو لا؟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بالواجب و لكن شكّ في صحّة العمل لأجل الشكّ في الشرائط و عدمها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في الظلمة بمائع مردد بين كونه ماء مطلقاً أو مضافاً فشكّ في صحّة العمل بعد خروج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صلّى على جهة ثمّ شكّ بعد خروج الوقت انّها كانت إلى القبلة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توضّأ أو اغتسل و الخاتم على اصبعه مع العلم بعدم تحريكه وقت العمل، فشكّ بعد خروج الوقت في جريان الماء تحته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بأنّ الأمر الأوّل كاف في إيجاب القضاء، فالعلم بالقضاء و إن لم يكن موجوداً في الصور الثلاثة، لكن على القول بهذا الأصل ينقلب الشكّ في المقام، إلى الشكّ في أصل الامتثال الذي يعبّر عنه بالشكّ في السقوط حيث بعد خروج الوقت يشكّ في أنّه هل امتثل ما علم اشتغال ذمته به، يقيناً أو لا، و بما انّ الاشتغال اليقيني يقتضي البراءة اليقينية، يحكم العقل بلزوم الاشتغال في حالة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الأمر الأوّل غير كاف في إيجاب القضاء فلا يجب شيء خارج الوقت، لأنّه لو علم قطعاً بعدم الامتثال في الوقت فلا يجب القضاء عليه خارج الوقت، فكيف إذا شكّ في الامتثال؟ فعدم وجوب شيء بطريق أولى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عدم العبرة بالشكّ بعد خروج الوقت، فلما ذا لا يكون </w:t>
      </w:r>
    </w:p>
    <w:p>
      <w:pPr>
        <w:pStyle w:val="BookText"/>
        <w:rPr/>
      </w:pPr>
      <w:r>
        <w:rPr>
          <w:rFonts w:ascii="Amiri" w:hAnsi="Amiri" w:eastAsia="Amiri" w:cs="Amiri"/>
          <w:color w:val="111111"/>
          <w:sz w:val="28"/>
          <w:sz w:val="28"/>
          <w:szCs w:val="28"/>
          <w:rtl w:val="true"/>
          <w:lang w:bidi="ar-SA"/>
        </w:rPr>
        <w:t>هو المرجع بعد خروجه في هذه الصور الثلاث؟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المزبورة راجعة إلى الشكّ في أصل الإتيان، فلا يعتد به خارج الوقت، و أمّا المقام فالشكّ إنّما هو في صحّة العمل المأتي به لا في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قاعدة الفراغ هو الحكم بصحّة العمل، و عليها، فالوضوء في الصورة الأُولى و الثالثة محكوم بالصحة، مثل الصلاة في الصورة الثانية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سيوافيك في محلّه انّ القاعدة إنّما تجري فيما إذا لم تكن صورة العمل محفوظة حتى لا يكون حال العمل و حال الشكّ سيّان من حيث التذكر و عدمه، و أمّا المقام فالحالتان متساويتان من حيث التذكر بشهادة انّه لو نبّهه إنسان حال العمل، و سأله عن إطلاق الماء و عدمه، أو جريان الماء تحت خاتمه و عدمه أو كون الجهة قبلة أو لا، لأجاب بالشك و عدم الترجيح بواحد من الطرفين، و مثله لا يكون مجرى للقاعدة، لأنّ المتيقّن منها ما يكون حال العمل أذكر من حال الشكّ كما في روايات الباب، فلاحظ</w:t>
      </w:r>
      <w:r>
        <w:rPr>
          <w:rFonts w:eastAsia="Amiri" w:cs="Amiri" w:ascii="Amiri" w:hAnsi="Amiri"/>
          <w:color w:val="111111"/>
          <w:sz w:val="28"/>
          <w:szCs w:val="28"/>
          <w:rtl w:val="true"/>
          <w:lang w:bidi="ar-SA"/>
        </w:rPr>
        <w:t xml:space="preserve">. </w:t>
      </w:r>
      <w:bookmarkStart w:id="319" w:name="pg14356_186737"/>
    </w:p>
    <w:p>
      <w:pPr>
        <w:pStyle w:val="Heading3"/>
        <w:numPr>
          <w:ilvl w:val="2"/>
          <w:numId w:val="1"/>
        </w:numPr>
        <w:rPr/>
      </w:pPr>
      <w:bookmarkStart w:id="320" w:name="__RefHeading___Toc7304802_3381743652"/>
      <w:bookmarkStart w:id="321" w:name="_Toc122"/>
      <w:bookmarkEnd w:id="319"/>
      <w:bookmarkEnd w:id="320"/>
      <w:r>
        <w:rPr>
          <w:rtl w:val="true"/>
        </w:rPr>
        <w:t>الفصل الثاني عشر الأمر بالأمر بفعل هل هو أمر بنفس الفعل؟</w:t>
      </w:r>
      <w:bookmarkEnd w:id="321"/>
    </w:p>
    <w:p>
      <w:pPr>
        <w:pStyle w:val="Heading4"/>
        <w:numPr>
          <w:ilvl w:val="3"/>
          <w:numId w:val="1"/>
        </w:numPr>
        <w:rPr/>
      </w:pPr>
      <w:bookmarkStart w:id="322" w:name="__RefHeading___Toc7304804_3381743652"/>
      <w:bookmarkStart w:id="323" w:name="_Toc123"/>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إذا أمر المولى فرداً، ليأمر فرداً آخر بإنجاز فعل، فهل الأمر الصادر من المولى أمر بذلك الفعل أيضاً أو لا؟ و إليك بعض الأمثلة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أمر سبحانه نبيّه أن يأمر الأُمّة بغضِّ الأبصار عن النساء الأجنبيات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أَبْصارِهِمْ وَ يَحْفَظُوا فُرُوجَهُمْ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هل ينحصر أمره سبحانه في الأمر بالنبي فقط، أو يسري أمره إلى نفس الفعل،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 البصر؟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أُمر أولياءُ الصبيان بأمرهم بالصلاة، فهل يتلخص أمر الشارع في الأمر بالأولياء أو يسري إلى نفس الفعل أي الصلاة أيضاً، فعندئذ تصبح صلاتهم، شرعية؟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 الوالدُ، الولدَ الأكبر بأمر الولد الأصغر ببيع الدار، فهل يكون</w:t>
      </w:r>
      <w:bookmarkStart w:id="324" w:name="pg14356_186738"/>
    </w:p>
    <w:p>
      <w:pPr>
        <w:pStyle w:val="BookText"/>
        <w:rPr/>
      </w:pPr>
      <w:bookmarkEnd w:id="324"/>
      <w:r>
        <w:rPr>
          <w:rFonts w:ascii="Amiri" w:hAnsi="Amiri" w:eastAsia="Amiri" w:cs="Amiri"/>
          <w:color w:val="111111"/>
          <w:sz w:val="28"/>
          <w:sz w:val="28"/>
          <w:szCs w:val="28"/>
          <w:rtl w:val="true"/>
          <w:lang w:bidi="ar-SA"/>
        </w:rPr>
        <w:t>الأصغر مأموراً من جانب الوالد أيضاً، أو لا؟ فلو باع الدار قبل أمر الولد الأكبر يكون بيعه صحيحاً لازماً أو لا؟ و الكلام يقع في مقامين</w:t>
      </w:r>
      <w:r>
        <w:rPr>
          <w:rFonts w:eastAsia="Amiri" w:cs="Amiri" w:ascii="Amiri" w:hAnsi="Amiri"/>
          <w:color w:val="111111"/>
          <w:sz w:val="28"/>
          <w:szCs w:val="28"/>
          <w:rtl w:val="true"/>
          <w:lang w:bidi="ar-SA"/>
        </w:rPr>
        <w:t>:</w:t>
      </w:r>
    </w:p>
    <w:p>
      <w:pPr>
        <w:pStyle w:val="Heading4"/>
        <w:numPr>
          <w:ilvl w:val="3"/>
          <w:numId w:val="1"/>
        </w:numPr>
        <w:rPr/>
      </w:pPr>
      <w:bookmarkStart w:id="325" w:name="__RefHeading___Toc7304806_3381743652"/>
      <w:bookmarkStart w:id="326" w:name="_Toc124"/>
      <w:bookmarkEnd w:id="325"/>
      <w:r>
        <w:rPr>
          <w:rtl w:val="true"/>
        </w:rPr>
        <w:t>الأوّل</w:t>
      </w:r>
      <w:r>
        <w:rPr>
          <w:rtl w:val="true"/>
        </w:rPr>
        <w:t xml:space="preserve">: </w:t>
      </w:r>
      <w:r>
        <w:rPr>
          <w:rtl w:val="true"/>
        </w:rPr>
        <w:t>في مقام الثبوت</w:t>
      </w:r>
      <w:bookmarkEnd w:id="326"/>
    </w:p>
    <w:p>
      <w:pPr>
        <w:pStyle w:val="BookText"/>
        <w:rPr/>
      </w:pPr>
      <w:r>
        <w:rPr>
          <w:rFonts w:ascii="Amiri" w:hAnsi="Amiri" w:eastAsia="Amiri" w:cs="Amiri"/>
          <w:color w:val="111111"/>
          <w:sz w:val="28"/>
          <w:sz w:val="28"/>
          <w:szCs w:val="28"/>
          <w:rtl w:val="true"/>
          <w:lang w:bidi="ar-SA"/>
        </w:rPr>
        <w:t>إنّ للمسألة صوراً ثلاث في عالم التصوّر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غرض المولى بإنجاز الفعل و كان أمر المأمور الأوّل طريقاً للوصول إليه، على نحو لو كان المأمور الثاني حاضراً لدى المولى، لأمره بالفعل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المصلحة قائمة بمجرّد أمر المأمور الأوّل للثاني منهما من دون أن يكون إنجاز الفعل مورداً للغرض، مثلاً إذا كان المأمور الثاني معروفاً بالتمرّد عن طاعة المولى، فيأمر المولى أحد ملازميه بالأمر لغرض أن يقوم بفعل كذا، فيكون تمام المصلحة قائماً بالإنشاء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 المأمور الأوّل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 الغرض بنفس الفعل لكن بعد أمر المأمور الأوّل فيكون كلا الشيئين متعلّقين للغرض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يكون الأمر بالأمر، أمراً بنفس الفعل، دون الصورتين الأخيرتين، و ذلك لأنّ الأمر الثاني إمّا تمام الموضوع كما في الصورة الثانية، أو جزءه كما في الصورة الثالثة، فلا يصحّ القيام بالفعل قبل ثبوت الموضوع كلّه أو جزؤه</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7304808_3381743652"/>
      <w:bookmarkStart w:id="328" w:name="_Toc125"/>
      <w:bookmarkEnd w:id="327"/>
      <w:r>
        <w:rPr>
          <w:rtl w:val="true"/>
        </w:rPr>
        <w:t>ثمرات المسألة</w:t>
      </w:r>
      <w:bookmarkEnd w:id="328"/>
    </w:p>
    <w:p>
      <w:pPr>
        <w:pStyle w:val="Heading5"/>
        <w:numPr>
          <w:ilvl w:val="4"/>
          <w:numId w:val="1"/>
        </w:numPr>
        <w:rPr/>
      </w:pPr>
      <w:bookmarkStart w:id="329" w:name="__RefHeading___Toc7304810_3381743652"/>
      <w:bookmarkStart w:id="330" w:name="_Toc126"/>
      <w:bookmarkEnd w:id="329"/>
      <w:r>
        <w:rPr>
          <w:rtl w:val="true"/>
        </w:rPr>
        <w:t>الثمرة الأُولى</w:t>
      </w:r>
      <w:r>
        <w:rPr>
          <w:rtl w:val="true"/>
        </w:rPr>
        <w:t xml:space="preserve">: </w:t>
      </w:r>
      <w:r>
        <w:rPr>
          <w:rtl w:val="true"/>
        </w:rPr>
        <w:t>إذا أمر الولي الصبي بالصلاة، فهل تكون الصلاة مأموراً بها للآمر الأوّل، أو ينحصر مفاد أمره بنفس الأمر بالثاني؟</w:t>
      </w:r>
      <w:bookmarkEnd w:id="330"/>
    </w:p>
    <w:p>
      <w:pPr>
        <w:pStyle w:val="Heading6"/>
        <w:numPr>
          <w:ilvl w:val="5"/>
          <w:numId w:val="1"/>
        </w:numPr>
        <w:rPr/>
      </w:pPr>
      <w:bookmarkStart w:id="331" w:name="__RefHeading___Toc7304812_3381743652"/>
      <w:bookmarkStart w:id="332" w:name="_Toc127"/>
      <w:bookmarkEnd w:id="331"/>
      <w:r>
        <w:rPr>
          <w:rtl w:val="true"/>
        </w:rPr>
        <w:t>اشارة</w:t>
      </w:r>
      <w:bookmarkEnd w:id="33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ورد في صحيحة الحلبي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نأمر صبياننا بالصلاة إذا كانوا بني خمس سنين، </w:t>
      </w:r>
    </w:p>
    <w:p>
      <w:pPr>
        <w:pStyle w:val="BookText"/>
        <w:rPr/>
      </w:pPr>
      <w:r>
        <w:rPr>
          <w:rFonts w:ascii="Amiri" w:hAnsi="Amiri" w:eastAsia="Amiri" w:cs="Amiri"/>
          <w:color w:val="111111"/>
          <w:sz w:val="28"/>
          <w:sz w:val="28"/>
          <w:szCs w:val="28"/>
          <w:rtl w:val="true"/>
          <w:lang w:bidi="ar-SA"/>
        </w:rPr>
        <w:t xml:space="preserve">فمروا صبيانكم بالصلاة إذا كانوا بني سبع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فالحديث يدلّ على أنّه سبحانه أمر الأولياء بأمر الصبيان بالصلاة في سنين خاصّة، فلو قلنا بأنّ الأمر بالأمر بالشيء أمر بنفس ذلك الشيء تقع صلاة الصبي متعلقاً بأمره سبحانه فتصبح صلاته و صومه، شرعية يُكتفى بصلاتهم و صيامهم عند النيابة عن الغير كما يجوز الاقتداء بهم، إلى غير ذلك من آثار الصحة، و هذا بخلاف ما إذا قلنا بأنّه ليس أمراً بالفعل، بل أمر بالأمر فقط، فلا يترتّب عليها آثار الصلاة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الأوّل فانّ المتبادر عرفاً في هذه المواضع انّ أمر المولى طريق إلى قيام الصبي بالصلاة، فلو قام بها من دون أمر الآمر الثاني لكان مثل ما إذا قام بعد أمره، و هذا يكشف عن عدم مدخلية أمره، فيكون أمره بالأمر أمراً بذلك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أمر الإمام أولاده بالصلاة، طريقي لا موضوعي، فأولاد الإمام في خمس سنين، و أولاد غيره في سبع سنين مأمورون شرعاً، بأمر غير إلزامي لإتيان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تردّ الثمرة بأنّه لا حاجة في إثبات شرعية عبادات الصبي، إلى هذه القاعدة المتمثلة في هذه الرواية لوجود روايات كثيرة في هذا المورد حيث حكم عليهم بالأمر بالعبادات المحمول على الاستحباب في سنين خاصة</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 من إثبات المطلب من طريقين، أحدهما ما أُشير إليه في الروايات، و ثانيهما هذه القاعدة</w:t>
      </w:r>
      <w:r>
        <w:rPr>
          <w:rFonts w:eastAsia="Amiri" w:cs="Amiri" w:ascii="Amiri" w:hAnsi="Amiri"/>
          <w:color w:val="111111"/>
          <w:sz w:val="28"/>
          <w:szCs w:val="28"/>
          <w:rtl w:val="true"/>
          <w:lang w:bidi="ar-SA"/>
        </w:rPr>
        <w:t xml:space="preserve">. </w:t>
      </w:r>
      <w:bookmarkStart w:id="333" w:name="pg14356_186740"/>
    </w:p>
    <w:p>
      <w:pPr>
        <w:pStyle w:val="Heading6"/>
        <w:numPr>
          <w:ilvl w:val="5"/>
          <w:numId w:val="1"/>
        </w:numPr>
        <w:rPr/>
      </w:pPr>
      <w:bookmarkStart w:id="334" w:name="__RefHeading___Toc7304814_3381743652"/>
      <w:bookmarkStart w:id="335" w:name="_Toc128"/>
      <w:bookmarkEnd w:id="333"/>
      <w:bookmarkEnd w:id="334"/>
      <w:r>
        <w:rPr>
          <w:rtl w:val="true"/>
        </w:rPr>
        <w:t>إثبات شرعية عبادات الصبي بالعمومات</w:t>
      </w:r>
      <w:bookmarkEnd w:id="335"/>
    </w:p>
    <w:p>
      <w:pPr>
        <w:pStyle w:val="BookText"/>
        <w:rPr/>
      </w:pPr>
      <w:r>
        <w:rPr>
          <w:rFonts w:ascii="Amiri" w:hAnsi="Amiri" w:eastAsia="Amiri" w:cs="Amiri"/>
          <w:color w:val="111111"/>
          <w:sz w:val="28"/>
          <w:sz w:val="28"/>
          <w:szCs w:val="28"/>
          <w:rtl w:val="true"/>
          <w:lang w:bidi="ar-SA"/>
        </w:rPr>
        <w:t>ثمّ إنّه ربّما يستدلّ على شرعيّة عبادات الصبي بالعمومات الواردة في الكتاب و السنة الشاملة للبالغ و الصبي، غاية الأمر انّ حديث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الصبي حتّى يحتلم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الإلزام لا أصل الحكم و لا أصل المحبوبية، لانّه حديث امتنان و لا امتنان في رفع الحكم غير الإلزامي، فتكون عباداته شرعية</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يلاحظ عليه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القول بشمول الخطاب و العمومات لكلّ مميّز، سواء أ كان بالغاً شرعياً أم لا، خرق للسنّة السائدة بين الأُمم و العقلاء، فانّ مصبّ القوانين بين العقلاء في عامّة الحضارات هم البالغون لا غيرهم و إن كانوا مختلفين في حدّ البلوغ و لم يثبت انّ للشارع طريقة خاصّة تخالف طريقتهم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تعيين نصاب خاص لشمول القانون في المجتمعات الإنسانية بلا فرق بين الدينية و غيرها لقرينة على أنّ التشريع الإسلامي كسائر التشريعات، رهن الوصول إلى ذلك النصاب غير أنّ الشارع قد حدّد النصاب و لم يفوضه إلى العرف و العقلاء و لكنّه لا يكون مانعاً، عن انصراف العمومات و الخطابات إلى البالغ ذلك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غير البالغ غير مشمول للحكم، فما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القلم عن الصبي حتى يحتلم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الرفع فرع الثبوت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استعمال الرفع و إن لم يكن الحكم ثابتاً لأجل قابلية المميّز </w:t>
      </w:r>
      <w:bookmarkStart w:id="336" w:name="pg14356_186741"/>
    </w:p>
    <w:p>
      <w:pPr>
        <w:pStyle w:val="BookText"/>
        <w:rPr/>
      </w:pPr>
      <w:bookmarkEnd w:id="336"/>
      <w:r>
        <w:rPr>
          <w:rFonts w:ascii="Amiri" w:hAnsi="Amiri" w:eastAsia="Amiri" w:cs="Amiri"/>
          <w:color w:val="111111"/>
          <w:sz w:val="28"/>
          <w:sz w:val="28"/>
          <w:szCs w:val="28"/>
          <w:rtl w:val="true"/>
          <w:lang w:bidi="ar-SA"/>
        </w:rPr>
        <w:t>للحكم عليه بشيء من الأحكام، نظير رفع الحكم عن النائم بل في المجنون أيضاً بإلزام الولي بمراقبته، فوجود المقتضي للإيجاب، صار مصحّحاً للاستعمال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المنشأ هو البعث نحو المطلوب و هو أمر بسيط دائر أمره بين الوجود و العدم و ليس أمراً مركباً من أصل الحكم و الإلزام حتى يرفع الثاني و يبقى الأول</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7304816_3381743652"/>
      <w:bookmarkStart w:id="338" w:name="_Toc129"/>
      <w:bookmarkEnd w:id="337"/>
      <w:r>
        <w:rPr>
          <w:rtl w:val="true"/>
        </w:rPr>
        <w:t>الثمرة الثانية الثمرة الثانية ما مرّ في صدر البحث</w:t>
      </w:r>
      <w:bookmarkEnd w:id="33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أنّه لو أمر الوالد ولده الأكبر، بأمر الولد الأصغر، ببيع الدار، فاطّلع الولد الأصغر قبل أمر الأكبر فباعه، فلو قلنا بأنّ مثل هذا الأمر، أمر بنفس الفعل يكون البيع صحيحاً لازماً دون ما لم نقل فيكون بيعاً فضوليّاً</w:t>
      </w:r>
      <w:r>
        <w:rPr>
          <w:rFonts w:eastAsia="Amiri" w:cs="Amiri" w:ascii="Amiri" w:hAnsi="Amiri"/>
          <w:color w:val="111111"/>
          <w:sz w:val="28"/>
          <w:szCs w:val="28"/>
          <w:rtl w:val="true"/>
          <w:lang w:bidi="ar-SA"/>
        </w:rPr>
        <w:t xml:space="preserve">. </w:t>
      </w:r>
      <w:bookmarkStart w:id="339" w:name="pg14356_186742"/>
    </w:p>
    <w:p>
      <w:pPr>
        <w:pStyle w:val="Heading3"/>
        <w:numPr>
          <w:ilvl w:val="2"/>
          <w:numId w:val="1"/>
        </w:numPr>
        <w:rPr/>
      </w:pPr>
      <w:bookmarkStart w:id="340" w:name="__RefHeading___Toc7304818_3381743652"/>
      <w:bookmarkStart w:id="341" w:name="_Toc130"/>
      <w:bookmarkEnd w:id="339"/>
      <w:bookmarkEnd w:id="340"/>
      <w:r>
        <w:rPr>
          <w:rtl w:val="true"/>
        </w:rPr>
        <w:t>الفصل الثالث عشر الأمر بعد الأمر تأكيد أو تأسيس</w:t>
      </w:r>
      <w:bookmarkEnd w:id="341"/>
    </w:p>
    <w:p>
      <w:pPr>
        <w:pStyle w:val="BookText"/>
        <w:rPr/>
      </w:pPr>
      <w:r>
        <w:rPr>
          <w:rFonts w:ascii="Amiri" w:hAnsi="Amiri" w:eastAsia="Amiri" w:cs="Amiri"/>
          <w:color w:val="111111"/>
          <w:sz w:val="28"/>
          <w:sz w:val="28"/>
          <w:szCs w:val="28"/>
          <w:rtl w:val="true"/>
          <w:lang w:bidi="ar-SA"/>
        </w:rPr>
        <w:t>إذا أمر المولى بشيء، ثمّ أمر به ثانياً، فهل هو تأكيد للأمر الأوّل، أو إيجاب ثان غير الإيجاب الأوّل و يعبّر عنه بالتأسيس؟ هنا صور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قيّد الأمر الثاني بشيء يدلّ على التعدد،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صلاة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السبب للأوّل، غيره للثاني،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فاعتق، و إن أفطرت عمداً فاعتق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أحد الأمرين خالياً عن ذكر السبب و الآخر محفوفاً بذكر السبب فقط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فتوضّأ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كلّ من الأمرين خالياً من ذكره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إشكال انّ الأمر الثاني في الصورة الأُولى يحمل على التأسيس أي تعدد الوجوب، و تعدد الواجب، لمكان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أمّا الصورة الثانية فيحمل على التأسيس أي تعدد الوجوب، و أمّا تعدد الواجب أي العتق و عدمه فهو مبني على ما سيأتي في باب المفاهيم من التداخل في المسببات أو لا، و انّه هل يمكن </w:t>
      </w:r>
    </w:p>
    <w:p>
      <w:pPr>
        <w:pStyle w:val="BookText"/>
        <w:rPr/>
      </w:pPr>
      <w:r>
        <w:rPr>
          <w:rFonts w:ascii="Amiri" w:hAnsi="Amiri" w:eastAsia="Amiri" w:cs="Amiri"/>
          <w:color w:val="111111"/>
          <w:sz w:val="28"/>
          <w:sz w:val="28"/>
          <w:szCs w:val="28"/>
          <w:rtl w:val="true"/>
          <w:lang w:bidi="ar-SA"/>
        </w:rPr>
        <w:t>امتثال وجوبين، بفعل واحد أو لا؟ و أمّا الصورتان الباقيتان، فإطلاق المادة و عدم تقييدها بقيد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يقتضي الحمل على التأكيد، لامتناع تعلّق الوجوبين الكاشف عن الإرادتين، بشيء واحد، لأنّ تشخّص الإرادة في لوح النفس بالمراد فلا يعقل التعدد فيها مع وحدة المشخِّص، هذا حول المادة، و أمّا الهيئة فربما يقال بأنّها ظاهرة في التأسيس أي تعدد الوجوبين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بعد الأمر ظاهر في تعدد الطلب، و أمّا إنّه طلبُ تأسيس أو طلبُ تأكيد فلا ظهور له في واحد منهما، فيؤخذ بإطلاق المادة و انّ الموضوع هو نفس الوضوء الآبي عن تعلّق إرادتين به و تكون النتيجة هي التأكيد</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الكلام في 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حان البحث في 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النواهي </w:t>
      </w:r>
      <w:r>
        <w:rPr>
          <w:rFonts w:eastAsia="Amiri" w:cs="Amiri" w:ascii="Amiri" w:hAnsi="Amiri"/>
          <w:color w:val="111111"/>
          <w:sz w:val="28"/>
          <w:szCs w:val="28"/>
          <w:rtl w:val="true"/>
          <w:lang w:bidi="ar-SA"/>
        </w:rPr>
        <w:t xml:space="preserve">( </w:t>
      </w:r>
      <w:bookmarkStart w:id="342" w:name="pg14356_186744"/>
    </w:p>
    <w:p>
      <w:pPr>
        <w:pStyle w:val="Heading2"/>
        <w:numPr>
          <w:ilvl w:val="1"/>
          <w:numId w:val="1"/>
        </w:numPr>
        <w:rPr/>
      </w:pPr>
      <w:bookmarkStart w:id="343" w:name="__RefHeading___Toc7304820_3381743652"/>
      <w:bookmarkStart w:id="344" w:name="_Toc131"/>
      <w:bookmarkEnd w:id="342"/>
      <w:bookmarkEnd w:id="343"/>
      <w:r>
        <w:rPr>
          <w:rtl w:val="true"/>
        </w:rPr>
        <w:t>المقصد الثاني في النواهي و فيه فصول</w:t>
      </w:r>
      <w:r>
        <w:rPr>
          <w:rtl w:val="true"/>
        </w:rPr>
        <w:t>:</w:t>
      </w:r>
      <w:bookmarkEnd w:id="344"/>
    </w:p>
    <w:p>
      <w:pPr>
        <w:pStyle w:val="Heading3"/>
        <w:numPr>
          <w:ilvl w:val="2"/>
          <w:numId w:val="1"/>
        </w:numPr>
        <w:rPr/>
      </w:pPr>
      <w:bookmarkStart w:id="345" w:name="__RefHeading___Toc7304822_3381743652"/>
      <w:bookmarkStart w:id="346" w:name="_Toc132"/>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النهي و صيغته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اجتماع الأمر و النهي في شيء واحد بعنوانين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كشف النهي عن الفساد و عدمه و فيه مقامان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النهي في باب العبادات، عن الفساد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النهي في باب المعاملات عن الفساد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7" w:name="pg14356_186746"/>
      <w:bookmarkStart w:id="348" w:name="pg14356_186746"/>
      <w:bookmarkEnd w:id="348"/>
    </w:p>
    <w:p>
      <w:pPr>
        <w:pStyle w:val="Heading3"/>
        <w:numPr>
          <w:ilvl w:val="2"/>
          <w:numId w:val="1"/>
        </w:numPr>
        <w:rPr/>
      </w:pPr>
      <w:bookmarkStart w:id="349" w:name="pg14356_186746"/>
      <w:bookmarkStart w:id="350" w:name="__RefHeading___Toc7304824_3381743652"/>
      <w:bookmarkStart w:id="351" w:name="_Toc133"/>
      <w:bookmarkEnd w:id="349"/>
      <w:bookmarkEnd w:id="350"/>
      <w:r>
        <w:rPr>
          <w:rtl w:val="true"/>
        </w:rPr>
        <w:t>الفصل الأوّل في مادّة النهي و صيغته</w:t>
      </w:r>
      <w:bookmarkEnd w:id="351"/>
    </w:p>
    <w:p>
      <w:pPr>
        <w:pStyle w:val="Heading4"/>
        <w:numPr>
          <w:ilvl w:val="3"/>
          <w:numId w:val="1"/>
        </w:numPr>
        <w:rPr/>
      </w:pPr>
      <w:bookmarkStart w:id="352" w:name="__RefHeading___Toc7304826_3381743652"/>
      <w:bookmarkStart w:id="353" w:name="_Toc134"/>
      <w:bookmarkEnd w:id="352"/>
      <w:r>
        <w:rPr>
          <w:rtl w:val="true"/>
        </w:rPr>
        <w:t>اشارة</w:t>
      </w:r>
      <w:bookmarkEnd w:id="353"/>
    </w:p>
    <w:p>
      <w:pPr>
        <w:pStyle w:val="BookText"/>
        <w:rPr/>
      </w:pPr>
      <w:r>
        <w:rPr>
          <w:rFonts w:ascii="Amiri" w:hAnsi="Amiri" w:eastAsia="Amiri" w:cs="Amiri"/>
          <w:color w:val="111111"/>
          <w:sz w:val="28"/>
          <w:sz w:val="28"/>
          <w:szCs w:val="28"/>
          <w:rtl w:val="true"/>
          <w:lang w:bidi="ar-SA"/>
        </w:rPr>
        <w:t>أسقط المحقق الخراساني البحث في مادّة النهي مع أنّها مثل مادة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قابلة للبحث فيها من جهات شتّى على ضوء ما مرّ في مادة الأمر و خصَّ البحث بصيغة النهي التي تمثّلها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جانب الأمر، كما أسقط كثيراً من المباحث التي خاض فيها في صيغة الأمر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دلالتها على الحرمة و عدمها، و اشتراط العلو أو الاستعلاء و عدمهما، و ظهورها في النفسي العيني التعييني و عدمه، و دلالتها على الفور و التراخي و عدمه، إلى غير ذلك من المباحث، و إنّما ركّز في المقام على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مفاد هيئة النهي هو الطلب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متعلّق الطلب، هو الترك لا الكف عن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النهي لا يدل على الدوام، غير أنّ العقل يحكم بأنّ الطبيعة لا تنعدم إلاّ بانعدام جميع أفرادها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خالف النهي فهل يدلّ على إرادة ترك المتعلّق ثانياً أو لا؟ و إليك دراسة الكلّ واحداً بعد الآخر</w:t>
      </w:r>
      <w:r>
        <w:rPr>
          <w:rFonts w:eastAsia="Amiri" w:cs="Amiri" w:ascii="Amiri" w:hAnsi="Amiri"/>
          <w:color w:val="111111"/>
          <w:sz w:val="28"/>
          <w:szCs w:val="28"/>
          <w:rtl w:val="true"/>
          <w:lang w:bidi="ar-SA"/>
        </w:rPr>
        <w:t xml:space="preserve">. </w:t>
      </w:r>
      <w:bookmarkStart w:id="354" w:name="pg14356_186747"/>
    </w:p>
    <w:p>
      <w:pPr>
        <w:pStyle w:val="Heading4"/>
        <w:numPr>
          <w:ilvl w:val="3"/>
          <w:numId w:val="1"/>
        </w:numPr>
        <w:rPr/>
      </w:pPr>
      <w:bookmarkStart w:id="355" w:name="__RefHeading___Toc7304828_3381743652"/>
      <w:bookmarkStart w:id="356" w:name="_Toc135"/>
      <w:bookmarkEnd w:id="354"/>
      <w:bookmarkEnd w:id="355"/>
      <w:r>
        <w:rPr>
          <w:rtl w:val="true"/>
        </w:rPr>
        <w:t>الف</w:t>
      </w:r>
      <w:r>
        <w:rPr>
          <w:rtl w:val="true"/>
        </w:rPr>
        <w:t xml:space="preserve">: </w:t>
      </w:r>
      <w:r>
        <w:rPr>
          <w:rtl w:val="true"/>
        </w:rPr>
        <w:t>مفاد الهيئة</w:t>
      </w:r>
      <w:bookmarkEnd w:id="356"/>
    </w:p>
    <w:p>
      <w:pPr>
        <w:pStyle w:val="BookText"/>
        <w:rPr/>
      </w:pPr>
      <w:r>
        <w:rPr>
          <w:rFonts w:ascii="Amiri" w:hAnsi="Amiri" w:eastAsia="Amiri" w:cs="Amiri"/>
          <w:color w:val="111111"/>
          <w:sz w:val="28"/>
          <w:sz w:val="28"/>
          <w:szCs w:val="28"/>
          <w:rtl w:val="true"/>
          <w:lang w:bidi="ar-SA"/>
        </w:rPr>
        <w:t>ادّعى المحقّق الخراساني بأنّ مفاد الهيئة في كلا الموردين هو الطلب، غير أنّه يتعلّق في الأمر بالوجود و في النهي بالعدم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ادّعاء محض و المتبادر منهما غير الطلب، بل الهيئة في الأمر و النهي تدل على البعث أو الزجر، حيث إنّ الصيغة تقوم مكان البعث أو الزجر بالفعل، فانّ الإنسان يبعث غلامه بحركة الرأس و يزجره بالإشارة باليد، فقام الأمر بالصيغة، مكان البعث بالرأس، و النهي بالصيغة مكان الزجر باليد</w:t>
      </w:r>
      <w:r>
        <w:rPr>
          <w:rFonts w:eastAsia="Amiri" w:cs="Amiri" w:ascii="Amiri" w:hAnsi="Amiri"/>
          <w:color w:val="111111"/>
          <w:sz w:val="28"/>
          <w:szCs w:val="28"/>
          <w:rtl w:val="true"/>
          <w:lang w:bidi="ar-SA"/>
        </w:rPr>
        <w:t>.</w:t>
      </w:r>
    </w:p>
    <w:p>
      <w:pPr>
        <w:pStyle w:val="Heading4"/>
        <w:numPr>
          <w:ilvl w:val="3"/>
          <w:numId w:val="1"/>
        </w:numPr>
        <w:rPr/>
      </w:pPr>
      <w:bookmarkStart w:id="357" w:name="__RefHeading___Toc7304830_3381743652"/>
      <w:bookmarkStart w:id="358" w:name="_Toc136"/>
      <w:bookmarkEnd w:id="357"/>
      <w:r>
        <w:rPr>
          <w:rtl w:val="true"/>
        </w:rPr>
        <w:t>ب</w:t>
      </w:r>
      <w:r>
        <w:rPr>
          <w:rtl w:val="true"/>
        </w:rPr>
        <w:t xml:space="preserve">: </w:t>
      </w:r>
      <w:r>
        <w:rPr>
          <w:rtl w:val="true"/>
        </w:rPr>
        <w:t>متعلّق الطلب</w:t>
      </w:r>
      <w:bookmarkEnd w:id="358"/>
    </w:p>
    <w:p>
      <w:pPr>
        <w:pStyle w:val="BookText"/>
        <w:rPr/>
      </w:pPr>
      <w:r>
        <w:rPr>
          <w:rFonts w:ascii="Amiri" w:hAnsi="Amiri" w:eastAsia="Amiri" w:cs="Amiri"/>
          <w:color w:val="111111"/>
          <w:sz w:val="28"/>
          <w:sz w:val="28"/>
          <w:szCs w:val="28"/>
          <w:rtl w:val="true"/>
          <w:lang w:bidi="ar-SA"/>
        </w:rPr>
        <w:t>ذهب المحقّق الخراساني إلى أنّ المتعلّق في الأوّل هو الوجود و في الثاني هو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خلاف التحقيق، لأنّ الصيغة مركّبة من هيئة و مادة، و المادة لا تدلّ إلاّ على نفس الطبيعة، فأين الدال على الوجود و العدم؟ نعم البعث أو الزجر، لغاية الإيجاد، أو الاستمرار على الترك و كون شيء غاية شيء، غيرُ كونه مأخوذاً فيه و بذلك يسقط البحث عن كون المتعلّق هو الترك أو كف النفس، و ما حولهما من النقض و الإبرام</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7304832_3381743652"/>
      <w:bookmarkStart w:id="360" w:name="_Toc137"/>
      <w:bookmarkEnd w:id="359"/>
      <w:r>
        <w:rPr>
          <w:rtl w:val="true"/>
        </w:rPr>
        <w:t>ج</w:t>
      </w:r>
      <w:r>
        <w:rPr>
          <w:rtl w:val="true"/>
        </w:rPr>
        <w:t xml:space="preserve">: </w:t>
      </w:r>
      <w:r>
        <w:rPr>
          <w:rtl w:val="true"/>
        </w:rPr>
        <w:t>عدم دلالتها على الدوام</w:t>
      </w:r>
      <w:bookmarkEnd w:id="360"/>
    </w:p>
    <w:p>
      <w:pPr>
        <w:pStyle w:val="BookText"/>
        <w:rPr/>
      </w:pPr>
      <w:r>
        <w:rPr>
          <w:rFonts w:ascii="Amiri" w:hAnsi="Amiri" w:eastAsia="Amiri" w:cs="Amiri"/>
          <w:color w:val="111111"/>
          <w:sz w:val="28"/>
          <w:sz w:val="28"/>
          <w:szCs w:val="28"/>
          <w:rtl w:val="true"/>
          <w:lang w:bidi="ar-SA"/>
        </w:rPr>
        <w:t>ذكر المحقّق الخراساني بأنّ الصيغة لا تدلّ على الدوام و التكرار، غير أنّ إيجاد الطبيعة يتحقّق بوجود فرد واحد، و عدمها لا يكون إلاّ بعدم الافراد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نسبه إلى أنّه مقتضى العقل، منظور فيه، بل مقتضى العقل انّ </w:t>
      </w:r>
      <w:bookmarkStart w:id="361" w:name="pg14356_186748"/>
    </w:p>
    <w:p>
      <w:pPr>
        <w:pStyle w:val="BookText"/>
        <w:rPr/>
      </w:pPr>
      <w:bookmarkEnd w:id="361"/>
      <w:r>
        <w:rPr>
          <w:rFonts w:ascii="Amiri" w:hAnsi="Amiri" w:eastAsia="Amiri" w:cs="Amiri"/>
          <w:color w:val="111111"/>
          <w:sz w:val="28"/>
          <w:sz w:val="28"/>
          <w:szCs w:val="28"/>
          <w:rtl w:val="true"/>
          <w:lang w:bidi="ar-SA"/>
        </w:rPr>
        <w:t>الإيجاد و الإعدام على نسق واحد، لما حُقِّق في محلّه من أنّ الطبيعة تتكثّر حسب تكثّر الأفراد فزيد إنسان تام، و بكر إنسان آخر، و كلّ حائز تمام الإنسانية، و نسبة الطبيعة إلى الافراد نسبة الآباء إلى الأبناء لا الأب الواحد بالنسبة إليهم، فإذا كانت الطبيعة متعددة الوجود حسب تعدد الأفراد، تكون متعددة العدم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ذكره صحيح عرفاً، فلا تكون الطبيعة معدومة عنده إلاّ بانعدام جميع الأفراد، فلو نهى عن السرقة و شرب الخمر و الغيبة، فلا يصدق ترك الطبيعة إلاّ بترك جميع أفرادها و ذلك لمناسبات مغروسة في ذهن المكلّف من أنّ النهي عن الشيء لغاية المفسدة الملزمة في كلّ فرد، فلا يتحقّق الغرض الغائي الاجتناب عن المفسدة إلاّ بترك جميع الأفراد</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7304834_3381743652"/>
      <w:bookmarkStart w:id="363" w:name="_Toc138"/>
      <w:bookmarkEnd w:id="362"/>
      <w:r>
        <w:rPr>
          <w:rtl w:val="true"/>
        </w:rPr>
        <w:t>د</w:t>
      </w:r>
      <w:r>
        <w:rPr>
          <w:rtl w:val="true"/>
        </w:rPr>
        <w:t xml:space="preserve">. </w:t>
      </w:r>
      <w:r>
        <w:rPr>
          <w:rtl w:val="true"/>
        </w:rPr>
        <w:t>إذا خالف النهي</w:t>
      </w:r>
      <w:bookmarkEnd w:id="363"/>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خالف النهي، فهل يدل على لزوم تركه ثانياً أو لا؟ و الظاهر عدم الدلالة لسقوط النهي بالعصيان، و لزوم امتثاله ثانياً يتوقف على الدليل، بل إطلاق المتعلّق يدل على العدم، و إلاّ لكان على المولى أن يقيّد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عصيت فلا تفعل أيضاً</w:t>
      </w:r>
      <w:r>
        <w:rPr>
          <w:rFonts w:eastAsia="Amiri" w:cs="Amiri" w:ascii="Amiri" w:hAnsi="Amiri"/>
          <w:color w:val="111111"/>
          <w:sz w:val="28"/>
          <w:szCs w:val="28"/>
          <w:rtl w:val="true"/>
          <w:lang w:bidi="ar-SA"/>
        </w:rPr>
        <w:t xml:space="preserve">. </w:t>
      </w:r>
      <w:bookmarkStart w:id="364" w:name="pg14356_186749"/>
    </w:p>
    <w:p>
      <w:pPr>
        <w:pStyle w:val="Heading3"/>
        <w:numPr>
          <w:ilvl w:val="2"/>
          <w:numId w:val="1"/>
        </w:numPr>
        <w:rPr/>
      </w:pPr>
      <w:bookmarkStart w:id="365" w:name="__RefHeading___Toc7304836_3381743652"/>
      <w:bookmarkStart w:id="366" w:name="_Toc139"/>
      <w:bookmarkEnd w:id="364"/>
      <w:bookmarkEnd w:id="365"/>
      <w:r>
        <w:rPr>
          <w:rtl w:val="true"/>
        </w:rPr>
        <w:t>الفصل الثاني في اجتماع الأمر و النهي في شيء واحد باعتبار عنوانين</w:t>
      </w:r>
      <w:bookmarkEnd w:id="366"/>
    </w:p>
    <w:p>
      <w:pPr>
        <w:pStyle w:val="Heading4"/>
        <w:numPr>
          <w:ilvl w:val="3"/>
          <w:numId w:val="1"/>
        </w:numPr>
        <w:rPr/>
      </w:pPr>
      <w:bookmarkStart w:id="367" w:name="__RefHeading___Toc7304838_3381743652"/>
      <w:bookmarkStart w:id="368" w:name="_Toc140"/>
      <w:bookmarkEnd w:id="367"/>
      <w:r>
        <w:rPr>
          <w:rtl w:val="true"/>
        </w:rPr>
        <w:t>و قبل الخوض في المقصود نقدّم أُموراً</w:t>
      </w:r>
      <w:r>
        <w:rPr>
          <w:rtl w:val="true"/>
        </w:rPr>
        <w:t>:</w:t>
      </w:r>
      <w:bookmarkEnd w:id="368"/>
    </w:p>
    <w:p>
      <w:pPr>
        <w:pStyle w:val="Heading5"/>
        <w:numPr>
          <w:ilvl w:val="4"/>
          <w:numId w:val="1"/>
        </w:numPr>
        <w:rPr/>
      </w:pPr>
      <w:bookmarkStart w:id="369" w:name="__RefHeading___Toc7304840_3381743652"/>
      <w:bookmarkStart w:id="370" w:name="_Toc141"/>
      <w:bookmarkEnd w:id="369"/>
      <w:r>
        <w:rPr>
          <w:rtl w:val="true"/>
        </w:rPr>
        <w:t>الأوّل</w:t>
      </w:r>
      <w:r>
        <w:rPr>
          <w:rtl w:val="true"/>
        </w:rPr>
        <w:t xml:space="preserve">: </w:t>
      </w:r>
      <w:r>
        <w:rPr>
          <w:rtl w:val="true"/>
        </w:rPr>
        <w:t>الفرق بين الاجتماع الآمري و الاجتماع المأموري</w:t>
      </w:r>
      <w:bookmarkEnd w:id="370"/>
    </w:p>
    <w:p>
      <w:pPr>
        <w:pStyle w:val="BookText"/>
        <w:rPr/>
      </w:pPr>
      <w:r>
        <w:rPr>
          <w:rFonts w:ascii="Amiri" w:hAnsi="Amiri" w:eastAsia="Amiri" w:cs="Amiri"/>
          <w:color w:val="111111"/>
          <w:sz w:val="28"/>
          <w:sz w:val="28"/>
          <w:szCs w:val="28"/>
          <w:rtl w:val="true"/>
          <w:lang w:bidi="ar-SA"/>
        </w:rPr>
        <w:t>إنّ الأمر و النهي من المفاهيم ذات الإضافة، فللأمر إضافة إلى الآمر، و إضافة إلى المأمور به، و إضافة إلى المأمور، كما أنّ النهي له إضافة إلى الناهي أوّلاً، و إلى المنهيّ عنه ثانياً و إلى المنهيّ ثالثاً، فعندئذ فهنا صور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اتّحد الآمر و المأمور، و الناهي و المنهي في زمان واحد، و كان بين المأمور به و المنهي عنه، من النسب التساوي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من البيت في ساعة خاصّة و لا تخرج منه في نفس الساعة، يسمّى الاجتماع آمريّاً، فإنّ الآمر هو السبب لاجتماع الأمر و النهي في شيء واحد في زمان واحد، و يكون من قبيل التكليف المحال، إذ لا ينقدح في ذهن الإنسان، في زمان واحد إرادتان متضادتان طلبُ الخروج و عدمُه فهذا النوع من الطلب تكليف محال من شخص واحد في زمان واحد بدل كونه تكليفاً بالمحال حيث إنّ عدم إمكان امتثاله يرجع إلى عدم</w:t>
      </w:r>
    </w:p>
    <w:p>
      <w:pPr>
        <w:pStyle w:val="BookText"/>
        <w:rPr/>
      </w:pPr>
      <w:r>
        <w:rPr>
          <w:rFonts w:ascii="Amiri" w:hAnsi="Amiri" w:eastAsia="Amiri" w:cs="Amiri"/>
          <w:color w:val="111111"/>
          <w:sz w:val="28"/>
          <w:sz w:val="28"/>
          <w:szCs w:val="28"/>
          <w:rtl w:val="true"/>
          <w:lang w:bidi="ar-SA"/>
        </w:rPr>
        <w:t>القابلية في ناحية المكلّف به قبل أن يرجع إلى قصور قدرة المكلّف، حيث لا يمكن الجمع بين الوجود و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رجع عدم إمكان الامتثال إلى قصور قدرة المكلّف، مع كون المكلّف به في نفسه أمراً ممكناً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 الغريقين مع عدم قدرته إلاّ على إنقاذ أحدهما، يكون من قبيل التكليف بالمحال، و إن كان مرجع ذلك عند الدقّة أيضاً إلى التكليف المحال، لانّ المكلِّف إذا وقف على قصور قدرة المكلَّف كيف ينقدح في ذهنه إرادة إنقاذ الغريقين؟ لكن القضية شكلاً و صورة من قبيل التكليف بالمحال، و حقيقة و مآلاً من قبيل التكليف المحال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و لكن كانت النسبة بين المأمور به و المنهي عنه، هي التباين كما إذا أمر بالصلاة و نهى عن النظر إلى الأجنبية، فهذا من الإمكان بمكان و لا يعدّ من باب الاجتماع حتّى لو نظر إليها حين الصلاة، لا توصف الصلاة به، لأنّ النظر قائم بالعين و الصلاة قائمة بسائر الجوارح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نفس الصورة الأُولى و لكن كانت النسبة بين المأمور به و المنهي عنه، عموماً و خصوصاً من وجه، كما إذا أمر بالصلاة و نهى عن الغصب، فيقع الكلام في أنّه هل يصحّ للمولى أن يأمر بالأُولى على الإطلاق و ينهى عن الغصب كذلك أو لا يصح؟ اختلف الأُصوليون على 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يجوز، لانّ متعلّق الأمر غير متعلّق النهي فيخرج عن كونه تكليفاً محالاً، كما هو واضح، أو تكليفاً بالمحال، لأنّ له المندوحة في إقامة الصلاة في غير المغصوب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يجوز، لأنّ مفاد الإطلاق في الدليلين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و لو في الدار المغصوبة، و لا تغصب و لو في حال الصلاة، و لو أخذنا بكلا الإطلاقين يكون </w:t>
      </w:r>
      <w:bookmarkStart w:id="371" w:name="pg14356_186751"/>
    </w:p>
    <w:p>
      <w:pPr>
        <w:pStyle w:val="BookText"/>
        <w:rPr/>
      </w:pPr>
      <w:bookmarkEnd w:id="371"/>
      <w:r>
        <w:rPr>
          <w:rFonts w:ascii="Amiri" w:hAnsi="Amiri" w:eastAsia="Amiri" w:cs="Amiri"/>
          <w:color w:val="111111"/>
          <w:sz w:val="28"/>
          <w:sz w:val="28"/>
          <w:szCs w:val="28"/>
          <w:rtl w:val="true"/>
          <w:lang w:bidi="ar-SA"/>
        </w:rPr>
        <w:t>الشيء الواحد الصلاة في الدار المغصوبة متعلّقاً للأمر و النهي و يكون من قبيل الاجتماع الأمري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ظهر ممّا ذكر انّ محل النزاع هو الصورة الثالثة، و انّ أساس النزاع بين المجوّز و المانع هو كفاية اختلاف المتعلّقين في توجّه الأمر و النهي، و عدم كفايته، لأنّ مرجع الأخذ بالإطلاقين إلى الاجتماع الأمري و كون الشيء الواحد في مورد الاجتماع متعلّقاً للأمر و النهي فلاحظ</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7304842_3381743652"/>
      <w:bookmarkStart w:id="373" w:name="_Toc142"/>
      <w:bookmarkEnd w:id="372"/>
      <w:r>
        <w:rPr>
          <w:rtl w:val="true"/>
        </w:rPr>
        <w:t>الثاني</w:t>
      </w:r>
      <w:r>
        <w:rPr>
          <w:rtl w:val="true"/>
        </w:rPr>
        <w:t xml:space="preserve">: </w:t>
      </w:r>
      <w:r>
        <w:rPr>
          <w:rtl w:val="true"/>
        </w:rPr>
        <w:t>هل النزاع صغروي أو كبرويّ؟</w:t>
      </w:r>
      <w:bookmarkEnd w:id="373"/>
    </w:p>
    <w:p>
      <w:pPr>
        <w:pStyle w:val="BookText"/>
        <w:rPr/>
      </w:pPr>
      <w:r>
        <w:rPr>
          <w:rFonts w:ascii="Amiri" w:hAnsi="Amiri" w:eastAsia="Amiri" w:cs="Amiri"/>
          <w:color w:val="111111"/>
          <w:sz w:val="28"/>
          <w:sz w:val="28"/>
          <w:szCs w:val="28"/>
          <w:rtl w:val="true"/>
          <w:lang w:bidi="ar-SA"/>
        </w:rPr>
        <w:t>هل النزاع في المسألة صغروي كما ذهب إليه صاحب الكفاية أو كبرويّ كما هو اللائح من الكتب الأُصولية حيث يبحثون عن جواز الاجتماع و عدمه و لكلّ من القولين،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كونه صغروياً فمن اعتمد كالمحقّق الخراساني في إقامة الدليل على الجواز و عدمه، على أنّ تعدد العنوان كالصلاة و الغصب يوجب تعدد المعنون كالحركة في الدار المغصوبة أو لا يوجب، جعل النزاع صغروياً و انّه هل هنا اجتماع أو لا؟ و ذلك لأنّه لو قلنا بأنّ تعدّد العنوان، لا يحدث تعدّداً في المعنون، يلزم اجتماع الأمر و النهي في شيء واحد، و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تعدّده يحدث تعدّداً في المعنون، و انّ كلاً من الصلاة و الغصب موجود بوجود خاص لا يلزم اجتماعهما في شيء واحد</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يقرب من ذلك نظرية المحقّق النائيني حيث إنّه بنى الجواز و عدمه في المسألة على أنّ تركيب المادة و الصورة، أو تركيب المقولات بعضها مع بعض، تركيب انضمامي أو اتّحادي، فعلى الأوّل يكون متعلّق الأمر غير متعلّق النهي فلا </w:t>
      </w:r>
    </w:p>
    <w:p>
      <w:pPr>
        <w:pStyle w:val="BookText"/>
        <w:rPr/>
      </w:pPr>
      <w:r>
        <w:rPr>
          <w:rFonts w:ascii="Amiri" w:hAnsi="Amiri" w:eastAsia="Amiri" w:cs="Amiri"/>
          <w:color w:val="111111"/>
          <w:sz w:val="28"/>
          <w:sz w:val="28"/>
          <w:szCs w:val="28"/>
          <w:rtl w:val="true"/>
          <w:lang w:bidi="ar-SA"/>
        </w:rPr>
        <w:t>يلزم الاجتماع، و على الثاني تلزم وحدة متعلّقهما فيلزم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من بنى الجواز و عدمه على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العنوان يوجب تعدّد المعنون،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انّ تركيب المقولات بعضها مع بعض تركيب انضمامي أو اتّحادي، فقد جعل النزاع صغروياً، فالمجوز ينفي الاجتماع، و المانع يثبته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جعل النزاع صغروياً، يلازم القول بأنّ الأوامر و النواهي تتعلّق بالأفراد الخارجية، مع أنّ المعروف بينهم حتّى المحقّق الخراساني انّها تتعلّق بالطبائع دون الافراد إذا فسّرت الأفراد، بالمصاديق الخارجية، و ذلك لأنّ الخارج ظرف لسقوط الأمر لا ثبوته، و لا محيص عن القول بكون النزاع كبرويّاً و انّ مصب النزاع عبارة عن الأمر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الأمر بشيء، و النهي عن شيء آخر، مع تصادقهما على مورد واحد، أو لا؟ فالقائل بالجواز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الأمر هو حيثية الصلاتية، و متعلّق النهي هو الحيثية الغصبية، فالمتعلّقان مختلفان، و تصادقهما على مورد لا يكون مانعاً عن حفظ الأمر و النهي المتعلّقين بشيئين مختلفين فيجوز اجتماع الأمر و النهي في المقام</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القائل بالامتناع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الأمر و النهي و إن كان مختلفاً حقيقة، لكن حفظ إطلاق الدليلين، يستلزم وحدة متعلّق الأمر و النهي في النهاية، و ذلك لأنّ مقتضى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اقم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وجوب إقامة الصلاة في عامّة الأماكن حتّى المكان المغصوب، كما أنّ مقتضى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تحريمه مطلقاً حتّى في الحالة الصلاتية، فلو صلّى في مكان مغصوب يلزم أن يكون العنوان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الدار المغصوبة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متعلّقاً للأمر و النهي بحكم حفظ الإطلاقين، فيرجع الاجتماع المأموري إلى الاجتماع الأمري لاتّحاد الآمر و الناهي، و المأمور و المنهي، و المأمور به و المنهي عنه فلا يجوز هذا النوع من الأمر و النهي</w:t>
      </w:r>
      <w:r>
        <w:rPr>
          <w:rFonts w:eastAsia="Amiri" w:cs="Amiri" w:ascii="Amiri" w:hAnsi="Amiri"/>
          <w:color w:val="111111"/>
          <w:sz w:val="28"/>
          <w:szCs w:val="28"/>
          <w:rtl w:val="true"/>
          <w:lang w:bidi="ar-SA"/>
        </w:rPr>
        <w:t xml:space="preserve">. </w:t>
      </w:r>
      <w:bookmarkStart w:id="374" w:name="pg14356_186753"/>
    </w:p>
    <w:p>
      <w:pPr>
        <w:pStyle w:val="Heading5"/>
        <w:numPr>
          <w:ilvl w:val="4"/>
          <w:numId w:val="1"/>
        </w:numPr>
        <w:rPr/>
      </w:pPr>
      <w:bookmarkStart w:id="375" w:name="__RefHeading___Toc7304844_3381743652"/>
      <w:bookmarkStart w:id="376" w:name="_Toc143"/>
      <w:bookmarkEnd w:id="374"/>
      <w:bookmarkEnd w:id="375"/>
      <w:r>
        <w:rPr>
          <w:rtl w:val="true"/>
        </w:rPr>
        <w:t>الثالث</w:t>
      </w:r>
      <w:r>
        <w:rPr>
          <w:rtl w:val="true"/>
        </w:rPr>
        <w:t xml:space="preserve">: </w:t>
      </w:r>
      <w:r>
        <w:rPr>
          <w:rtl w:val="true"/>
        </w:rPr>
        <w:t>ما هو المراد من الواحد في العنوان؟</w:t>
      </w:r>
      <w:bookmarkEnd w:id="376"/>
    </w:p>
    <w:p>
      <w:pPr>
        <w:pStyle w:val="BookText"/>
        <w:rPr/>
      </w:pPr>
      <w:r>
        <w:rPr>
          <w:rFonts w:ascii="Amiri" w:hAnsi="Amiri" w:eastAsia="Amiri" w:cs="Amiri"/>
          <w:color w:val="111111"/>
          <w:sz w:val="28"/>
          <w:sz w:val="28"/>
          <w:szCs w:val="28"/>
          <w:rtl w:val="true"/>
          <w:lang w:bidi="ar-SA"/>
        </w:rPr>
        <w:t>العنوان المعروف للمسألة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اجتماع الأمر و النهي في واحد أو لا؟ فقد وقع الكلام في تعيين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المحقّق الخراساني إلى أنّ المراد هو الأعم من الواحد الشخصي و النوعي و الجنسي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 مطلق ما كان ذا وجهين و مندرجاً تحت عنوانين، بأحدهما كان مورداً للأمر، و بالآخر مورداً للنهي فيعم الواحد الشخصي الذي له عنوانان كالصلاة في الدار المغصوبة، و الواحد النوعي مثل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المغصوب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الواحد الجنسي كالحركة المعنونة بالصلاتية و الغصبية و أضاف فخرج ما إذا تعدّد متعلّق الأمر و النهي و لكن لم يجتمعا وجوداً و لو اجتمعا مفهوماً كالسجود للّه و السجود للصنم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لازم ذلك إرادة معنيين من لفظ الواحد، فتارة أُريد به مطلق الواحد، ليشمل الواحد الشخصي و النوعي و الجنسي، و أُخرى أُريد به الواحد الشخصي فقط ليخرج السجود للّه و السجود للصنم، حيث لا يجتمعان وجوداً في مصداق واحد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الواحد هو الواحد الشخصي فقط، و يرجع النزاع إلى أنّ اجتماع العنوانين في واحد شخصي و تصادقهما عليه، هل يمنع من الأخذ بالإطلاقين في الأمر و النهي معاً فيكون الحقّ مع الامتناعي، فعندئذ لا محيص من الأخذ بأحد الإطلاقين، إمّا الأمر بالصلاة، أو النهي عن الغصب ففي مورد الصلاة في الدار المغصوبة، إمّا أمر و لا نهي، أو نهي و لا أمر أو لا يمنع فيكون الحقّ مع الاجتماعي</w:t>
      </w:r>
      <w:r>
        <w:rPr>
          <w:rFonts w:eastAsia="Amiri" w:cs="Amiri" w:ascii="Amiri" w:hAnsi="Amiri"/>
          <w:color w:val="111111"/>
          <w:sz w:val="28"/>
          <w:szCs w:val="28"/>
          <w:rtl w:val="true"/>
          <w:lang w:bidi="ar-SA"/>
        </w:rPr>
        <w:t xml:space="preserve">. </w:t>
      </w:r>
      <w:bookmarkStart w:id="377" w:name="pg14356_186754"/>
    </w:p>
    <w:p>
      <w:pPr>
        <w:pStyle w:val="Heading5"/>
        <w:numPr>
          <w:ilvl w:val="4"/>
          <w:numId w:val="1"/>
        </w:numPr>
        <w:rPr/>
      </w:pPr>
      <w:bookmarkStart w:id="378" w:name="__RefHeading___Toc7304846_3381743652"/>
      <w:bookmarkStart w:id="379" w:name="_Toc144"/>
      <w:bookmarkEnd w:id="377"/>
      <w:bookmarkEnd w:id="378"/>
      <w:r>
        <w:rPr>
          <w:rtl w:val="true"/>
        </w:rPr>
        <w:t>الرابع</w:t>
      </w:r>
      <w:r>
        <w:rPr>
          <w:rtl w:val="true"/>
        </w:rPr>
        <w:t xml:space="preserve">: </w:t>
      </w:r>
      <w:r>
        <w:rPr>
          <w:rtl w:val="true"/>
        </w:rPr>
        <w:t>ما هو الفرق بين المسألتين؟</w:t>
      </w:r>
      <w:bookmarkEnd w:id="379"/>
    </w:p>
    <w:p>
      <w:pPr>
        <w:pStyle w:val="Heading6"/>
        <w:numPr>
          <w:ilvl w:val="5"/>
          <w:numId w:val="1"/>
        </w:numPr>
        <w:rPr/>
      </w:pPr>
      <w:bookmarkStart w:id="380" w:name="__RefHeading___Toc7304848_3381743652"/>
      <w:bookmarkStart w:id="381" w:name="_Toc145"/>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اختلفت كلمتهم في بيان الفرق بين هذه المسألة، و ما سيوافيك من البحث في دلالة النهي عن العبادات و المعاملات، على الفساد و عدمها، ففي بيان ما هو الفارق أقوال</w:t>
      </w:r>
      <w:r>
        <w:rPr>
          <w:rFonts w:eastAsia="Amiri" w:cs="Amiri" w:ascii="Amiri" w:hAnsi="Amiri"/>
          <w:color w:val="111111"/>
          <w:sz w:val="28"/>
          <w:szCs w:val="28"/>
          <w:rtl w:val="true"/>
          <w:lang w:bidi="ar-SA"/>
        </w:rPr>
        <w:t>:</w:t>
      </w:r>
    </w:p>
    <w:p>
      <w:pPr>
        <w:pStyle w:val="Heading6"/>
        <w:numPr>
          <w:ilvl w:val="5"/>
          <w:numId w:val="1"/>
        </w:numPr>
        <w:rPr/>
      </w:pPr>
      <w:bookmarkStart w:id="382" w:name="__RefHeading___Toc7304850_3381743652"/>
      <w:bookmarkStart w:id="383" w:name="_Toc146"/>
      <w:bookmarkEnd w:id="382"/>
      <w:r>
        <w:rPr/>
        <w:t>1</w:t>
      </w:r>
      <w:r>
        <w:rPr>
          <w:rtl w:val="true"/>
        </w:rPr>
        <w:t xml:space="preserve">. </w:t>
      </w:r>
      <w:r>
        <w:rPr>
          <w:rtl w:val="true"/>
        </w:rPr>
        <w:t>التمييز بالغرض</w:t>
      </w:r>
      <w:bookmarkEnd w:id="383"/>
    </w:p>
    <w:p>
      <w:pPr>
        <w:pStyle w:val="BookText"/>
        <w:rPr/>
      </w:pPr>
      <w:r>
        <w:rPr>
          <w:rFonts w:ascii="Amiri" w:hAnsi="Amiri" w:eastAsia="Amiri" w:cs="Amiri"/>
          <w:color w:val="111111"/>
          <w:sz w:val="28"/>
          <w:sz w:val="28"/>
          <w:szCs w:val="28"/>
          <w:rtl w:val="true"/>
          <w:lang w:bidi="ar-SA"/>
        </w:rPr>
        <w:t>انّ الجهة المبحوث عنها في المسألتين هي التي تميّز إحدى المسألتين عن الأُخرى، فانّ الجهة المبحوث عنها في المقام عبارة عن كون تعدد العنوان موجباً لتعدّد المعنون أو لا، فعلى القول بالتعدّد ترتفع غائلة استحالة الاجتماع في الواحد، لاستقرار كلّ حكم على موضوعه من دون سراية أحد الحكمين إلى موضوع الحكم الآخر، و على القول بعدم التعدّد، يتحد متعلّق كلّ من الأمر و النهي، فيسري كلّ حكم إلى متعلّق الحكم الآخر، فيعود البحث إلى السراية و عدمها تلو القول بأنّ تعدّد العنوان هل يوجب تعدّد المعنون أو لا؟ هذه من الجهة المبحوث عنها في هذه المسألة، بخلاف الجهة المبحوث عنها في الأُخرى فانّها بعد تسليم توجّه النهي إلى العبادة يقع الكلام في كون النهي موجباً للفساد أو لا، فجهة البحث في الأُولى غيرها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الغرض يحكي عن وجود اختلاف جوهري بين المسألتين، إذ لا معنى لترتّب أثرين مختلفين على المسألتين مع عدم اختلافهما في الذات و الجوهر، و على ذلك فيحصل التمايز الجوهري قبل الغرض و الأثر</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مبني على كون البحث في المسألة صغروياً و إنّ تعدّد </w:t>
      </w:r>
      <w:bookmarkStart w:id="384" w:name="pg14356_186755"/>
    </w:p>
    <w:p>
      <w:pPr>
        <w:pStyle w:val="BookText"/>
        <w:rPr/>
      </w:pPr>
      <w:bookmarkEnd w:id="384"/>
      <w:r>
        <w:rPr>
          <w:rFonts w:ascii="Amiri" w:hAnsi="Amiri" w:eastAsia="Amiri" w:cs="Amiri"/>
          <w:color w:val="111111"/>
          <w:sz w:val="28"/>
          <w:sz w:val="28"/>
          <w:szCs w:val="28"/>
          <w:rtl w:val="true"/>
          <w:lang w:bidi="ar-SA"/>
        </w:rPr>
        <w:t>العنوان هل يوجب تعدّد المعنون، حتّى يكون متعلّق الأمر غيره في النهي أو لا؟ فيكون مرجع البحث إلى أنّه هل هنا اجتماع أو لا؟ و لكنّك عرفت أنّ البحث في المقام كبروي و انّ البحث إنّما هو في جواز الأمر بشيء و النهي عن شيء آخر، متصادقين على مصداق واحد و عدمه، و مرجع البحث إلى جواز الاجتماع و عدمه بعد تسليم أصل الاجتماع في مصداق واحد لا أصل الاجتماع و عدمه</w:t>
      </w:r>
      <w:r>
        <w:rPr>
          <w:rFonts w:eastAsia="Amiri" w:cs="Amiri" w:ascii="Amiri" w:hAnsi="Amiri"/>
          <w:color w:val="111111"/>
          <w:sz w:val="28"/>
          <w:szCs w:val="28"/>
          <w:rtl w:val="true"/>
          <w:lang w:bidi="ar-SA"/>
        </w:rPr>
        <w:t>.</w:t>
      </w:r>
    </w:p>
    <w:p>
      <w:pPr>
        <w:pStyle w:val="Heading6"/>
        <w:numPr>
          <w:ilvl w:val="5"/>
          <w:numId w:val="1"/>
        </w:numPr>
        <w:rPr/>
      </w:pPr>
      <w:bookmarkStart w:id="385" w:name="__RefHeading___Toc7304852_3381743652"/>
      <w:bookmarkStart w:id="386" w:name="_Toc147"/>
      <w:bookmarkEnd w:id="385"/>
      <w:r>
        <w:rPr/>
        <w:t>2</w:t>
      </w:r>
      <w:r>
        <w:rPr>
          <w:rtl w:val="true"/>
        </w:rPr>
        <w:t xml:space="preserve">. </w:t>
      </w:r>
      <w:r>
        <w:rPr>
          <w:rtl w:val="true"/>
        </w:rPr>
        <w:t>التمييز بالموضوع</w:t>
      </w:r>
      <w:bookmarkEnd w:id="386"/>
    </w:p>
    <w:p>
      <w:pPr>
        <w:pStyle w:val="BookText"/>
        <w:rPr/>
      </w:pPr>
      <w:r>
        <w:rPr>
          <w:rFonts w:ascii="Amiri" w:hAnsi="Amiri" w:eastAsia="Amiri" w:cs="Amiri"/>
          <w:color w:val="111111"/>
          <w:sz w:val="28"/>
          <w:sz w:val="28"/>
          <w:szCs w:val="28"/>
          <w:rtl w:val="true"/>
          <w:lang w:bidi="ar-SA"/>
        </w:rPr>
        <w:t>ذهب صاحب الفصول إلى أنّ المسألتين تتميّزان بالموضوع ذكره عند البحث عن دلالة النهي المتعلّق بالعبادة، على الفساد أو لا و حاصل ما ذكره هو انّ النزاع في ما نحن فيه إنّما هو فيما إذا تعلّق الأمر و النهي بطبيعتين متغايرتين بحسب الحقيقة، سواء أ كان بينهما عموم و خصوص من وجه كما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 و لا تغصب، أو عموم و خصوص مطلق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الناطق، و لا تكرم الشاعر، و على كلّ تقدير، فالموضوعان متغايران مفهوماً، و أمّا النزاع في مسألة دلالة النهي على الفساد و عدمه، ففيما إذا كان الموضوعان متّحدين حقيقة مختلفين بالإطلاق و التقييد،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تصلّ في الحمام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انحصر وجه التمايز بين المسألتين بالتمايز في الموضوع لتوجّه إليه، ما أورده المحقّق الخراساني عليه،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كانت الجهة المبحوث عنها متعددة فلا بدّ من عقد مسألتين و إن كان موضوعهما واحداً، و إن كانت الجهة المبحوث عنها واحدة فلا بدّ من عقد مسألة واحدة و إن كان الموضوع متعدّداً، فلا دور لوحدة الموضوع و تعدّده</w:t>
      </w:r>
      <w:r>
        <w:rPr>
          <w:rFonts w:eastAsia="Amiri" w:cs="Amiri" w:ascii="Amiri" w:hAnsi="Amiri"/>
          <w:color w:val="111111"/>
          <w:sz w:val="28"/>
          <w:szCs w:val="28"/>
          <w:rtl w:val="true"/>
          <w:lang w:bidi="ar-SA"/>
        </w:rPr>
        <w:t xml:space="preserve">. </w:t>
      </w:r>
      <w:bookmarkStart w:id="387" w:name="pg14356_186756"/>
    </w:p>
    <w:p>
      <w:pPr>
        <w:pStyle w:val="Heading6"/>
        <w:numPr>
          <w:ilvl w:val="5"/>
          <w:numId w:val="1"/>
        </w:numPr>
        <w:rPr/>
      </w:pPr>
      <w:bookmarkStart w:id="388" w:name="__RefHeading___Toc7304854_3381743652"/>
      <w:bookmarkStart w:id="389" w:name="_Toc148"/>
      <w:bookmarkEnd w:id="387"/>
      <w:bookmarkEnd w:id="388"/>
      <w:r>
        <w:rPr/>
        <w:t>3</w:t>
      </w:r>
      <w:r>
        <w:rPr>
          <w:rtl w:val="true"/>
        </w:rPr>
        <w:t xml:space="preserve">. </w:t>
      </w:r>
      <w:r>
        <w:rPr>
          <w:rtl w:val="true"/>
        </w:rPr>
        <w:t>التمييز بالموضوع و المحمول</w:t>
      </w:r>
      <w:bookmarkEnd w:id="389"/>
    </w:p>
    <w:p>
      <w:pPr>
        <w:pStyle w:val="BookText"/>
        <w:rPr/>
      </w:pPr>
      <w:r>
        <w:rPr>
          <w:rFonts w:ascii="Amiri" w:hAnsi="Amiri" w:eastAsia="Amiri" w:cs="Amiri"/>
          <w:color w:val="111111"/>
          <w:sz w:val="28"/>
          <w:sz w:val="28"/>
          <w:szCs w:val="28"/>
          <w:rtl w:val="true"/>
          <w:lang w:bidi="ar-SA"/>
        </w:rPr>
        <w:t>إنّ المسألتين تتميّزان موضوعاً و محمولاً، أمّا الأوّل فقد عرفته في كلام صاحب الفصول، و أما الثاني فلأنّ المحمول في المقام جواز الاجتماع و عدمه، و في مسألة النهي عن العبادة، هو دلالة النهي على الفساد و عدمه، و مع الاختلاف الجوهري بين المسألتين في جانب الموضوع و المحمول، لا وجه اشتراك بينهما حتّى يُسأل عن جهة افتراقهما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في المقام بالامتناع و انّه لا بدّ من حفظ أحد الحكمين فقدّمنا النهي على الأمر، يكون المورد من صغريات المسألة الآتية في دلالة النهي على الفساد وضعاً أو لا</w:t>
      </w:r>
      <w:r>
        <w:rPr>
          <w:rFonts w:eastAsia="Amiri" w:cs="Amiri" w:ascii="Amiri" w:hAnsi="Amiri"/>
          <w:color w:val="111111"/>
          <w:sz w:val="28"/>
          <w:szCs w:val="28"/>
          <w:rtl w:val="true"/>
          <w:lang w:bidi="ar-SA"/>
        </w:rPr>
        <w:t>.</w:t>
      </w:r>
    </w:p>
    <w:p>
      <w:pPr>
        <w:pStyle w:val="Heading6"/>
        <w:numPr>
          <w:ilvl w:val="5"/>
          <w:numId w:val="1"/>
        </w:numPr>
        <w:rPr/>
      </w:pPr>
      <w:bookmarkStart w:id="390" w:name="__RefHeading___Toc7304856_3381743652"/>
      <w:bookmarkStart w:id="391" w:name="_Toc149"/>
      <w:bookmarkEnd w:id="390"/>
      <w:r>
        <w:rPr/>
        <w:t>4</w:t>
      </w:r>
      <w:r>
        <w:rPr>
          <w:rtl w:val="true"/>
        </w:rPr>
        <w:t xml:space="preserve">. </w:t>
      </w:r>
      <w:r>
        <w:rPr>
          <w:rtl w:val="true"/>
        </w:rPr>
        <w:t>التمييز بكون البحث عقلياً</w:t>
      </w:r>
      <w:bookmarkEnd w:id="391"/>
    </w:p>
    <w:p>
      <w:pPr>
        <w:pStyle w:val="BookText"/>
        <w:rPr/>
      </w:pPr>
      <w:r>
        <w:rPr>
          <w:rFonts w:ascii="Amiri" w:hAnsi="Amiri" w:eastAsia="Amiri" w:cs="Amiri"/>
          <w:color w:val="111111"/>
          <w:sz w:val="28"/>
          <w:sz w:val="28"/>
          <w:szCs w:val="28"/>
          <w:rtl w:val="true"/>
          <w:lang w:bidi="ar-SA"/>
        </w:rPr>
        <w:t>الفرق بين المسألتين هو انّ ملاك البحث في المقام عقلي حيث يبحث في جواز الاجتماع و عدمه عقلاً، و في المسألة الآتية لفظي حيث يبحث في دلالة النهي على الفساد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البحث هناك لا يختصّ باللفظ، بل يعمّ ما إذا كان الدالّ عليه، هو الدليل اللّبي كالعقل و الإجماع، انّ مثل هذا الاختلاف لا يصير سبباً لتعدّدها، لأنّ اختلاف طريق إثباتها لا يجعل المسألة الواحدة، مسألتين</w:t>
      </w:r>
      <w:r>
        <w:rPr>
          <w:rFonts w:eastAsia="Amiri" w:cs="Amiri" w:ascii="Amiri" w:hAnsi="Amiri"/>
          <w:color w:val="111111"/>
          <w:sz w:val="28"/>
          <w:szCs w:val="28"/>
          <w:rtl w:val="true"/>
          <w:lang w:bidi="ar-SA"/>
        </w:rPr>
        <w:t>.</w:t>
      </w:r>
    </w:p>
    <w:p>
      <w:pPr>
        <w:pStyle w:val="Heading5"/>
        <w:numPr>
          <w:ilvl w:val="4"/>
          <w:numId w:val="1"/>
        </w:numPr>
        <w:rPr/>
      </w:pPr>
      <w:bookmarkStart w:id="392" w:name="__RefHeading___Toc7304858_3381743652"/>
      <w:bookmarkStart w:id="393" w:name="_Toc150"/>
      <w:bookmarkEnd w:id="392"/>
      <w:r>
        <w:rPr>
          <w:rtl w:val="true"/>
        </w:rPr>
        <w:t>الأمر الخامس</w:t>
      </w:r>
      <w:r>
        <w:rPr>
          <w:rtl w:val="true"/>
        </w:rPr>
        <w:t xml:space="preserve">: </w:t>
      </w:r>
      <w:r>
        <w:rPr>
          <w:rtl w:val="true"/>
        </w:rPr>
        <w:t>المسألة أُصولية</w:t>
      </w:r>
      <w:bookmarkEnd w:id="393"/>
    </w:p>
    <w:p>
      <w:pPr>
        <w:pStyle w:val="Heading6"/>
        <w:numPr>
          <w:ilvl w:val="5"/>
          <w:numId w:val="1"/>
        </w:numPr>
        <w:rPr/>
      </w:pPr>
      <w:bookmarkStart w:id="394" w:name="__RefHeading___Toc7304860_3381743652"/>
      <w:bookmarkStart w:id="395" w:name="_Toc151"/>
      <w:bookmarkEnd w:id="394"/>
      <w:r>
        <w:rPr>
          <w:rtl w:val="true"/>
        </w:rPr>
        <w:t>اشارة</w:t>
      </w:r>
      <w:bookmarkEnd w:id="39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اختلفت كلمة علماء الأُصول في حقيقة هذه المسألة إلى أقوال</w:t>
      </w:r>
      <w:r>
        <w:rPr>
          <w:rFonts w:eastAsia="Amiri" w:cs="Amiri" w:ascii="Amiri" w:hAnsi="Amiri"/>
          <w:color w:val="111111"/>
          <w:sz w:val="28"/>
          <w:szCs w:val="28"/>
          <w:rtl w:val="true"/>
          <w:lang w:bidi="ar-SA"/>
        </w:rPr>
        <w:t xml:space="preserve">: </w:t>
      </w:r>
      <w:bookmarkStart w:id="396" w:name="pg14356_186757"/>
    </w:p>
    <w:p>
      <w:pPr>
        <w:pStyle w:val="BookText"/>
        <w:rPr/>
      </w:pPr>
      <w:bookmarkEnd w:id="39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مسألة أُصولية،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كلامية،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مبادئ الأحكام،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فقهية،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المبادئ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تبيين هذه الأقوال مع نقدها</w:t>
      </w:r>
      <w:r>
        <w:rPr>
          <w:rFonts w:eastAsia="Amiri" w:cs="Amiri" w:ascii="Amiri" w:hAnsi="Amiri"/>
          <w:color w:val="111111"/>
          <w:sz w:val="28"/>
          <w:szCs w:val="28"/>
          <w:rtl w:val="true"/>
          <w:lang w:bidi="ar-SA"/>
        </w:rPr>
        <w:t>.</w:t>
      </w:r>
    </w:p>
    <w:p>
      <w:pPr>
        <w:pStyle w:val="Heading6"/>
        <w:numPr>
          <w:ilvl w:val="5"/>
          <w:numId w:val="1"/>
        </w:numPr>
        <w:rPr/>
      </w:pPr>
      <w:bookmarkStart w:id="397" w:name="__RefHeading___Toc7304862_3381743652"/>
      <w:bookmarkStart w:id="398" w:name="_Toc152"/>
      <w:bookmarkEnd w:id="397"/>
      <w:r>
        <w:rPr/>
        <w:t>1</w:t>
      </w:r>
      <w:r>
        <w:rPr>
          <w:rtl w:val="true"/>
        </w:rPr>
        <w:t xml:space="preserve">. </w:t>
      </w:r>
      <w:r>
        <w:rPr>
          <w:rtl w:val="true"/>
        </w:rPr>
        <w:t>المسألة أُصولية</w:t>
      </w:r>
      <w:bookmarkEnd w:id="398"/>
    </w:p>
    <w:p>
      <w:pPr>
        <w:pStyle w:val="BookText"/>
        <w:rPr/>
      </w:pPr>
      <w:r>
        <w:rPr>
          <w:rFonts w:ascii="Amiri" w:hAnsi="Amiri" w:eastAsia="Amiri" w:cs="Amiri"/>
          <w:color w:val="111111"/>
          <w:sz w:val="28"/>
          <w:sz w:val="28"/>
          <w:szCs w:val="28"/>
          <w:rtl w:val="true"/>
          <w:lang w:bidi="ar-SA"/>
        </w:rPr>
        <w:t>المشهور انّ هذه المسألة مسألة أُصولية لوجود ملاكها فيها و هو صحّة وقوع نتيجتها كبرى للاستنباط، فانّها على القول بجواز الاجتماع يُستنبط منها صحّة الصلاة، كما أنّها كذلك على القول بالامتناع مع تقديم جانب الأمر، و أمّا على القول بالامتناع و تقديم جانب النهي فيترتّب عليه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قلنا بأنّ موضوع علم الأُصول هو الحجّة في الفقه، فالمسألة أُصولية أيضاً لما عرفت من أنّ البحث عن العوارض التحليلية بحث عن عوارض الموضوع، و المراد من العوارض التحليلية هو تعيّنات الموضوع و تشخّصاته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الفقيه عالم بوجود الحجّة بينه و بين ربّه و لكن لا يعلمها على وجه التحديد، فالبحث في علم الأُصول بحث عن تعيّن الحجّة بخبر الواحد و نظائره، و مثله المقام فالكلام في تشخيص ما هو الحجّة عند اجتماع الأمر و النهي فهل هناك حجّتان أو حجّة واحدة؟ و على الثاني فهل هي الأمر بالصلاة أو النهي عن الغصب؟</w:t>
      </w:r>
    </w:p>
    <w:p>
      <w:pPr>
        <w:pStyle w:val="Heading6"/>
        <w:numPr>
          <w:ilvl w:val="5"/>
          <w:numId w:val="1"/>
        </w:numPr>
        <w:rPr/>
      </w:pPr>
      <w:bookmarkStart w:id="399" w:name="__RefHeading___Toc7304864_3381743652"/>
      <w:bookmarkStart w:id="400" w:name="_Toc153"/>
      <w:bookmarkEnd w:id="399"/>
      <w:r>
        <w:rPr>
          <w:rtl w:val="true"/>
        </w:rPr>
        <w:t>الإشكال على كون المسألة أُصولية</w:t>
      </w:r>
      <w:bookmarkEnd w:id="40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أورد المحقّق النائيني على كون المسألة أُصولية بأنّ فساد العبادة لا يترتّب على مجرّد القول بالامتناع، بل القول بالامتناع يوجب دخول دليلي الوجوب </w:t>
      </w:r>
    </w:p>
    <w:p>
      <w:pPr>
        <w:pStyle w:val="BookText"/>
        <w:rPr/>
      </w:pPr>
      <w:r>
        <w:rPr>
          <w:rFonts w:ascii="Amiri" w:hAnsi="Amiri" w:eastAsia="Amiri" w:cs="Amiri"/>
          <w:color w:val="111111"/>
          <w:sz w:val="28"/>
          <w:sz w:val="28"/>
          <w:szCs w:val="28"/>
          <w:rtl w:val="true"/>
          <w:lang w:bidi="ar-SA"/>
        </w:rPr>
        <w:t>و الحرمة في باب التعارض و إجراء أحكام التعارض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يستنبط من ذلك حكم فرعي</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بالامتناع لا يكفي في إثبات فساد العبادة، بل يتوقّف على أمر آخر و هو إعمال المرجّحات بتقديم جانب النهي على الأمر، فعند ذلك تفسد العبادة أخذاً بأحد الدليلين و رفض الآخر، فظهر انّ فساد العبادة ليس نتيجة مباشرة للقول بالامتناع، بل لا بدّ بعد القول به من إعمال قواعد التعارض و تقديم جانب النهي على جانب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 المسألة أُصولية ليس رهن ترتّب الأثر على كلتا الصورتين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الإثبات و النفي، بشهادة انّ حجّية خبر الواحد مسألة أُصولية يترتّب الأثر على واحد من طرفي القضية و هو كونه حجّة دون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فيكفي في عدّ المسألة أُصولية ترتّب أثر الصحة على القول بالاجتماع و إن لم يكن على القول بالامتناع أثر شرعي حسب افتراضه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كون المسألة أُصولية أن تكون المسألة سبباً تامّاً لاستنباط الحكم الشرعي، بل ربّما يتوقّف استنباط الحكم الشرعي على ضم مسألة أُخرى إلى المسألة الأُولى حتّى يستنبط منها الحكم الشرعي و ذلك كحجّية خبر الواحد التي لا يستنبط منها الحكم الشرعي ما لم تنضم إليها مسألة أُخرى باسم حجّية 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فلا مانع من جعل المسألة أُصولية و ان توقّف ترتّب الأثر على القول بالامتناع على إعمال قواعد التعارض</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المتبادر من كلام المحقّق النائيني انّ المسألة من باب التزاحم على </w:t>
      </w:r>
      <w:bookmarkStart w:id="401" w:name="pg14356_186759"/>
    </w:p>
    <w:p>
      <w:pPr>
        <w:pStyle w:val="BookText"/>
        <w:rPr/>
      </w:pPr>
      <w:bookmarkEnd w:id="401"/>
      <w:r>
        <w:rPr>
          <w:rFonts w:ascii="Amiri" w:hAnsi="Amiri" w:eastAsia="Amiri" w:cs="Amiri"/>
          <w:color w:val="111111"/>
          <w:sz w:val="28"/>
          <w:sz w:val="28"/>
          <w:szCs w:val="28"/>
          <w:rtl w:val="true"/>
          <w:lang w:bidi="ar-SA"/>
        </w:rPr>
        <w:t>القول بالاجتماع، و من باب التعارض على القول بالامتناع، و لكنّه رأي شاذ فإنّ الظاهر من الأُصوليين انّه على القول بالاجتماع لا تزاحم و لا تعارض، و أمّا على القول بالامتناع فهناك تزاحم لا تعارض، و لأجل ذلك يجب أن يلجأ الامتناعي إلى إعمال مرجّحات باب التزاحم لا التعارض، و سيوافيك شرحه عند البحث عن الأمر الثامن للمحقّق الخراساني</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7304866_3381743652"/>
      <w:bookmarkStart w:id="403" w:name="_Toc154"/>
      <w:bookmarkEnd w:id="402"/>
      <w:r>
        <w:rPr/>
        <w:t>2</w:t>
      </w:r>
      <w:r>
        <w:rPr>
          <w:rtl w:val="true"/>
        </w:rPr>
        <w:t xml:space="preserve">. </w:t>
      </w:r>
      <w:r>
        <w:rPr>
          <w:rtl w:val="true"/>
        </w:rPr>
        <w:t>مسألة كلامية</w:t>
      </w:r>
      <w:bookmarkEnd w:id="403"/>
    </w:p>
    <w:p>
      <w:pPr>
        <w:pStyle w:val="BookText"/>
        <w:rPr/>
      </w:pPr>
      <w:r>
        <w:rPr>
          <w:rFonts w:ascii="Amiri" w:hAnsi="Amiri" w:eastAsia="Amiri" w:cs="Amiri"/>
          <w:color w:val="111111"/>
          <w:sz w:val="28"/>
          <w:sz w:val="28"/>
          <w:szCs w:val="28"/>
          <w:rtl w:val="true"/>
          <w:lang w:bidi="ar-SA"/>
        </w:rPr>
        <w:t>إنّ المسألة كلامية، لأنّ الأمر و النهي من الأُمور الواقعية، فالبحث هو عن جواز اجتماعهما و امتناعه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النائيني بأنّ علم الكلام هو العلم المتكفّل لبيان حقائق الأشياء من واجباتها و ممكناتها و ممتنعاتها، و ليس البحث في المقام عن جواز الاجتماع و امتناعه، بل البحث عن وجود الاجتماع و عدمه</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و لا يخفى ضعف الاستدلال و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علم الكلام، هو العلم الباحث عن ذاته سبحانه، و صفاته و أفعاله، حتّى أنّ البحث عن النبوّات العامّة و الخاصّة و الإمامة و المعاد، بحث عن أفعاله سبحانه، و انّه هل يجب عليه بعث الأنبياء، أو نصب الإمام أو احياء المكلّفين للجزاء أو لا؟ و أمّا البحث عن الجواز و الامتناع كما في كلام المستدل، أو البحث عن حقائق الأشياء من واجباتها و ممكناتها و ممتنعاتها كما في كلام المستشكل فلا صلة لهما بعلم الكلام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أردنا جعلها في عداد المسائل الكلامية لوجب تغيير عنوان المسألة بأن </w:t>
      </w:r>
      <w:bookmarkStart w:id="404" w:name="pg14356_186760"/>
    </w:p>
    <w:p>
      <w:pPr>
        <w:pStyle w:val="BookText"/>
        <w:rPr/>
      </w:pPr>
      <w:bookmarkEnd w:id="404"/>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على اللّه أن يأمر بعنوان و ينهى عن عنوان آخر، متصادقين في أمر واحد أو لا؟ و لكن الملاك في عدّ المسألة من مسائل علم ما، هو العنوان الموجود في الكتب لا المحرّف منه</w:t>
      </w:r>
      <w:r>
        <w:rPr>
          <w:rFonts w:eastAsia="Amiri" w:cs="Amiri" w:ascii="Amiri" w:hAnsi="Amiri"/>
          <w:color w:val="111111"/>
          <w:sz w:val="28"/>
          <w:szCs w:val="28"/>
          <w:rtl w:val="true"/>
          <w:lang w:bidi="ar-SA"/>
        </w:rPr>
        <w:t>.</w:t>
      </w:r>
    </w:p>
    <w:p>
      <w:pPr>
        <w:pStyle w:val="Heading6"/>
        <w:numPr>
          <w:ilvl w:val="5"/>
          <w:numId w:val="1"/>
        </w:numPr>
        <w:rPr/>
      </w:pPr>
      <w:bookmarkStart w:id="405" w:name="__RefHeading___Toc7304868_3381743652"/>
      <w:bookmarkStart w:id="406" w:name="_Toc155"/>
      <w:bookmarkEnd w:id="405"/>
      <w:r>
        <w:rPr/>
        <w:t>3</w:t>
      </w:r>
      <w:r>
        <w:rPr>
          <w:rtl w:val="true"/>
        </w:rPr>
        <w:t xml:space="preserve">. </w:t>
      </w:r>
      <w:r>
        <w:rPr>
          <w:rtl w:val="true"/>
        </w:rPr>
        <w:t>من مبادئ الأحكام</w:t>
      </w:r>
      <w:bookmarkEnd w:id="406"/>
    </w:p>
    <w:p>
      <w:pPr>
        <w:pStyle w:val="BookText"/>
        <w:rPr/>
      </w:pPr>
      <w:r>
        <w:rPr>
          <w:rFonts w:ascii="Amiri" w:hAnsi="Amiri" w:eastAsia="Amiri" w:cs="Amiri"/>
          <w:color w:val="111111"/>
          <w:sz w:val="28"/>
          <w:sz w:val="28"/>
          <w:szCs w:val="28"/>
          <w:rtl w:val="true"/>
          <w:lang w:bidi="ar-SA"/>
        </w:rPr>
        <w:t>و ربّما يظهر من بعض الأُصوليين انّها من مبادئ الأحكام حيث يبحث فيها عن أحوال الأحكام الخمسة و أوصافها، فيبحث عن إمكان اجتماع الوجوب و الحرمة في شيء واحد أو لا، و انّه هل هناك مطاردة بين الوجوب و الحرمة أو لا؟ و أورد عليه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مبادئ الأحكام راجعة إلى المبادئ التصوّرية أو المبادئ التصديقية، و ذلك لأنّه إن أُريد تصوّر نفس الأحكام كالوجوب و الحرمة و نحوهما فهو من المبادئ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يعني من المبادئ التصورية إلاّ تصوّر الموضوع و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هنا الأخير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منها ما يوجب التصديق بثبوت حكم أو نفيه فهي من المبادئ التصديقية لعلم الفقه، و علم الأُصول كلّه مبادئ تصديقية لعلم الفقه، و بفضل هذه المسألة نجزم بحكم الصلاة في الدار المغصوبة</w:t>
      </w:r>
      <w:r>
        <w:rPr>
          <w:rFonts w:eastAsia="Amiri" w:cs="Amiri" w:ascii="Amiri" w:hAnsi="Amiri"/>
          <w:color w:val="111111"/>
          <w:sz w:val="28"/>
          <w:szCs w:val="28"/>
          <w:rtl w:val="true"/>
          <w:lang w:bidi="ar-SA"/>
        </w:rPr>
        <w:t>.</w:t>
      </w:r>
      <w:r>
        <w:rPr>
          <w:rStyle w:val="FootnoteAnchor"/>
          <w:rtl w:val="true"/>
        </w:rPr>
        <w:footnoteReference w:id="88"/>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مبادئ الأحكام من مصطلحات القدماء في خصوص علم الفقه، و المراد منها لا هذا و لا ذاك، بل شيء ثالث و هو البحث عن ماهية الأحكام الخمسة و ملازماتها كالبحث في أنّ الوجوب و الاستحباب بسيطان أو مركبان، و البحث عن اقتضاء وجوب شيء وجوبَ مقدمته، أو حرمته حرمتَها، و في المقام يعود البحث إلى استلزام وجوب الشيء عدمَ حرمته أو بالعكس فيما إذا </w:t>
      </w:r>
      <w:bookmarkStart w:id="407" w:name="pg14356_186761"/>
    </w:p>
    <w:p>
      <w:pPr>
        <w:pStyle w:val="BookText"/>
        <w:rPr/>
      </w:pPr>
      <w:bookmarkEnd w:id="407"/>
      <w:r>
        <w:rPr>
          <w:rFonts w:ascii="Amiri" w:hAnsi="Amiri" w:eastAsia="Amiri" w:cs="Amiri"/>
          <w:color w:val="111111"/>
          <w:sz w:val="28"/>
          <w:sz w:val="28"/>
          <w:szCs w:val="28"/>
          <w:rtl w:val="true"/>
          <w:lang w:bidi="ar-SA"/>
        </w:rPr>
        <w:t>تصادق العنوانان في مورد واحد، فالبحث كلّه يرجع إلى الأحكام الخمسة بصور مختلفة، فلو كان علم الفقه باحثاً عن عوارض فعل المكلّف التي هي الأحكام الخمسة فالمبادئ الأحكامية تبحث عن حالات تلك العوارض التي تعرض فعل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يلاحظ على صاحب النظرية انّ الملاك في جعل المسألة من باب هو عنوانها المعروف في الكتب، و ليس هو إلاّ جواز اجتماع الأمر و النهي في شيء واحد، دون مطاردة الوجوب الحرمة أو بالعكس، فانّ البحث على هذا العنوان يوجب تغيير عنوان المسألة المعروفة من الكتب</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7304870_3381743652"/>
      <w:bookmarkStart w:id="409" w:name="_Toc156"/>
      <w:bookmarkEnd w:id="408"/>
      <w:r>
        <w:rPr/>
        <w:t>4</w:t>
      </w:r>
      <w:r>
        <w:rPr>
          <w:rtl w:val="true"/>
        </w:rPr>
        <w:t xml:space="preserve">. </w:t>
      </w:r>
      <w:r>
        <w:rPr>
          <w:rtl w:val="true"/>
        </w:rPr>
        <w:t>مسألة فقهية</w:t>
      </w:r>
      <w:bookmarkEnd w:id="409"/>
    </w:p>
    <w:p>
      <w:pPr>
        <w:pStyle w:val="BookText"/>
        <w:rPr/>
      </w:pPr>
      <w:r>
        <w:rPr>
          <w:rFonts w:ascii="Amiri" w:hAnsi="Amiri" w:eastAsia="Amiri" w:cs="Amiri"/>
          <w:color w:val="111111"/>
          <w:sz w:val="28"/>
          <w:sz w:val="28"/>
          <w:szCs w:val="28"/>
          <w:rtl w:val="true"/>
          <w:lang w:bidi="ar-SA"/>
        </w:rPr>
        <w:t>و جعل بعضهم مسألة جواز الاجتماع أو الامتناع من المسائل الفقهية قائلاً بأنّ البحث يرجع إلى صحّة الصلاة و فسادها عند الإتيان بها في المكان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نتيجة المسألة و ليس أصلها، و المحمول في المسألة جواز الاجتماع و عدمه لا صحّة الصلاة و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نتيجة البحث لا تختص بباب الصلاة، بل تعم الحجّ و الاعتكاف و غيرها</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7304872_3381743652"/>
      <w:bookmarkStart w:id="411" w:name="_Toc157"/>
      <w:bookmarkEnd w:id="410"/>
      <w:r>
        <w:rPr/>
        <w:t>5</w:t>
      </w:r>
      <w:r>
        <w:rPr>
          <w:rtl w:val="true"/>
        </w:rPr>
        <w:t xml:space="preserve">. </w:t>
      </w:r>
      <w:r>
        <w:rPr>
          <w:rtl w:val="true"/>
        </w:rPr>
        <w:t>من المبادئ التصديقية</w:t>
      </w:r>
      <w:bookmarkEnd w:id="41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المحقّق النائيني إلى أنّ المسألة من المبادئ التصديقية، و قد ذهب إليه عند ما ردّ على أُصولية المسألة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فساد العبادة لا يترتّب على القول </w:t>
      </w:r>
    </w:p>
    <w:p>
      <w:pPr>
        <w:pStyle w:val="BookText"/>
        <w:rPr/>
      </w:pPr>
      <w:r>
        <w:rPr>
          <w:rFonts w:ascii="Amiri" w:hAnsi="Amiri" w:eastAsia="Amiri" w:cs="Amiri"/>
          <w:color w:val="111111"/>
          <w:sz w:val="28"/>
          <w:sz w:val="28"/>
          <w:szCs w:val="28"/>
          <w:rtl w:val="true"/>
          <w:lang w:bidi="ar-SA"/>
        </w:rPr>
        <w:t>بالامتناع مباشرة، بل يجب أن ينضم إلى القول بالامتناع شيء آخر و هو فرض المورد من باب التعارض و إجراء أحكامه على العبادة، و يستنبط من الجميع حكم فرعي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الأُصولية عبارة عمّا يستنبط بها حكم فرعي من دون حاجة إلى ضم نتيجتها إلى قاعدة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فإذن ليس للمسألة دور، إلاّ أنّ القول بالامتناع يحقّق موضوعاً للتعارض، كما أنّ القول بالاجتماع يحقق موضوعاً للتزاحم، و من المعلوم أنّ البحث عن أحكام التعارض و التزاحم مسألة أُصولية، لكن البحث عن وجود التعارض أو التزاحم بحث عن المبادئ التصديقية</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فالإنصاف انّ البحث في المسألة أشبه بالبحث عن المبادئ التصديقية لرجوع البحث فيه إلى البحث عمّا يقتضي وجود الموضوع لمسألة التعارض و التزاحم</w:t>
      </w:r>
      <w:r>
        <w:rPr>
          <w:rFonts w:eastAsia="Amiri" w:cs="Amiri" w:ascii="Amiri" w:hAnsi="Amiri"/>
          <w:color w:val="111111"/>
          <w:sz w:val="28"/>
          <w:szCs w:val="28"/>
          <w:rtl w:val="true"/>
          <w:lang w:bidi="ar-SA"/>
        </w:rPr>
        <w:t>.</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تسمية هذه المسألة بالمبادئ التصديقية تسمية خاطئة، فانّها عبارة عن المقدّمات التي يتوقّف عليها الجزم بالنسب الموجودة في مسائل العلم، كشعر امرئ القيس في علم النحو حيث يثبت به القواعد النحوية، أو البراهين التي يتوقّف عليها إثبات النسبة في المسألة الهندسية ككون زوايا المثلث تساوي زاويتين قائمتين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هو المراد من المبادئ التصديقية فليست هذه المسألة سبباً للإذعان بالنسب في المسائل الأُصولية، بل هي من المبادئ التصوّرية لإثبات وجود موضوع المسائل و هو انّ المقام على الاجتماع حسب فرضه من باب </w:t>
      </w:r>
      <w:bookmarkStart w:id="412" w:name="pg14356_186763"/>
    </w:p>
    <w:p>
      <w:pPr>
        <w:pStyle w:val="BookText"/>
        <w:rPr/>
      </w:pPr>
      <w:bookmarkEnd w:id="412"/>
      <w:r>
        <w:rPr>
          <w:rFonts w:ascii="Amiri" w:hAnsi="Amiri" w:eastAsia="Amiri" w:cs="Amiri"/>
          <w:color w:val="111111"/>
          <w:sz w:val="28"/>
          <w:sz w:val="28"/>
          <w:szCs w:val="28"/>
          <w:rtl w:val="true"/>
          <w:lang w:bidi="ar-SA"/>
        </w:rPr>
        <w:t>التزاحم، فعلى الفقيه أن يجري فيه قواعد التزاحم، و على الامتناع من باب التعارض فعليه أن يجري مرجّحات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فالتزاحم و التعارض من موضوعات المسائل الأُصولية حيث إنّ كل واحد منها موضوع لأحكام خاصّة فللتزاحم حكم و للتعارض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فنتيجة البحث في المقام تنتهي إلى إثبات التزاحم أو التعارض في المقام و هما من موضوعات المسائل الأُصولية التي لهما من الأحكام و المرجّحات، و إثبات موضوع المسائل، يعد من المبادئ التصوّرية للعلم لا التصديقية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القول بالاجتماع يخرج المسألة عن إطار التزاحم و التّعارض، و أمّا القول بالامتناع في المقام فيدخل المسألة في باب التزاحم لا التعارض، لأنّ المتزاحمين عبارة عمّا إذا كان مورد كلّ دليل مشتملاً على مصلحة ملزمة و المقام كذلك حيث نعلم بوجود المصلحة الملزمة في جانب الفعل أي الصلاة و وجود المفسدة الملزمة للترك لأجل الغصب، غير أنّ المكلّف بسوء الاختيار صار عاجزاً عن الجمع بين المصلحتين فأشبه بما إذا لم يتمكّن من إنقاذ الغريقين</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7304874_3381743652"/>
      <w:bookmarkStart w:id="414" w:name="_Toc158"/>
      <w:bookmarkEnd w:id="413"/>
      <w:r>
        <w:rPr>
          <w:rtl w:val="true"/>
        </w:rPr>
        <w:t>السادس</w:t>
      </w:r>
      <w:r>
        <w:rPr>
          <w:rtl w:val="true"/>
        </w:rPr>
        <w:t xml:space="preserve">: </w:t>
      </w:r>
      <w:r>
        <w:rPr>
          <w:rtl w:val="true"/>
        </w:rPr>
        <w:t>في عموم النزاع لأقسام الأمر و النهي</w:t>
      </w:r>
      <w:bookmarkEnd w:id="414"/>
    </w:p>
    <w:p>
      <w:pPr>
        <w:pStyle w:val="BookText"/>
        <w:rPr/>
      </w:pPr>
      <w:r>
        <w:rPr>
          <w:rFonts w:ascii="Amiri" w:hAnsi="Amiri" w:eastAsia="Amiri" w:cs="Amiri"/>
          <w:color w:val="111111"/>
          <w:sz w:val="28"/>
          <w:sz w:val="28"/>
          <w:szCs w:val="28"/>
          <w:rtl w:val="true"/>
          <w:lang w:bidi="ar-SA"/>
        </w:rPr>
        <w:t>هل النزاع يختص بالايجاب و التحريم النفسيّين، العينيّين، التعيينيّين، أو يعم الغيريّين و الكفائيّين و التخييريّين؟ ذهب صاحب الفصول إلى الأوّل، و المحقّق الخراساني إلى الثاني</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شكّ انّ كلاً من مادّة الأمر و النهي، إذا أطلقت تنصرف إلى ما هو الشائع، أي النفسي العيني و التعييني، كما أنّ مقتضى مقدّمات الحكمة في صيغة الأمر هو كذلك، لأنّ غيرها في مقام الإثبات يحتاج إلى بيان زائد، بخلافها، و قد مرّ </w:t>
      </w:r>
    </w:p>
    <w:p>
      <w:pPr>
        <w:pStyle w:val="BookText"/>
        <w:rPr/>
      </w:pPr>
      <w:r>
        <w:rPr>
          <w:rFonts w:ascii="Amiri" w:hAnsi="Amiri" w:eastAsia="Amiri" w:cs="Amiri"/>
          <w:color w:val="111111"/>
          <w:sz w:val="28"/>
          <w:sz w:val="28"/>
          <w:szCs w:val="28"/>
          <w:rtl w:val="true"/>
          <w:lang w:bidi="ar-SA"/>
        </w:rPr>
        <w:t>توضيح ذلك في المقصد الأوّل عند البحث في دوران الصيغة بين هذه الاحتمالات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أنّ البحث عن جواز اجتماع الأمر و النهي، هل يختصّ بما إذا كان الإيجاب و التحريم نفسيين أو عينيين أو تعيينيين، أو يعمّها و مقابلاتها؟ الظاهر هو العموم، لوجود ملاك البحث في عامّة الأقسام، فالقائل بالامتناع يستدلّ بتضاد الوجوب و الحرمة تارة، و تضاد مبادئهما من الإرادة و الكراهة ثانياً، و إنّ تعدد العنوان، لا يوجب تعدد المعنون ثالثاً، و هذا النوع من الاستدلال جار في عامّة أقسام الأمر و النهي، كما أنّ القائل بالاجتماع يستدلّ بأنّ متعلّق الأمر و النهي متغايران و التصادق في مورد لا يضر بتعدّد المتعلّق في مقام الإنشاء، و الفعلية، من غير فرق بين أقسام الأمر و النهي، و لإيضاح الحال نأتي بمثالين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أمر المولى بالصلاة و الصوم تخييراً، و نهى عن التصرّف في الدار و مجالسة الأشرار كذلك، فالامتثال في جانب الأمر يحصل بإتيان واحدة منهما لكن المخالفة في جانب النهي تتوقف على مخالفتهما معاً، و على ذلك لو صلّى في نفس الدار مع مجالسة الأشرار، يقع الكلام في صحّة الصلاة و الحال هذه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صلّى فيها مع عدم مجالستهم، أو صلّى في غيرها مع مجالستهم، أو صام فيها بلا مجالسة، أو صام مع المجالسة لكن في غيرها، فقد أتى بالواجب دون الحرام، لما عرفت من أنّ الحرام هو الجمع لا الواحد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أمر بالوضوء أو الغسل أو التيمم للصلاة و نهى عن التصرّف في دار معيّنة، فتوضأ أو اغتسل أو تيمّم فيها يقع الكلام فيه كما في غيرها و الأمر بها غيري و لكن النهي نفسي</w:t>
      </w:r>
      <w:r>
        <w:rPr>
          <w:rFonts w:eastAsia="Amiri" w:cs="Amiri" w:ascii="Amiri" w:hAnsi="Amiri"/>
          <w:color w:val="111111"/>
          <w:sz w:val="28"/>
          <w:szCs w:val="28"/>
          <w:rtl w:val="true"/>
          <w:lang w:bidi="ar-SA"/>
        </w:rPr>
        <w:t>.</w:t>
      </w:r>
      <w:bookmarkStart w:id="415" w:name="pg14356_186765"/>
    </w:p>
    <w:p>
      <w:pPr>
        <w:pStyle w:val="Heading5"/>
        <w:numPr>
          <w:ilvl w:val="4"/>
          <w:numId w:val="1"/>
        </w:numPr>
        <w:rPr/>
      </w:pPr>
      <w:bookmarkStart w:id="416" w:name="__RefHeading___Toc7304876_3381743652"/>
      <w:bookmarkStart w:id="417" w:name="_Toc159"/>
      <w:bookmarkEnd w:id="415"/>
      <w:bookmarkEnd w:id="416"/>
      <w:r>
        <w:rPr>
          <w:rtl w:val="true"/>
        </w:rPr>
        <w:t>السابع</w:t>
      </w:r>
      <w:r>
        <w:rPr>
          <w:rtl w:val="true"/>
        </w:rPr>
        <w:t xml:space="preserve">: </w:t>
      </w:r>
      <w:r>
        <w:rPr>
          <w:rtl w:val="true"/>
        </w:rPr>
        <w:t>في لزوم أخذ عنوان المندوحة في النزاع و عدمه</w:t>
      </w:r>
      <w:bookmarkEnd w:id="417"/>
    </w:p>
    <w:p>
      <w:pPr>
        <w:pStyle w:val="BookText"/>
        <w:rPr/>
      </w:pPr>
      <w:r>
        <w:rPr>
          <w:rFonts w:ascii="Amiri" w:hAnsi="Amiri" w:eastAsia="Amiri" w:cs="Amiri"/>
          <w:color w:val="111111"/>
          <w:sz w:val="28"/>
          <w:sz w:val="28"/>
          <w:szCs w:val="28"/>
          <w:rtl w:val="true"/>
          <w:lang w:bidi="ar-SA"/>
        </w:rPr>
        <w:t>هل يلزم أخذ عنوان المندوحة في عنوان النزاع أو لا يلزم؟ فيه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اعتباره في صحّة النزاع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اعتباره فيه كما عليه صاحب الفصول</w:t>
      </w:r>
      <w:r>
        <w:rPr>
          <w:rFonts w:eastAsia="Amiri" w:cs="Amiri" w:ascii="Amiri" w:hAnsi="Amiri"/>
          <w:color w:val="111111"/>
          <w:sz w:val="28"/>
          <w:szCs w:val="28"/>
          <w:rtl w:val="true"/>
          <w:lang w:bidi="ar-SA"/>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كون النزاع صغروياً فلا يعتبر، و كبروياً فيعتبر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كون الابتلاء بسوء الاختيار فلا يعتبر، و ما إذا حصل بدونه فيعتبر، وعليه المحقّق القمي في قوانينه</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الحقّ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بكون النزاع صغروياً، إذ لا دور لوجود المندوحة في أساس القولين، و هو انّ تعدد العنوان هل يوجب تعدد المعنون أو لا؟ كما في تعبير المحقّق الخراساني، أو تركيب المقولات تركيب اتحادي أو انضمامي، كما في تعبير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الحركة الصلاتية غير الحركة الغصبية لأجل انّ تعدّد العنوان يوجب تعدّد المعنون أو لأجل تركيب المقولات، انضمامياً لا اتحادياً، أو لا؟ بناء على أنّ تعدد العنوان لا يوجب تعدّد المعنون، أو تركيب المقولات، تركيب اتحاديّ، و الجزم بأحد الطرفين لا يتوقف على وجود المندوحة و عدمه في المورد، فسواء أ كان المكان منحصراً بالمغصوب أو متعدداً، فالعقل إمّا يحكم بالوحدة أو التعدد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فعلية النهي تتوقّف على وجود المندوحة حتى لا يلزم الأمر بالمحال، سواء أ كان هناك أمر أو لا، إذ لا يصلح النهي جداً عن المغصوب حتى يتمكّن </w:t>
      </w:r>
    </w:p>
    <w:p>
      <w:pPr>
        <w:pStyle w:val="BookText"/>
        <w:rPr/>
      </w:pPr>
      <w:r>
        <w:rPr>
          <w:rFonts w:ascii="Amiri" w:hAnsi="Amiri" w:eastAsia="Amiri" w:cs="Amiri"/>
          <w:color w:val="111111"/>
          <w:sz w:val="28"/>
          <w:sz w:val="28"/>
          <w:szCs w:val="28"/>
          <w:rtl w:val="true"/>
          <w:lang w:bidi="ar-SA"/>
        </w:rPr>
        <w:t>الإنسان من تركه فالمحبوس في مكان مغصوب، مأمور بالصلاة، و ليس منهيّاً عن الغصب فعلاً و إن كان منهيّاً عنه 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صاحب الفصول خلط بين مقام التكليف المحال، و التكليف بالمحال، فلو كان متعلّق الأمر نفس متعلّق النهي، يكون التكليف محالاً سواء أ كان هناك مندوحة أم لا، لاستحالة انقداح الإرادة و الكراهة في النفس مع وحدة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تجاوزنا عن ذلك المحذور و قلنا بتعدّد المتعلّق و كان التكليف ممكناً، يأتي الكلام في كون المكلّف به ممكناً، و عندئذ يشترط وجود المندوحة، و إلاّ فالتكليف و إن كان ممكناً، لكن المكلّف به يكون أمراً محالاً، لافتراض انحصار المكان بالمغصوب، و بذلك يظهر صحّة قول المحقّق الخراساني و ضعف قول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التفصيل بين كون النزاع صغروياً فلا يشترط وجود المندوحة، و ذلك لما في كلام المحقّق الخراساني من أنّ ملاك النزاع، و صحته لا يتوقّف على وجود المندوحة، لأنّ البحث يرجع إلى أمر تكويني و بحث فلسفي فانحصار المكان في المغصوب و عدمه، لا يؤثر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إذا كان البحث كبرويّاً فانّ تجويز اجتماع حكمين فعليين في مورد واحد، باعتبار انطباق عنوانين عليه فرع وجود المندوحة و التمكّن من إقامة الصلاة في غير المكان المغصوب، و إلاّ فلو كان مضطرّاً فلا محيص من سقوط أحد الحكمين، إمّا وجوب الصلاة أو حرمة الغصب، فالتحفّظ على فعلية الحكمين يستدعي وجود المندوحة و السعة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لزوم وجود المندوحة ليس من آثار اجتماع الحكمين </w:t>
      </w:r>
      <w:bookmarkStart w:id="418" w:name="pg14356_186767"/>
    </w:p>
    <w:p>
      <w:pPr>
        <w:pStyle w:val="BookText"/>
        <w:rPr/>
      </w:pPr>
      <w:bookmarkEnd w:id="418"/>
      <w:r>
        <w:rPr>
          <w:rFonts w:ascii="Amiri" w:hAnsi="Amiri" w:eastAsia="Amiri" w:cs="Amiri"/>
          <w:color w:val="111111"/>
          <w:sz w:val="28"/>
          <w:sz w:val="28"/>
          <w:szCs w:val="28"/>
          <w:rtl w:val="true"/>
          <w:lang w:bidi="ar-SA"/>
        </w:rPr>
        <w:t>الفعليين في مورد واحد، بل من آثار نفس النهي، سواء أ كان هناك اجتماع أم لا، إذ التكليف مطلقاً مجرّداً أو مقروناً بآخر يطلب لنفسه الاستطاعة و القدرة كسائر الشرائط العامّة، و مع عدمها، يصبح التكليف تكليفاً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قول المحقّق القمي فسيوافيك الكلام فيه في التنبيه الأوّل من تنبيهات المسألة</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7304878_3381743652"/>
      <w:bookmarkStart w:id="420" w:name="_Toc160"/>
      <w:bookmarkEnd w:id="419"/>
      <w:r>
        <w:rPr>
          <w:rtl w:val="true"/>
        </w:rPr>
        <w:t>الثامن</w:t>
      </w:r>
      <w:r>
        <w:rPr>
          <w:rtl w:val="true"/>
        </w:rPr>
        <w:t xml:space="preserve">: </w:t>
      </w:r>
      <w:r>
        <w:rPr>
          <w:rtl w:val="true"/>
        </w:rPr>
        <w:t>صحّة النزاع على كلا الرأيين في متعلّق الأحكام</w:t>
      </w:r>
      <w:bookmarkEnd w:id="420"/>
    </w:p>
    <w:p>
      <w:pPr>
        <w:pStyle w:val="Heading6"/>
        <w:numPr>
          <w:ilvl w:val="5"/>
          <w:numId w:val="1"/>
        </w:numPr>
        <w:rPr/>
      </w:pPr>
      <w:bookmarkStart w:id="421" w:name="__RefHeading___Toc7304880_3381743652"/>
      <w:bookmarkStart w:id="422" w:name="_Toc161"/>
      <w:bookmarkEnd w:id="421"/>
      <w:r>
        <w:rPr>
          <w:rtl w:val="true"/>
        </w:rPr>
        <w:t>اشارة</w:t>
      </w:r>
      <w:bookmarkEnd w:id="422"/>
    </w:p>
    <w:p>
      <w:pPr>
        <w:pStyle w:val="BookText"/>
        <w:rPr/>
      </w:pPr>
      <w:r>
        <w:rPr>
          <w:rFonts w:ascii="Amiri" w:hAnsi="Amiri" w:eastAsia="Amiri" w:cs="Amiri"/>
          <w:color w:val="111111"/>
          <w:sz w:val="28"/>
          <w:sz w:val="28"/>
          <w:szCs w:val="28"/>
          <w:rtl w:val="true"/>
          <w:lang w:bidi="ar-SA"/>
        </w:rPr>
        <w:t>قد مرّ في المقصد الأوّل أنّ في متعلّق الأوامر و النواهي 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تعلّقها بالطبائع و المفاهيم المجردة عن كلّ قيد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تعلّقها بالافراد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عندئذ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جواز اجتماع الأمر و النهي في شيء واحد، هل يطرح على كلا القولين أو لا؟ 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آراء و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النزاع مبني على القول بتعلّق الأحكام بالطبائع، و أمّا على القول بتعلّقها بالأفراد فلا مجال للبحث بل يتعيّن الامتناع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القول بالجواز مبنيّ على القول بتعلّقها بالطبائع، و القول بالامتناع مبنيّ على القول بتعلّقها بالأفراد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النزاع على كلا الرأيين، و هذا مذهب المحقّق الخراساني، فلا القول بتعلّقها بالطبائع يلازم القول بالجواز، و لا القول بتعلّقها بالأفراد يلازم القول بالامتناع</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قلنا بأنّ تعدّد العنوان لا يوجب تعدّد المعنون، فالامتناع هو </w:t>
      </w:r>
    </w:p>
    <w:p>
      <w:pPr>
        <w:pStyle w:val="BookText"/>
        <w:rPr/>
      </w:pPr>
      <w:r>
        <w:rPr>
          <w:rFonts w:ascii="Amiri" w:hAnsi="Amiri" w:eastAsia="Amiri" w:cs="Amiri"/>
          <w:color w:val="111111"/>
          <w:sz w:val="28"/>
          <w:sz w:val="28"/>
          <w:szCs w:val="28"/>
          <w:rtl w:val="true"/>
          <w:lang w:bidi="ar-SA"/>
        </w:rPr>
        <w:t>المتعيّن حتّى على القول بتعلّق الأحكام بالطبائع، و ذلك لأنّ الطبيعتين و إن كانتا متغايرتين مفهوماً لكنّهما متحدتان وجوداً و خارجاً، فيلزم أن يكون الشيء الواحد متعلقاً بحكمين 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قلنا بأنّ تعدّد العنوان يوجب تعدّد المعنون، فالجواز لا غبار عليه، حتى على القول بتعلّقها بالأفراد، و ذلك لأنّ الحكمين و إن تعلّقا بالفرد الخارجي لكنّه لمّا كان معنوناً بعنوانين يكون فرداً لكلّ من الطبيعتين، و مجمعاً لفردين موجودين بوجود واحد، و يكون بما انّه فرد لهذا العنوان متعلّقاً للوجوب، و بما انّه مصداق لعنوان آخر متعلّقاً للنهي، فهو على وحدته وجوداً يكون اثنين لكونه مصداقاً للطبيعتين</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يلاحظ على القولين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مبنيّان على تفسير الفرد في متعلّق الأحكام، بالفرد المنطقي و هو الجزئي الخارجي، و عندئذ يصحّ القولان بأنّ النزاع في الجواز و الامتناع مبنيّ على القول بتعلّقها بالطبائع، و أمّا على القول بتعلّقها بالفرد، فالقول بالامتناع متعيّن، أو انّ الجواز مبنيّ على القول بتعلّق الأحكام بالطبائع، و الامتناع مبنيّ على القول بتعلّقها بالأفراد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لكنّك خبير أنّ الفرد بهذا المعنى، لا يعقل أن يكون متعلّقاً للحكم، لأنّه قبل الوجود لا يوصف بالفرديّة، و بعده فهو ظرف سقوط الحكم بالطاعة أو بالمعصية، بل المراد من الفرد في متعلّق الأحكام هو الفرد الأُصولي، و المراد، هو الطبيعة مع ملازماتها و مقارناتها، و المراد من الملازمات هو ما لا يفارقها كالتأيّن بأين، و التحيّن بالزّمان و غير ذلك، كما أنّ المراد من المقارنات ما يصاحبها تارة و يفارقها أُخرى، كالغصب بالنسبة إلى الصلاة، و يعبّر عن ملازمات الطبيعة </w:t>
      </w:r>
      <w:bookmarkStart w:id="423" w:name="pg14356_186769"/>
    </w:p>
    <w:p>
      <w:pPr>
        <w:pStyle w:val="BookText"/>
        <w:rPr/>
      </w:pPr>
      <w:bookmarkEnd w:id="423"/>
      <w:r>
        <w:rPr>
          <w:rFonts w:ascii="Amiri" w:hAnsi="Amiri" w:eastAsia="Amiri" w:cs="Amiri"/>
          <w:color w:val="111111"/>
          <w:sz w:val="28"/>
          <w:sz w:val="28"/>
          <w:szCs w:val="28"/>
          <w:rtl w:val="true"/>
          <w:lang w:bidi="ar-SA"/>
        </w:rPr>
        <w:t>و مقارناتها، بالمشخّصات الفرديّة، فلو قلنا بتعلّق الأحكام بها، فبما انّها كلي كالطبائع فالواجب الأين الكلّي و الزمان الكلّي، و هكذا فيتأتى النزاع على كلا الرأيين، لأنّ الفرد بهذا المعنى كالطبيعة في الكلية و الشمول و صحّة تعلّق الأمر به</w:t>
      </w:r>
      <w:r>
        <w:rPr>
          <w:rFonts w:eastAsia="Amiri" w:cs="Amiri" w:ascii="Amiri" w:hAnsi="Amiri"/>
          <w:color w:val="111111"/>
          <w:sz w:val="28"/>
          <w:szCs w:val="28"/>
          <w:rtl w:val="true"/>
          <w:lang w:bidi="ar-SA"/>
        </w:rPr>
        <w:t>.</w:t>
      </w:r>
    </w:p>
    <w:p>
      <w:pPr>
        <w:pStyle w:val="Heading6"/>
        <w:numPr>
          <w:ilvl w:val="5"/>
          <w:numId w:val="1"/>
        </w:numPr>
        <w:rPr/>
      </w:pPr>
      <w:bookmarkStart w:id="424" w:name="__RefHeading___Toc7304882_3381743652"/>
      <w:bookmarkStart w:id="425" w:name="_Toc162"/>
      <w:bookmarkEnd w:id="424"/>
      <w:r>
        <w:rPr>
          <w:rtl w:val="true"/>
        </w:rPr>
        <w:t>بيان للمحقّق النائيني حول التفصيل</w:t>
      </w:r>
      <w:bookmarkEnd w:id="425"/>
    </w:p>
    <w:p>
      <w:pPr>
        <w:pStyle w:val="BookText"/>
        <w:rPr/>
      </w:pPr>
      <w:r>
        <w:rPr>
          <w:rFonts w:ascii="Amiri" w:hAnsi="Amiri" w:eastAsia="Amiri" w:cs="Amiri"/>
          <w:color w:val="111111"/>
          <w:sz w:val="28"/>
          <w:sz w:val="28"/>
          <w:szCs w:val="28"/>
          <w:rtl w:val="true"/>
          <w:lang w:bidi="ar-SA"/>
        </w:rPr>
        <w:t>ثمّ إنّ المحقّق النائيني قام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 الفرد، على النحو الذي فسّرناه، و فرّق بين الفرد في مصطلح المنطقيين، و الفرد في مصطلح الأُصوليين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التفصيل الثاني و انّ جواز الاجتماع مبنيّ على القول بتعلّق الأحكام بالطبائع، و الامتناع على القول بالافراد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في أنّ الأمر المتعلّق بالطبيعة، هل يتعلّق بمشخّصاتها الخارجية أو انّها من لوازم الوجود و خارجة عن حيّز الأمر؟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بنينا على تعلّق الأمر بالمشخّصات سواء أ كان الأمر بها استقلالياً أم تبعياً، و كانت نسبة كلّ من المأمور به، و المنهي عنه إلى الآخر نسبة المشخّصات، فلا محالة يكون كلّ منهما محكوماً بحكم الآخر، فيلزم منه اجتماع الحكمين المتضادّين في موضوع واحد، و أمّا إذا بنينا على خروج المشخّصات عن حيّز الطلب فلا يسري الأمر إلى متعلّق النهي، و لا النهي إلى متعلّق الأمر، فيكون القول بالجواز و الامتناع مبنيّاً على القول بتعلّق الأوامر بالطبائع أو الافراد بالضرورة</w:t>
      </w:r>
      <w:r>
        <w:rPr>
          <w:rFonts w:eastAsia="Amiri" w:cs="Amiri" w:ascii="Amiri" w:hAnsi="Amiri"/>
          <w:color w:val="111111"/>
          <w:sz w:val="28"/>
          <w:szCs w:val="28"/>
          <w:rtl w:val="true"/>
          <w:lang w:bidi="ar-SA"/>
        </w:rPr>
        <w:t>.</w:t>
      </w:r>
      <w:r>
        <w:rPr>
          <w:rStyle w:val="FootnoteAnchor"/>
          <w:rtl w:val="true"/>
        </w:rPr>
        <w:footnoteReference w:id="94"/>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يتمّ لو أُريد من المشخّصات الفرديّة ما يعمّ </w:t>
      </w:r>
      <w:bookmarkStart w:id="426" w:name="pg14356_186770"/>
    </w:p>
    <w:p>
      <w:pPr>
        <w:pStyle w:val="BookText"/>
        <w:rPr/>
      </w:pPr>
      <w:bookmarkEnd w:id="426"/>
      <w:r>
        <w:rPr>
          <w:rFonts w:ascii="Amiri" w:hAnsi="Amiri" w:eastAsia="Amiri" w:cs="Amiri"/>
          <w:color w:val="111111"/>
          <w:sz w:val="28"/>
          <w:sz w:val="28"/>
          <w:szCs w:val="28"/>
          <w:rtl w:val="true"/>
          <w:lang w:bidi="ar-SA"/>
        </w:rPr>
        <w:t>الملازمات و المقارنات الاتفاقية كالغصبية بالنسبة إلى الصلاة، و أمّا لو خصصناه، بخصوص الملازمات، أي ما لا ينفك وجود الطبيعة عنها، كالزمان و المكان، لا ما يصاحبه تارة و يفارقه أُخرى، فلا تلزم وحدة المتعلّق، لأنّ النهي تعلّق بالغصب، لا الغصب المصاحَب بالصلاة اتفاقاً، و هكذا الأمر تعلق بالصلاة، لا الصلاة المقارنة بالغصب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يسهل الخطب هو أنّ المشخّصات الفردية غير داخلة في متعلّق الأوامر، لأنّ المولى الحكيم لا يأخذ من متعلّق الحكم إلاّ ما هو دخيل في غرضه، و الدخيل فيه، هو نفس الطبيعة، لا ملازماتها و لا مقارناتها على نحو لو أمكن إيجادها مجرّداً عنها، يعد ممتثلاً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الأُستاذ ذكر لتعلّق الحكم بالفرد صوراً صحح النزاع في بعضها دون بعض، و بما أنّ المبنى غير تام، فلا يهمّنا بيان الصور المختلفة له</w:t>
      </w:r>
      <w:r>
        <w:rPr>
          <w:rFonts w:eastAsia="Amiri" w:cs="Amiri" w:ascii="Amiri" w:hAnsi="Amiri"/>
          <w:color w:val="111111"/>
          <w:sz w:val="28"/>
          <w:szCs w:val="28"/>
          <w:rtl w:val="true"/>
          <w:lang w:bidi="ar-SA"/>
        </w:rPr>
        <w:t>.</w:t>
      </w:r>
    </w:p>
    <w:p>
      <w:pPr>
        <w:pStyle w:val="Heading5"/>
        <w:numPr>
          <w:ilvl w:val="4"/>
          <w:numId w:val="1"/>
        </w:numPr>
        <w:rPr/>
      </w:pPr>
      <w:bookmarkStart w:id="427" w:name="__RefHeading___Toc7304884_3381743652"/>
      <w:bookmarkStart w:id="428" w:name="_Toc163"/>
      <w:bookmarkEnd w:id="427"/>
      <w:r>
        <w:rPr>
          <w:rtl w:val="true"/>
        </w:rPr>
        <w:t>التاسع</w:t>
      </w:r>
      <w:r>
        <w:rPr>
          <w:rtl w:val="true"/>
        </w:rPr>
        <w:t xml:space="preserve">: </w:t>
      </w:r>
      <w:r>
        <w:rPr>
          <w:rtl w:val="true"/>
        </w:rPr>
        <w:t>الفرق بين التعارض و التزاحم</w:t>
      </w:r>
      <w:bookmarkEnd w:id="428"/>
    </w:p>
    <w:p>
      <w:pPr>
        <w:pStyle w:val="Heading6"/>
        <w:numPr>
          <w:ilvl w:val="5"/>
          <w:numId w:val="1"/>
        </w:numPr>
        <w:rPr/>
      </w:pPr>
      <w:bookmarkStart w:id="429" w:name="__RefHeading___Toc7304886_3381743652"/>
      <w:bookmarkStart w:id="430" w:name="_Toc164"/>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إنّ كلمتي التزاحم و التعارض من الكلمات الدائرة على ألسنة الأُصوليين، حيث يستعملون التزاحم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اجتماع الأمر 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التعارض في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التعادل و الترجيح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يقع الكلام فيما هو الفرق بينهما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يزيد غموضاً في المقام هو أنّ الأُصوليّين فيما إذا كان بين الدليلين عموم و خصوص من وجه تارة يطرحونه في هذا المقام نظير صلّ و لا تغصب، و أُخرى يعقدون له مبحثاً في باب التعادل و الترجيح نظير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و 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يتعارض الدليلان في العالم الفاسق، و عندئذ يقع الكلام فيما هو الفرق بين المقامين و كيف تكون مسألة واحدة من مسائل هذا الباب و الباب الآخر </w:t>
      </w:r>
    </w:p>
    <w:p>
      <w:pPr>
        <w:pStyle w:val="BookText"/>
        <w:rPr/>
      </w:pPr>
      <w:r>
        <w:rPr>
          <w:rFonts w:ascii="Amiri" w:hAnsi="Amiri" w:eastAsia="Amiri" w:cs="Amiri"/>
          <w:color w:val="111111"/>
          <w:sz w:val="28"/>
          <w:sz w:val="28"/>
          <w:szCs w:val="28"/>
          <w:rtl w:val="true"/>
          <w:lang w:bidi="ar-SA"/>
        </w:rPr>
        <w:t>الذي بينهما من البعد بعد المشرقين؟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المحقّق الخراساني بصدد الإجابة عن هذين السؤالين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الفرق بين التزاحم و التعارض؟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المثالين؟ و حاصل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في كلّ من موردي الدليلين مناط الحكم و ملاكه فهو من باب التزاحم، و أمّا إذا كان المناط موجوداً في و احد منهما، أو احتملنا انّ كلاً منهما فاقد للملاك، فهو من باب التعارض، هذا هو الذي تبنّاه و عقد لبيانه فصلين باسم التاسع و العاشر، و كأنّ الأوّل بصدد بيان الموضوع و أقسامه، و الثاني في بيان ما يحرر به وجود المناطين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توضيح ما ذكره في الأمر الثامن برُمّته كي يتّضح للقارئ ما رامه صاحب الكفاية، و أمّا التاسع فنضرب عنه صفحاً لما سيوافيك وجهه،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المحقّق الخراساني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الثبوت، و المراد منه ملاحظة الموضوع مع قطع النظر عن تعلّق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الإثبات، و المراد منه ملاحظة الموضوع بعد تعلّق الحكم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فيه صوراً ثلاثاً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الملاك موجوداً في مورد التّصادق منهما، و قلنا بجواز اجتماع الأمر و النهي، يكون المورد محكوماً بحكمين فعليّين، فالصلاة في الدار المغصوبة و الغصب بما انّهما واجدان للملاك فالاجتماعي يقول إنّه يكون محكوماً بحكمين بلا تريّث</w:t>
      </w:r>
      <w:r>
        <w:rPr>
          <w:rFonts w:eastAsia="Amiri" w:cs="Amiri" w:ascii="Amiri" w:hAnsi="Amiri"/>
          <w:color w:val="111111"/>
          <w:sz w:val="28"/>
          <w:szCs w:val="28"/>
          <w:rtl w:val="true"/>
          <w:lang w:bidi="ar-SA"/>
        </w:rPr>
        <w:t xml:space="preserve">. </w:t>
      </w:r>
      <w:bookmarkStart w:id="431" w:name="pg14356_186772"/>
    </w:p>
    <w:p>
      <w:pPr>
        <w:pStyle w:val="BookText"/>
        <w:rPr/>
      </w:pPr>
      <w:bookmarkEnd w:id="431"/>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أي يكون مورد التصادق واجداً للملاكين و لكن لا نقول بجواز الاجتماع بل امتناعه، فعندئذ يكون مورد التّصادق من باب التزاحم</w:t>
      </w:r>
      <w:r>
        <w:rPr>
          <w:rStyle w:val="FootnoteAnchor"/>
          <w:rtl w:val="true"/>
        </w:rPr>
        <w:footnoteReference w:id="95"/>
      </w:r>
      <w:r>
        <w:rPr>
          <w:rFonts w:ascii="Amiri" w:hAnsi="Amiri" w:eastAsia="Amiri" w:cs="Amiri"/>
          <w:color w:val="111111"/>
          <w:sz w:val="28"/>
          <w:sz w:val="28"/>
          <w:szCs w:val="28"/>
          <w:rtl w:val="true"/>
          <w:lang w:bidi="ar-SA"/>
        </w:rPr>
        <w:t>و يؤخذ بمرجّحات بابه فيكون مورد التّصادق محكوماً بأقوى المناطين، و لو لم يكن هناك مناط أقوى يرجع إلى حكم آخر غير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في مورد التّصادق ملاك، فيخرج من هذا الباب و يدخل في باب التّعارض الذي يبحث عنه في المقصد الثامن من المقاصد الثمانية، فعندئذ يؤخذ بالحكم الذي له مناط دون ما ليس له 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طريق كشف وجود المناط في حكم دون حكم؟ فهو ما سيوافيك في مقام الإثبات،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مرجّحات باب التّعادل و التراجيح طريق إلى وجود الإحراز في المرجّح دون المرجح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يحتمل أن يكون المورد فاقداً للملاك مطلقاً، و عندئذ يطرحان و يرجعان إلى حكم آخر، و لا تأثير في هذا المقام للقول بالجواز و الامتناع لما عرفت من أنّ القولين من فروع القول بوجود الملاك في مورد التصادق و المفروض عدم اشتمال مورده على المناط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بيان الأحكام حسب الثبوت، و إليك أحكامها حسب الإثبات</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7304888_3381743652"/>
      <w:bookmarkStart w:id="433" w:name="_Toc165"/>
      <w:bookmarkEnd w:id="432"/>
      <w:r>
        <w:rPr>
          <w:rtl w:val="true"/>
        </w:rPr>
        <w:t>ما هو المختار حسب الإثبات؟</w:t>
      </w:r>
      <w:bookmarkEnd w:id="43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صور البحث في مقام الثبوت ثلاثة، و عندئذ يقع الكلام في بيان ما هو المختار على الإثبات أي بعد تعلّق الحكم بالموضوعين؟ 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المحقّق الخراساني قدَّم حكم الصورة الثالثة أوّلاً، و حذف بيان حكم الصورة الأُولى، و اقتصر على بيان حكم الصورة الثانية، و نحن نشرح الجميع لكن على ضوء الكفاية بتقديم ما قدّمه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عمّا إذا كان مورد الدليلين خالياً من الملاكين، فيرجع إلى دليل آخر، و أمّا إذا كان واحد منها خالياً عنه، فعندئذ يؤخذ بما فيه المناط، و طريق التعرّف عليه هو الرجوع إلى المرجّحات الواردة في باب التعادل و الترجيح، فيؤخذ بما هو المشهور أوّلاً، ثمّ الموافق للكتاب ثانياً، و مخالف العامّة ثالثاً، و هذا النوع من البحث يرجع إلى باب التّعادل 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أحجم المحقّق الخراساني عن بيانها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مورد التصادق واجداً لكلا الملاكين و قلنا بجواز الاجتماع و انّ كلّ حكم ثابت على متعلّقه من غير تجاوز عن موضوعه إلى موضوع آخر فلا كلام فيه، و هذا هو الذي يتبنّاه الاجتماعي و يرى الساحة خالية عن التزاحم فضلاً عن التعارض، و بما انّ المحقّق الخراساني لم يقل بجواز الاجتماع أسقط بيان حكم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مورد التصادق واجداً للملاكين و لكن قلنا بامتناع الاجتماع، فالقائل لا محيص له إلاّ الأخذ بأقوى المناطين فانّه إذا كان هناك تزاحم بين المقتضيين يؤخذ بالأقوى مناطاً من غير فرق بين هذا الباب و سائر الأبواب حتّى إذا كان أقوى المناط مروياً بسند غير قوي يقدم على ما هو أضعف مناطاً و إن روي بسند قوي، فلو ورد إنقاذ النبي بخبر الواحد و إنقاذ الولي بخبر أقوى منه، فبما انّ إنقاذ النبي أقوى مناطاً يؤخذ به و إن كان السند غير قوي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أفاده في الكفاية، 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بالجملة التالية إلى صورة رابعة تعد من شقوق مقام الإثبات و من فروع القول بعدم جواز الاجتماع حيث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كان كلّ منها متكفلاً للحكم الفعلي لوقع بينهما التعارض فلا بد من ملاحظة مرجّحات باب المعارضة لو لم يوفق بينهما بحمل أحدهما على الحكم الاقتضائي بملاحظة مرجّحات باب المزاحمة</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في مورد التصادق كلا المناطين يؤخذ بأقواهما و لكن فيما إذا لم يدل دليل خارجي على فعلية كلا الحكمين، بل كان المورد قابلاً لحمل أحدهما على الفعلي و الآخر على الاقتضائي، و أمّا لو دلت القرينة على فعلية كلا الحكمين مع القول بامتناع الاجتماع فلا محالة يكون المقام مزيجاً من التزاحم و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التزاحم فلما عرفت من وجود الملاكين، و أمّا التعارض فلما عرفت من شهادة القرائن على فعلية الحكمين فعندئذ لا مناص في هذه المرحلة من إعمال مرجحات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إيضاح ما أفاده في الثامن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ما ذكره المحقّق الخراساني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في أوّل الفصل من أنّه لا يكاد يكون من باب الاجتماع إلاّ إذا كان في كلّ واحد من متعلّق الإيجاب و التحريم مناط حكمه مطلقاً حتّى في مورد التصادق و الاجتماع شيء لا مدخلية له في حقيقة البحث و إن كان له مدخلية في ترتب الأثر فانّ البحث في المقام يدور على أنّ تعدد العنوان موجب لتعدّد المعنون أو لا، و هذا لا يتوقف على وجود المناط لكلا الدليلين في مورد التصادق و عدمه</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ترتّب الثمرة و القول بصحّة الصلاة على الاجتماع رهن وجود المناط في </w:t>
      </w:r>
    </w:p>
    <w:p>
      <w:pPr>
        <w:pStyle w:val="BookText"/>
        <w:rPr/>
      </w:pPr>
      <w:r>
        <w:rPr>
          <w:rFonts w:ascii="Amiri" w:hAnsi="Amiri" w:eastAsia="Amiri" w:cs="Amiri"/>
          <w:color w:val="111111"/>
          <w:sz w:val="28"/>
          <w:sz w:val="28"/>
          <w:szCs w:val="28"/>
          <w:rtl w:val="true"/>
          <w:lang w:bidi="ar-SA"/>
        </w:rPr>
        <w:t>الموردين، كما أنّ الحكم بصحّتها على القول بالامتناع و تقديم الأمر على النهي رهن وجود الملاك فيها، و هذا هو الذي أشار إليه السيد المحقّق البروجردي،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الكفاية خلط بين الإمكان و الامتناع كبروياً و بين ثمرة النزاع في الفقه فالقائل بالجواز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اجتماع الأمر و النهي في واحد ذي جهتين ممكن و القائل بالامتناع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تظهر الثمرة في الشرعيات في مورد يكون ملاك الحكم متحقّقاً في صور الاجتماع و هو أمر آخر وراء محل النزاع</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الفرق بين التزاحم و التعارض ليس وجود المناط لكلا الدليلين في مورد التزاحم و عدمه لهما في مورد التعارض، بل الملاك هو ما سبق ذكره في مبحث الترتّب، و هو انّه إذا كان التكاذب بين الدليلين في مقام الجعل و التشريع فهو من باب التعارض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العذرة سحت، لا بأس ببيع العذرة، فلا يمكن جعل حكمين متضادين لموضوع واحد و هو ثمن العذرة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بين الدليلين في مقام التشريع كمال الملاءمة و لكن طرأ التزاحم في مقام الامتثال و هذا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 النبي و أنقذ الإمام، فلا نرى أي تكاذب بين الدليلين، و لو كان هناك شيء من التدافع فإنّما هو لضيق قدرة المكلّف و بُعْد الغريقين مكاناً، و إلاّ فلو كان الغريقان متقاربين أو كانت قدرة المكلّف أوسع فلا تزاحم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عدّ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تغصب من هذا الباب 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و لا تكرم الفاسق من قبيل المتعارضين ليس لأجل وجود الملاك فيما يسمى بالتزاحم، و عدمه فيما يسمّى بالتعارض، و إنّما يعد العرف المورد الثاني من </w:t>
      </w:r>
    </w:p>
    <w:p>
      <w:pPr>
        <w:pStyle w:val="BookText"/>
        <w:rPr/>
      </w:pPr>
      <w:r>
        <w:rPr>
          <w:rFonts w:ascii="Amiri" w:hAnsi="Amiri" w:eastAsia="Amiri" w:cs="Amiri"/>
          <w:color w:val="111111"/>
          <w:sz w:val="28"/>
          <w:sz w:val="28"/>
          <w:szCs w:val="28"/>
          <w:rtl w:val="true"/>
          <w:lang w:bidi="ar-SA"/>
        </w:rPr>
        <w:t>التعارض دون الأوّل، و ذلك لأنّ كلاً من الدليلين في الأوّل غير ناظر إلى صورة الاجتماع، بل الأمر تعلّق بطبيعة الصلاة و النهي تعلّق بطبيعة الغصب، فلا يعد الدليلان عند العرف متعارضين، لعدم الإشارة فيها إلى صورة التصادق و لو إجمالاً بخلاف الدليلين الآخرين، أي أكرم كل فاسق و أكرم كلّ عالم، 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و أكرم الفاسق، فإنّ في كلّ من لفظتي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المصاديق الخارجية التي منها اجتماع الفسق و العلم في مورد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يرجع ما أفاده سيدنا الأُستاذ في درسه الشريف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الميز بين البابين لبس بما ذكر، إذ الميزان في عد الدليلين متعارضين هو كونهما كذلك في نظر العرف، و لذا لو كان بينهما جمع عرفي خرج من موضوعه فالجمع و التعارض كلاهما عرفيان، و هذا بخلاف المقام فانّ التعارض فيه إنّما هو من جهة العقل، إذ العرف مهما أدق النظر و بالغ في ذلك لا يرى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تغصب تعارضاً، لأنّ الحكم على عنوانين غير مرتبط أحدهما بالآخر، كما أنّ الجمع أيضاً عقلي مثل تعارضه، وعليه فكلّ ما عدّه العرف متعارضاً مع آخر و إن أحرزنا المناط فيهما فهو داخل في باب التعارض و لا بدّ فيه من إعمال قواعده من الجمع و الترجيح و الترك، كما أنّ ما لم يعده متعارضاً مع آخر و آنس بينهما توفيقاً و إن عدهما العقل متعارضين فهو من باب الاجتماع و إن لم يحرز المناط فيها</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ثمّ إنّ الشيخ المحقّق المظفر أتى بهذه المقالة التي ذكرها السيد الأُستاذ ببيان مشروح، و إليك ما ذكره، 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 ما جعل الملاك بين التزاحم و التعارض هو ما ذكرناه من وجود التكاذب في مقام التشريع في الثاني دون الأوّل، قال</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العنوان المأخوذ في الحكم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العنوان في الخطاب على وجه يسع جميع الأفراد بما لها من الكثرات و المميزات، يكون في حكم المتعرض لحكم كلّ فرد من أفراده فيكون نافياً بالدلالة الالتزامية لحكم مناف لحكمه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العنوان ملحوظاً في الخطاب من دون ملاحظة كونه على وجه يسع جميع الأفراد، أي لم تلحظ فيه الكثرات و المميزات في مقام الأمر بوجود الطبيعة و لا في مقام النهي عن وجود الطبيعة الأُخرى، فيكون المطلوب في الأمر و النهي عنه صرف وجود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العنوان مأخوذاً في الخطاب على النحو الأوّل، فإنّ موضع الالتقاء يكون العام حجّة فيه كسائر الأفراد الأُخرى بمعنى أن يكون متعرضاً بالدلالة الالتزامية لنفي أي حكم آخر مناف لحكم العام بالنسبة إلى الأفراد و خصوصيات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هذه الصورة لا بدّ أن يقع التعارض بين دليلي الأمر و النهي في مقام الجعل و التشريع، لأنّهما يتكاذبان بالنسبة إلى موضع الالتقاء من جهة الدلالة الالتزامية في كلّ منها على نفي الحكم الآخر بالنسبة إلى موضع الالتقاء</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العنوان مأخوذاً على النحو الثاني فهو مورد التزاحم أو مسألة الاجتماع و لا يقع تعارض بين الدليلين حينئذ ذلك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باعتبار انّه لم يلحظ في كلّ من خطاب الأمر و النهي الكثرات و المميزات على وجه يسع العنوان و جميع الأفراد، و إن كان نفس العنوان في حدّ ذاته و إطلاقه شاملاً لجميع الأفراد، فإنّه في مثله يكون الأمر متعلّقاً بصرف وجود الطبيعة للصلاة و امتثاله يكون بفعل أي فرد من الأفراد فلم يكن ظاهراً في وجوب الصلاة حتى في مورد الغصب على وجه يكون دالاً بالدلالة الالتزامية على انتفاء حكم </w:t>
      </w:r>
      <w:bookmarkStart w:id="434" w:name="pg14356_186778"/>
    </w:p>
    <w:p>
      <w:pPr>
        <w:pStyle w:val="BookText"/>
        <w:rPr/>
      </w:pPr>
      <w:bookmarkEnd w:id="434"/>
      <w:r>
        <w:rPr>
          <w:rFonts w:ascii="Amiri" w:hAnsi="Amiri" w:eastAsia="Amiri" w:cs="Amiri"/>
          <w:color w:val="111111"/>
          <w:sz w:val="28"/>
          <w:sz w:val="28"/>
          <w:szCs w:val="28"/>
          <w:rtl w:val="true"/>
          <w:lang w:bidi="ar-SA"/>
        </w:rPr>
        <w:t>آخر في هذا المورد ليكون نافياً لحرمة الغصب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النهي يكون متعلّقاً بصدق طبيعة الغصب فلم يكن ظاهراً في حرمة الغصب حتّى في مورد الصلاة على وجه يكون دالاً بالدلالة الالتزامية على انتفاء حكم آخر في هذا المورد ليكون نافياً لوجوب الصلاة</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في الختام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النائيني جعل الفرقَ بين البابين، هو انّ اجتماع المتعلّقين في باب الاجتماع صلّ و لا تغصب يكون على وجه الانضمام، و في باب التعارض أكرم العالم و لا تكرم الفاسق يكون على وجه الاتحاد، و قد عرفت أنّ مسألة اجتماع الأمر و النهي لا تندرج في صغرى التعارض لكون التركيب فيها انضمامياً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رجع ما ذكره إلى ما ذكرناه فنعم الوفاق و إلاّ فالتفريق بما ذكره ليس أمراً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سوف يرجع إلى المسألة في التنبيه الثاني من تنبيهات المسألة بعد الفراغ عن مسألة امتناع الاجتماع فلاحظ</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و كان عليه أن يقتصر بما أفاده في المقام</w:t>
      </w:r>
      <w:r>
        <w:rPr>
          <w:rFonts w:eastAsia="Amiri" w:cs="Amiri" w:ascii="Amiri" w:hAnsi="Amiri"/>
          <w:color w:val="111111"/>
          <w:sz w:val="28"/>
          <w:szCs w:val="28"/>
          <w:rtl w:val="true"/>
          <w:lang w:bidi="ar-SA"/>
        </w:rPr>
        <w:t>.</w:t>
      </w:r>
    </w:p>
    <w:p>
      <w:pPr>
        <w:pStyle w:val="Heading5"/>
        <w:numPr>
          <w:ilvl w:val="4"/>
          <w:numId w:val="1"/>
        </w:numPr>
        <w:rPr/>
      </w:pPr>
      <w:bookmarkStart w:id="435" w:name="__RefHeading___Toc7304890_3381743652"/>
      <w:bookmarkStart w:id="436" w:name="_Toc166"/>
      <w:bookmarkEnd w:id="435"/>
      <w:r>
        <w:rPr>
          <w:rtl w:val="true"/>
        </w:rPr>
        <w:t>العاشر</w:t>
      </w:r>
      <w:r>
        <w:rPr>
          <w:rtl w:val="true"/>
        </w:rPr>
        <w:t xml:space="preserve">: </w:t>
      </w:r>
      <w:r>
        <w:rPr>
          <w:rtl w:val="true"/>
        </w:rPr>
        <w:t>في ثمرات القولين</w:t>
      </w:r>
      <w:bookmarkEnd w:id="436"/>
    </w:p>
    <w:p>
      <w:pPr>
        <w:pStyle w:val="BookText"/>
        <w:rPr/>
      </w:pPr>
      <w:r>
        <w:rPr>
          <w:rFonts w:ascii="Amiri" w:hAnsi="Amiri" w:eastAsia="Amiri" w:cs="Amiri"/>
          <w:color w:val="111111"/>
          <w:sz w:val="28"/>
          <w:sz w:val="28"/>
          <w:szCs w:val="28"/>
          <w:rtl w:val="true"/>
          <w:lang w:bidi="ar-SA"/>
        </w:rPr>
        <w:t>ذكر المحقّق الخراساني في المقام صوراً خمساً حسب القولين، و إليك الإشارة إلى عناوينها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قلنا بجواز الاجتماع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قلنا بالامتناع مع تقديم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قلنا بالامتناع مع تقديم النهي و الالتفات إلى 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قلنا بالامتناع مع تقديم النهي، مع الجهل بالحرمة تقصيراً و نسيانها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قلنا بالامتناع مع تقديم النهي مع الجهل بالحرمة جهلاً عن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فنذكر هذه الصور و بيان أحكامها من حيث صحّة العمل و بطلانه عبادياً كان أو توصلياً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بجواز اجتماع الأمر و النهي فلا شكّ في صحّة العمل التوصلي، و هكذا العمل العبادي، لأنّه يأتي بالمجمع بداعي الأمر و إن كان عمله معصية أيضاً، لأنّ الاعتبار إنّما هو بالأمر غير الساقط، و إلى هذه الصورة أشار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سقوط الأمر و حصول الامتثال بإتيان المجمع بداعي الأمر على الجواز قطعاً و لو في العبادات و إن كان معصية للنهي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الثمرة هي الثمرة المعروفة للمسألة اعتمد عليها الأُصوليون من سالف الأيام و كانت النتيجة صحة العبادة على القول بالاجتماع و بطلانها على القول بالامتناع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كلاً من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البروجردي، و المحقّق النائيني قدّس اللّه سرّهما أشكلا على صحّة الصلاة، بل مطلق العبادة على القول بجواز الاجتماع، لكن كل ببيان خاص</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فقال بأنّ العمل غير قابل للتقرب، و متعلّق كلّ من الأمر و النهي و إن كان متغايراً لكنّهما موجودين بوجود واحد، فهو موجود غير محبوب، بل </w:t>
      </w:r>
    </w:p>
    <w:p>
      <w:pPr>
        <w:pStyle w:val="BookText"/>
        <w:rPr/>
      </w:pPr>
      <w:r>
        <w:rPr>
          <w:rFonts w:ascii="Amiri" w:hAnsi="Amiri" w:eastAsia="Amiri" w:cs="Amiri"/>
          <w:color w:val="111111"/>
          <w:sz w:val="28"/>
          <w:sz w:val="28"/>
          <w:szCs w:val="28"/>
          <w:rtl w:val="true"/>
          <w:lang w:bidi="ar-SA"/>
        </w:rPr>
        <w:t>مبغوض فكيف يتقرب إلى المولى بأمر مبغوض؟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المكلّف بعمله هذا متمرد على المولى و خارج عن رسم العبودية و زيّ الرقيّة، فكيف يتقرب إلى ساحته سبحانه، بما يعدُّ مبعِّداً و لا يكون مقرِّباً؟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القرب و البعد، أمراً عقلائياً، و كان العمل مزيجاً بالمحبوب و المبغوض، فلا مانع من أن يتقرّب بحيثية دون الأُخرى، نظير ما إذا أطعم اليتيم بمال حلال في دار مغصوبة، فيعدّ لأجل الترحم عليه متقرباً، و إن كان لأجل التصرّف في مال الغير بلا إذن عاصياً، غير متقرّب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يرشدك إلى وجود الفرق بين العملين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غصب دار المولى، و أكرم فيها ابنه، و ما لو غصبها و ضرب فيها ابنه، فلا شكّ انّ بين العملين بعد المشرقين، و هذا آية إمكان التقرب، بعمل متحد مع العمل المبغوض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فحاصل ما أفاده انّ الصلاة في الدار المغصوبة ليس مصداقاً للمكلّف به، كما أنّه ليس واجداً للملاك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منشأ اعتبار القدرة نفس التكليف لا حكم العقل، لأنّ الأمر هو جعل داع للمكلّف نحو المكلف به و لا يصح جعله داعياً إلاّ إلى ما وقع في إطار قدرة المكلّف، فيكون متعلّق التكليف هو الحصة المقدورة عقلاً، غير الممنوعة شرعاً، فتخرج الحصة المحرمة تحت الأمر، و على ضوء ذلك فالصلاة لما كانت ملازمة للمحرم فلا تكون مصداقاً للأمر و لا تكون مأموراً بها، و لا يمكن الحكم بالصحة لأجل الأمر</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تصحيحها بالملاك، فلأنّه إنّما يصحّ التقرب به إذا لم يكن ملازماً بالقبح الفاعلي و إلاّ فلا يكون صالحاً للتقرب، و الصلاة و الغصب و إن كانا غير </w:t>
      </w:r>
    </w:p>
    <w:p>
      <w:pPr>
        <w:pStyle w:val="BookText"/>
        <w:rPr/>
      </w:pPr>
      <w:r>
        <w:rPr>
          <w:rFonts w:ascii="Amiri" w:hAnsi="Amiri" w:eastAsia="Amiri" w:cs="Amiri"/>
          <w:color w:val="111111"/>
          <w:sz w:val="28"/>
          <w:sz w:val="28"/>
          <w:szCs w:val="28"/>
          <w:rtl w:val="true"/>
          <w:lang w:bidi="ar-SA"/>
        </w:rPr>
        <w:t>متحدين إلاّ انّهما موجودان بإيجاد واحد، فلا محالة يكون موجِدهما مرتكباً للقبيح بنفس الإيجاد و يستحيل أن يكون الفعل الصادر منه مقرّباً</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المعروف بين المتكلّمين هو انّ الحاكم باشتراط التكليف بالأُمور العامّة من العقل و القدرة و العلم، هو العقل دون ذات التكليف، و ما ذكره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منشأ اعتباره القدرة نفس التكليف، و ذلك لأنّ الأمر جعل داع للمكلّف نحو العمل، و لا يصحّ جعله داعياً إلاّ إلى ما وقع في إطار قدرة المكلّف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عبارة أُخرى عن حكم العقل بذلك، و إلاّ فلو غضّ النظر عن حاكمية العقل، فأيّ دليل يمنع عن كون الأمر داعياً إلى الأعم ممّا هو واقع في إطار قدرة المكلّف و ما هو خارج عنه؟ و بذلك يعلم أنّ متعلّق الأمر هو مطلق الطبيعة، لا الطبيعة المقدورة، غير الممنوعة، فيكون الفرد المحظور مصداقاً لها، غير خارج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لازم ذلك هو الخروج عن محلّ البحث، فانّ المفروض اجتماع الأمر و النهي، و تصادقهما على المصداق الخارجي، و تخصيص المورد بالنهي فقط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من كون المجمع فاقداً للملاك بحجّة أنّ موجد الصلاة و الغصب مرتكب للقبح بنفس هذا الإيجاد،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يستحيل أن يكون العمل الصادر منه مقرِّباً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مبنيّ على سراية القبح الفاعلي إلى الفعل، و هو بعدُ غير ثابت، لأنّ الصلاة في الدار المغصوبة نفسها في البيت، و كون الفاعل مرتكباً للقبيح مقارناً للصلاة كما هو المفروض لا يجعل الصلاة فعلاً قبيحاً</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الصورة الأُولى و إليك الكلام في الصورة الثانية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بالامتناع و تقديم جانب الأمر و إلى هذه الصورة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الحال على الامتناع مع ترجيح جانب الأمر إلاّ أنّه لا معصية عليه، و الفرق بين الصورتين هو وجود المعصية في الأُولى دون الثانية، لكون النهي حكماً اقتضائيّاً لا فعليّاً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لأنّ القائل بالامتناع يحمل أحد الحكمين على الاقتضائي و الآخر على الفعلي، و ظاهر العبارة صحّة العمل عبادياً كان أم توصلياً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الموافقة معه مطلقاً مشكلة، لأنّ الأخذ بالأمر لأجل كونه أقوى ملاكاً عن الحرام مختص بالصورتين التاليتين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يتمكن من الصلاة إلاّ في المكان المغصوب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تمكن من الصلاة في المكان المباح لكن دار الأمر بين فوت الواجب لأجل ضيق الوقت و ارتكاب الحرام فيقدم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الوقت وسيعاً، و كان هناك مندوحة، فيؤخذ بالنهي دون الأمر لإمكان الجمع بين الامتثالين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بالامتناع مع تقديم النهي لكونه أقوى ملاكاً مع الالتفات و العلم بالحرمة و إلى هذه الصورة أشار في الكفاية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ترجيح جانب النهي فيسقط به الأمر به مطلقاً في غير العبادات لحصول الغرض الموجب له، و أمّا فيها فلا مع الالتفات إلى الحرمة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ذكره هو المتعيّن و وجهه واضح</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بالامتناع مع تقديم جانب النهي لكن المكلّف غير ملتفت إلى الحرمة تقصيراً أو نسياناً، و إلى هذه الصورة أشار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الالتفات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تقصيراً فانّه و إن كان متمكناً مع عدم الالتفات من قصد </w:t>
      </w:r>
    </w:p>
    <w:p>
      <w:pPr>
        <w:pStyle w:val="BookText"/>
        <w:rPr/>
      </w:pPr>
      <w:r>
        <w:rPr>
          <w:rFonts w:ascii="Amiri" w:hAnsi="Amiri" w:eastAsia="Amiri" w:cs="Amiri"/>
          <w:color w:val="111111"/>
          <w:sz w:val="28"/>
          <w:sz w:val="28"/>
          <w:szCs w:val="28"/>
          <w:rtl w:val="true"/>
          <w:lang w:bidi="ar-SA"/>
        </w:rPr>
        <w:t>القربة و قد قصدها إلاّ أنّه مع التقصير لا يصلح لأن يتقرّب به أصلاً، فلا يقع مقرباً و بدونه لا يكاد يحصل به الغرض الموجب للأمر به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يتمكن من قصد القربة، لكن العمل غير صالح لأن يتقرب به، و نزيد بياناً بأنّ الصحة رهن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 المفروض كونه اقتضائياً، و الملاك و هو بعد غير معلوم، لأنّ الكاشف عنه هو الأمر و المفروض كونه إنشائياً، و لأجل ذلك قال الفقهاء بأنّ المقصر و الناسي خارجان عن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هما خارجان أيضاً عن حديث الرفع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الصورة مع الجهل بالحرمة قصوراً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قلنا بالامتناع و قدمنا النهي و لكن كان المصلي جاهلاً بالحرمة حكماً أو موضوعاً عن قصور، فقد نسب إلى المشهور صحّة الصلاة في الدار المغصوبة إذا كان الجهل عن قصور، و الظاهر انّ قولهم لها لأجل قولهم بجواز الاجتماع و سيوافيك انّ القول المشهور بين الإمامية من عصر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الأعصار المتأخرة كالمحقّق الأردبيلي و تلميذيه هو القول بجواز الاجتماع، غير أنّ المحقّق الخراساني لما قال بالامتناع حاول أن يصحح فتوى المشهور بالصحة على مختاره و حاصل ما أفاده من الفرق بين الجهل عن تقصير و الجهل عن قصور يتلخص في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صحّة العبادة رهن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المأتي به صالحاً لأن يتقرّب به</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مشترك بين الجاهلين فيقصدان القربة، لكن الثاني كون المأتي به صالحاً للتقرب غير متحقّق في المقصّر، لأنّ الجاهل لما كان كالعامد، يعد عمله </w:t>
      </w:r>
    </w:p>
    <w:p>
      <w:pPr>
        <w:pStyle w:val="BookText"/>
        <w:rPr/>
      </w:pPr>
      <w:r>
        <w:rPr>
          <w:rFonts w:ascii="Amiri" w:hAnsi="Amiri" w:eastAsia="Amiri" w:cs="Amiri"/>
          <w:color w:val="111111"/>
          <w:sz w:val="28"/>
          <w:sz w:val="28"/>
          <w:szCs w:val="28"/>
          <w:rtl w:val="true"/>
          <w:lang w:bidi="ar-SA"/>
        </w:rPr>
        <w:t>تمرّداً و عصياناً للمولى و المفروض انّ الحكم بالحرمة فعلي، لا اقتضائي، و لكنّه متحقّق في القاصر، لعدم فعلية النهي و كونه اقتضائياً، فلا يكون المأتي به مبغوضاً فيصلح لأن يتقرب به، و إلى ما ذكرنا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لم يلتفت إليها قصوراً و قد قصد القربة فالأمر يسقط لقصد التقرب بما يصلح أن يتقرب به لاشتماله على المصلحة مع صدوره حسناً لأجل الجهل بحرمته قصوراً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سقوط الأمر لأجل حصول الغرض من الأمر، و ليس لأجل الامتثال، لافتراض تقديم النهي على الأمر،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الأحكام الشرعية تابعة للجهات الواقعية في المصالح و المفاسد، لا للجهات المؤثرة فيها فعلاً و المفروض انّ مصلحة النهي و إن لم يكن واصلاً هو الأقوى فيكون العمل محكوماً بالحرمة لا بالوجوب، و لأجل ذلك قلنا إنّه لا يصدق الامتثال نعم يسقط الأمر لأجل حصول الغرض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ما ذكرنا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فيحصل به الغرض من الأمر فيسقط به قطعاً و إن لم يكن امتثالاً بناء على تبعية الأحكام لما هو الأقوى من جهات المصالح و المفاسد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قلنا بأنّ الأحكام الشرعية تابعة للجهات الواصلة، و انّه لا أثر للملاك الواقعي، بل التأثير في التقديم و التأخير هو الملاك الواصل و هو ما كان ملتفتاً إليه ينقلب حكم الواقعة من النهي إلى الوجوب فيكون المورد، امتثالاً للأمر المقدم، دون النهي، لكن الفرض غير ثابت عند الإمامية لاستلزامه نوعاً من التصويب و أن يكون حكم اللّه تابعاً لعلم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أشير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لما هو المؤثر منها فعلاً للحسن أو القبح لكونهما تابعين لما علم منهما كما حقّق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يقال بحصول الامتثال في المقام حتّى بناءً على تبعية الأحكام</w:t>
      </w:r>
    </w:p>
    <w:p>
      <w:pPr>
        <w:pStyle w:val="BookText"/>
        <w:rPr/>
      </w:pPr>
      <w:r>
        <w:rPr>
          <w:rFonts w:ascii="Amiri" w:hAnsi="Amiri" w:eastAsia="Amiri" w:cs="Amiri"/>
          <w:color w:val="111111"/>
          <w:sz w:val="28"/>
          <w:sz w:val="28"/>
          <w:szCs w:val="28"/>
          <w:rtl w:val="true"/>
          <w:lang w:bidi="ar-SA"/>
        </w:rPr>
        <w:t>للملاكات الواقعية من المصالح و المفاسد، لا للجهات المؤثرة فيها فعلاً، و ذلك لأنّ العقل لا يرى فرقاً بين هذا الفرد و الفرد الآخر في الوفاء بالغرض من الأمر بالطبيعة، و إلى ذلك أشار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يمكن أن يقال بحصول الامتثال مع ذلك كون المؤثر هو الجهات الواقعية لا الواصلة بأنّ العقل لا يرى تفاوتاً بينه و بين سائر الأفراد في الوفاء بفرض الطبيعة المأمور بها و إن لم يعمه بما هي مأمور بها، لكنّه لوجود المانع لا لعدم المقتضي، فيكون المورد أشبه بما مرّ في الواجب الموسع المبتلى بواجب مضيق فيأتي بالموسع دونه، فإنّ الفرد الموسع و إن كان فاقداً للأمر، لكنّه لا لفقد المقتضي، بل لأجل وجود المانع، فيأتي به بنيّة الأمر المتعلّق بالطبيعة بما هي هي لا بما هي مأمور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رتّب على ما ذكر بأنّه لو كان دليلا الحرمة و الوجوب من قبيل المتعارضين و قُدّم دليل الحرمة، فلا يكون مجال للصحة، لفقدان الملاك حتى في الجهل عن قصور بخلاف ما إذا كانا من باب الاجتماع و قيل بالامتناع و تقديم جانب الحرمة، فيمكن الحكم بالصحة في موارد الجهل و النسيان عن قصور لوجود الملاك و حصول الغرض كما في الفروض الثلاثة الأُولى و إمكان إتيانه بالأمر المتعلّق بالطبيعة كما في الفرض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إيضاح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الأُستاذ، أورد على صاحب الكفاية بأنّ الجمع بين القول بالامتناع، و اشتمال الصلاة في الدار المغصوبة على الملاكين، جمع بين المتضادين</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شكّ في وجود التضاد بين ملاكي الغصب و الصلاة، فإن أمكن رفع التضاد بين الملاكين باختلاف الحيثيتين، أمكن رفعه في الحكمين مع أنّ </w:t>
      </w:r>
    </w:p>
    <w:p>
      <w:pPr>
        <w:pStyle w:val="BookText"/>
        <w:rPr/>
      </w:pPr>
      <w:r>
        <w:rPr>
          <w:rFonts w:ascii="Amiri" w:hAnsi="Amiri" w:eastAsia="Amiri" w:cs="Amiri"/>
          <w:color w:val="111111"/>
          <w:sz w:val="28"/>
          <w:sz w:val="28"/>
          <w:szCs w:val="28"/>
          <w:rtl w:val="true"/>
          <w:lang w:bidi="ar-SA"/>
        </w:rPr>
        <w:t>القائل بالامتناع لا يلتزم به، و لو قلنا بأنّ اختلاف الحيثيتين، لا يرفع تضاد الحكمين لكونهما موجودين بوجود واحد فلا يرفع تضاد الملاكين</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لكن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اختلاف العنوانين لا يكون مصحِّحاً لتعلّق الوجوب و الحرمة بالشيء الواحد وجوداً، و إن جاز أن يكون مصحِّحاً لاجتماع الملاكين فيه، و ذلك لأنّ العنوانين و إن كانا مختلفين مفهوماً، لكنّهما متّحدان 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لازم اجتماع الحكمين المتضادّين، طلب إيجاد شيء واحد و تركه، و هو بمنزلة الأمر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بخلاف الملاكين المختلفين في المصلحة و المفسدة، فانّهما ليسا قائمين بالمكلّف به حتّى لا يصحّ توصيفه بالصلاح و الفساد، لأنّهما من الأُمور الخارجية الراجعة إلى نفس المكلَّف تارة، و مجتمعه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فالصلاة في الدار المغصوبة ذات صلاح و فلاح و هي التي تدفع الإنسان إلى ذكر ربّه، الذي هو مفتاح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أنّها مبدأ فساد و شر، لاستلزامها التعدّي على حقوق الغير الذي هو قبيح عقلاً، و مستلزمة لرواج الفوضى في المجتمع و اختلال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مانع من اجتماعهما لاختلاف محلّهما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دام ظلّه صرّح بذلك في موضع آخر</w:t>
      </w:r>
      <w:r>
        <w:rPr>
          <w:rStyle w:val="FootnoteAnchor"/>
          <w:rtl w:val="true"/>
        </w:rPr>
        <w:footnoteReference w:id="104"/>
      </w:r>
      <w:r>
        <w:rPr>
          <w:rFonts w:ascii="Amiri" w:hAnsi="Amiri" w:eastAsia="Amiri" w:cs="Amiri"/>
          <w:color w:val="111111"/>
          <w:sz w:val="28"/>
          <w:sz w:val="28"/>
          <w:szCs w:val="28"/>
          <w:rtl w:val="true"/>
          <w:lang w:bidi="ar-SA"/>
        </w:rPr>
        <w:t>، و بذلك صحّح كون الشيء الواحد مقرّباً و مبعداً، حسناً و قبيحاً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المقدمات يقع الكلام في أدلّة القائل بالامتناع، و قد هذّبه المحقّق الخراساني في ضمن أُمور</w:t>
      </w:r>
      <w:r>
        <w:rPr>
          <w:rFonts w:eastAsia="Amiri" w:cs="Amiri" w:ascii="Amiri" w:hAnsi="Amiri"/>
          <w:color w:val="111111"/>
          <w:sz w:val="28"/>
          <w:szCs w:val="28"/>
          <w:rtl w:val="true"/>
          <w:lang w:bidi="ar-SA"/>
        </w:rPr>
        <w:t xml:space="preserve">: </w:t>
      </w:r>
      <w:bookmarkStart w:id="437" w:name="pg14356_186787"/>
    </w:p>
    <w:p>
      <w:pPr>
        <w:pStyle w:val="Heading4"/>
        <w:numPr>
          <w:ilvl w:val="3"/>
          <w:numId w:val="1"/>
        </w:numPr>
        <w:rPr/>
      </w:pPr>
      <w:bookmarkStart w:id="438" w:name="__RefHeading___Toc7304892_3381743652"/>
      <w:bookmarkStart w:id="439" w:name="_Toc167"/>
      <w:bookmarkEnd w:id="437"/>
      <w:bookmarkEnd w:id="438"/>
      <w:r>
        <w:rPr>
          <w:rtl w:val="true"/>
        </w:rPr>
        <w:t>دليل القائلين بامتناع اجتماع الأمر و النهي</w:t>
      </w:r>
      <w:bookmarkEnd w:id="439"/>
    </w:p>
    <w:p>
      <w:pPr>
        <w:pStyle w:val="Heading5"/>
        <w:numPr>
          <w:ilvl w:val="4"/>
          <w:numId w:val="1"/>
        </w:numPr>
        <w:rPr/>
      </w:pPr>
      <w:bookmarkStart w:id="440" w:name="__RefHeading___Toc7304894_3381743652"/>
      <w:bookmarkStart w:id="441" w:name="_Toc168"/>
      <w:bookmarkEnd w:id="440"/>
      <w:r>
        <w:rPr>
          <w:rtl w:val="true"/>
        </w:rPr>
        <w:t>اشارة</w:t>
      </w:r>
      <w:bookmarkEnd w:id="441"/>
    </w:p>
    <w:p>
      <w:pPr>
        <w:pStyle w:val="BookText"/>
        <w:rPr/>
      </w:pPr>
      <w:r>
        <w:rPr>
          <w:rFonts w:ascii="Amiri" w:hAnsi="Amiri" w:eastAsia="Amiri" w:cs="Amiri"/>
          <w:color w:val="111111"/>
          <w:sz w:val="28"/>
          <w:sz w:val="28"/>
          <w:szCs w:val="28"/>
          <w:rtl w:val="true"/>
          <w:lang w:bidi="ar-SA"/>
        </w:rPr>
        <w:t>استدلّ القائل بالامتناع بوجوه أتقنها و أوجزها ما أفاده المحقّق الخراساني بترتيب مقدّمات أربع، و إليك الإشارة إلى رءوسها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الخمسة تضاد بعضاً بعض، و المتضادان لا يجتمعان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تتعلّق بالمصاديق و الأفعال الخارجية لا العناوين الكلية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تعدد العنوان كالغصب و الصلاة لا يوجب تعدداً في المعنون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للوجود الواحد إلاّ ماهية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 ببيان هذه المقدّمات الأربع و خرج بالنتيجة التالية، و هي امتناع اجتماع الأمر و النهي في شيء واحد بعنوانين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الحجر الأساس لاستنباط الامتناع هو الأوّليان من المقدّمات الأربع دون الثالثة و الرابعة، فانّ الثالثة أي إيجاب تعدّد العنوان تعددَ المعنون على القول به إنّما يختصّ بالعناوين الأصلية كالجنس و الفصل دون الاعتبارية كالصلاة و الانتزاعية كالغصب، فانّ الصلاة كما سيوافيك أمر اعتباري يطلق على موجود متشكل من أجناس مختلفة كالكيف في القراءة و الوضع في الركوع و السجود، كما أنّ الغصب عنوان انتزاعي ينتزع من استيلاء الأجنبي على ملك الغير سواء كان بالكون فيه كالسكنى في بيت الغير، أو بالحيلولة بينه و بين المالك و إن لم يتصرف فيه، و على أيّ حال فالبحث في أنّ تعدّد العنوان يوجب تعدّد المعنون أو لا، مختص بالأُمور التكوينية و لا يعم الاعتبارية و الانتزاعية</w:t>
      </w:r>
      <w:r>
        <w:rPr>
          <w:rFonts w:eastAsia="Amiri" w:cs="Amiri" w:ascii="Amiri" w:hAnsi="Amiri"/>
          <w:color w:val="111111"/>
          <w:sz w:val="28"/>
          <w:szCs w:val="28"/>
          <w:rtl w:val="true"/>
          <w:lang w:bidi="ar-SA"/>
        </w:rPr>
        <w:t xml:space="preserve">. </w:t>
      </w:r>
      <w:bookmarkStart w:id="442" w:name="pg14356_186788"/>
    </w:p>
    <w:p>
      <w:pPr>
        <w:pStyle w:val="BookText"/>
        <w:rPr/>
      </w:pPr>
      <w:bookmarkEnd w:id="442"/>
      <w:r>
        <w:rPr>
          <w:rFonts w:ascii="Amiri" w:hAnsi="Amiri" w:eastAsia="Amiri" w:cs="Amiri"/>
          <w:color w:val="111111"/>
          <w:sz w:val="28"/>
          <w:sz w:val="28"/>
          <w:szCs w:val="28"/>
          <w:rtl w:val="true"/>
          <w:lang w:bidi="ar-SA"/>
        </w:rPr>
        <w:t>كما أنّ المقدمة الرابعة خارجة عن محط البحث، لأنّ البحث في أنّ للوجود الواحد ماهية واحدة لا غير يختص بالماهيات المتأصلة، و أين هذا من الماهيات الاعتبارية و الانتزاعية؟ فالمهم في المقام هو المقدّمة الأُولى و الثانية، و إليك تحليلهما</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7304896_3381743652"/>
      <w:bookmarkStart w:id="444" w:name="_Toc169"/>
      <w:bookmarkEnd w:id="443"/>
      <w:r>
        <w:rPr>
          <w:rtl w:val="true"/>
        </w:rPr>
        <w:t>تحليل المقدّمة الأُولى</w:t>
      </w:r>
      <w:bookmarkEnd w:id="444"/>
    </w:p>
    <w:p>
      <w:pPr>
        <w:pStyle w:val="BookText"/>
        <w:rPr/>
      </w:pPr>
      <w:r>
        <w:rPr>
          <w:rFonts w:ascii="Amiri" w:hAnsi="Amiri" w:eastAsia="Amiri" w:cs="Amiri"/>
          <w:color w:val="111111"/>
          <w:sz w:val="28"/>
          <w:sz w:val="28"/>
          <w:szCs w:val="28"/>
          <w:rtl w:val="true"/>
          <w:lang w:bidi="ar-SA"/>
        </w:rPr>
        <w:t>قال المحقّق الخراساني في إثبات تلك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الخمسة متضادة في مقام فعليتها و بلوغها إلى مرتبة البعث و الزجر، ضرورة ثبوت المنافاة و المعاندة التامة بين البعث نحو واحد في زمان، و الزجر عنه في ذاك الزمان فاستحالة اجتماع الأمر و النهي في واحد لا تكون من باب التكليف بالمحال، بل من جهة انّه بنفسه محال، فلا يجوز عند من يجوّز التكليف بغير المقدور أيضاً</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الأحكام الخمسة بأسرها متضادة، رهن انطباق تعريف التضاد عليها مع أنّه غير منطبق عليها، و قد عُرّف الضدّان بأنّهما أمران وجوديان لا يستلزم تعقّل أحدهما تعقّل الآخر يتعاقبان على موضوع واحد داخلان تحت جنس قريب، بينهما غاية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التعريف مشتمل على قيود خمسة و كلّ قيد يحترز به عمّا ليس واجداً للقيد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أمران وجوديان، خرج المتناقضان و العدم و الملكة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يستلزم تصوّر أحدهما تصوّر الآخر، خرج المتضائفان، كالأُبوة و البنوة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يتعاقبان على موضوع واحد، خرج ما يجتمع من الأعراض كالحلاوة و الحُمْرة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داخلان تحت جنس قريب، خرج المتماثلان لأنّهما داخلان تحت نوع واحد و إن كانا لا يجتمعان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بينهما غاية الخلاف، خرج القتمة و الحمرة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تعريف التضاد فهلمّ معي ندرس انطباقَ تعريف التضاد على مطلق الأحكام أو خصوص الوجوب و الحرمة و عدمه؟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الوجوب و الحرمة في اصطلاح الأُصوليّين هو البعث و الزجر الإنشائيّان بلفظ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البعث و الزجر من الأُمور الاعتبارية بقرينة إنشائهما باللفظ، فإنّ الإنشاء يتعلّق بالأمر الاعتباري دون الأمر التكويني، و الإنشاء نوع مضاهاة لعالم التكوين مثلاً انّ الإنسان قبل الحضارة كان يبعث غلامه أو يزجره بيده و لما جلس على منصّة التشريع و التقنين أخذ ينشأ بلفظتي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يضاهي البعث أو الزجر التكوينيين، فالمنشأ بعث إنشائي قائم مكان البعث باليد، و الأُمور الاعتبارية خارجة موضوعاً عن تعريف التضاد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الوجوب و الحرمة و إن كانا أمرين اعتباريين لكن منشأهما هو الإرادة، و من المعلوم انّ إرادة البعث تضادّ إرادة الزجر، فلعلّ إطلاق التضاد على الأحكام باعتبار مباديها و هي الإرادة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الإرادتين و إن كانتا غير مجتمعتين لكن عدم الاجتماع ليس لأجل التضاد لما قلنا من أنّ الضدّين عبارة عن الأمرين اللّذين يكونان من نوعين داخلين تحت جنس قريب كالسواد و البياض، إذ هما داخلان تحت الكيف المبصر </w:t>
      </w:r>
      <w:bookmarkStart w:id="445" w:name="pg14356_186790"/>
    </w:p>
    <w:p>
      <w:pPr>
        <w:pStyle w:val="BookText"/>
        <w:rPr/>
      </w:pPr>
      <w:bookmarkEnd w:id="445"/>
      <w:r>
        <w:rPr>
          <w:rFonts w:ascii="Amiri" w:hAnsi="Amiri" w:eastAsia="Amiri" w:cs="Amiri"/>
          <w:color w:val="111111"/>
          <w:sz w:val="28"/>
          <w:sz w:val="28"/>
          <w:szCs w:val="28"/>
          <w:rtl w:val="true"/>
          <w:lang w:bidi="ar-SA"/>
        </w:rPr>
        <w:t>و لكن الإرادتين في الأمر و النهي ليستا من نوعين، بل من نوع واحد، غاية الأمر يختلفان باعتبار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باجتماع الأمر و النهي يستلزم ما لا يمكن اجتماعهما، سواء أ كانا من الأُمور المتضادة أم من غيرها، و ذلك في مواضع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مقام الجعل حيث لا يمكن البعث إلى شيء في وقت، و الزجر عنه في نفس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المبادئ حيث إنّ الأمر كاشف عن المحبوبية و المصلحة، و النهي كاشف عن خلافها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مقام الامتثال حيث إنّ بينهما مطاردة من حيث الامتثال و الإطاعة، فامتثال الأمر يكون بالإتيان بالمتعلق، و امتثال النهي بتركه و ليس بإمكان المكلّف الجمع بين الفعل و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منصبّ على مسألة وجود التضاد بين الأحكام و عدمه و أمّا البحث عن إمكان اجتماع البعث و النهي و عدم إمكانهما، أو عن اختلاف المبادي و عدم إمكان اجتماعها، أو المطاردة في مقام الامتثال فموكول إلى المستقبل و سيوافيك دفع هذه المحاذير</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7304898_3381743652"/>
      <w:bookmarkStart w:id="447" w:name="_Toc170"/>
      <w:bookmarkEnd w:id="446"/>
      <w:r>
        <w:rPr>
          <w:rtl w:val="true"/>
        </w:rPr>
        <w:t>تحليل المقدّمة الثانية</w:t>
      </w:r>
      <w:bookmarkEnd w:id="447"/>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المحقّق الخراساني إلى أنّ متعلّق الأحكام هو فعل المكلّف و ما هو في الخارج يصدر عنه و هو فاعله و جاعله، لا ما هو اسمه و هو واضح، و لا ما هو عنوانه ممّا قد انتزع عنه، و إنّما يؤخذ في متعلّق الأحكام آلة للحاظ متعلّقاتها و الإشارة إليها بمقدار الغرض منها و الحاجة إليها، لا بما هو هو و بنفسه و على </w:t>
      </w:r>
    </w:p>
    <w:p>
      <w:pPr>
        <w:pStyle w:val="BookText"/>
        <w:rPr/>
      </w:pPr>
      <w:r>
        <w:rPr>
          <w:rFonts w:ascii="Amiri" w:hAnsi="Amiri" w:eastAsia="Amiri" w:cs="Amiri"/>
          <w:color w:val="111111"/>
          <w:sz w:val="28"/>
          <w:sz w:val="28"/>
          <w:szCs w:val="28"/>
          <w:rtl w:val="true"/>
          <w:lang w:bidi="ar-SA"/>
        </w:rPr>
        <w:t>استقلاله و حياله</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ثمّ استنتج ممّا ذكره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المجمع حيث كان واحداً وجوداً و ذاتاً كان تعلّق الأمر و النهي به محالاً، و لو كان تعلّقهما به بعنوانين و ذلك لما عرفت من كون فعل المكلّف بحقيقته و واقعيته الصادرة عنه، متعلّقاً للأحكام، لا بعناوينه الطارئة عليه</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متعلّق الأحكام احتمالات نذكرها تباعاً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متعلّقة بالمفاهيم الذهنية المقيدة بكونها في الذهن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متعلّقة بالأفعال الخارجية و الموجودات العينية، و هذا ما يعبَّر عنه بالوجود بمعنى اسم المصدر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متعلّقة بإيجاد الطبائع في الخارج، و الذي يقال له الوجود بالمعنى المصدري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متعلّقة بالطبائع المعراة من كلّ عارض و لاحق، المنسلخة عن كلّ شيء لكن لغاية الإيجاد، فالإيجاد غاية للبعث و ليس متعلّقاً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الأحكام متعلّقة بالعناوين بما هي مرآة للخارج و طريق إليه، و ليس مراد القائل بتعلق الأحكام بالخارج، بتعلّقها به من دون توسيط عنوان مشير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مجموع الاحتمالات التي تتصوّر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غير صحيح بالمرة، لأنّ المفاهيم بقيد كونها في الذهن غير قابلة للامتثال أوّلاً، و لا تغني و لا تسمن من جوع ثانياً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فهو الذي بنى عليه المحقّق الخراساني نظرية الامتناع، فهو أيضاً </w:t>
      </w:r>
    </w:p>
    <w:p>
      <w:pPr>
        <w:pStyle w:val="BookText"/>
        <w:rPr/>
      </w:pPr>
      <w:r>
        <w:rPr>
          <w:rFonts w:ascii="Amiri" w:hAnsi="Amiri" w:eastAsia="Amiri" w:cs="Amiri"/>
          <w:color w:val="111111"/>
          <w:sz w:val="28"/>
          <w:sz w:val="28"/>
          <w:szCs w:val="28"/>
          <w:rtl w:val="true"/>
          <w:lang w:bidi="ar-SA"/>
        </w:rPr>
        <w:t>غير تام، و ذلك لأنّه إن أُريد من تعلّق الحكم بالخارج، الفرد الخارجي من الصلاة بعد وجودها فهو طلب للحاصل، و إن أُريد الفرد الخارجي قبل وجودها فليس له أيّة واقعية حتّى يتعلّق به الطلب، و ما له الواقعية هي العناوين الكلية التي لا يرضى القائل في المقام بتعلّق الأحكام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فهو الذي أوعز إليه المحقّق الخراساني عند البحث عن متعلّقات الأوامر في خاتمة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 عليه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دلالته على إيجاد الطبيعة فرع وجود دال عليه، و الدال منحصر في الهيئة و المادة، و الأولى وضعت للبعث نحو الطبيعة، و الثانية وضعت لنفس الطبيعة فأين الدال على إيجاد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صحّة النظرية لكانت النتيجة هي جواز اجتماع الأمر و النهي، لأنّ القول بتعلّق الأحكام بإيجاد الطبيعة عبارة أُخرى عن تعلّقها بالعناوين الكلية من دون فرق بين أن يكون العنوان هو الصلاة أو الغصب أو يكون العنوان إيجاد الصلاة و إيجاد الغصب فيكون متعلّق كلّ غير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فهو الحقّ الذي لا غبار عليه، فانّ القوة المقننة تنظر إلى واقع الحياة عن طريق العناوين و المفاهيم الكلية و تبعث إليها لغاية الإيجاد أو الترك فيكون متعلّق كلّ من الأمر و النهي مفهوماً فاقداً لكلّ شيء إلاّ نفسه، فعندئذ ترتفع المطاردة في مقام التشريع، لأنّ متعلّق الأمر غير متعلّق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ترتفع المطاردة في مقام الامتثال، لأنّه بوجوده الواحد مصداق للامتثال و العصيان لكن كلاً بحيثية خاصة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الخامس فهو يرجع إلى الاحتمال الرابع، فإن أُريد من المرآتية، المرآتية </w:t>
      </w:r>
    </w:p>
    <w:p>
      <w:pPr>
        <w:pStyle w:val="BookText"/>
        <w:rPr/>
      </w:pPr>
      <w:r>
        <w:rPr>
          <w:rFonts w:ascii="Amiri" w:hAnsi="Amiri" w:eastAsia="Amiri" w:cs="Amiri"/>
          <w:color w:val="111111"/>
          <w:sz w:val="28"/>
          <w:sz w:val="28"/>
          <w:szCs w:val="28"/>
          <w:rtl w:val="true"/>
          <w:lang w:bidi="ar-SA"/>
        </w:rPr>
        <w:t>بالفعل، فالمفاهيم الذهنية لا تكون مرآة للخارج بالفعل لعدم وجود المرئي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أُريد المرآتية الشأنية، فهو يرجع إلى الاحتمال الرابع، و هو انّ المأمور به هو الطبيعة المنسلخة عن كلّ تعين و عارض سوى نفسها لكن الأمر بها لغاية الإيجاد أو لغاية الترك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تحليل ما أرساه المحقّق الخراساني من الاستدلال على الامتناع، و قد عرفت عدم تماميته، فحان البحث في بيان أدلّة القائلين بالجواز</w:t>
      </w:r>
      <w:r>
        <w:rPr>
          <w:rFonts w:eastAsia="Amiri" w:cs="Amiri" w:ascii="Amiri" w:hAnsi="Amiri"/>
          <w:color w:val="111111"/>
          <w:sz w:val="28"/>
          <w:szCs w:val="28"/>
          <w:rtl w:val="true"/>
          <w:lang w:bidi="ar-SA"/>
        </w:rPr>
        <w:t xml:space="preserve">. </w:t>
      </w:r>
      <w:bookmarkStart w:id="448" w:name="pg14356_186794"/>
    </w:p>
    <w:p>
      <w:pPr>
        <w:pStyle w:val="Heading4"/>
        <w:numPr>
          <w:ilvl w:val="3"/>
          <w:numId w:val="1"/>
        </w:numPr>
        <w:rPr/>
      </w:pPr>
      <w:bookmarkStart w:id="449" w:name="__RefHeading___Toc7304900_3381743652"/>
      <w:bookmarkStart w:id="450" w:name="_Toc171"/>
      <w:bookmarkEnd w:id="448"/>
      <w:bookmarkEnd w:id="449"/>
      <w:r>
        <w:rPr>
          <w:rtl w:val="true"/>
        </w:rPr>
        <w:t>أدلة القائلين بجواز الاجتماع</w:t>
      </w:r>
      <w:bookmarkEnd w:id="450"/>
    </w:p>
    <w:p>
      <w:pPr>
        <w:pStyle w:val="Heading5"/>
        <w:numPr>
          <w:ilvl w:val="4"/>
          <w:numId w:val="1"/>
        </w:numPr>
        <w:rPr/>
      </w:pPr>
      <w:bookmarkStart w:id="451" w:name="__RefHeading___Toc7304902_3381743652"/>
      <w:bookmarkStart w:id="452" w:name="_Toc172"/>
      <w:bookmarkEnd w:id="451"/>
      <w:r>
        <w:rPr>
          <w:rtl w:val="true"/>
        </w:rPr>
        <w:t>اشارة</w:t>
      </w:r>
      <w:bookmarkEnd w:id="452"/>
    </w:p>
    <w:p>
      <w:pPr>
        <w:pStyle w:val="BookText"/>
        <w:rPr/>
      </w:pPr>
      <w:r>
        <w:rPr>
          <w:rFonts w:ascii="Amiri" w:hAnsi="Amiri" w:eastAsia="Amiri" w:cs="Amiri"/>
          <w:color w:val="111111"/>
          <w:sz w:val="28"/>
          <w:sz w:val="28"/>
          <w:szCs w:val="28"/>
          <w:rtl w:val="true"/>
          <w:lang w:bidi="ar-SA"/>
        </w:rPr>
        <w:t>استدلّ القائل بالجواز بوجوه سبعة نذكرها واحداً تلو الآخر، و لكن قبل الخوض في بيان هذه الوجوه نلفت نظر القارئ إلى نكتة،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القائلين بالجواز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يقول بأنّ الأحكام تتعلّق بالمصاديق الخارجية و الأُمور العينية، و على الرغم من ذلك فهو يقول بجواز الاجتماع لأجل انّ التركيب بين الصلاة و الغصب انضمامي لا اتحادي و هذا يقرب ممّا ذكره الآخرون من أنّ تعدد العنوان يوجب تعدد المعنون فالقول بالجواز لأجل انّ متعلق الأمر غير متعلق النهي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كالمحقق النائيني الذي تطرق إلى تثبيت الجواز عن طريق انّ التركيب بين المادة و الصورة انضمامي لا اتحادي، فخرج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تركيب الغصب و الصلاة تركيب انضمامي فالحيثية الصلاتية غير الحيثية الغصبية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منهم من يقول بأنّ متعلّق الأحكام هو الطبائع بما هي هي، و عندئذ يسهل له القول بالجواز، لأنّ متعلّق الأمر في عالم الجعل و الإنشاء غير متعلّق النهي، و قد ذهب إلى هذا القول السيد المحقّق البروجردي و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القارئ الكريم الالتفات إلى هذه النكتة في دراسة أدلّة القائلين بالجواز</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فلنذكر تلك الوجوه</w:t>
      </w:r>
      <w:r>
        <w:rPr>
          <w:rFonts w:eastAsia="Amiri" w:cs="Amiri" w:ascii="Amiri" w:hAnsi="Amiri"/>
          <w:color w:val="111111"/>
          <w:sz w:val="28"/>
          <w:szCs w:val="28"/>
          <w:rtl w:val="true"/>
          <w:lang w:bidi="ar-SA"/>
        </w:rPr>
        <w:t xml:space="preserve">: </w:t>
      </w:r>
      <w:bookmarkStart w:id="453" w:name="pg14356_186795"/>
    </w:p>
    <w:p>
      <w:pPr>
        <w:pStyle w:val="Heading5"/>
        <w:numPr>
          <w:ilvl w:val="4"/>
          <w:numId w:val="1"/>
        </w:numPr>
        <w:rPr/>
      </w:pPr>
      <w:bookmarkStart w:id="454" w:name="__RefHeading___Toc7304904_3381743652"/>
      <w:bookmarkStart w:id="455" w:name="_Toc173"/>
      <w:bookmarkEnd w:id="453"/>
      <w:bookmarkEnd w:id="454"/>
      <w:r>
        <w:rPr>
          <w:rtl w:val="true"/>
        </w:rPr>
        <w:t>الأول</w:t>
      </w:r>
      <w:r>
        <w:rPr>
          <w:rtl w:val="true"/>
        </w:rPr>
        <w:t xml:space="preserve">: </w:t>
      </w:r>
      <w:r>
        <w:rPr>
          <w:rtl w:val="true"/>
        </w:rPr>
        <w:t>دليل قدماء الأُصوليّين</w:t>
      </w:r>
      <w:bookmarkEnd w:id="455"/>
    </w:p>
    <w:p>
      <w:pPr>
        <w:pStyle w:val="BookText"/>
        <w:rPr/>
      </w:pPr>
      <w:r>
        <w:rPr>
          <w:rFonts w:ascii="Amiri" w:hAnsi="Amiri" w:eastAsia="Amiri" w:cs="Amiri"/>
          <w:color w:val="111111"/>
          <w:sz w:val="28"/>
          <w:sz w:val="28"/>
          <w:szCs w:val="28"/>
          <w:rtl w:val="true"/>
          <w:lang w:bidi="ar-SA"/>
        </w:rPr>
        <w:t>إذا أمر المولى عبده بخياطة ثوب و نهاه عن الكون في مكان خاص، فخاطه العبد في ذلك المكان عدّ مطيعاً لأمر الخياطة، و لذا لا يأمره بتجديد الخياطة، و عدّ عاصياً للكون في ذاك المكان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المثال خارج عن محط البحث فلأنّ الخياطة لا تختلط بالغصب، لأنّ الأولى عبارة عن إدخال الإبرة في الثوب، كما أنّ الثاني عبارة عن الكون في المكان الخاص فلا يعد إدخال الإبرة في الثوب غصباً، إذ ليس فيه تصرف في المغصوب، و ليس التصرّف في الهواء تصرّفاً في المغصوب، لأنّه ليس ملكاً لصاحب المكان</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7304906_3381743652"/>
      <w:bookmarkStart w:id="457" w:name="_Toc174"/>
      <w:bookmarkEnd w:id="456"/>
      <w:r>
        <w:rPr>
          <w:rtl w:val="true"/>
        </w:rPr>
        <w:t>الثاني</w:t>
      </w:r>
      <w:r>
        <w:rPr>
          <w:rtl w:val="true"/>
        </w:rPr>
        <w:t xml:space="preserve">: </w:t>
      </w:r>
      <w:r>
        <w:rPr>
          <w:rtl w:val="true"/>
        </w:rPr>
        <w:t>دليل المحقّق القمّي</w:t>
      </w:r>
      <w:bookmarkEnd w:id="457"/>
    </w:p>
    <w:p>
      <w:pPr>
        <w:pStyle w:val="BookText"/>
        <w:rPr/>
      </w:pPr>
      <w:r>
        <w:rPr>
          <w:rFonts w:ascii="Amiri" w:hAnsi="Amiri" w:eastAsia="Amiri" w:cs="Amiri"/>
          <w:color w:val="111111"/>
          <w:sz w:val="28"/>
          <w:sz w:val="28"/>
          <w:szCs w:val="28"/>
          <w:rtl w:val="true"/>
          <w:lang w:bidi="ar-SA"/>
        </w:rPr>
        <w:t>استدل المحقّق القمي بوجه مفصل نذكره ضمن مقاطع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الأمر طبيعة الصلاة، و متعلّق النهي طبيعة الغصب، و قد أوجدهما المكلّف بسوء اختياره في شيء واحد و لا يرد في ذلك قبح على الآمر، لتغاير متعلق المتضادين فلا يلزم التكليف بالمتضادين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 لا وجود له إلاّ بالأفراد، فالمراد بالتكليف بالكلي هو إيجاد الفرد و إن كان على الظاهر متعلّقاً بالكلّي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الفرد مقدّمة لتحقّق الكلّي في الخارج، فلا غائلة في التكليف به مع التمكّن من سائر المقدمات</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بالمقدّمة اللازم من الأمر بالكلّي يكفينا، فإنّ الأمر بالصلاة أمر بالكون الكلي، و الأمر به أمر بالكون الخاص مقدّمة، فهذا الكون </w:t>
      </w:r>
    </w:p>
    <w:p>
      <w:pPr>
        <w:pStyle w:val="BookText"/>
        <w:rPr/>
      </w:pPr>
      <w:r>
        <w:rPr>
          <w:rFonts w:ascii="Amiri" w:hAnsi="Amiri" w:eastAsia="Amiri" w:cs="Amiri"/>
          <w:color w:val="111111"/>
          <w:sz w:val="28"/>
          <w:sz w:val="28"/>
          <w:szCs w:val="28"/>
          <w:rtl w:val="true"/>
          <w:lang w:bidi="ar-SA"/>
        </w:rPr>
        <w:t>بعينه منهي عنه أيضاً بالنهي 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وجوب مقدّمة الواجب، و على فرض الوجوب، فالواجب هو فرد ما من الكون، لا الكون الخاص الجزئي، و إنّما اختار المكلّف مطلقاً الكون في ضمن هذا الفرد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المقدّمة منحصرة في الحرام، كما إذا لم يتمكن إلاّ من الصلاة في الدار المغصوبة، فنحن نقول بامتناع الاجتماع، فلا بدّ إمّا من الوجوب أو الحرمة</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هذا ملخّص كلامه، و حاصله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مانع من اجتماع الحكمين لاختلاف المتعلّقين، و اجتماع الحكمين المتضادين في الفرد لا يضر، لأنّ الفرد مقدمة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قلنا بوجوب مقدّمة الواجب و حرمة مقدّمة الحرام، فالكون حرام لا انّه واجب لاختصاص الوجوب بالمباح، و يسقط وجوب المقدّمة بالمحرّم، لكون وجوبها توصلياً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فرض انحصار المقدّمة بالحرام، فلا بدّ من القول بامتناع الاجتماع، فلا بدّ من تقديم الوجوب أو التحريم</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ينسب إليه التفصيل بين كون الانحصار بسوء الاختيار و عدمه، و انّه لا مانع من فعلية وجوب ذيها لكونه بسوء الاختيار، دون ما لم يكن كذلك و لكنّه ليس في كلامه إشارة إليه، و لعلّه ذكره في غير هذا المقام، كما قال المحقّق المشكيني في تعليقته على الكفاية، و ستوافيك النسبة في التنبيه الأوّل من تنبيهات المسألة </w:t>
      </w:r>
      <w:bookmarkStart w:id="458" w:name="pg14356_186797"/>
    </w:p>
    <w:p>
      <w:pPr>
        <w:pStyle w:val="BookText"/>
        <w:rPr/>
      </w:pPr>
      <w:bookmarkEnd w:id="458"/>
      <w:r>
        <w:rPr>
          <w:rFonts w:ascii="IRNazanin" w:hAnsi="IRNazanin" w:eastAsia="IRNazanin"/>
          <w:color w:val="111111"/>
          <w:sz w:val="28"/>
          <w:sz w:val="28"/>
          <w:szCs w:val="28"/>
          <w:rtl w:val="true"/>
          <w:lang w:bidi="fa-IR"/>
        </w:rPr>
        <w:t>فانتظر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 الكفاية من أنّ الفرد الخارجي نفس الطبيعي في عالم العين و إن كان غيره في عالم التصوّر، و مع العينية كيف تتصوّر المقدّمية المستلزمة للاثنينية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منتفية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نسب إليه من فعلية وجوب ذيها مع تسليم حرمة المقدّمة غير تام، لأنّه يستلزم التكليف بالمحال و هو غير جائز، سواء أ كان بسوء الاختيار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القاعدة المعروفة من أنّ الامتناع بالاختيار لا ينافي الاختيار فليس بمعنى صحّة الخطاب بل بمعنى وجود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ملاكاً و عقاباً لا خطاباً و حكماً، فلو ألقى نفسه من شاهق فحال السقوط حرام ملاكاً لا خطاباً لامتناع الامتثال عندئذ</w:t>
      </w:r>
      <w:r>
        <w:rPr>
          <w:rFonts w:eastAsia="Amiri" w:cs="Amiri" w:ascii="Amiri" w:hAnsi="Amiri"/>
          <w:color w:val="111111"/>
          <w:sz w:val="28"/>
          <w:szCs w:val="28"/>
          <w:rtl w:val="true"/>
          <w:lang w:bidi="ar-SA"/>
        </w:rPr>
        <w:t>.</w:t>
      </w:r>
    </w:p>
    <w:p>
      <w:pPr>
        <w:pStyle w:val="Heading5"/>
        <w:numPr>
          <w:ilvl w:val="4"/>
          <w:numId w:val="1"/>
        </w:numPr>
        <w:rPr/>
      </w:pPr>
      <w:bookmarkStart w:id="459" w:name="__RefHeading___Toc7304908_3381743652"/>
      <w:bookmarkStart w:id="460" w:name="_Toc175"/>
      <w:bookmarkEnd w:id="459"/>
      <w:r>
        <w:rPr>
          <w:rtl w:val="true"/>
        </w:rPr>
        <w:t>الثالث</w:t>
      </w:r>
      <w:r>
        <w:rPr>
          <w:rtl w:val="true"/>
        </w:rPr>
        <w:t xml:space="preserve">: </w:t>
      </w:r>
      <w:r>
        <w:rPr>
          <w:rtl w:val="true"/>
        </w:rPr>
        <w:t>دليل المحقّق النائيني</w:t>
      </w:r>
      <w:bookmarkEnd w:id="460"/>
    </w:p>
    <w:p>
      <w:pPr>
        <w:pStyle w:val="BookText"/>
        <w:rPr/>
      </w:pPr>
      <w:r>
        <w:rPr>
          <w:rFonts w:ascii="Amiri" w:hAnsi="Amiri" w:eastAsia="Amiri" w:cs="Amiri"/>
          <w:color w:val="111111"/>
          <w:sz w:val="28"/>
          <w:sz w:val="28"/>
          <w:szCs w:val="28"/>
          <w:rtl w:val="true"/>
          <w:lang w:bidi="ar-SA"/>
        </w:rPr>
        <w:t>إنّ المحقّق النائيني من القائلين بالجواز مع القول بتعلّق الأحكام بالمصاديق الخارجية، غير أنّه يسعى ليثبت انّ متعلّق الأمر في الخارج غير متعلّق الأمر فيه، و دليله مبني على مسألة فلسفية حول تركيب المادة و الصورة، فالحكماء على طائفتين، فمنهم من يقول بأنّ التركيب اتحادي و ليست هنا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الحيوان إذا وقع في مدارج الكمال يصير نفس الإنسان لا شيئاً منضماً إلى النفس الناطقة و 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تركب الجسم من حيوان و صورة، فانّ الهيولى في الماء نفس الصورة المائية كما أنّ الهيولى في النار نفس الصورة الخارجية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من يذهب إلى أنّ التركيب انضمامي و إنّ هنا كثرة باسم المادة و الصورة كالحيوان بالنسبة إلى الناطق، أو باسم الهيولى و الصورة كما في الماء و النار </w:t>
      </w:r>
    </w:p>
    <w:p>
      <w:pPr>
        <w:pStyle w:val="BookText"/>
        <w:rPr/>
      </w:pPr>
      <w:r>
        <w:rPr>
          <w:rFonts w:ascii="Amiri" w:hAnsi="Amiri" w:eastAsia="Amiri" w:cs="Amiri"/>
          <w:color w:val="111111"/>
          <w:sz w:val="28"/>
          <w:sz w:val="28"/>
          <w:szCs w:val="28"/>
          <w:rtl w:val="true"/>
          <w:lang w:bidi="ar-SA"/>
        </w:rPr>
        <w:t>على القول بتركب الكل من الهيولى و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كلا القولين يشير المحقّق السبزواري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بقول السيد السناد تركيب عينية اتحاد</w:t>
      </w:r>
    </w:p>
    <w:p>
      <w:pPr>
        <w:pStyle w:val="BookText"/>
        <w:rPr/>
      </w:pPr>
      <w:r>
        <w:rPr>
          <w:rFonts w:ascii="Amiri" w:hAnsi="Amiri" w:eastAsia="Amiri" w:cs="Amiri"/>
          <w:color w:val="111111"/>
          <w:sz w:val="28"/>
          <w:sz w:val="28"/>
          <w:szCs w:val="28"/>
          <w:rtl w:val="true"/>
          <w:lang w:bidi="ar-SA"/>
        </w:rPr>
        <w:t>لكن قول الحكماء العظام من قبله التركيب الانضمام</w:t>
      </w:r>
    </w:p>
    <w:p>
      <w:pPr>
        <w:pStyle w:val="BookText"/>
        <w:rPr/>
      </w:pPr>
      <w:r>
        <w:rPr>
          <w:rFonts w:ascii="Amiri" w:hAnsi="Amiri" w:eastAsia="Amiri" w:cs="Amiri"/>
          <w:color w:val="111111"/>
          <w:sz w:val="28"/>
          <w:sz w:val="28"/>
          <w:szCs w:val="28"/>
          <w:rtl w:val="true"/>
          <w:lang w:bidi="ar-SA"/>
        </w:rPr>
        <w:t>ثمّ إنّ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برهن على مختاره ببيان مفصل نأتي بموجزه تحت أرقام رياضية حتى يسهل فهم مرامه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الصلاة الموجودة في المجمع لا تنقص عن حقيقة الصلاة بشيء، إذا أتى بها في مكان مباح كما أنّ الغصب الموجود في المجمع لا تنقص من حقيقة الغصب بشيء كما إذا كان الغصب مجرداً عن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الصلاة من مقولة الوضع و عُرّف الوضع بأنّه نسبة حاصلة للشيء من نسبة أجزاء الشيء بعضها إلى بعض و المجموع إلى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الخارج عن ذلك الشيء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كالقيام و القعود، و الاستلقاء و الانبطاح و غيرها، فالقيام مثلاً عبارة عن الهيئة الحاصلة من نسبة بعض أعضاء البدن إلى بعض كالرأس إلى أعلى و الأقدام إلى أسفل، و المجموع إلى الخارج ككونه مستقبلاً للقبلة و مستدبراً الجدي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فالصلاة مؤلفة من قيام و ركوع و سجود، و جلوس في التشهد كلّها حتّى مقولة الوضع، و أمّا الهويّ إلى الركوع و السجود فإن قلنا بخروجها عن ماهية الصلاة فهو، و إلاّ فما هو جزء للصلاة عبارة عن الأوضاع المتلاحقة و المتلاصقة، فانّ الهويّ لا ينفك عن الأوضاع المتبادلة، فإذا شرع في الانحناء للركوع أو السجود إلى الأرض يتبدّل الوضع السابق إلى وضع لاحق و يستمر التبدّل إلى أن يصل إلى حدّ الركوع أو السجود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الغصب من مقولة الأين، و عرف الأين بأنّه هيئة حاصلة من كون </w:t>
      </w:r>
    </w:p>
    <w:p>
      <w:pPr>
        <w:pStyle w:val="BookText"/>
        <w:rPr/>
      </w:pPr>
      <w:r>
        <w:rPr>
          <w:rFonts w:ascii="Amiri" w:hAnsi="Amiri" w:eastAsia="Amiri" w:cs="Amiri"/>
          <w:color w:val="111111"/>
          <w:sz w:val="28"/>
          <w:sz w:val="28"/>
          <w:szCs w:val="28"/>
          <w:rtl w:val="true"/>
          <w:lang w:bidi="ar-SA"/>
        </w:rPr>
        <w:t>الشيء في المكان و ليس مجرد نسبة الشيء إلى المكان، بل الهيئة الحاصلة من كون المكين فيه، فالصلاة في الدار المغصوبة لا تنفك عن كون الإنسان فيها، فتحصل هيئة خاصة باسم الغصب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 الصلاة لا تجتمع مع الغصب في حال من الأحوال، لأنّ الأولى من مقولة الوضع و الثاني من مقولة الأين، و الوضع و الأين من الأجناس العالية التي لا جنس فوقها و هي متباينات بالذات غير مجتمعات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لبّ البرهان غير أنّ المستدل التفت إلى وجود الإشكال في الحركة في حال الهوي إلى الركوع و السجود، فإنّ الحركة يجتمع فيها عنوان الغصب و الصلاة مع كونها أمراً واحداً، فهذا هو الأمر الثالث الذي حاول أن يثبت فيه انّ هنا حركتين، لأنّ وحدة الحركة في المقام يتصور على وجهين و كلاهما باطلان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الحركة جنساً و عنوانا الصلاة و الغصب 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الحركة عرضاً و الصلاة و الغصب عارضين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فغير صحيح بالمرة لاستلزامه أن يكون الشيء الواحد يقع تحت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فيستلزم قيام العرض بالعرض كما يستلزم تركب الأعراض مع انّها بسائط، فلا محيص إلاّ عن الالتزام بأمر آخر و هو تعدّد الحركة الذي بيّنه في المقطع الرابع بقوله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حقّق في محله انّ الحركة لا تدخل تحت مقولة، و المقولات و إن كانت عشرة و لكن الحركة لا تدخل تحت واحدة من هذه المقولات، و هذا لا يعني انّ الحركة مقولة وراء المقولات العشرة تضاف إليها حتّى ينتهي عدد المقولات إلى إحدى عشرة مقولة بل الحركة في كل مقولة نفسها،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التفاحة على الشجرة يطرأ عليها حالات مختلفة، فتنقلب من البياض إلى الصفرة و الحمرة، و من صغر الحجم إلى كبره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حركتان حركة في الكيف و حركة في الكم و الحركة في كلّ مقولة نفس تلك المقولة لا شيئاً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فالحركة في الدار المغصوبة ينطبق عليها الوضع و الأين، فهي مع الوضع وضع و مع الأين أين، و بما انّهما من الأجناس المتباينة لا محيص إلاّ أن يقال انّ الصلاة مغايرة بالحقيقة و الهوية للغصب، و بالتالي الحركة الصلاتية مغايرة للحركة الغصبية، بعين مغايرة الصلاة و الغصب، و يكون في المجمع حركتان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صلائيّة، و حركة غصبيّة، و ليس المراد من الحركة رفع اليد و وضع اليد و حركة الرأس و الرّجل و وضعهما، فإنّ ذلك لا دخل له في المقام حتّى يبحث عن أنّها واحدة أو متعددة، بل المراد من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الحركة الصلاتيّة، و الحركة الغصبيّة، و هما متعددتان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الأمر الثالث و الرابع يشير المحقّق الخوئي في تقريراته عن أُستاذه،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ليست الحركة الواحدة الخارجية يصدق عليها انّها صلاة كما يصدق عليها انّها غصب وعليه، فلا محالة يكون التركيب بينهما اتحادياً و يكون كلّ منهما بالإضافة إلى الآخر لا بشرط</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فانّ الصلاة من مقولة و الغصب من مقولة أُخرى منضمة إليها، أعني بها مقولة الأين، و من الواضح انّ المقولات كلّها متباينة يمتنع اتحاد اثنتين منها في الوجود و كون التركيب بينهما اتحادياً و ما ذكر من صدقها على حركة شخصية واحدة يستلزم تفصّل الجنس الواحد، 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الحركة بفصلين في </w:t>
      </w:r>
    </w:p>
    <w:p>
      <w:pPr>
        <w:pStyle w:val="BookText"/>
        <w:rPr/>
      </w:pPr>
      <w:r>
        <w:rPr>
          <w:rFonts w:ascii="Amiri" w:hAnsi="Amiri" w:eastAsia="Amiri" w:cs="Amiri"/>
          <w:color w:val="111111"/>
          <w:sz w:val="28"/>
          <w:sz w:val="28"/>
          <w:szCs w:val="28"/>
          <w:rtl w:val="true"/>
          <w:lang w:bidi="ar-SA"/>
        </w:rPr>
        <w:t>عرض واحد و 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عصارة البرهان التي استللناها من كلا التقريرين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للكاظمي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 التقريرات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للخوئي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الاستدلال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التأكيد على أنّ تركيب العنوانين تركيب انضمامي لا اتحادي يعرب عن اتّفاقه مع المحقّق الخراساني على أنّ الأحكام تتعلّق بالأفعال الخارجية، و لما كانت نتيجة ذلك هو الامتناع لا جواز الاجتماع فانبرى إلى تصحيح الاجتماع بأن تركيب المقولتين انضمامي و كلّ مقولة بمعزل عن المقولة الأُخرى، فتكون إحداهما متعلّقة بالأمر و الأُخرى متعلّقة بالنهي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لكنّك عرفت أنّ الأحكام لا تتعلّق بالأفعال الخارجية لأنّها بعد الوجود ظرف السقوط، و قبل الوجود ليس لها تحقّق في الخارج حتّى يتعلّق بها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حديث التركيب الانضمامي و الاتحادي من خصائص الوجودات الخارجية كالمادة و الصورة أو الهيولى و الصورة، فمن قائل بأنّ المادة في مدارج حركتها تصير نفس الصورة من دون أن يكون بينهما اثنينية، و التركيب بينهما اتحادي إلى آخر بأنّ المادة في مدارج حركتها تتشخص بالصورة و بينهما اثنينية و التركيب بينهما انضمامي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فهذا البحث الفلسفي مختص بالموجودات الخارجية دون العناوين الاعتبارية كالصلاة أو الانتزاعية كالغصب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الصلاة فهي عنوان اعتباري يعبر بها عن عدة مقولات متنوعة و مجتمعة فالصلاة تشتمل على الأذكار، و هي بما انّها مشتملة على الجهر و الإخفات من مقولة الكيف، و على القيام و الركوع و السجود فهي من مقولة الوضع، و على الهوي فإن </w:t>
      </w:r>
    </w:p>
    <w:p>
      <w:pPr>
        <w:pStyle w:val="BookText"/>
        <w:rPr/>
      </w:pPr>
      <w:r>
        <w:rPr>
          <w:rFonts w:ascii="Amiri" w:hAnsi="Amiri" w:eastAsia="Amiri" w:cs="Amiri"/>
          <w:color w:val="111111"/>
          <w:sz w:val="28"/>
          <w:sz w:val="28"/>
          <w:szCs w:val="28"/>
          <w:rtl w:val="true"/>
          <w:lang w:bidi="ar-SA"/>
        </w:rPr>
        <w:t>قلنا بأنّ الواجب هي الهيئة الركوعية و السجودية و انّ الهوي مقدمة فهي من مقولة الوضع، و إن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الواجب هو الفعل الصادر من المكلّف، فيكون الهُويّ حركة في الوضع إلى أن تنتهي بترك الأوضاع المتلاحقة إلى حدّ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تكون الصلاة أمراً اعتبارياً باعتبار إطلاقها على ما يشتمل على أزيد من مقولة و أمّا الغصب فهو أمر انتزاعي بشهادة انّه ينتزع من أمرين مختلفين في الماهية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ينتزع من التصرف في مال الغير، كلبس ثوب الغير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ينتزع من الاستيلاء على مال الغير بلا تصرف فيه، كما إذا منع المالك من التصرف في ماله فيكون الغصب عنواناً انتزاعياً، تارة ينتزع من التصرف في مال الغير، و أُخرى من الاستيلاء على مال الغير و إن لم يتصرف فيه، فمثل ذلك لا يكون داخلاً تحت مقولة و إنّما يكون أمراً انتزاعياً، فحديث التركيب الاتحادي و الانضمامي في المقام أشبه بالسالبة بانتفاء الموضوع، و على ذلك فالغصب ليس من الماهيات المتأصلة ليستحيل اتحاده مع الصلاة خارجاً و انّه من المفاهيم الانتزاعية القابلة للانطباق على ماهيات متعددة، وعليه فلا مانع من انطباقه على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بتعدّد الحركة و انّ الحركة الصلاتية غير الحركة الغصبية يخالف الحس و الوجدان، إذ لا يصدر عن المصلي إلاّ حركة واحدة و على فرض صدور حركتين فالحركة الثانية أيضاً بما انّها تصرف في مال الغير توصف بالغصب أيضاً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استنتاج الحكم الشرعي من هذه المقدّمات الفلسفية المبتنية على مقدّمات غير واضحة لا يمكن الاعتماد عليه</w:t>
      </w:r>
      <w:r>
        <w:rPr>
          <w:rFonts w:eastAsia="Amiri" w:cs="Amiri" w:ascii="Amiri" w:hAnsi="Amiri"/>
          <w:color w:val="111111"/>
          <w:sz w:val="28"/>
          <w:szCs w:val="28"/>
          <w:rtl w:val="true"/>
          <w:lang w:bidi="ar-SA"/>
        </w:rPr>
        <w:t xml:space="preserve">. </w:t>
      </w:r>
      <w:bookmarkStart w:id="461" w:name="pg14356_186803"/>
    </w:p>
    <w:p>
      <w:pPr>
        <w:pStyle w:val="Heading5"/>
        <w:numPr>
          <w:ilvl w:val="4"/>
          <w:numId w:val="1"/>
        </w:numPr>
        <w:rPr/>
      </w:pPr>
      <w:bookmarkStart w:id="462" w:name="__RefHeading___Toc7304910_3381743652"/>
      <w:bookmarkStart w:id="463" w:name="_Toc176"/>
      <w:bookmarkEnd w:id="461"/>
      <w:bookmarkEnd w:id="462"/>
      <w:r>
        <w:rPr>
          <w:rtl w:val="true"/>
        </w:rPr>
        <w:t>الوجه الرابع ما ذكره بعضهم من أنّ الاجتماع لو كان آمريّاً و من قبل المولى، لكان ذلك مستحيلاً،</w:t>
      </w:r>
      <w:bookmarkEnd w:id="463"/>
    </w:p>
    <w:p>
      <w:pPr>
        <w:pStyle w:val="BookText"/>
        <w:rPr/>
      </w:pPr>
      <w:r>
        <w:rPr>
          <w:rFonts w:ascii="Amiri" w:hAnsi="Amiri" w:eastAsia="Amiri" w:cs="Amiri"/>
          <w:color w:val="111111"/>
          <w:sz w:val="28"/>
          <w:sz w:val="28"/>
          <w:szCs w:val="28"/>
          <w:rtl w:val="true"/>
          <w:lang w:bidi="ar-SA"/>
        </w:rPr>
        <w:t>لكنّه ليس في المقام كذلك بداهة أنّه مأموري و من قبل نفس المكلّف بسوء اختياره، فلا يكون هناك مانع عن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القائل بالامتناع يقول بأنّ الحكم بصحّة الاجتماع يؤول إلى الاجتماع الآمري، لأنّ المفروض أنّ كلا من الخطابين لإطلاق متعلّقه يعمّ ما لو وجد كل في ضمن الآخر فيعود المحذور، إذ لو كان لمقولة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إطلاق، يعمّ ما إذا كانت متحدة مع الغصب، للزم أن يكون المجمع واجباً و حراماً و هذا لا يمكن الالتزام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افترضنا انّ الاجتماع مأموريّ، فالإشكال غير مندفع أيضاً، لأنّ التكليف بالمحال أمر قبيح من غير فرق بين سوء الاختيار و عدمه، هذا و سيوافيك في الوجه الخامس دفع الإشكالين فانتظر</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7304912_3381743652"/>
      <w:bookmarkStart w:id="465" w:name="_Toc177"/>
      <w:bookmarkEnd w:id="464"/>
      <w:r>
        <w:rPr>
          <w:rtl w:val="true"/>
        </w:rPr>
        <w:t>الوجه الخامس للمحقّق البروجردي</w:t>
      </w:r>
      <w:bookmarkEnd w:id="465"/>
    </w:p>
    <w:p>
      <w:pPr>
        <w:pStyle w:val="Heading6"/>
        <w:numPr>
          <w:ilvl w:val="5"/>
          <w:numId w:val="1"/>
        </w:numPr>
        <w:rPr/>
      </w:pPr>
      <w:bookmarkStart w:id="466" w:name="__RefHeading___Toc7304914_3381743652"/>
      <w:bookmarkStart w:id="467" w:name="_Toc178"/>
      <w:bookmarkEnd w:id="466"/>
      <w:r>
        <w:rPr>
          <w:rtl w:val="true"/>
        </w:rPr>
        <w:t>اشارة</w:t>
      </w:r>
      <w:bookmarkEnd w:id="467"/>
    </w:p>
    <w:p>
      <w:pPr>
        <w:pStyle w:val="BookText"/>
        <w:rPr/>
      </w:pPr>
      <w:r>
        <w:rPr>
          <w:rFonts w:ascii="Amiri" w:hAnsi="Amiri" w:eastAsia="Amiri" w:cs="Amiri"/>
          <w:color w:val="111111"/>
          <w:sz w:val="28"/>
          <w:sz w:val="28"/>
          <w:szCs w:val="28"/>
          <w:rtl w:val="true"/>
          <w:lang w:bidi="ar-SA"/>
        </w:rPr>
        <w:t>و هذا الوجه ذكره المحقّق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أوضحه السيّد الإمام الخميني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شيّد أركانه، و دفع المحاذير المتوهمة شيخنا الأُستاذ مدّ ظلّه، و حاصل الوجه هو</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الأحكام لا تتعلّق إلاّ بالطبائع دون المصاديق الخارجية، و عندئذ لا مانع من تعلّق الأمر بحيثيته، و النهي بحيثية أُخرى و عند ما تصادفت الحيثيتان على شيء واحد، لا مانع من أن يكون ذاك الشيء مصداقاً للمأمور به بحيثيته </w:t>
      </w:r>
      <w:bookmarkStart w:id="468" w:name="pg14356_186804"/>
    </w:p>
    <w:p>
      <w:pPr>
        <w:pStyle w:val="BookText"/>
        <w:rPr/>
      </w:pPr>
      <w:bookmarkEnd w:id="468"/>
      <w:r>
        <w:rPr>
          <w:rFonts w:ascii="Amiri" w:hAnsi="Amiri" w:eastAsia="Amiri" w:cs="Amiri"/>
          <w:color w:val="111111"/>
          <w:sz w:val="28"/>
          <w:sz w:val="28"/>
          <w:szCs w:val="28"/>
          <w:rtl w:val="true"/>
          <w:lang w:bidi="ar-SA"/>
        </w:rPr>
        <w:t>و مصداقاً للمنهي عنه بحيثية أُخرى، فالتضاد بين الأحكام على فرض صحته، يرتفع باختلاف المتعلّقات، و هذا هو حاصل النظرية و إجمالها، و أمّا التفصيل فيقع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النظرية بذكر ما تبتني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المحاذير المتوهمة على القول بالاجتماع في المراحل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مرحلة التشريع، مرحلة المبادئ، مرحلة الامتثال، و إليك الكلام في الأوّل</w:t>
      </w:r>
      <w:r>
        <w:rPr>
          <w:rFonts w:eastAsia="Amiri" w:cs="Amiri" w:ascii="Amiri" w:hAnsi="Amiri"/>
          <w:color w:val="111111"/>
          <w:sz w:val="28"/>
          <w:szCs w:val="28"/>
          <w:rtl w:val="true"/>
          <w:lang w:bidi="ar-SA"/>
        </w:rPr>
        <w:t>.</w:t>
      </w:r>
    </w:p>
    <w:p>
      <w:pPr>
        <w:pStyle w:val="Heading6"/>
        <w:numPr>
          <w:ilvl w:val="5"/>
          <w:numId w:val="1"/>
        </w:numPr>
        <w:rPr/>
      </w:pPr>
      <w:bookmarkStart w:id="469" w:name="__RefHeading___Toc7304916_3381743652"/>
      <w:bookmarkStart w:id="470" w:name="_Toc179"/>
      <w:bookmarkEnd w:id="469"/>
      <w:r>
        <w:rPr>
          <w:rtl w:val="true"/>
        </w:rPr>
        <w:t>المقام الأوّل</w:t>
      </w:r>
      <w:r>
        <w:rPr>
          <w:rtl w:val="true"/>
        </w:rPr>
        <w:t xml:space="preserve">: </w:t>
      </w:r>
      <w:r>
        <w:rPr>
          <w:rtl w:val="true"/>
        </w:rPr>
        <w:t>في إيضاح النظرية بذكر ما تبتني عليه</w:t>
      </w:r>
      <w:bookmarkEnd w:id="470"/>
    </w:p>
    <w:p>
      <w:pPr>
        <w:pStyle w:val="BookText"/>
        <w:rPr/>
      </w:pPr>
      <w:r>
        <w:rPr>
          <w:rFonts w:ascii="Amiri" w:hAnsi="Amiri" w:eastAsia="Amiri" w:cs="Amiri"/>
          <w:color w:val="111111"/>
          <w:sz w:val="28"/>
          <w:sz w:val="28"/>
          <w:szCs w:val="28"/>
          <w:rtl w:val="true"/>
          <w:lang w:bidi="ar-SA"/>
        </w:rPr>
        <w:t>إنّ النظرية تبتني على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أساس التشريع هو تعلّقه بالعناوين و الطبائع دون المصاديق، فالمشرِّع ينظر إلى واقع الحياة عن طريق متعلّقات الأحكام التي ليست إلاّ عنواناً كلياً، قابلاً للانطباق على مصاديق كثيرة، فيأمر بها، لغاية الإيجاد، كما يزجر عنها لغاية الانتهاء و الترك، و بما انّ هذه المقدّمة قد سبق ذكرها فلا نطيل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لا تتعلّق إلاّ بما هو دخيل في الغرض، ثبوتاً و تتبعها دلالة الأمر إثباتاً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الثبوت، فلأنّ تعلّق الإرادة بما لا مدخلية له في غرضه، أمر جزاف لا يحوم حوله الحكيم، فلو كان لما هو الدخيل في الغرض، لوازم وجودية، أو أُمور مقارنة معه أحياناً فلا تتعلق بهما الإرادة، و على ضوء ذلك، فالأمر يتعلّق بالحيثية الصلاتيّة دون الغصبية و إن قارنت معها أحياناً، إذ لا مدخلية للثانية في حصول غرض المولى، كما أنّه لو كان المحصِّل لغرضه شيء له أجزاء أربعة، فلا تتعلق إرادته إلاّ بذات الأربعة بما هي هي و إن كانت تلازم الزوجية فاللوازم و المقارنات </w:t>
      </w:r>
    </w:p>
    <w:p>
      <w:pPr>
        <w:pStyle w:val="BookText"/>
        <w:rPr/>
      </w:pPr>
      <w:r>
        <w:rPr>
          <w:rFonts w:ascii="Amiri" w:hAnsi="Amiri" w:eastAsia="Amiri" w:cs="Amiri"/>
          <w:color w:val="111111"/>
          <w:sz w:val="28"/>
          <w:sz w:val="28"/>
          <w:szCs w:val="28"/>
          <w:rtl w:val="true"/>
          <w:lang w:bidi="ar-SA"/>
        </w:rPr>
        <w:t>خارجتان عن مصب الإرادة في الإرادة الفاعلية التكوينية، و مثلها الإرادة الأمرية التشريعية حرفاً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الإثبات فلأنّ المفروض انّ المادة موضوعة لنفس الطبيعة بما هي هي، فلا تدل إلاّ عليها، و أمّا اللوازم و المقارنات، فخارجتان عن حريم دلالة المادة اللفظية و إن كانت ربما تدلّ عليها بالدلالة الالتزامية التي هي دلالة عقلية فلا يتعلق بهما الأمر اللّهمّ إلاّ بدال آخر و المفروض عدمه، و لذلك قلنا في محله انّ العام لا يكون مرآة للخاص، لأنّه موضوع للجامع بين الأفراد، لا له مع الخصوصيات، و لذلك اخترنا عدم صحة الوضع العام و الموضوع الخاص، إلاّ على وجه قد أوضحناه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رفض القيود لا الجمع بين القيود، و بعبارة أُخرى الإطلاق عبارة عن كون ما وقع تحت دائرة الطلب، تمام الموضوع للحكم لا بعضه و جزئه، فيكون الحكم، حاضراً بحضور موضوعه، و هذا ما نسمّيه بالإطلاق الذاتي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الإطلاق اللحاظي،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تسرية الحكم إلى عامة حالات الموضوع، بلحاظ الحالات واحدة بعد الأُخرى حين الأمر حتّى يكون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ظاهرت أعتق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عتقها سواء أ كانت مؤمنة أم كافرة، عادلة أو فاسقة، عالمة أو جاهلة، فممّا لا أساس له، لما عرفت أنّ الإطلاق هو تسريح الموضوع عن القيد، لا أخذه مع جميع القيود و بعبارة أُخرى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رفض القيود و تركها و عدم العناية بها، لا جمعها و ذكرها في الموضوع و لو بصورة القضية المنفصلة، لعدم مدخلية القيود في الحكم حتّى تلاحظ و تؤخذ في الموضوع و على ضوء ذلك، فمعنى الأمر بالصلاة على وجه الإطلاق هو كون الحيثية الصلاتية تمام الموضوع للحكم، و ليس معناه هو </w:t>
      </w:r>
      <w:bookmarkStart w:id="471" w:name="pg14356_186806"/>
    </w:p>
    <w:p>
      <w:pPr>
        <w:pStyle w:val="BookText"/>
        <w:rPr/>
      </w:pPr>
      <w:bookmarkEnd w:id="471"/>
      <w:r>
        <w:rPr>
          <w:rFonts w:ascii="Amiri" w:hAnsi="Amiri" w:eastAsia="Amiri" w:cs="Amiri"/>
          <w:color w:val="111111"/>
          <w:sz w:val="28"/>
          <w:sz w:val="28"/>
          <w:szCs w:val="28"/>
          <w:rtl w:val="true"/>
          <w:lang w:bidi="ar-SA"/>
        </w:rPr>
        <w:t>الأمر بها سواء أ كانت مع الغصب أو لا، بحيث يعد الغصب، مأخوذاً في موضوع الأمر و لو على نحو القضية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لك جواز الاجتماع، لأنّ تمام المتعلّق للأمر، هو الصلاة، و تمامه للنهي هو الغصب، و هما مختلفان مفهوماً و ماهية، و ليس معنى الأمر بها هو الأمر باللوازم الوجودية أو الأُمور المقارنة لعدم مدخليتهما في الغرض المطلوب، بالإرادة ثبوتاً، و بالأمر إثباتاً، فمعنى كون الصلاة مطلوبة مطلقاً، ليس كونها مطلوبة مع الغصب، حتّى يكون الثاني، جزء المتعلّق، بل المراد عدم أخذ أية خصوصية في المتعلّق، و تصادقهما على مورد واحد لا يضر، إذ لا إشكال في إمكان الشيء الواحد مصداقاً لعنوانين لكن بحيثيتين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يمتنع أن يكون اللازم محكوماً بحكم مضاد مع حكم الملزوم، فإذا وجب إيجاد الأربعة، لا يجوز تحريم إيجاد الزوجية، و أمّا المقارن المنفك عنه أحياناً، فلا يمتنع أن يكون محكوماً بحكم مضاد، إذ في وسع المكلّف التفكيك بينهما كما هو الحال في المقام حيث إنّ الصلاة واجبة و الغصب المقارن معها أحياناً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حاصل النظرية بقي الكلام في المقام الثاني، و هو دفع المحاذير في المراحل الثلاث على القول بجواز الاجتماع، و إليك البيان</w:t>
      </w:r>
      <w:r>
        <w:rPr>
          <w:rFonts w:eastAsia="Amiri" w:cs="Amiri" w:ascii="Amiri" w:hAnsi="Amiri"/>
          <w:color w:val="111111"/>
          <w:sz w:val="28"/>
          <w:szCs w:val="28"/>
          <w:rtl w:val="true"/>
          <w:lang w:bidi="ar-SA"/>
        </w:rPr>
        <w:t>:</w:t>
      </w:r>
    </w:p>
    <w:p>
      <w:pPr>
        <w:pStyle w:val="Heading6"/>
        <w:numPr>
          <w:ilvl w:val="5"/>
          <w:numId w:val="1"/>
        </w:numPr>
        <w:rPr/>
      </w:pPr>
      <w:bookmarkStart w:id="472" w:name="__RefHeading___Toc7304918_3381743652"/>
      <w:bookmarkStart w:id="473" w:name="_Toc180"/>
      <w:bookmarkEnd w:id="472"/>
      <w:r>
        <w:rPr>
          <w:rtl w:val="true"/>
        </w:rPr>
        <w:t>المقام الثاني</w:t>
      </w:r>
      <w:r>
        <w:rPr>
          <w:rtl w:val="true"/>
        </w:rPr>
        <w:t xml:space="preserve">: </w:t>
      </w:r>
      <w:r>
        <w:rPr>
          <w:rtl w:val="true"/>
        </w:rPr>
        <w:t>دفع المحاذير</w:t>
      </w:r>
      <w:bookmarkEnd w:id="473"/>
    </w:p>
    <w:p>
      <w:pPr>
        <w:pStyle w:val="BookText"/>
        <w:rPr/>
      </w:pPr>
      <w:r>
        <w:rPr>
          <w:rFonts w:ascii="Amiri" w:hAnsi="Amiri" w:eastAsia="Amiri" w:cs="Amiri"/>
          <w:color w:val="111111"/>
          <w:sz w:val="28"/>
          <w:sz w:val="28"/>
          <w:szCs w:val="28"/>
          <w:rtl w:val="true"/>
          <w:lang w:bidi="ar-SA"/>
        </w:rPr>
        <w:t>إنّ المحاذير المقصودة في المقام تدور على محاور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الجعل و التشريع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مبادئ الأحكام و مقدّماتها</w:t>
      </w:r>
      <w:r>
        <w:rPr>
          <w:rFonts w:eastAsia="Amiri" w:cs="Amiri" w:ascii="Amiri" w:hAnsi="Amiri"/>
          <w:color w:val="111111"/>
          <w:sz w:val="28"/>
          <w:szCs w:val="28"/>
          <w:rtl w:val="true"/>
          <w:lang w:bidi="ar-SA"/>
        </w:rPr>
        <w:t xml:space="preserve">. </w:t>
      </w:r>
      <w:bookmarkStart w:id="474" w:name="pg14356_186807"/>
    </w:p>
    <w:p>
      <w:pPr>
        <w:pStyle w:val="BookText"/>
        <w:rPr/>
      </w:pPr>
      <w:bookmarkEnd w:id="47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مقام الامتثال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فلندرس الجميع واحداً تلو الآخر</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7304920_3381743652"/>
      <w:bookmarkStart w:id="476" w:name="_Toc181"/>
      <w:bookmarkEnd w:id="475"/>
      <w:r>
        <w:rPr/>
        <w:t>1</w:t>
      </w:r>
      <w:r>
        <w:rPr>
          <w:rtl w:val="true"/>
        </w:rPr>
        <w:t xml:space="preserve">. </w:t>
      </w:r>
      <w:r>
        <w:rPr>
          <w:rtl w:val="true"/>
        </w:rPr>
        <w:t>عدم المحذور في مقام الجعل</w:t>
      </w:r>
      <w:bookmarkEnd w:id="476"/>
    </w:p>
    <w:p>
      <w:pPr>
        <w:pStyle w:val="BookText"/>
        <w:rPr/>
      </w:pPr>
      <w:r>
        <w:rPr>
          <w:rFonts w:ascii="Amiri" w:hAnsi="Amiri" w:eastAsia="Amiri" w:cs="Amiri"/>
          <w:color w:val="111111"/>
          <w:sz w:val="28"/>
          <w:sz w:val="28"/>
          <w:szCs w:val="28"/>
          <w:rtl w:val="true"/>
          <w:lang w:bidi="ar-SA"/>
        </w:rPr>
        <w:t>أمّا عدم المحذور في مقام الجعل و التشريع فلعدم التكاذب بين الحكمين، إذ لا مزاحمة بين إيجاب الصلاة و تحريم الغصب لاختلاف المتعلّقين بالذات، و تصادقهما في مورد، لا يضرّ بصحّة التشريع و حفظ الإطلاقين في مورده، لأنّ الواجب هو الحيثية الصلاتية، و المحرم هو الحيثية الغصبية، و لا مانع من أن يكون شيء واحد مصداقاً للواجب و الحرام بحيثيتين مختلفتين و بما انّا بسطنا الكلام فيه فلا نطيل</w:t>
      </w:r>
      <w:r>
        <w:rPr>
          <w:rFonts w:eastAsia="Amiri" w:cs="Amiri" w:ascii="Amiri" w:hAnsi="Amiri"/>
          <w:color w:val="111111"/>
          <w:sz w:val="28"/>
          <w:szCs w:val="28"/>
          <w:rtl w:val="true"/>
          <w:lang w:bidi="ar-SA"/>
        </w:rPr>
        <w:t>.</w:t>
      </w:r>
    </w:p>
    <w:p>
      <w:pPr>
        <w:pStyle w:val="Heading6"/>
        <w:numPr>
          <w:ilvl w:val="5"/>
          <w:numId w:val="1"/>
        </w:numPr>
        <w:rPr/>
      </w:pPr>
      <w:bookmarkStart w:id="477" w:name="__RefHeading___Toc7304922_3381743652"/>
      <w:bookmarkStart w:id="478" w:name="_Toc182"/>
      <w:bookmarkEnd w:id="477"/>
      <w:r>
        <w:rPr/>
        <w:t>2</w:t>
      </w:r>
      <w:r>
        <w:rPr>
          <w:rtl w:val="true"/>
        </w:rPr>
        <w:t xml:space="preserve">. </w:t>
      </w:r>
      <w:r>
        <w:rPr>
          <w:rtl w:val="true"/>
        </w:rPr>
        <w:t>عدم المحذور في مبادئ الأحكام</w:t>
      </w:r>
      <w:bookmarkEnd w:id="478"/>
    </w:p>
    <w:p>
      <w:pPr>
        <w:pStyle w:val="BookText"/>
        <w:rPr/>
      </w:pPr>
      <w:r>
        <w:rPr>
          <w:rFonts w:ascii="Amiri" w:hAnsi="Amiri" w:eastAsia="Amiri" w:cs="Amiri"/>
          <w:color w:val="111111"/>
          <w:sz w:val="28"/>
          <w:sz w:val="28"/>
          <w:szCs w:val="28"/>
          <w:rtl w:val="true"/>
          <w:lang w:bidi="ar-SA"/>
        </w:rPr>
        <w:t>إنّ الحبّ و البغض من مبادئ الأحكام فيأمر بإتيان المحبوب و ينهى عن ممارسة المبغوض، كما أنّ المصلحة و المفسدة من مباديها، فيطلب ذات المصلحة، و ينهى عن ذات المفسدة و لو قلنا بجواز اجتماع الأمر و النهي في شيء واحد و لو بعنوانين، ربّما يتوهم أنّه يلزم أن يكون الشيء محبوباً و مبغوضاً، و ذات مصلحة و مفسدة، و هي عين القول باجتماع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الإشكال مبني على كون الحبّ و البغض أو المصلحة و المفسدة من الكيفيات الجسمانية القائمة بالشيء الخارجي كالسواد و البياض، فيمتنع وصف الشيء بهما و لو بعنوانين، لكن الأمر ليس كذلك</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الحبّ و البغض، و يقرب منهما الإرادة و الكراهة فالجميع من الكيفيات </w:t>
      </w:r>
      <w:bookmarkStart w:id="479" w:name="pg14356_186808"/>
    </w:p>
    <w:p>
      <w:pPr>
        <w:pStyle w:val="BookText"/>
        <w:rPr/>
      </w:pPr>
      <w:bookmarkEnd w:id="479"/>
      <w:r>
        <w:rPr>
          <w:rFonts w:ascii="Amiri" w:hAnsi="Amiri" w:eastAsia="Amiri" w:cs="Amiri"/>
          <w:color w:val="111111"/>
          <w:sz w:val="28"/>
          <w:sz w:val="28"/>
          <w:szCs w:val="28"/>
          <w:rtl w:val="true"/>
          <w:lang w:bidi="ar-SA"/>
        </w:rPr>
        <w:t>النفسانية ذات الإضافة، فلها إضافة إلى النفس لقيامها بها، و إضافة بالذات إلى الصورة العلمية من المحبوب و المبغوض، و المراد و المكروه، و إضافة بالعرض إلى مصاديقها و أعيانها الخارجية، و على ضوء ذلك فلا مانع من اجتماع الجميع في شيء واحد، لأنّه إذا اجتمعت حيثيتان في شيء واحد، تشتاق النفس إليه لحيثية و تزجر عنه لأجل حيثية أُخرى، فتكريم اليتيم في الدار المغصوبة محبوب من جهة، إذ فيه ترويح لحال اليتيم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مبغوض لكونه تصرفاً في مال الغير، و نقضاً للقانون، و يقرب منهما، كون الشيء الواحد مراداً و مكروهاً لجهتين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المصلحة و المفسدة فليستا من الأُمور القائمة بذات الشيء، بل المصالح و المفاسد الفردية، يرجع إلى حياة الشخص الفردية، فلا غرو في أن يكون الشيء في حياة الإنسان ذا مصلحة باعتبار، و ذا مفسدة باعتبار آخر، إذ ربما يكون الدواء الخاص مفيداً و مضرّاً باعتبارين، و منه يظهر حال المصالح و المفاسد الاجتماعية، و الإشكال نابع من تنزيل المصلحة و المفسدة، منزلة الكيفيات الجسمانية القائمة بذات الشيء، و قد عرفت أنّهما من الأُمور الإضافية و النسبية و لا مانع من كون الشيء ذا مصلحة و مفسدة باعتبارات مختلفة</w:t>
      </w:r>
      <w:r>
        <w:rPr>
          <w:rFonts w:eastAsia="Amiri" w:cs="Amiri" w:ascii="Amiri" w:hAnsi="Amiri"/>
          <w:color w:val="111111"/>
          <w:sz w:val="28"/>
          <w:szCs w:val="28"/>
          <w:rtl w:val="true"/>
          <w:lang w:bidi="ar-SA"/>
        </w:rPr>
        <w:t>.</w:t>
      </w:r>
    </w:p>
    <w:p>
      <w:pPr>
        <w:pStyle w:val="Heading6"/>
        <w:numPr>
          <w:ilvl w:val="5"/>
          <w:numId w:val="1"/>
        </w:numPr>
        <w:rPr/>
      </w:pPr>
      <w:bookmarkStart w:id="480" w:name="__RefHeading___Toc7304924_3381743652"/>
      <w:bookmarkStart w:id="481" w:name="_Toc183"/>
      <w:bookmarkEnd w:id="480"/>
      <w:r>
        <w:rPr/>
        <w:t>3</w:t>
      </w:r>
      <w:r>
        <w:rPr>
          <w:rtl w:val="true"/>
        </w:rPr>
        <w:t xml:space="preserve">. </w:t>
      </w:r>
      <w:r>
        <w:rPr>
          <w:rtl w:val="true"/>
        </w:rPr>
        <w:t>عدم المحذور في مقام الامتثال</w:t>
      </w:r>
      <w:bookmarkEnd w:id="481"/>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المرحلة من المراحل الثلاث، هي بيت القصيد للامتناعي، و هو يعتمد في إبطال الاجتماع على هذا المحذور، أكثر من المحاذير الأُخر، و حاصله انّه لو قلنا بجواز الاجتماع يلزم أن يكون الشيء الواحد مبعوثاً إليه و منهياً عنه، أمّا على القول بتعلّق الأحكام بالمصاديق الخارجية فواضح، إذ يلزم من تصحيح الاجتماع أن يكون الشيء الواحد مبعوثاً إليه و منهياً عنه، و كون متعلّق الأمر غير متعلّق </w:t>
      </w:r>
    </w:p>
    <w:p>
      <w:pPr>
        <w:pStyle w:val="BookText"/>
        <w:rPr/>
      </w:pPr>
      <w:r>
        <w:rPr>
          <w:rFonts w:ascii="Amiri" w:hAnsi="Amiri" w:eastAsia="Amiri" w:cs="Amiri"/>
          <w:color w:val="111111"/>
          <w:sz w:val="28"/>
          <w:sz w:val="28"/>
          <w:szCs w:val="28"/>
          <w:rtl w:val="true"/>
          <w:lang w:bidi="ar-SA"/>
        </w:rPr>
        <w:t>النهي لا ينفع في المقام بعد تحقّق العنوانين في شيء واحد، فعندئذ تكون نتيجة تجويز الاجتماع هو التكليف بالمحال، حيث يكلف بالإتيان و الترك في آن واحد و إن كان لأجل عنوانين، لأنّ تعدّد العنوان، لا يجعل الشيء الواحد،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بتعلّق الأحكام بالطبائع، فكذلك لأنّ المولى و إن لم يلاحظ عند الأمر بالصلاة، اقترانها مع الغصب الذي أسميناه بالإطلاق اللحاظي، لكن حضور الحكم عند حضور الموضوع في كلّ الأمكنة و الأزمنة أمر لا يُنكر، و هذا هو المسمّى بالإطلاق الذاتي للدليل، فعندئذ يسأل القائل بالاجتماع، إذا حاول المكلف إيجاد الصلاة في الدار المغصوبة فهل الحضور يختص بأحد الحكمين و هو نفس القول بالامتناع، أو يعمّ الحضور لكلا الحكمين؟ و نتيجة حضور الحكمين و حفظ الإطلاقين في المورد هو اجتماع البعث و الزجر بالنسبة إلى شيء واحد، و ليس هذا إلاّ التكليف بالمحال فالمكلّف بحكم إطلاق الأمر بالصلاة مبعوث إلى الفعل، و بحكم إطلاق النهي عن الغصب مزجور عنه، فهل هذا إلاّ الأمر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الإشكال كما قلنا هو بيت القصيد في المقام، فلو أتيح للاجتماعي حلُّه فقد حاز القِدْح المُعلّى فنقول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المنهي عنه بالنسبة إلى المأمور به من قبيل اللوازم غير المنفكة كالزوجية بالنسبة إلى الأربعة، كان لما توهّم وجه حتّى على القول بتعلّق الأحكام بالطبائع إذ لا يعقل أن يكون اللازم محكوماً بحكم يضاد حكم الملزوم بأن يجب إيجاد الأربعة و يحرم إيجاد الزوجية، و أمّا إذا كان المنهي عنه بالنسبة إلى المأمور به قبيل المقارن الذي في وسع المكلّف تفكيكه من المأمور به فلا يلزم من إيجاب الشيء، و تحريم المقارن، التكليف بالمحال، لأنّ الحركة في الدار المغصوبة و إن </w:t>
      </w:r>
    </w:p>
    <w:p>
      <w:pPr>
        <w:pStyle w:val="BookText"/>
        <w:rPr/>
      </w:pPr>
      <w:r>
        <w:rPr>
          <w:rFonts w:ascii="Amiri" w:hAnsi="Amiri" w:eastAsia="Amiri" w:cs="Amiri"/>
          <w:color w:val="111111"/>
          <w:sz w:val="28"/>
          <w:sz w:val="28"/>
          <w:szCs w:val="28"/>
          <w:rtl w:val="true"/>
          <w:lang w:bidi="ar-SA"/>
        </w:rPr>
        <w:t>كانت واجبة من حيث كونها مصداقاً للصلاة، و محرمة من حيث كونها مصداقاً للغصب و المولى في وقت واحد بحكم حفظ كلا الإطلاقين يأمر بها و ينهى عنها، إلاّ أنّ إيجاد الصلاة في الدار المغصوبة ليس واجباً تعيينياً، بل هي إحدى المصاديق الواجبة التي يتخيّر المكلّف بينها عقلاً و لما كان هذا المصداق مقروناً بالمحذور، فعلى المكلّف العدول إلى الفرد الخالي عنه، و بهذا ينحل إشكال التكليف بالمحال، من دون حاجة إلى تقييد أحد الإطلاقين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المولى لو أمر بالصلاة في الدار المغصوبة على وجه التعيين يكون التأكيد على حفظ الإطلاقين موجباً للتكليف بالمحال، و لكنّه لمّا أمر بها على النحو الكلي مخيّراً المكلّفة بين مصاديقه، و كانت المصاديق بين مجرّد عن المحذور، و مقرون به، فعلى العبد، أن يختار الأوّل دون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فائدة حفظ الإطلاقين في صورة التقارن بالمانع؟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يترتّب عليه انّه لو صلّى فيها، كان مطيعاً من جهة و عاصياً من جهة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بعض المقدّمات أنّه لا يعتبر قيد المندوحة فيما هو المهم في المقام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العنوان، هل يوجب تعدّد المعنون أو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تأثير لقيد المندوحة في المسألة الفلسفية،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تعدّد العنوان موجباً لتعدّد المعنون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المندوحة غير مؤثر في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التركيب اتحاديّاً أو انضمامياً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 في رفع غائلة التكليف بالمحال فقيد المندوحة معتبر قطعاً، و قد مرّ الكلام فيه تفصيلاً و صرّح به المحقّق الخراساني في الأمر السادس 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انّ سوء الاختيار لا يكون مجوّزاً للتكليف بالمحال،</w:t>
      </w:r>
    </w:p>
    <w:p>
      <w:pPr>
        <w:pStyle w:val="BookText"/>
        <w:rPr/>
      </w:pPr>
      <w:r>
        <w:rPr>
          <w:rFonts w:ascii="Amiri" w:hAnsi="Amiri" w:eastAsia="Amiri" w:cs="Amiri"/>
          <w:color w:val="111111"/>
          <w:sz w:val="28"/>
          <w:sz w:val="28"/>
          <w:szCs w:val="28"/>
          <w:rtl w:val="true"/>
          <w:lang w:bidi="ar-SA"/>
        </w:rPr>
        <w:t>و إنّ من ألقى نفسه من شاهق، و هو في أثناء السقوط، لا يكون مكلفاً بصيانة النفس، لعدم التمكّن منه و إن كان بسوء الاختيار، و قد مرّ انّ الامتناع بالاختيار لا ينافي الاختيار، عقاباً و ملاكاً، لا خطاباً و حكماً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صحيح لكنّ المقام ليس من صغريات تلك القاعدة حتّى لا يصح خطابه، بل هو في كلّ آن من الآنات قادر على ترك الغصب، و الإتيان بها في مكان مباح، فهو أشبه بمن ألقى نفسه من شاهق، لكنّه مزوّد بجهاز صناعي لو أعمله لهبط إلى الأرض بهدوء، فعندئذ لا يسقط النهي لا ملاكاً و لا عتاباً، و لا خطاباً و لا حكما</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في باب الترتّب أنّه لا يجوز خطاب المكلّف بأمرين متزاحمين من دون تقييد أحدهما بترك الآخر،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انقذ هذا الغريق، و انقذ ذاك الغريق، مع عدم استطاعته إلاّ بإنقاذ أحد الغريقين، و ما ذاك إلاّ لكونه تكليفاً بالمحال، و إن كان في وسع المكلّف تعذير نفسه بالاشتغال بإنقاذ أحدهما، و إن ترتّب عليه غرق الآخر، فمجرّد التعذير، لا يسوِّغ التكليف بالمحال، و المقام أشبه بذلك حيث إنّه مخاطب بخطابين غير قابلين للامتثال معاً، لكن باب التعذير واسع، بأن يصلي في مكان مباح، فكما أنّ فتح باب العذر غير مسوِّغ لخطابين مطلقين، فهكذا المقام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المقامين واضح فلا يصحّ قياس أحدهما بالآخر، و ذلك لأنّ التكليف هناك متقدّم على التعذير، فلا ينقدح في ذهن المولى إيجاب إنقاذ غريقين مع علمه بعدم قدرة المكلّف إلاّ بإنقاذ أحدهما، و إن كان للعبد تعجيز </w:t>
      </w:r>
      <w:bookmarkStart w:id="482" w:name="pg14356_186812"/>
    </w:p>
    <w:p>
      <w:pPr>
        <w:pStyle w:val="BookText"/>
        <w:rPr/>
      </w:pPr>
      <w:bookmarkEnd w:id="482"/>
      <w:r>
        <w:rPr>
          <w:rFonts w:ascii="Amiri" w:hAnsi="Amiri" w:eastAsia="Amiri" w:cs="Amiri"/>
          <w:color w:val="111111"/>
          <w:sz w:val="28"/>
          <w:sz w:val="28"/>
          <w:szCs w:val="28"/>
          <w:rtl w:val="true"/>
          <w:lang w:bidi="ar-SA"/>
        </w:rPr>
        <w:t>نفسه و تعذيرها بخلاف المقام فانّ المسوغ مقارن مع التكليف حيث إنّ الأمر بالصلاة في الدار المغصوبة ليس على النحو التعييني من أوّل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وزان الإرادة التشريعية كوزان الإرادة التكوينية، أو إنّ وزان الإرادة الأمرية كوزان الإرادة الفاعليّة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لا ينقدح في ذهن الفاعل، إرادتان متضادّتان، بأن يريد إيجاد الشيء في وقت، و تركه و عدمه في نفس ذلك الوقت، فهكذا لا ينقدح في ذهن الآمر إرادتان متضادّتان فيطلب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التوأمة مع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وقت، و تركه في نفس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قياس الإرادة التشريعية بالإرادة الفاعلية قياس مع الفارق، فانّ الإرادة الفاعلية علّة تامّة لتحقّق المراد فلا يمكن اجتماع علّتين تامّتين فضلاً عن كونهما متضادّتين على شيء واحد، و هذا بخلاف التشريعية فانّها ليست علّة تامّة لتحقّق المراد، سواء أقلنا بأنّها تتعلّق بفعل الغير كما هو المعروف، أو تتعلّق بالبعث و الطلب 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فبما انّها ليست علّة تامّة لتحقق المراد، بل أشبه بالداعي، فلا إشكال في تعلّق إرادتين تشريعيتين بمراد واحد بعنوانين و لا يلزم من جعل الداعيين، التكليفُ بما لا يطاق، بل فائدة تعلّقهما انّه لو جمع بين المأمور به و المنهي عنه، يكون مطيعاً من جهة و عاصياً من جهة أُخرى</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7304926_3381743652"/>
      <w:bookmarkStart w:id="484" w:name="_Toc184"/>
      <w:bookmarkEnd w:id="483"/>
      <w:r>
        <w:rPr>
          <w:rtl w:val="true"/>
        </w:rPr>
        <w:t>الوجه السادس</w:t>
      </w:r>
      <w:r>
        <w:rPr>
          <w:rtl w:val="true"/>
        </w:rPr>
        <w:t xml:space="preserve">: </w:t>
      </w:r>
      <w:r>
        <w:rPr>
          <w:rtl w:val="true"/>
        </w:rPr>
        <w:t>استكشاف جواز الاجتماع من عدم ورود النص على عدم جواز الصلاة في المكان و اللباس المغصوبين،</w:t>
      </w:r>
      <w:bookmarkEnd w:id="48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عموم الابتلاء به في زمان الدولتين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الأموية و العباسية، خصوصاً على القول بحرمة الغنائم التي كانوا يغنمونها عن طريق جهاد العدو ابتداءً الذي هو حق طلق للإمام العادل أو المعصوم</w:t>
      </w:r>
      <w:r>
        <w:rPr>
          <w:rFonts w:eastAsia="Amiri" w:cs="Amiri" w:ascii="Amiri" w:hAnsi="Amiri"/>
          <w:color w:val="111111"/>
          <w:sz w:val="28"/>
          <w:szCs w:val="28"/>
          <w:rtl w:val="true"/>
          <w:lang w:bidi="ar-SA"/>
        </w:rPr>
        <w:t xml:space="preserve">. </w:t>
      </w:r>
      <w:bookmarkStart w:id="485" w:name="pg14356_186813"/>
    </w:p>
    <w:p>
      <w:pPr>
        <w:pStyle w:val="BookText"/>
        <w:rPr/>
      </w:pPr>
      <w:bookmarkEnd w:id="485"/>
      <w:r>
        <w:rPr>
          <w:rFonts w:ascii="Amiri" w:hAnsi="Amiri" w:eastAsia="Amiri" w:cs="Amiri"/>
          <w:color w:val="111111"/>
          <w:sz w:val="28"/>
          <w:sz w:val="28"/>
          <w:szCs w:val="28"/>
          <w:rtl w:val="true"/>
          <w:lang w:bidi="ar-SA"/>
        </w:rPr>
        <w:t xml:space="preserve">و الذي يوضح ذلك أنّ الشيخ الكليني نقل عن الفضل بن شاذان الذي هو من أصحاب العسكريين مؤلّف كتاب الإيضاح و قد توفّي عام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قياس الخروج و الإخراج كرجل دخل دار قوم بغير إذنهم فصلّى فيها فهو عاص في دخوله الدار و صلاته جائزة</w:t>
      </w:r>
      <w:r>
        <w:rPr>
          <w:rFonts w:eastAsia="Amiri" w:cs="Amiri" w:ascii="Amiri" w:hAnsi="Amiri"/>
          <w:color w:val="111111"/>
          <w:sz w:val="28"/>
          <w:szCs w:val="28"/>
          <w:rtl w:val="true"/>
          <w:lang w:bidi="ar-SA"/>
        </w:rPr>
        <w:t>.</w:t>
      </w:r>
      <w:r>
        <w:rPr>
          <w:rStyle w:val="FootnoteAnchor"/>
          <w:rtl w:val="true"/>
        </w:rPr>
        <w:footnoteReference w:id="110"/>
      </w:r>
      <w:r>
        <w:rPr>
          <w:rFonts w:ascii="Amiri" w:hAnsi="Amiri" w:eastAsia="Amiri" w:cs="Amiri"/>
          <w:color w:val="111111"/>
          <w:sz w:val="28"/>
          <w:sz w:val="28"/>
          <w:szCs w:val="28"/>
          <w:rtl w:val="true"/>
          <w:lang w:bidi="ar-SA"/>
        </w:rPr>
        <w:t>و هذا يعرب عن كون المشهور لدى أصحاب الأئمّة هو الجواز، و إلاّ لصدر النصّ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الستة التي استدل بها القائل بالاجتماع، بقي في المقام وجه سابع و هو وجود العبادات المكروهة في الشريعة الإسلامية التي تلازم اجتماع الأمر و النهي في الشيء الواحد كصوم يوم عاشوراء، و الصلاة في الحمام، فقد اجتمع الاستحباب و الكراهة في الأوّل، و الوجوب و الكراهة في الثاني، و إليك بيان هذا الوجه</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7304928_3381743652"/>
      <w:bookmarkStart w:id="487" w:name="_Toc185"/>
      <w:bookmarkEnd w:id="486"/>
      <w:r>
        <w:rPr>
          <w:rtl w:val="true"/>
        </w:rPr>
        <w:t>الوجه السابع</w:t>
      </w:r>
      <w:r>
        <w:rPr>
          <w:rtl w:val="true"/>
        </w:rPr>
        <w:t xml:space="preserve">: </w:t>
      </w:r>
      <w:r>
        <w:rPr>
          <w:rtl w:val="true"/>
        </w:rPr>
        <w:t>الاستدلال بالعبادات المكروهة</w:t>
      </w:r>
      <w:bookmarkEnd w:id="487"/>
    </w:p>
    <w:p>
      <w:pPr>
        <w:pStyle w:val="Heading6"/>
        <w:numPr>
          <w:ilvl w:val="5"/>
          <w:numId w:val="1"/>
        </w:numPr>
        <w:rPr/>
      </w:pPr>
      <w:bookmarkStart w:id="488" w:name="__RefHeading___Toc7304930_3381743652"/>
      <w:bookmarkStart w:id="489" w:name="_Toc186"/>
      <w:bookmarkEnd w:id="488"/>
      <w:r>
        <w:rPr>
          <w:rtl w:val="true"/>
        </w:rPr>
        <w:t>اشارة</w:t>
      </w:r>
      <w:bookmarkEnd w:id="489"/>
    </w:p>
    <w:p>
      <w:pPr>
        <w:pStyle w:val="BookText"/>
        <w:rPr/>
      </w:pPr>
      <w:r>
        <w:rPr>
          <w:rFonts w:ascii="Amiri" w:hAnsi="Amiri" w:eastAsia="Amiri" w:cs="Amiri"/>
          <w:color w:val="111111"/>
          <w:sz w:val="28"/>
          <w:sz w:val="28"/>
          <w:szCs w:val="28"/>
          <w:rtl w:val="true"/>
          <w:lang w:bidi="ar-SA"/>
        </w:rPr>
        <w:t>أدلّ دليل على إمكان الشيء وقوعه، و قد تعلّق النهي في الشريعة الإسلامية بالعبادات، فلو كان التّضاد بين الأحكام مانعاً عن الاجتماع لما تعلّق النهي بصوم يوم عاشوراء، أو بالنوافل المبتدئة في أوقات خاصّة فكلّ واحد منها بنفسه مأمور به و في الوقت نفسه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أجاب المحقّق الخراساني عن الاستدلال بهذه الموارد إجمالاً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الظهور لا يصادم البرهان فلو قام البرهان على الامتناع فلا بدّ من تأويل ما يدلّ على الجواز</w:t>
      </w:r>
      <w:r>
        <w:rPr>
          <w:rFonts w:eastAsia="Amiri" w:cs="Amiri" w:ascii="Amiri" w:hAnsi="Amiri"/>
          <w:color w:val="111111"/>
          <w:sz w:val="28"/>
          <w:szCs w:val="28"/>
          <w:rtl w:val="true"/>
          <w:lang w:bidi="ar-SA"/>
        </w:rPr>
        <w:t>.</w:t>
      </w:r>
      <w:bookmarkStart w:id="490" w:name="pg14356_186814"/>
    </w:p>
    <w:p>
      <w:pPr>
        <w:pStyle w:val="BookText"/>
        <w:rPr/>
      </w:pPr>
      <w:bookmarkEnd w:id="49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الاجتماعي و الامتناعي أمام بعض الأقسام كالقسم الأوّل أو جميعها سواء، حيث إنّ الأمر و النهي تعلّقا بعنوان واحد و هو صوم يوم عاشوراء، و من المعلوم أنّه غير جائز حتّى عند الاجتماعي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الاجتماعي إنّما يقول به إذا كان هناك مندوحة و المورد المذكور خال عن هذا الشرط، لأنّ صوم يوم الحادي عشر، موضوع مستقل، و ليس بدلاً عن صوم يوم عاشوراء</w:t>
      </w:r>
      <w:r>
        <w:rPr>
          <w:rFonts w:eastAsia="Amiri" w:cs="Amiri" w:ascii="Amiri" w:hAnsi="Amiri"/>
          <w:color w:val="111111"/>
          <w:sz w:val="28"/>
          <w:szCs w:val="28"/>
          <w:rtl w:val="true"/>
          <w:lang w:bidi="ar-SA"/>
        </w:rPr>
        <w:t>.</w:t>
      </w:r>
    </w:p>
    <w:p>
      <w:pPr>
        <w:pStyle w:val="Heading6"/>
        <w:numPr>
          <w:ilvl w:val="5"/>
          <w:numId w:val="1"/>
        </w:numPr>
        <w:rPr/>
      </w:pPr>
      <w:bookmarkStart w:id="491" w:name="__RefHeading___Toc7304932_3381743652"/>
      <w:bookmarkStart w:id="492" w:name="_Toc187"/>
      <w:bookmarkEnd w:id="491"/>
      <w:r>
        <w:rPr>
          <w:rtl w:val="true"/>
        </w:rPr>
        <w:t>تقسيم العبادات المكروهة على أقسام ثلاثة</w:t>
      </w:r>
      <w:bookmarkEnd w:id="492"/>
    </w:p>
    <w:p>
      <w:pPr>
        <w:pStyle w:val="BookText"/>
        <w:rPr/>
      </w:pPr>
      <w:r>
        <w:rPr>
          <w:rFonts w:ascii="Amiri" w:hAnsi="Amiri" w:eastAsia="Amiri" w:cs="Amiri"/>
          <w:color w:val="111111"/>
          <w:sz w:val="28"/>
          <w:sz w:val="28"/>
          <w:szCs w:val="28"/>
          <w:rtl w:val="true"/>
          <w:lang w:bidi="ar-SA"/>
        </w:rPr>
        <w:t>ثمّ إنّه بعد ما فرغ عن الأجوبة الثلاثة حاول أن يجيب عن الاستدلال على نحو التفصيل،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المكروهة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النهي بعنوانه و ذاته، و لا بدل له كصوم يوم عاشوراء أو النوافل المبتدئة في بعض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النهي كذلك و يكون له بدل كالنهي عن الصلاة في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تعلّق به النهي لا بذاته، بل بما هو مجامع معه وجوداً أو ملازم له</w:t>
      </w:r>
      <w:r>
        <w:rPr>
          <w:rStyle w:val="FootnoteAnchor"/>
          <w:rtl w:val="true"/>
        </w:rPr>
        <w:footnoteReference w:id="111"/>
      </w:r>
      <w:r>
        <w:rPr>
          <w:rFonts w:ascii="Amiri" w:hAnsi="Amiri" w:eastAsia="Amiri" w:cs="Amiri"/>
          <w:color w:val="111111"/>
          <w:sz w:val="28"/>
          <w:sz w:val="28"/>
          <w:szCs w:val="28"/>
          <w:rtl w:val="true"/>
          <w:lang w:bidi="ar-SA"/>
        </w:rPr>
        <w:t>، خارجاً كالصلاة في مواضع التهمة بناء على أنّ النهي عنها لأجل اتّحادها مع الكون في مواضعها</w:t>
      </w:r>
      <w:r>
        <w:rPr>
          <w:rFonts w:eastAsia="Amiri" w:cs="Amiri" w:ascii="Amiri" w:hAnsi="Amiri"/>
          <w:color w:val="111111"/>
          <w:sz w:val="28"/>
          <w:szCs w:val="28"/>
          <w:rtl w:val="true"/>
          <w:lang w:bidi="ar-SA"/>
        </w:rPr>
        <w:t>.</w:t>
      </w:r>
    </w:p>
    <w:p>
      <w:pPr>
        <w:pStyle w:val="Heading6"/>
        <w:numPr>
          <w:ilvl w:val="5"/>
          <w:numId w:val="1"/>
        </w:numPr>
        <w:rPr/>
      </w:pPr>
      <w:bookmarkStart w:id="493" w:name="__RefHeading___Toc7304934_3381743652"/>
      <w:bookmarkStart w:id="494" w:name="_Toc188"/>
      <w:bookmarkEnd w:id="493"/>
      <w:r>
        <w:rPr>
          <w:rtl w:val="true"/>
        </w:rPr>
        <w:t>القسم الأوّل</w:t>
      </w:r>
      <w:r>
        <w:rPr>
          <w:rtl w:val="true"/>
        </w:rPr>
        <w:t xml:space="preserve">: </w:t>
      </w:r>
      <w:r>
        <w:rPr>
          <w:rtl w:val="true"/>
        </w:rPr>
        <w:t>النهي عن عبادة ليس لها بدل</w:t>
      </w:r>
      <w:bookmarkEnd w:id="49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شرع بالإجابة التفصيلية فأجاب عن العبادة التي تعلّق بها النهي </w:t>
      </w:r>
    </w:p>
    <w:p>
      <w:pPr>
        <w:pStyle w:val="BookText"/>
        <w:rPr/>
      </w:pPr>
      <w:r>
        <w:rPr>
          <w:rFonts w:ascii="Amiri" w:hAnsi="Amiri" w:eastAsia="Amiri" w:cs="Amiri"/>
          <w:color w:val="111111"/>
          <w:sz w:val="28"/>
          <w:sz w:val="28"/>
          <w:szCs w:val="28"/>
          <w:rtl w:val="true"/>
          <w:lang w:bidi="ar-SA"/>
        </w:rPr>
        <w:t>و ليس لها بدل بأجوبة ثلاثة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حقيقة النهي عن الصوم يرجع إلى طلب تركه لأجل انطباق عنوان ذي مصلحة على الترك فيكون الترك ذا مصلحة، كالفعل، فحينئذ يكونان من قبيل المستحبّين المتزاحمين، و الأصل فيهما هو التخيير لو كانا متساويين، و إلاّ فيتعيّن الأهم و إن كان الآخر يقع صحيحاً حيث إنّه كان راجحاً و موافقاً للغرض كما هو الحال في سائر المستحبّات المتزاحمة، بل الواجبات، و أرجحية الترك من الفعل لا توجب حزازة و منقصة فيه أصلاً كما يوجبها ما إذا كان مفسدته غالبة على مصلحته، و لذا لا يقع صحيحاً على الامتناع فانّ الحزازة و المنقصة فيه مانعة عن صلاحية المتقرَّب به بخلاف المقام فانّه على ما هو عليه من الرجحان و موافقة الغرض كما إذا لم يكن تركه راجحاً بلا حدوث حزازة فيه أصلاً</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و حاصل ما أفاده يعتمد على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الكراهة في المقام ليست كراهة مصطلحة و هي التي تنشأ من مفسدة في الفعل و حزازة فيه غالبة على مصلحته، إذ لو كان كذلك لامتنعت الصحة، مع انّها أمر اتفاقي، بل هو بمعنى رجحان تركه مع بقاء الفعل على ما هو عليه من المصلحة و المحبوبية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 النهي ناش من مصلحة في الترك، لا من مفسدة في 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رجحان الترك و كونه محبوباً لأجل انطباق عنوان ذي مصلحة عليه كمخالفة بني أُمية و لأجل انطباقها عليه صار الترك ذا مصلحة كالفعل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النهي عن الصوم، يؤوّل إلى تعلّق الطلب بالترك، فيخرج المورد عن صلاحية الاستدلال، لعدم تعلّق النهي بالصوم أبداً، بل تعلّق به الأمر فقط، و في </w:t>
      </w:r>
    </w:p>
    <w:p>
      <w:pPr>
        <w:pStyle w:val="BookText"/>
        <w:rPr/>
      </w:pPr>
      <w:r>
        <w:rPr>
          <w:rFonts w:ascii="Amiri" w:hAnsi="Amiri" w:eastAsia="Amiri" w:cs="Amiri"/>
          <w:color w:val="111111"/>
          <w:sz w:val="28"/>
          <w:sz w:val="28"/>
          <w:szCs w:val="28"/>
          <w:rtl w:val="true"/>
          <w:lang w:bidi="ar-SA"/>
        </w:rPr>
        <w:t>الحقيقة هنا طلبان، يتعلّق أحدهما بالفعل و الآخر بالترك فيكون من قبيل المستحبين المتزاحمين فيحكم بالتخيير بينهما لو لا الأهمية، و إلاّ فيقدم الأهم و إن كان المهم أيضاً يقع صحيحاً لرجحانه و موافقته للغرض، و أرجحية الترك لا توجب منقصة في الفعل بل الفعل يكون ذا مصلحة خالصة و إن كان الترك لأجل انطباق عنوان عليه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ذلك الجواب غير أنّ العنوان الراجح ليس منطبقاً على الترك، بل ملازماً معه كملازمة ترك الصوم مع التمكّن من إقامة العزاء على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فرض أنّ الترك ملازم لعنوان وجودي ذي مصلحة أقوى من مصلحة الفعل لا محالة يكون الترك أرجح منه، و لا فرق بين العنوان المنطبق و الملازم إلاّ أنّ الطلب في الأوّل يتعلّق بالترك حقيقة، لاتّحاد العنوان مع الترك، بخلاف الثاني فانّ الطلب يتعلّق بالعنوان الراجح الملازم حقيقة، و بالترك بالعرض و المجاز، إذ الملازم خارج عن حقيقة الترك، فلا يتجاوز الطلب عن العنوان إلى الملازم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النهي على الإرشاد إلى أنّ الترك أرجح من الفعل أو ملازم لما هو أرجح و أكثر ثواباً، فيكون النهي متعلّقاً بالصوم حقيقة، لا بالعرض و المجاز كما في الوجه الثاني، و الكراهة في المقام ليس بمعنى المنقصة في الفعل، بل بمعنى كونه أقلّ ثواباً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الكراهة اصطلاحان، أحدهما وجود المنقصة، و الثاني كون العبادة، أقلّ ثواباً، و هذا هو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مكروهة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إيضاح ما في الكفاية</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الجواب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بأنّه إذا كان الفعل و الترك متساويين في المصلحة فيصبح الفعل مباحاً لا انّه يكون كلّ منهما مستحبّاً، و يشهد على ذلك </w:t>
      </w:r>
    </w:p>
    <w:p>
      <w:pPr>
        <w:pStyle w:val="BookText"/>
        <w:rPr/>
      </w:pPr>
      <w:r>
        <w:rPr>
          <w:rFonts w:ascii="Amiri" w:hAnsi="Amiri" w:eastAsia="Amiri" w:cs="Amiri"/>
          <w:color w:val="111111"/>
          <w:sz w:val="28"/>
          <w:sz w:val="28"/>
          <w:szCs w:val="28"/>
          <w:rtl w:val="true"/>
          <w:lang w:bidi="ar-SA"/>
        </w:rPr>
        <w:t>انّه لم يقل أحد من الفقهاء بأنّ النوافل المبتدئة في أوقات خاصّة مستحبّة فعلاً و تركاً، أو الإفطار في يوم عاشوراء مستحب فعلاً و تركاً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تأويل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تصم يوم عاشوراء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الذي هو بمعنى الزجر عن الفعل، إلى طلب الترك، بحيث يصبح الترك كالفعل، أمراً مستحبّاً، أمر غير صحيح، فأين الزجر عن الفعل الذي هو مفاد النهي من طلب الترك المقصود منه استحباب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الجواب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إرجاع لا تصم يوم عاشوراء إلى طلب الترك و جعل الثاني كناية عن الدعوة إلى إقامة العزاء للحسين، تأويل في تأويل، مضافاً إلى أنّه يشترط في صحّة الكناية وجود الملازمة العقلية أو العرفية بين ذكر الملزوم و إرادة اللازم، و هي مفقودة في المقام، إذ ربّما صائم يقيم العزاء، و ربّما مفطر لا يقيمه، فكيف يكون النهي عن الصوم المتأوّل إلى طلب الترك، كناية عن إقامة العزاء؟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بالجواب الثالث، و هو كون النهي إرشاداً إلى أنّ الفعل أقلّ ثواباً من الترك المنطبق عليه عنوان المخالفة لأعداء الدين الملازم لما هو أرجح من الفعل على فرض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تحليل ما أفاده المحقّق الخراساني من الأجوبة الثلاثة، و قد أُجيب عن الاستدلال بوجوه أُخرى ربّما تصل مع الأجوبة لصاحب الكفاية إلى وجوه ستّة، فنقول على غرار ما سبق</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السابر في الروايات التي جمعها الحرّ العاملي في 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أبواب الصوم المندوب، انّ يوم عاشوراء يوم حزن و مصيبة لأهل البيت و شيعتهم، و يوم فرح و سرور لأعدائهم، و قد صام ذلك اليوم آل زياد و آل مروان شكراً و فرحاً </w:t>
      </w:r>
    </w:p>
    <w:p>
      <w:pPr>
        <w:pStyle w:val="BookText"/>
        <w:rPr/>
      </w:pPr>
      <w:r>
        <w:rPr>
          <w:rFonts w:ascii="Amiri" w:hAnsi="Amiri" w:eastAsia="Amiri" w:cs="Amiri"/>
          <w:color w:val="111111"/>
          <w:sz w:val="28"/>
          <w:sz w:val="28"/>
          <w:szCs w:val="28"/>
          <w:rtl w:val="true"/>
          <w:lang w:bidi="ar-SA"/>
        </w:rPr>
        <w:t>و تبركاً، فمن صامه يقع في زمرة من يصومه شكراً للمصيبة الواردة على أهل البيت و شكراً على سلامة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ما سأل الراوي عن صوم يوم عاشوراء، قال ذلك يوم قتل فيه الحسين، فإن كنت شامتاً فصم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أُمية نذروا نذراً إنْ قتل الحسين أن يتخذوا ذلك اليوم عيداً لهم، يصومون فيه شكراً و يُفرِّحون أولادَهم، فصارت في آل أبي سفيان سنّة إلى اليوم، فلذلك يصومونه و يدخلون على أهاليهم و عيالاتهم الفرح ذلك اليوم،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الصوم لا يكون للمصيبة و لا يكون إلاّ شكراً للسلامة، و انّ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أُصيب يوم عاشوراء فإن كنت فيمن أُصيب به فلا تصم، و إن كنت شامتاً ممّن سرّه سلامة بني أُمية فصم شكراً للّه تعالى</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فعلى ضوء هذه الروايات فالمبغوض هو التشبّه ببني أُمية و الانسلاك في عدادهم و لو في الظاهر، فقد كانوا متبرّكين بهذا اليوم كما في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يوم تبرّكت به بنو أُمية و ابن آكلة الأكباد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صوم ذلك اليوم من مظاهر التشبّه على نحو لولاه لما توجّه إليه نهي، و عندئذ يصبح الصوم مأموراً به، لا منهياً عنه، و إنّما المنهيّ عنه هو التشبّه و الانسلاك في عدادهم في الظاهر، فأين اجتماع الأمر و النهي في شيء واحد؟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الصوم، كناية عن النهي عن التشبّه يتوقّف على وجود الملازمة بين النهيين كما مرّ في الجواب الثاني للمحقّق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الملازمة هنا واضحة، بعد شيوع عمل الأمويين و المروانيين في هذا اليوم و انّهم كانوا يصومون ذلك اليوم للتبرّك و الفرح</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أفاده المحقّق البروجردي من كون الصوم منهيّاً عنه، و ليس </w:t>
      </w:r>
    </w:p>
    <w:p>
      <w:pPr>
        <w:pStyle w:val="BookText"/>
        <w:rPr/>
      </w:pPr>
      <w:r>
        <w:rPr>
          <w:rFonts w:ascii="Amiri" w:hAnsi="Amiri" w:eastAsia="Amiri" w:cs="Amiri"/>
          <w:color w:val="111111"/>
          <w:sz w:val="28"/>
          <w:sz w:val="28"/>
          <w:szCs w:val="28"/>
          <w:rtl w:val="true"/>
          <w:lang w:bidi="ar-SA"/>
        </w:rPr>
        <w:t>بمأمور به، و لو صام و إن كان صحيحاً لكن الصحة لا تكشف عن الأمر، لاحتمال كونها لأجل الملاك</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بالصحة جازماً فرع وجود الأمر و لولاه لما كان هنا كاشف عن الملاك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متعلّقي الأمر بالصوم و النهي عنه مختلفان فالأمر تعلّق بنفس الصوم، و النهي تعلّق بالصوم بداعي أمره الاستحبابي فلا يكون متعلّقه متحداً مع متعلّقه ليلزم اجتماع الضدين في شيء واحد، و النهي ليس ناشئاً عن وجود مفسدة في ذات الصوم أو وجود مصلحة في تركه كما عليه المحقّق الخراساني بل هو ناش عن مفسدة في التعبد بهذه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بقصد أمرها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فيه من المشابهة و الموافقة لأعداء الدين فالنهي مولوي حقيقي ناش عن المفسدة في التعبدي</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نفترض امتناع أخذ قصد الأمر في متعلّقه و إن كان الحقّ خلافه لكن متعلّق الأمر لباً و حسب حكم العقل، هو إيقاع الصوم بقصد أمره و إلاّ يصبح الصوم واجباً توصلياً و هو خلف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متعلّق الأمر هو الصوم بقصد العبادة، و كان هو أيضاً متعلّقاً للنهي يلزم اتحاد متعلق الأمرين</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افتراض لا دليل عليه، و لو 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اكتفى بما في آخر كلامه من أنّ النهي لأجل المشابهة و الموافقة لأعداء الدين، يكون أفضل و يرجع محصل مرامه إلى ما ذكرنا في الوجه الرابع</w:t>
      </w:r>
      <w:r>
        <w:rPr>
          <w:rFonts w:eastAsia="Amiri" w:cs="Amiri" w:ascii="Amiri" w:hAnsi="Amiri"/>
          <w:color w:val="111111"/>
          <w:sz w:val="28"/>
          <w:szCs w:val="28"/>
          <w:rtl w:val="true"/>
          <w:lang w:bidi="ar-SA"/>
        </w:rPr>
        <w:t xml:space="preserve">. </w:t>
      </w:r>
      <w:bookmarkStart w:id="495" w:name="pg14356_186820"/>
    </w:p>
    <w:p>
      <w:pPr>
        <w:pStyle w:val="Heading6"/>
        <w:numPr>
          <w:ilvl w:val="5"/>
          <w:numId w:val="1"/>
        </w:numPr>
        <w:rPr/>
      </w:pPr>
      <w:bookmarkStart w:id="496" w:name="__RefHeading___Toc7304936_3381743652"/>
      <w:bookmarkStart w:id="497" w:name="_Toc189"/>
      <w:bookmarkEnd w:id="495"/>
      <w:bookmarkEnd w:id="496"/>
      <w:r>
        <w:rPr>
          <w:rtl w:val="true"/>
        </w:rPr>
        <w:t>القسم الثاني</w:t>
      </w:r>
      <w:r>
        <w:rPr>
          <w:rtl w:val="true"/>
        </w:rPr>
        <w:t xml:space="preserve">: </w:t>
      </w:r>
      <w:r>
        <w:rPr>
          <w:rtl w:val="true"/>
        </w:rPr>
        <w:t>النهي عن عبادة لها بدل</w:t>
      </w:r>
      <w:bookmarkEnd w:id="497"/>
    </w:p>
    <w:p>
      <w:pPr>
        <w:pStyle w:val="BookText"/>
        <w:rPr/>
      </w:pPr>
      <w:r>
        <w:rPr>
          <w:rFonts w:ascii="Amiri" w:hAnsi="Amiri" w:eastAsia="Amiri" w:cs="Amiri"/>
          <w:color w:val="111111"/>
          <w:sz w:val="28"/>
          <w:sz w:val="28"/>
          <w:szCs w:val="28"/>
          <w:rtl w:val="true"/>
          <w:lang w:bidi="ar-SA"/>
        </w:rPr>
        <w:t>استدلّ المجوز بورود النهي عن العبادات التي لها بدل، كالنهي عن الصلاة في الحمام مع تعلّق الأمر بالصلاة مطلقاً، و لما كان المحقّق الخراساني قائلاً بالامتناع حاول أن يصحح النهي على وجه لا يصادم مختاره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بأنّ جواز الاجتماع يختص بما إذا كان بين المتعلّقين عموم و خصوص من وجه كالصلاة و الغصب دون ما إذا كان بينهما عموم و خصوص مطلق، كالمقام، يكون الاجتماعي و الامتناعي أمام هذا القسم سواء، فيجب على كلتا الطائفتين الإجابة عن الاستدلال، و أمّا لو قلنا بجواز الاجتماع مطلقاً حتّى فيما إذا كان بين المتعلّقين عموم مطلق، فالاجتماعي في فسحة من الجواب، بل له أن يتّخذ ذلك دليلاً على مدعاه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السيد المحقّق البروجردي ذهب إلى الجواز مطلقاً من غير فرق بين العموم من وجه أو العموم المطلق، و لذلك 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في فسحة من القسمين الأخيرين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و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لأنّا اخترنا الجواز كما تقدّم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يجري النزاع في الأخص المطلق، كالأخص من وجه حسب المورد؟ الظاهر جريانه فيه، و يلتزم الاجتماعي بالجواز في كلا الموردين، فلو فرض أنّ خياطة الثوب تكون ذات مصلحة تامّة ملزمة و كانت تمام الموضوع لتلك المصلحة بلا مدخلية شيء وجودي أو عدمي فيها بأن يتعلّق الأمر بها بنفس ذاتها على الإطلاق أي بلا دخالة قيد فيها لا بمعنى السراية إلى الافراد</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فرض انّ في خياطته في دار زيد مفسدة تامّة بحيث تكون الخياطة فيها </w:t>
      </w:r>
    </w:p>
    <w:p>
      <w:pPr>
        <w:pStyle w:val="BookText"/>
        <w:rPr/>
      </w:pPr>
      <w:r>
        <w:rPr>
          <w:rFonts w:ascii="Amiri" w:hAnsi="Amiri" w:eastAsia="Amiri" w:cs="Amiri"/>
          <w:color w:val="111111"/>
          <w:sz w:val="28"/>
          <w:sz w:val="28"/>
          <w:szCs w:val="28"/>
          <w:rtl w:val="true"/>
          <w:lang w:bidi="ar-SA"/>
        </w:rPr>
        <w:t>تمام الموضوع للمفسدة، فلا بدّ أن يتعلّق النهي بها، فلو خاط المكلّف الثوب في دار زيد أتى بمورد الأمر بلا إشكال لتحقق الخياطة التي هي تمام الموضوع بلا مدخلية أمر وجودي أو عدمي، و أتى بمورد النهي الذي هو الخياطة في دار زيد و تكون تمام الموضوع للمفسدة و النهي، فأصل الخياطة مأمور بها، و هي مع التقييد الكذائي منهي عنها، فهما مفهومان، قد تعلّق النهي بأحدهما، و الأمر بالآخر، و أخذ أحدهما في الآخر لا يوجب اجتماع الأمر و النهي في شيء واحد بجهة واحدة، و اجتماعهما في الوجود بسوء اختيار المكلّف لا يوجب امتناعاً في ناحية التكليف</w:t>
      </w:r>
      <w:r>
        <w:rPr>
          <w:rFonts w:eastAsia="Amiri" w:cs="Amiri" w:ascii="Amiri" w:hAnsi="Amiri"/>
          <w:color w:val="111111"/>
          <w:sz w:val="28"/>
          <w:szCs w:val="28"/>
          <w:rtl w:val="true"/>
          <w:lang w:bidi="ar-SA"/>
        </w:rPr>
        <w:t>.</w:t>
      </w:r>
      <w:r>
        <w:rPr>
          <w:rStyle w:val="FootnoteAnchor"/>
          <w:rtl w:val="true"/>
        </w:rPr>
        <w:footnoteReference w:id="117"/>
      </w:r>
      <w:r>
        <w:rPr>
          <w:rFonts w:ascii="Amiri" w:hAnsi="Amiri" w:eastAsia="Amiri" w:cs="Amiri"/>
          <w:color w:val="111111"/>
          <w:sz w:val="28"/>
          <w:sz w:val="28"/>
          <w:szCs w:val="28"/>
          <w:rtl w:val="true"/>
          <w:lang w:bidi="ar-SA"/>
        </w:rPr>
        <w:t>و أشار السيد الأُستاذ إلى المسألة و ذكر لكلّ من جريان النزاع فيها و عدمه وجهاً و لم يختر شيئاً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المسألة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w:t>
      </w:r>
      <w:r>
        <w:rPr>
          <w:rStyle w:val="FootnoteAnchor"/>
          <w:rtl w:val="true"/>
        </w:rPr>
        <w:footnoteReference w:id="118"/>
      </w:r>
      <w:r>
        <w:rPr>
          <w:rFonts w:ascii="Amiri" w:hAnsi="Amiri" w:eastAsia="Amiri" w:cs="Amiri"/>
          <w:color w:val="111111"/>
          <w:sz w:val="28"/>
          <w:sz w:val="28"/>
          <w:szCs w:val="28"/>
          <w:rtl w:val="true"/>
          <w:lang w:bidi="ar-SA"/>
        </w:rPr>
        <w:t>الحاسم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النهي في المقام 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النهي إرشاداً إلى مانعية هذه الأُمور عن الصلاة و تقييدها بعدمها كما في النهي عن الصلاة فيما لا يؤكل و النجس و الميتة، فيكون النهي مقيِّداً لإطلاق ما دلّ على صحّة العبادة، دالاًّ على الفساد في العبادات و المعاملات، فهذا القسم خارج عن محط البحث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النهي لبيان حكم تحريمي كالنهي عن الوضوء و الغسل من الماء المغصوب، فالنهي يدلّ على مبغوضية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بماء مغصوب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معه يقيّد إطلاق الأمر بالوضوء، إذ مقتضى النهي، عدم جواز إيجاد هذا الفرد المنهي عنه في الخارج و عدم جواز تطبيق الطبيعة المأمور بها، عليه، و هذا أيضاً خارج عن محط البحث، إذ التقييد في هذين القسمين ممّا لا بدّ منه</w:t>
      </w:r>
      <w:r>
        <w:rPr>
          <w:rFonts w:eastAsia="Amiri" w:cs="Amiri" w:ascii="Amiri" w:hAnsi="Amiri"/>
          <w:color w:val="111111"/>
          <w:sz w:val="28"/>
          <w:szCs w:val="28"/>
          <w:rtl w:val="true"/>
          <w:lang w:bidi="ar-SA"/>
        </w:rPr>
        <w:t xml:space="preserve">. </w:t>
      </w:r>
      <w:bookmarkStart w:id="498" w:name="pg14356_186822"/>
    </w:p>
    <w:p>
      <w:pPr>
        <w:pStyle w:val="BookText"/>
        <w:rPr/>
      </w:pPr>
      <w:bookmarkEnd w:id="49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النهي تنزيهياً ملازماً للترخيص في متعلّقه، ففي مثل هذا لا وجه لتقييد إطلاق متعلّق الواجب، لأنّه غير مانع عن إيجاد الطبيعة في مثل هذا الفرد، غير أنّه يرى أنّ الأفضل هو غير هذا الفرد من أفراد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لا مانع من اجتماع الأمر و النهي، و قد عرفت أنّ الميزان في صدق التزاحم عدم التكاذب في مقام الجعل و التشريع، و المفروض انّه كذلك، إذ لا مانع من الأمر بالطبيعة على وجه الإطلاق، ثمّ النهي التنزيهي عن قسم خاص منها، و يكون النهي مولوياً تنزيهياً</w:t>
      </w:r>
      <w:r>
        <w:rPr>
          <w:rFonts w:eastAsia="Amiri" w:cs="Amiri" w:ascii="Amiri" w:hAnsi="Amiri"/>
          <w:color w:val="111111"/>
          <w:sz w:val="28"/>
          <w:szCs w:val="28"/>
          <w:rtl w:val="true"/>
          <w:lang w:bidi="ar-SA"/>
        </w:rPr>
        <w:t>.</w:t>
      </w:r>
    </w:p>
    <w:p>
      <w:pPr>
        <w:pStyle w:val="Heading6"/>
        <w:numPr>
          <w:ilvl w:val="5"/>
          <w:numId w:val="1"/>
        </w:numPr>
        <w:rPr/>
      </w:pPr>
      <w:bookmarkStart w:id="499" w:name="__RefHeading___Toc7304938_3381743652"/>
      <w:bookmarkStart w:id="500" w:name="_Toc190"/>
      <w:bookmarkEnd w:id="499"/>
      <w:r>
        <w:rPr>
          <w:rtl w:val="true"/>
        </w:rPr>
        <w:t>إجابة المحقّق الخراساني عن القسم الثاني</w:t>
      </w:r>
      <w:bookmarkEnd w:id="500"/>
    </w:p>
    <w:p>
      <w:pPr>
        <w:pStyle w:val="BookText"/>
        <w:rPr/>
      </w:pPr>
      <w:r>
        <w:rPr>
          <w:rFonts w:ascii="Amiri" w:hAnsi="Amiri" w:eastAsia="Amiri" w:cs="Amiri"/>
          <w:color w:val="111111"/>
          <w:sz w:val="28"/>
          <w:sz w:val="28"/>
          <w:szCs w:val="28"/>
          <w:rtl w:val="true"/>
          <w:lang w:bidi="ar-SA"/>
        </w:rPr>
        <w:t>ثمّ إنّ المحقّق، لما اختار امتناع الاجتماع، حاول تأويل الاستدلال بهذا النوع من الاجتماع بحمل النهي على الإرشاد إلى انطباق عنوان قبيح على الفعل،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فيه يمكن أن يكون لأجل ما ذكر في القسم الأوّل، كما يمكن أن يكون لأجل وجه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بين هذا الجواب و ما سبق من الأجوبة الثلاثة انّ بناء الأجوبة الثلاثة على انطباق عنوان راجح على الترك أو ملازمته معه، و أمّا هذا الجواب فالعنوان القبيح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الراجح في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منطبق على الفعل، و ذلك لأنّ الطبيعة تارة تتشخّص بمشخّص غير ملائم لها كالصلاة في الحمام فانّه مركز الخبث و الوسخ فلا يصلح أن يكون وعاء للمعراج، و أُخرى تتشخّص بمشخّص شديد الملاءمة معها كالصلاة في المسجد، و ثالثة تتشخّص بما لا يكون معه شديد الملاءمة و لا عدمها كالصلاة في الدار، و يكون النهي فيه لحدوث نقصان في مزيّتها فيه، إرشاداً إلى ما لا نقصان فيه من سائر الأفراد و يكون أكثر ثواباً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مراد مَن يفسر الكراهة في العبادة بكونها أقلّ ثواباً، المدار في القلة </w:t>
      </w:r>
      <w:bookmarkStart w:id="501" w:name="pg14356_186823"/>
    </w:p>
    <w:p>
      <w:pPr>
        <w:pStyle w:val="BookText"/>
        <w:rPr/>
      </w:pPr>
      <w:bookmarkEnd w:id="501"/>
      <w:r>
        <w:rPr>
          <w:rFonts w:ascii="Amiri" w:hAnsi="Amiri" w:eastAsia="Amiri" w:cs="Amiri"/>
          <w:color w:val="111111"/>
          <w:sz w:val="28"/>
          <w:sz w:val="28"/>
          <w:szCs w:val="28"/>
          <w:rtl w:val="true"/>
          <w:lang w:bidi="ar-SA"/>
        </w:rPr>
        <w:t>و الكثرة هو نفس الطبيعة إذا تشخصت الطبيعة بما لا تكون معه شدّة الملاءمة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عدم الملاءمة، فإن زاد ثواب الفرد على الثواب المرتب على الطبيعة الكذائية يكون مستحبّاً و إن نقص كان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على هذا، بأنّ لازمه وصف عامّة افراد الطبيعة بالكراهة إلاّ الفرد الأعلى، لما عرفت من أنّ الميزان في التفضيل و التنقيص هو الطبيعة المتوسطة فالراجح عليها، مستحبّ و المرجوح بالنسبة إليها، مكروه</w:t>
      </w:r>
      <w:r>
        <w:rPr>
          <w:rFonts w:eastAsia="Amiri" w:cs="Amiri" w:ascii="Amiri" w:hAnsi="Amiri"/>
          <w:color w:val="111111"/>
          <w:sz w:val="28"/>
          <w:szCs w:val="28"/>
          <w:rtl w:val="true"/>
          <w:lang w:bidi="ar-SA"/>
        </w:rPr>
        <w:t>.</w:t>
      </w:r>
    </w:p>
    <w:p>
      <w:pPr>
        <w:pStyle w:val="Heading6"/>
        <w:numPr>
          <w:ilvl w:val="5"/>
          <w:numId w:val="1"/>
        </w:numPr>
        <w:rPr/>
      </w:pPr>
      <w:bookmarkStart w:id="502" w:name="__RefHeading___Toc7304940_3381743652"/>
      <w:bookmarkStart w:id="503" w:name="_Toc191"/>
      <w:bookmarkEnd w:id="502"/>
      <w:r>
        <w:rPr>
          <w:rtl w:val="true"/>
        </w:rPr>
        <w:t>القسم الثالث</w:t>
      </w:r>
      <w:r>
        <w:rPr>
          <w:rtl w:val="true"/>
        </w:rPr>
        <w:t xml:space="preserve">: </w:t>
      </w:r>
      <w:r>
        <w:rPr>
          <w:rtl w:val="true"/>
        </w:rPr>
        <w:t>تعلّق النهي بشيء خارج عن العبادة</w:t>
      </w:r>
      <w:bookmarkEnd w:id="503"/>
    </w:p>
    <w:p>
      <w:pPr>
        <w:pStyle w:val="BookText"/>
        <w:rPr/>
      </w:pPr>
      <w:r>
        <w:rPr>
          <w:rFonts w:ascii="Amiri" w:hAnsi="Amiri" w:eastAsia="Amiri" w:cs="Amiri"/>
          <w:color w:val="111111"/>
          <w:sz w:val="28"/>
          <w:sz w:val="28"/>
          <w:szCs w:val="28"/>
          <w:rtl w:val="true"/>
          <w:lang w:bidi="ar-SA"/>
        </w:rPr>
        <w:t>إنّ للقسم الثالث ظاهراً و واقعاً، فالنهي حسب الظاهر تعلّق بالعبادة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تصلّ في مواضع التهمة، فصار كالقسم الثاني من حيث إنّ النسبة بين المتعلّقين، هو العموم و الخصوص المطلق، و أمّا حسب الواقع فالنهي تعلّق بالكون في مواضع التهمة، لأجل الصلاة أو غيرها، فالكون إمّا من خصوصيات المأمور به أو من لوازمه، و النسبة بين المتعلّقين هو العموم و الخصوص من وجه كالصلاة و الغصب، و على هذا فالاجتماعي في فسحة من الإجابة، بل يعدّ ذلك من دلائل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المستدل، استدلّ بظاهر الكلام و انّ العبادة في مكان خاص صارت متعلّقة للنهي دون خصوص الكون في المكان، لزمت على الاجتماعي أيضاً، الإجابة عن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ذكر عن جانب الاجتماعي جوابين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التصرف في متعلّق النهي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التصرف في مفهوم الحكم و 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 فبأن يقال انّ الأمر تعلّق بالعبادة، و النهي لم يتعلق بها أبداً، بل تعلّق بالكون فيها و لو نسب إلى العبادة فإنّما هو بالعرض و المجاز، فالنهي المولوي تعلّق بالكون حقيقة و بالعبادة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الوجه أشار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النهي فيه عن العبادة، المتحدة مع ذلك العنوان أو الملازمة له، بالعرض و المجاز و كان المنهي عنه به حقيقة ذاك العنوان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فبحمل الأمر على الإرشاد، إلى ما ليس فيه هذا النقص و لا مانع من اجتماع الأمر و النهي في شيء واحد، إذا كان النهي إرشادياً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الوجه أشار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يكون النهي على الحقيقة إرشاداً إلى غيرها من سائر الأفراد ممّا لا يكون متحداً معه أو ملازماً له، إذ المفروض التمكّن من استيفاء مزية العبادة بلا ابتلاء بحزازة ذاك العنوان أصلاً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و أمّا الإجابة عنه على القول بالامتناع فالعنوان الموجب للنقصان لا يخلو إمّا أن يكون ملازماً للصلاة، أو عنواناً منطبقاً</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فيمكن أن يقال بنفس الجواب المذكور على القول بالاجتماع، غاية الأمر انّ الاجتماعي يقول به مطلقاً في العنوان المتحد و الملازم، و الامتناعي يقول به حسب أُصوله في خصوص الملازم،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الأمر تعلّق بالعبادة و النهي تعلّق بالعنوان الملازم، و لو نسب إلى العبادة، فإنّما هو بالعرض و المجاز و لا مانع من اختلاف المتلازمين في الحكم إذا لم يكونا متساويين كالصلاة، و الكون في مواضع التهمة الملازم لعنوان قبيح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النوع في الجواب من الامتناعي يجري في العنوان الملازم دون العنوان المنطبق، لأنّه لو تعلّق النهي بالعنوان المنطبق، المتحد مع الصلاة يلزم اجتماع الأمر و النهي في شيء واحد و لو بعنوانين، و هو خلاف المختار عند الامتناعي، و لذا اقتصر بهذا الجواب في خصوص الملازم بخلاف الاجتماعي فانّه لقوله بالجواز، لم يفرق بين الملازم و المنطبق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فيحمل النهي على الإرشاد إلى أفضل الأفراد، و التحرز، عن الفرد الفاقد للفضيلة، و لا مانع من الجمع بين الأمر و النهي الإرشادي و إن تعلّق بشيء واحد لكن بعنوانين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فالصلاة على القولين صحيحة، لأنّ النهي التنزيهي لا يوجب تقييد إطلاق دليل العبادة، إذ معنى التنزيه هو الدعوة إلى العدول إلى الأفراد الأُخرى، مع تجويز إيجاد الطبيعة بالفرد المنهيّ</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الخراساني أشار في ذيل كلامه إلى أُمور، أوضحها شيخنا الأُستاذ مدّ ظله في الدورة السابقة و طوى الكلام فيها في هذه الدورة فمن أراد الوقوف عليها فليرجع إلى تقريرات زميلنا السيد محمود الجلالي</w:t>
      </w:r>
      <w:r>
        <w:rPr>
          <w:rFonts w:eastAsia="Amiri" w:cs="Amiri" w:ascii="Amiri" w:hAnsi="Amiri"/>
          <w:color w:val="111111"/>
          <w:sz w:val="28"/>
          <w:szCs w:val="28"/>
          <w:rtl w:val="true"/>
          <w:lang w:bidi="ar-SA"/>
        </w:rPr>
        <w:t>.</w:t>
      </w:r>
      <w:r>
        <w:rPr>
          <w:rStyle w:val="FootnoteAnchor"/>
          <w:rtl w:val="true"/>
        </w:rPr>
        <w:footnoteReference w:id="120"/>
      </w:r>
      <w:bookmarkStart w:id="504" w:name="pg14356_186826"/>
    </w:p>
    <w:p>
      <w:pPr>
        <w:pStyle w:val="Heading4"/>
        <w:numPr>
          <w:ilvl w:val="3"/>
          <w:numId w:val="1"/>
        </w:numPr>
        <w:rPr/>
      </w:pPr>
      <w:bookmarkStart w:id="505" w:name="__RefHeading___Toc7304942_3381743652"/>
      <w:bookmarkStart w:id="506" w:name="_Toc192"/>
      <w:bookmarkEnd w:id="504"/>
      <w:bookmarkEnd w:id="505"/>
      <w:r>
        <w:rPr>
          <w:rtl w:val="true"/>
        </w:rPr>
        <w:t>تنبيهات</w:t>
      </w:r>
      <w:bookmarkEnd w:id="506"/>
    </w:p>
    <w:p>
      <w:pPr>
        <w:pStyle w:val="Heading5"/>
        <w:numPr>
          <w:ilvl w:val="4"/>
          <w:numId w:val="1"/>
        </w:numPr>
        <w:rPr/>
      </w:pPr>
      <w:bookmarkStart w:id="507" w:name="__RefHeading___Toc7304944_3381743652"/>
      <w:bookmarkStart w:id="508" w:name="_Toc193"/>
      <w:bookmarkEnd w:id="507"/>
      <w:r>
        <w:rPr>
          <w:rtl w:val="true"/>
        </w:rPr>
        <w:t>اشارة</w:t>
      </w:r>
      <w:bookmarkEnd w:id="508"/>
    </w:p>
    <w:p>
      <w:pPr>
        <w:pStyle w:val="BookText"/>
        <w:rPr/>
      </w:pPr>
      <w:r>
        <w:rPr>
          <w:rFonts w:eastAsia="Times New Roman" w:cs="Times New Roman" w:ascii="Times New Roman" w:hAnsi="Times New Roman"/>
          <w:color w:val="111111"/>
          <w:sz w:val="28"/>
          <w:szCs w:val="28"/>
          <w:lang w:val="en-US" w:bidi="en-US"/>
        </w:rPr>
        <w:t>1</w:t>
      </w:r>
    </w:p>
    <w:p>
      <w:pPr>
        <w:pStyle w:val="Heading5"/>
        <w:numPr>
          <w:ilvl w:val="4"/>
          <w:numId w:val="1"/>
        </w:numPr>
        <w:rPr/>
      </w:pPr>
      <w:bookmarkStart w:id="509" w:name="__RefHeading___Toc7304946_3381743652"/>
      <w:bookmarkStart w:id="510" w:name="_Toc194"/>
      <w:bookmarkEnd w:id="509"/>
      <w:r>
        <w:rPr>
          <w:rtl w:val="true"/>
        </w:rPr>
        <w:t>التنبيه الأول في حكم الاضطرار إلى الحرام</w:t>
      </w:r>
      <w:bookmarkEnd w:id="510"/>
    </w:p>
    <w:p>
      <w:pPr>
        <w:pStyle w:val="Heading6"/>
        <w:numPr>
          <w:ilvl w:val="5"/>
          <w:numId w:val="1"/>
        </w:numPr>
        <w:rPr/>
      </w:pPr>
      <w:bookmarkStart w:id="511" w:name="__RefHeading___Toc7304948_3381743652"/>
      <w:bookmarkStart w:id="512" w:name="_Toc195"/>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إنّ لارتكاب الحرام صوراً أشار المحقّق الخراساني في كفايته إلى ثلاث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المكلّف متمكّناً من امتثال الواجب في غير المكان المغصوب و لكنّه أتى به فيه عن اختيار، و هذه هي التي مضى الكلام فيها تحت جواز اجتماع الأمر و النهي في شيء واحد بعنوانين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ارتكاب الحرام لكن لا بسوء الاختيار كما إذا كان محبوساً في الدار المغصوبة فيقع الكلام في دخوله، و بقائه، و خروجه و حكم العبادة في هذه الحالات</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اضطرّ إلى ارتكاب الحرام لكن بسوء اختياره، كما إذا دخل أرض الغير للتنزّه و أراد الخروج فهو مضطر إلى التصرف في أرض الغير عند الخروج، لكن الاضطرار طارئ عليه بسوء اختيار، إذ لم يكن هناك أيُّ إلزام على الدخول، ليضطرّ في ترك الغصب إلى الخروج الذي هو تصرّف فيه أيضاً، فيقع الكلام في حكم الخروج تكليفاً أوّلاً، و حكم الصلاة الواقعة حال الخروج وضعاً ثانياً، و هذا هو المقصود من عقد هذا التنبيه، و إليك دراسة القسمين واحداً تلو الآخر</w:t>
      </w:r>
      <w:r>
        <w:rPr>
          <w:rFonts w:eastAsia="Amiri" w:cs="Amiri" w:ascii="Amiri" w:hAnsi="Amiri"/>
          <w:color w:val="111111"/>
          <w:sz w:val="28"/>
          <w:szCs w:val="28"/>
          <w:rtl w:val="true"/>
          <w:lang w:bidi="ar-SA"/>
        </w:rPr>
        <w:t xml:space="preserve">. </w:t>
      </w:r>
      <w:bookmarkStart w:id="513" w:name="pg14356_186827"/>
    </w:p>
    <w:p>
      <w:pPr>
        <w:pStyle w:val="Heading6"/>
        <w:numPr>
          <w:ilvl w:val="5"/>
          <w:numId w:val="1"/>
        </w:numPr>
        <w:rPr/>
      </w:pPr>
      <w:bookmarkStart w:id="514" w:name="__RefHeading___Toc7304950_3381743652"/>
      <w:bookmarkStart w:id="515" w:name="_Toc196"/>
      <w:bookmarkEnd w:id="513"/>
      <w:bookmarkEnd w:id="514"/>
      <w:r>
        <w:rPr>
          <w:rtl w:val="true"/>
        </w:rPr>
        <w:t>الاضطرار إلى ارتكاب الحرام من غير اختيار</w:t>
      </w:r>
      <w:bookmarkEnd w:id="515"/>
    </w:p>
    <w:p>
      <w:pPr>
        <w:pStyle w:val="BookText"/>
        <w:rPr/>
      </w:pPr>
      <w:r>
        <w:rPr>
          <w:rFonts w:ascii="Amiri" w:hAnsi="Amiri" w:eastAsia="Amiri" w:cs="Amiri"/>
          <w:color w:val="111111"/>
          <w:sz w:val="28"/>
          <w:sz w:val="28"/>
          <w:szCs w:val="28"/>
          <w:rtl w:val="true"/>
          <w:lang w:bidi="ar-SA"/>
        </w:rPr>
        <w:t>إذا حبسه الظالم في مكان مغصوب، فالاضطرار لا عن اختيار رافع للحرمة التكليفية دخولاً و بقاءً و خروجاً أخذاً بالأدلّة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يُكَلِّفُ اللّهُ نَفْساً إِلاّ وُسْعَها </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فالآية دالة على أنّ الأحكام محدّدة بالقدرة و الوسع، فإذا كانت فوقها، فليس هناك أي حكم للشرع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الرفع، روى الصدوق في خصاله عن شيخه أحمد بن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بن يزيد، عن حمّاد بن عيسى، عن حريز بن عبد اللّه،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ما أُكرهوا عليه، و ما لا يعلمون، و ما لا يطيقون، و ما اضطروا إليه</w:t>
      </w:r>
      <w:r>
        <w:rPr>
          <w:rFonts w:eastAsia="Amiri" w:cs="Amiri" w:ascii="Amiri" w:hAnsi="Amiri"/>
          <w:color w:val="111111"/>
          <w:sz w:val="28"/>
          <w:szCs w:val="28"/>
          <w:rtl w:val="true"/>
          <w:lang w:bidi="ar-SA"/>
        </w:rPr>
        <w:t>... «.</w:t>
      </w:r>
      <w:r>
        <w:rPr>
          <w:rStyle w:val="FootnoteAnchor"/>
          <w:rtl w:val="true"/>
        </w:rPr>
        <w:footnoteReference w:id="122"/>
      </w:r>
      <w:r>
        <w:rPr>
          <w:rFonts w:ascii="Amiri" w:hAnsi="Amiri" w:eastAsia="Amiri" w:cs="Amiri"/>
          <w:color w:val="111111"/>
          <w:sz w:val="28"/>
          <w:sz w:val="28"/>
          <w:szCs w:val="28"/>
          <w:rtl w:val="true"/>
          <w:lang w:bidi="ar-SA"/>
        </w:rPr>
        <w:t>و الرواية صحيحة و رواتها كلّهم ثقات، و أحمد بن محمد بن يحيى العطار من مشايخ الصدوق ثقة بلا إشكال، و عدم ورود التوثيق في حقّه في الكتب الرجالية لأجل انّ المشايخ فوق التوثيق أوّلاً، و القرائن تشهد على وثاقة أحمد بن محمد بن يحيى ثانياً، لأنّ الشيخ الصدوق يروي عنه و يترضّى عليه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إكثار الثقات النقل عنه ثالثاً، فإنّ الثقة و إن كان يروي عن غير الثقة أحياناً و لكن كثرة النقل عن الضعيف كان من أسباب الجرح عند القدماء، و لذلك أخرج الرئيس أحمد بن محمد بن عيسى الأشعري محدّثين عظيمين من قم أعني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خالد و سهل بن زياد الآدمي و ما هذا إلاّ لكثرة نقلهما عن الضعاف من دون أي غمز فيهما</w:t>
      </w:r>
      <w:r>
        <w:rPr>
          <w:rFonts w:eastAsia="Amiri" w:cs="Amiri" w:ascii="Amiri" w:hAnsi="Amiri"/>
          <w:color w:val="111111"/>
          <w:sz w:val="28"/>
          <w:szCs w:val="28"/>
          <w:rtl w:val="true"/>
          <w:lang w:bidi="ar-SA"/>
        </w:rPr>
        <w:t xml:space="preserve">. </w:t>
      </w:r>
      <w:bookmarkStart w:id="516" w:name="pg14356_186828"/>
    </w:p>
    <w:p>
      <w:pPr>
        <w:pStyle w:val="Heading6"/>
        <w:numPr>
          <w:ilvl w:val="5"/>
          <w:numId w:val="1"/>
        </w:numPr>
        <w:rPr/>
      </w:pPr>
      <w:bookmarkStart w:id="517" w:name="__RefHeading___Toc7304952_3381743652"/>
      <w:bookmarkStart w:id="518" w:name="_Toc197"/>
      <w:bookmarkEnd w:id="516"/>
      <w:bookmarkEnd w:id="517"/>
      <w:r>
        <w:rPr>
          <w:rtl w:val="true"/>
        </w:rPr>
        <w:t>في عبادة المحبوس المضطر</w:t>
      </w:r>
      <w:bookmarkEnd w:id="518"/>
    </w:p>
    <w:p>
      <w:pPr>
        <w:pStyle w:val="BookText"/>
        <w:rPr/>
      </w:pPr>
      <w:r>
        <w:rPr>
          <w:rFonts w:ascii="Amiri" w:hAnsi="Amiri" w:eastAsia="Amiri" w:cs="Amiri"/>
          <w:color w:val="111111"/>
          <w:sz w:val="28"/>
          <w:sz w:val="28"/>
          <w:szCs w:val="28"/>
          <w:rtl w:val="true"/>
          <w:lang w:bidi="ar-SA"/>
        </w:rPr>
        <w:t>هذا كلّه حول الحكم التكليفي إنّما الكلام في الحكم الوضعي، أي صحّة عبادته في الحالات الثلاث دخولاً و بقاءً و خروجاً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بجواز الاجتماع فالحكم بالصحة موافق للقواعد بشرط تمشي قصد القربة، كما أنّه لو قلنا بالامتناع و قدّمنا الأمر على النهي فكذلك إنّما الكلام في القول بالعكس، أي قلنا بالامتناع و قدّمنا النهي على الأمر، فالتحقيق صحّة عبادة ذلك المضطر بغير سوء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الاضطرار يرفع الحرمة التكليفية و العقوبة، و لكن ملاك الوجوب لو كان يكون مؤثراً، و ذلك لأنّه لو كان الاضطرار بسوء الاختيار بأن يختار ما يؤدي إليه لا محالة فانّ سقوط الخطاب لا يلازم الصحة، لأنّه يصدر عنه مبغوضاً عليه و عصياناً لذلك الخطاب و مستحقاً عليه العقاب، و لكن المفروض انّ الاضطرار لم يكن بسوء الاختيار، بل فُرِض عليه ارتكابُ المحرّم من جانب القويّ القاهر و عندئذ فالحرمة مع تقدّمها على الأمر عند الامتناعي شأنية و ملاك الوجوب باق مؤثر فيكون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الاضطرار إلى ارتكاب الحرام إن كان يوجب ارتفاع حرمته و العقوبة عليه مع بقاء ملاك وجوبه لو كان مؤثراً له كما إذا لم يكن بحرام</w:t>
      </w:r>
      <w:r>
        <w:rPr>
          <w:rFonts w:eastAsia="Amiri" w:cs="Amiri" w:ascii="Amiri" w:hAnsi="Amiri"/>
          <w:color w:val="111111"/>
          <w:sz w:val="28"/>
          <w:szCs w:val="28"/>
          <w:rtl w:val="true"/>
          <w:lang w:bidi="ar-SA"/>
        </w:rPr>
        <w:t>.</w:t>
      </w:r>
      <w:r>
        <w:rPr>
          <w:rStyle w:val="FootnoteAnchor"/>
          <w:rtl w:val="true"/>
        </w:rPr>
        <w:footnoteReference w:id="123"/>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المانع عن تحقّق الوجوب ليس هو الحرمة الفعلية، حتّى يصير </w:t>
      </w:r>
    </w:p>
    <w:p>
      <w:pPr>
        <w:pStyle w:val="BookText"/>
        <w:rPr/>
      </w:pPr>
      <w:r>
        <w:rPr>
          <w:rFonts w:ascii="Amiri" w:hAnsi="Amiri" w:eastAsia="Amiri" w:cs="Amiri"/>
          <w:color w:val="111111"/>
          <w:sz w:val="28"/>
          <w:sz w:val="28"/>
          <w:szCs w:val="28"/>
          <w:rtl w:val="true"/>
          <w:lang w:bidi="ar-SA"/>
        </w:rPr>
        <w:t>ارتفاعها سبباً لتحقّقه، بل المانع عن تحقّقه و تأثير ملاكه فيه، هو أقوائية ملاك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المفسدة الداعية إلى جعلها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ملاك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المصلحة الباعثة نحو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دامت المفسدة باقية على قوتها لا مجال لتأثير ملاك الوجوب و إن كان هنا مانع عن فعلية الحرمة أيضاً</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السيّد المحقّق البروجردي لكن وجود المفسدة الأقوى من مصلحة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الاضطرار أوّل الكلام، لأنّ العلم بالملاك رهن وجود الحكم و فعليته، و مع عدم الفعلية كما هو المفروض كيف نستكشف وجود المفسدة الأقوى من مصلحة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انّ التصرف في مال الغير أمر قبيح عقلاً، لأنّه يعدّ من شقوق الظلم و التعدي على حقوقه و أمواله، و من المعلوم أنّ استقلال العقل بقبح التصرف بمال الغير محدّد بصورة الاختيار، و المفروض انّه مضطر غير مختار، بل فُرِض عليه التصرف في مال الغير فيكون عمله فاقداً للمفسدة و لو كان هناك ذمّ أو عقاب فإنّما لحامله على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البروجردي قاس المقام بالخمر الذي اضطرّ إلى شربه فكما أنّ ارتفاع حرمته لا يصير شربه راجحاً أو واجباً، فهكذا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انّ الخمر مع كونه ذا مصلحة و منفعة، لكن لما كانت مفسدته راجحة، و إثمه أكبر من نفعه، صار حراماً لغلبة الملاك فلو فرضنا الاضطرار إلى شربه لمرض أو شبهه و ارتفع الخطاب لأجله، فلا يصير راجحاً أو واجباً بمجرده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حدثت في ظرف الاضطرار مصلحة أُخرى ملزمة أو راجحة على المفسدة صار الفعل لا محالة واجباً لكن هذا غير ما أفاده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كلام المحقّق الخراساني مركّز على ما إذا كان هناك ملاكان ملزمان للوجوب و الحرمة كالصلاة و الغصب، غير أنّ ملاك الغصب غلب على ملاك الصلاة فقدم النهي على الأمر، فإذا زال النهي لأجل الاضطرار يكون ملاك الوجوب مؤثراً، لأنّ انقلاب الحرمة الفعلية إلى الشأنيّة يكون كاشفاً عن ضعف الملاك في هذه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تظهر الحال في المثال الذي ذكره، إذ ليس في شرب الخمر، ملاك ملزم لا قبل الشرب و لا بعده، حتّى يؤثر في الوجوب، و لذلك لا يوصف به، نعم لو طرأ ملاك ملزم كما أشار إليه في آخر كلامه كما إذا توقفت حياة الإنسان عليه، يوصف العمل بالوجوب و يكون ملاكاً مؤثراً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أقسام الاضطرار و علاجه فمن أراد فليرجع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النهي عن التصرف في المغصوب موجباً لتقيد الصلاة بقيد وجودي كلزوم كون الصلاة في مكان مباح أو بقيد عدمي كاشتراطها بعدم كونها في مكان مغصوب الذي مرجعه إلى مانعية الغصب لصحتها، فعندئذ يكون المأمور به مقيداً بقيد 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الإباحة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الغصب مانعاً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 عدم إمكان تحصيله يسقط الأمر بالمركب لعدم إمكان تحصيله، لا أنّ الواجب ينحصر في الباقي و يصحّ الإتيان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الأحكام الوضعية من الشرطية أو المانعية أُمور منتزعة من الأحكام التكليفية، فلو كان الحكم التكليفي مرفوعاً بفضل القرآن و السنّة فلا يبقى لاحتمال الشرطية و المانعية في هذه الحالة 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فسعة الحكم الوضعي و ضيقه تابع لسعة الحكم التكليفي و ضيقه فبارتفاعه يرتفع الوضعي</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صحّة عامة عباداته إلاّ ما كان له بدل مباح، فإذا دار الأمر بين </w:t>
      </w:r>
      <w:bookmarkStart w:id="519" w:name="pg14356_186831"/>
    </w:p>
    <w:p>
      <w:pPr>
        <w:pStyle w:val="BookText"/>
        <w:rPr/>
      </w:pPr>
      <w:bookmarkEnd w:id="519"/>
      <w:r>
        <w:rPr>
          <w:rFonts w:ascii="Amiri" w:hAnsi="Amiri" w:eastAsia="Amiri" w:cs="Amiri"/>
          <w:color w:val="111111"/>
          <w:sz w:val="28"/>
          <w:sz w:val="28"/>
          <w:szCs w:val="28"/>
          <w:rtl w:val="true"/>
          <w:lang w:bidi="ar-SA"/>
        </w:rPr>
        <w:t>الوضوء بماء مغصوب أو التيمم بالتراب فالثاني مقدّم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يجب على المحبوس الاقتصار على الإيماء و الإشارة بدلاً عن الركوع و السجود باعتبار انّهما تصرف زائد على مقدار الضرورة</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إلى أنّه لا بدّ في جواز التصرف في أرض الغير من الاقتصار على مقدار تقتضيه الضرورة دون الزائد على ذلك المقدار، و إليه ذهب الشيخ المحقّق النائيني قائلاً بأنّ الركوع و السجود تصرف زائد عند العرف فيجب الاقتصار على الإيماء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الصحيح ما اختاره تلميذه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المحقّق الخوئي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كون المكلّف في الأرض المغصوبة على هيئة واحدة أو كونه على هيئات متعدّدة، و ذلك لأنّ كلّ جسم له حجم خاص و مقدار مخصوص كما عرفت يشغل المكان بمقدار حجمه دون الزائد عليه، و من الطبيعي أنّ مقدار أخذه المكان لا يختلف باختلاف أوضاعه و أشكاله الهندسية من المثلث و المربع و ما شاكلهما بداهة انّ نسبة مقدار حجمه إلى مقدار من المكان نسبة واحدة في جميع حالاته و أوضاعه، و لا تختلف تلك النسبة زيادة و نقيصة باختلاف تلك الأوضاع الطارئة عليه، مثلاً إذا اضطر الإنسان إلى البقاء في المكان المغصوب لا يفرق فيه بين أن يكون قائماً أو قاعداً فيه و ان يكون راكعاً أو ساجداً، فكما أنّ الركوع و السجود تصرف فيه فكذلك القيام و القعود، فلا فرق بينها من هذه الناحية أصلاً</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7304954_3381743652"/>
      <w:bookmarkStart w:id="521" w:name="_Toc198"/>
      <w:bookmarkEnd w:id="520"/>
      <w:r>
        <w:rPr>
          <w:rtl w:val="true"/>
        </w:rPr>
        <w:t>حكم الاضطرار بسوء الاختيار</w:t>
      </w:r>
      <w:bookmarkEnd w:id="521"/>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الموضع الثاني الذي عقد لبيانه هذا التنبيه، و يقع الكلام في موارد</w:t>
      </w:r>
      <w:r>
        <w:rPr>
          <w:rFonts w:eastAsia="Amiri" w:cs="Amiri" w:ascii="Amiri" w:hAnsi="Amiri"/>
          <w:color w:val="111111"/>
          <w:sz w:val="28"/>
          <w:szCs w:val="28"/>
          <w:rtl w:val="true"/>
          <w:lang w:bidi="ar-SA"/>
        </w:rPr>
        <w:t xml:space="preserve">: </w:t>
      </w:r>
      <w:bookmarkStart w:id="522" w:name="pg14356_186832"/>
    </w:p>
    <w:p>
      <w:pPr>
        <w:pStyle w:val="BookText"/>
        <w:rPr/>
      </w:pPr>
      <w:bookmarkEnd w:id="52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الدخول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الخروج تكليفاً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العبادة حين الخروج وضعاً</w:t>
      </w:r>
      <w:r>
        <w:rPr>
          <w:rFonts w:eastAsia="Amiri" w:cs="Amiri" w:ascii="Amiri" w:hAnsi="Amiri"/>
          <w:color w:val="111111"/>
          <w:sz w:val="28"/>
          <w:szCs w:val="28"/>
          <w:rtl w:val="true"/>
          <w:lang w:bidi="ar-SA"/>
        </w:rPr>
        <w:t>.</w:t>
      </w:r>
    </w:p>
    <w:p>
      <w:pPr>
        <w:pStyle w:val="Heading6"/>
        <w:numPr>
          <w:ilvl w:val="5"/>
          <w:numId w:val="1"/>
        </w:numPr>
        <w:rPr/>
      </w:pPr>
      <w:bookmarkStart w:id="523" w:name="__RefHeading___Toc7304956_3381743652"/>
      <w:bookmarkStart w:id="524" w:name="_Toc199"/>
      <w:bookmarkEnd w:id="523"/>
      <w:r>
        <w:rPr>
          <w:rtl w:val="true"/>
        </w:rPr>
        <w:t>أمّا الأوّل أي حكم الدخول فلا شكّ انّه أمر محرم،</w:t>
      </w:r>
      <w:bookmarkEnd w:id="524"/>
    </w:p>
    <w:p>
      <w:pPr>
        <w:pStyle w:val="BookText"/>
        <w:rPr/>
      </w:pPr>
      <w:r>
        <w:rPr>
          <w:rFonts w:ascii="Amiri" w:hAnsi="Amiri" w:eastAsia="Amiri" w:cs="Amiri"/>
          <w:color w:val="111111"/>
          <w:sz w:val="28"/>
          <w:sz w:val="28"/>
          <w:szCs w:val="28"/>
          <w:rtl w:val="true"/>
          <w:lang w:bidi="ar-SA"/>
        </w:rPr>
        <w:t>لأنّه تصرّف في مال الغير بلا عذر فيكون محرماً، إنّما الكلام في الأمر الثاني، و هذا ما سندرسه</w:t>
      </w:r>
      <w:r>
        <w:rPr>
          <w:rFonts w:eastAsia="Amiri" w:cs="Amiri" w:ascii="Amiri" w:hAnsi="Amiri"/>
          <w:color w:val="111111"/>
          <w:sz w:val="28"/>
          <w:szCs w:val="28"/>
          <w:rtl w:val="true"/>
          <w:lang w:bidi="ar-SA"/>
        </w:rPr>
        <w:t>.</w:t>
      </w:r>
    </w:p>
    <w:p>
      <w:pPr>
        <w:pStyle w:val="Heading6"/>
        <w:numPr>
          <w:ilvl w:val="5"/>
          <w:numId w:val="1"/>
        </w:numPr>
        <w:rPr/>
      </w:pPr>
      <w:bookmarkStart w:id="525" w:name="__RefHeading___Toc7304958_3381743652"/>
      <w:bookmarkStart w:id="526" w:name="_Toc200"/>
      <w:bookmarkEnd w:id="525"/>
      <w:r>
        <w:rPr>
          <w:rtl w:val="true"/>
        </w:rPr>
        <w:t>الثاني</w:t>
      </w:r>
      <w:r>
        <w:rPr>
          <w:rtl w:val="true"/>
        </w:rPr>
        <w:t xml:space="preserve">: </w:t>
      </w:r>
      <w:r>
        <w:rPr>
          <w:rtl w:val="true"/>
        </w:rPr>
        <w:t>حكم الخروج تكليفاً</w:t>
      </w:r>
      <w:bookmarkEnd w:id="526"/>
    </w:p>
    <w:p>
      <w:pPr>
        <w:pStyle w:val="BookText"/>
        <w:rPr/>
      </w:pPr>
      <w:r>
        <w:rPr>
          <w:rFonts w:ascii="Amiri" w:hAnsi="Amiri" w:eastAsia="Amiri" w:cs="Amiri"/>
          <w:color w:val="111111"/>
          <w:sz w:val="28"/>
          <w:sz w:val="28"/>
          <w:szCs w:val="28"/>
          <w:rtl w:val="true"/>
          <w:lang w:bidi="ar-SA"/>
        </w:rPr>
        <w:t>إذا توسط أرضاً مغصوبة بسوء الاختيار كأن دخل حديقة الغير للتنزّه و غيره، ثمّ حاول أن يخرج و يترك الغصب، فما هو حكم الخروج من حيث الحكم التكليفي؟ هناك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الخروج منهي عنه بالنهي الفعلي و ليس بواجب شرعاً، و هو خيرة السيد البروجردي و السيد الأُستاذ قدس سرهما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مأمور به شرعاً و ليس وراء الأمر أي حكم شرعي، و هو خيرة المحقّق الأنصاري و النائيني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مأمور به شرعاً لكن مع جريان حكم المعصية عليه حيث إنّه منهي عنه بالنهي السابق الساقط من ناحية الاضطرار، اختاره صاحب الفصول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واجب و حرام بالفعل، و هو خيرة أبي هاشم الجبائي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 المحقّق القمي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واجب عقلاً لدفع أشد المحذورين بارتكاب أخف القبيحين و ليس محكوماً بحكم شرعي بالفعل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هو منهي عنه بالنهي السابق الساقط </w:t>
      </w:r>
    </w:p>
    <w:p>
      <w:pPr>
        <w:pStyle w:val="BookText"/>
        <w:rPr/>
      </w:pPr>
      <w:r>
        <w:rPr>
          <w:rFonts w:ascii="Amiri" w:hAnsi="Amiri" w:eastAsia="Amiri" w:cs="Amiri"/>
          <w:color w:val="111111"/>
          <w:sz w:val="28"/>
          <w:sz w:val="28"/>
          <w:szCs w:val="28"/>
          <w:rtl w:val="true"/>
          <w:lang w:bidi="ar-SA"/>
        </w:rPr>
        <w:t>بالاضطرار، و هذا خيرة المحقّق الخراساني و هو الأقوى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مأمور به و منهي عنه لكن بالترتّب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 و هو يشمل الدخول و البقاء و الخروج،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عصيت فاخرج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الأقوال الستة فلندرس قول المحقّق الخراساني أوّلاً، ثمّ بقية الأقوال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فقوله مركّب من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واجب بالوجوب العقلي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واجباً بالوجوب الشرعي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منهي عنه بالنهي السابق الساقط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أثر النهي و هو العقاب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دراسة الأُمور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فلاستقلال العقل بوجوب الخروج و التخلّص، لأنّه الطريق الوحيد للتخلّص من أشدِّ المحذورين بارتكاب أقلّهما، فلو دار الأمر بين قليل العصيان و كثيره فالعقل يستقل بتقديم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أي ليس محكوماً بحكم شرعي من الوجوب، و ذلك لأنّه لو كان واجباً فإمّا أن يكون وجوبه نفسيّاً أو مقدّمياً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النفسي فلم يرد في الشرع ما يدلّ على وجوب الخروج من المغصوب و إنّما ورد المنع عن التصرّف في المغصوب</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الغيري فهو فرع القول بأنّ حرمة الشيء تلازم وجوب ضدّه العام،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كحرمة الغصب الملازم لوجوب تركه، فإذا وجب الترك تجب مقدّمته،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حيث إنّه مقدمة لترك الغصب، أو يقال كما يأتي عن </w:t>
      </w:r>
    </w:p>
    <w:p>
      <w:pPr>
        <w:pStyle w:val="BookText"/>
        <w:rPr/>
      </w:pPr>
      <w:r>
        <w:rPr>
          <w:rFonts w:ascii="Amiri" w:hAnsi="Amiri" w:eastAsia="Amiri" w:cs="Amiri"/>
          <w:color w:val="111111"/>
          <w:sz w:val="28"/>
          <w:sz w:val="28"/>
          <w:szCs w:val="28"/>
          <w:rtl w:val="true"/>
          <w:lang w:bidi="ar-SA"/>
        </w:rPr>
        <w:t>الشيخ بأنّ حرمة البقاء الذي هو من مصاديق الغصب، يستلزم وجوب تركه و الخروج مقدّمة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المقدّمات ممنوعة لعدم دلالة حرمة الشيء على وجوب تركه حتّى تجب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أي كون النهي السابق ساقطاً فلأجل عدم إمكان امتثاله بعد التوسط،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 و إن كان قبل الدخول يعمّ الدخول و البقاء و الخروج، لأنّ الجميع من مصاديق الغصب، لكنّه بعد الدخول و لو بسوء الاختيار لا يتمكن المكلّف من امتثال قوله لا تغصب المتمثّل في البقاء و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ذهب العلاّمة الطباطبائي إلى تصحيح وجوب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بعد ما توسط الأرض المغصوبة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في صحّة الخطاب ترتّب الأثر عليه و إن كان الأثر نفس العقاب، و يكفي في القدرة، القدرة على الامتثال في ظرف من الظروف، و الشرطان حاصلان و المكلّف كان قادراً على ترك التصرّف الخروجي قبل الدخول، و هو يكفي في بقاء الخطاب حتى في صورة العجز عن الامتثال كما إذا توسّطها، و فائدة الخطاب مع عجزه هي صحّة عقابه و مؤاخذته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خلط بين الخطاب النابع عن الإرادة الجدّية في حال الاضطرار و بين قيام الحجة على المضطر في هذا الظرف، و الأوّل منتف، لامتناع تعلّق الإرادة بفعل العاجز، و الثاني ثابت بلا كلام، لأنّ القدرة قبل الدخول أتمّت الحجّة على العبد في جميع أحواله من الدخول و البقاء و الخروج، و القدرة في ظرف خاص إنّما تكفي في إتمام الحجّة حين المخالفة لا في توجّه الخطاب</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الرابع، فهو جريان حكم المعصية عليه و كونه معاقباً فقد علم ممّا ذكرنا </w:t>
      </w:r>
      <w:bookmarkStart w:id="527" w:name="pg14356_186835"/>
    </w:p>
    <w:p>
      <w:pPr>
        <w:pStyle w:val="BookText"/>
        <w:rPr/>
      </w:pPr>
      <w:bookmarkEnd w:id="527"/>
      <w:r>
        <w:rPr>
          <w:rFonts w:ascii="Amiri" w:hAnsi="Amiri" w:eastAsia="Amiri" w:cs="Amiri"/>
          <w:color w:val="111111"/>
          <w:sz w:val="28"/>
          <w:sz w:val="28"/>
          <w:szCs w:val="28"/>
          <w:rtl w:val="true"/>
          <w:lang w:bidi="ar-SA"/>
        </w:rPr>
        <w:t>حيث إنّ القدرة في ظرف من الظروف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الدخول تصحح العقوبة على التصرّف الخروجي و إن لم يكن في ظرف العمل قادراً، و قد عرفت فيما سبق أنّ الامتناع بالاختيار لا ينافي الاختيار ملاكاً و 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ينافي الاختيار حكماً و خطاباً و لذاك قلنا بسقوط الخطاب السابق و بقاء الملاك،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 و هو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الحال فيما أفاده السيد المحقّق البروجردي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النهي فلا معنى للعصيان و المخالفة و مجرّد كون الاضطرار بسوء الاختيار لا يوجب المخالفة و العصيان، مع عدم النهي الفعلي</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صدق العصيان، ليس رهن النهي الفعلي، بل يكفي في ذلك تمامية الحجّة عليه و لو قبل العمل، فالساقط من شاهق عاص بسقوطه و إن لم يكن النهي فعلياً، لتمامية الحجّة عليه، فمن علم بنجاسة أحد الإناءين تمّت الحجّة عليه و لزمه الاجتناب مطلقاً، و لو اضطرّ إلى أحد الأطراف لا يحل له الطرف الآخر و إن لم يكن العلم الإجمالي موجوداً لتماميّة الحجّة عليه قبل الاضطرار، و هو كاف في إيجاب الاجتناب عن الإناء غير المضطر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المحقّق الخراساني هي أقوى النظريات في المقام، فلندرس سائر</w:t>
      </w:r>
    </w:p>
    <w:p>
      <w:pPr>
        <w:pStyle w:val="Heading6"/>
        <w:numPr>
          <w:ilvl w:val="5"/>
          <w:numId w:val="1"/>
        </w:numPr>
        <w:rPr/>
      </w:pPr>
      <w:bookmarkStart w:id="528" w:name="__RefHeading___Toc7304960_3381743652"/>
      <w:bookmarkStart w:id="529" w:name="_Toc201"/>
      <w:bookmarkEnd w:id="528"/>
      <w:r>
        <w:rPr>
          <w:rtl w:val="true"/>
        </w:rPr>
        <w:t>الأقوال على الترتيب المذكور في صدر البحث</w:t>
      </w:r>
      <w:r>
        <w:rPr>
          <w:rtl w:val="true"/>
        </w:rPr>
        <w:t>.</w:t>
      </w:r>
      <w:bookmarkEnd w:id="529"/>
    </w:p>
    <w:p>
      <w:pPr>
        <w:pStyle w:val="Heading6"/>
        <w:numPr>
          <w:ilvl w:val="5"/>
          <w:numId w:val="1"/>
        </w:numPr>
        <w:rPr/>
      </w:pPr>
      <w:bookmarkStart w:id="530" w:name="__RefHeading___Toc7304962_3381743652"/>
      <w:bookmarkStart w:id="531" w:name="_Toc202"/>
      <w:bookmarkEnd w:id="530"/>
      <w:r>
        <w:rPr>
          <w:rtl w:val="true"/>
        </w:rPr>
        <w:t>الأوّل</w:t>
      </w:r>
      <w:r>
        <w:rPr>
          <w:rtl w:val="true"/>
        </w:rPr>
        <w:t xml:space="preserve">: </w:t>
      </w:r>
      <w:r>
        <w:rPr>
          <w:rtl w:val="true"/>
        </w:rPr>
        <w:t>الخروج منهي عنه بالنهي الفعلي فقط</w:t>
      </w:r>
      <w:bookmarkEnd w:id="531"/>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السيد المحقّق البروجردي إلى أنّ الخروج حرام و ليس بواجب، أمّا أنّه حرام فلأنّ التصرّف في مال الغير، بغير إذنه أو مع نهيه، حرام و خروج عن طاعة </w:t>
      </w:r>
    </w:p>
    <w:p>
      <w:pPr>
        <w:pStyle w:val="BookText"/>
        <w:rPr/>
      </w:pPr>
      <w:r>
        <w:rPr>
          <w:rFonts w:ascii="Amiri" w:hAnsi="Amiri" w:eastAsia="Amiri" w:cs="Amiri"/>
          <w:color w:val="111111"/>
          <w:sz w:val="28"/>
          <w:sz w:val="28"/>
          <w:szCs w:val="28"/>
          <w:rtl w:val="true"/>
          <w:lang w:bidi="ar-SA"/>
        </w:rPr>
        <w:t>المولى، من دون فرق بين التصرّف الدخولي و الخروجي في نظر العقل فإنّه يرى جميع التصرفات في كونها معصية و خروجاً عن رسم العبودية 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 ليس بواجب، فلأنّ وجوبه إمّا بالخصوص فلا دليل عليه، و إمّا لكونه مقدّمة لترك الغصب الواجب، فهو أيضاً مثله، إذ لم يرد دليل على وجوب ترك الغصب و ما ورد من أنّ الغصب مردود، فإنّما تأكيد لحرمة الغصب</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حرمة الخروج إمّا لأجل تعلّق النهي به بالخصوص، أو لأجل انّه تصرّف في مال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 فهو دفع الفاسد بالأفسد، لأنّ النهي عن الخروج بما هو هو يستلزم البقاء في المغصوب إلى آخر العمر و هو أشدّ محذوراً، و أمّا الثاني فهو يستلزم التكليف بالمحال، لعدم قدرته على امتثال ذلك النهي إلاّ أن يلتجئ إلى البقاء، و هو أيضاً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الامتناع بالاختيار، لا ينافي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سبق انّ القاعدة صحيحة، و لكن المراد أنّه لا ينافي ملاكاً و عقاباً، لا خطاباً و حكماً، فهو معاقب إذ كان في وسعه امتثال هذا النهي الشامل للخروج أيضاً بترك الدخول، لأنّه عصى و دخل فيعاقب على الخروج للنهي السابق الساقط لا أنّه مخاطب بالفعل بالنهي عن الخروج</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اختار نظرية السيد البروجردي و استدلّ عليه لكن بطريق آخر، و هو ما اختاره من أنّ خطابات الشرع، خطابات قانونية و ليست خطابات شخصية، و يكفي في صحّة الخطاب القانوني، اجتماعُ الشرائط العامّة في كثير من المكلّفين لا في كلّ واحد، بخلاف الخطاب الشخصي فانّه يشترط اجتماع الشرائط العامة في كلّ مخاطب بالخصوص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تارة يتعلّق بالعنوان الكلّي كالناس و المؤمنين، و أُخرى بفرد معيّن، و معنى الخطاب في الأوّل جعل الحكم على العنوان الكلّي من دون لحاظ كلّ واحد واحد من الأفراد التي ينطبق عليها العنوان، و يكفي في صحّة الخطاب و عدم لغويته، اجتماع الشرائط في كثير من مصاديق العنوان، لا في كلّ واحد، بخلاف الخطاب الشخصي، فانّ الصحّة فيه رهن اجتماع الشرائط في نفس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 يتصرّف في الخطابات القانونية، و يقيّدها بالقدرة، فعندئذ يكون الخطاب القانوني، كالخطاب الشخصي في اعتبار القدرة في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شأن العقل، التصرّفُ في إرادة الغير و خطابه، غاية ما في الباب أنّ للعقل، التعذير، فإذا كان بعض المكلّفين فاقداً للشرط أو الشرائط يعدّه معذوراً في مخالفة التكليف من دون أن يتصرّف في إرادة المولى، أو خطابه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يكون الخروج محرّماً و مصداقاً للحكم الكلّي،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التصرّف في مال الغير المطلق الشامل للقادر و العاجز، و أمّا التعذير فإنّما يصحّ إذا كان بغير سوء الاختيار، دون ما إذا كان معه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 لكونه مصداقاً لحرمة التصرّف في مال، و انّ الخطاب أو الحكم شامل، و إن كان عاجزاً، إذ لا يشترط القدرة في كلّ واحد من الأفراد، و أمّا التعذير فهو منتف لأجل سوء الاختيار</w:t>
      </w:r>
      <w:r>
        <w:rPr>
          <w:rFonts w:eastAsia="Amiri" w:cs="Amiri" w:ascii="Amiri" w:hAnsi="Amiri"/>
          <w:color w:val="111111"/>
          <w:sz w:val="28"/>
          <w:szCs w:val="28"/>
          <w:rtl w:val="true"/>
          <w:lang w:bidi="ar-SA"/>
        </w:rPr>
        <w:t>.</w:t>
      </w:r>
      <w:r>
        <w:rPr>
          <w:rStyle w:val="FootnoteAnchor"/>
          <w:rtl w:val="true"/>
        </w:rPr>
        <w:footnoteReference w:id="130"/>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بالخطاب الشخصي فإنّه مقيّد بالقدرة، مع كون الخطاب أو الحكم مطلقاً، فهل المقيّد هو المولى أو العقل؟ و الأوّل منتف لإطلاق </w:t>
      </w:r>
      <w:bookmarkStart w:id="532" w:name="pg14356_186838"/>
    </w:p>
    <w:p>
      <w:pPr>
        <w:pStyle w:val="BookText"/>
        <w:rPr/>
      </w:pPr>
      <w:bookmarkEnd w:id="532"/>
      <w:r>
        <w:rPr>
          <w:rFonts w:ascii="Amiri" w:hAnsi="Amiri" w:eastAsia="Amiri" w:cs="Amiri"/>
          <w:color w:val="111111"/>
          <w:sz w:val="28"/>
          <w:sz w:val="28"/>
          <w:szCs w:val="28"/>
          <w:rtl w:val="true"/>
          <w:lang w:bidi="ar-SA"/>
        </w:rPr>
        <w:t>خطابه و كلامه، و الثاني يستلزم تصرّف العقل في إرادة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العقل لا يتصرّف في إرادة المولى و إنّما يكشف عن ضيق إرادته و عدم تعلّقها إلاّ بالقادر، فكم فرق بين التصرّف في إرادة المولى و حمله على ما يحكم به العقل، و بين كشف العقل عما في ضمير الجاعل و صميم ذهنه، و هو انّ الطلب من العاجز و إن كان بسوء الاختيار غير صحيح، لأنّه 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في باب الترتب من أنّ الإجمال في مقام الثبوت غير ممكن، فلو سئل المولى عن عموم حكمه للعاجز، لأجاب بالنفي، لأنّه تكليف بالمحال</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7304964_3381743652"/>
      <w:bookmarkStart w:id="534" w:name="_Toc203"/>
      <w:bookmarkEnd w:id="533"/>
      <w:r>
        <w:rPr>
          <w:rtl w:val="true"/>
        </w:rPr>
        <w:t>الثاني</w:t>
      </w:r>
      <w:r>
        <w:rPr>
          <w:rtl w:val="true"/>
        </w:rPr>
        <w:t xml:space="preserve">: </w:t>
      </w:r>
      <w:r>
        <w:rPr>
          <w:rtl w:val="true"/>
        </w:rPr>
        <w:t>الخروج واجب شرعاً</w:t>
      </w:r>
      <w:bookmarkEnd w:id="534"/>
    </w:p>
    <w:p>
      <w:pPr>
        <w:pStyle w:val="BookText"/>
        <w:rPr/>
      </w:pPr>
      <w:r>
        <w:rPr>
          <w:rFonts w:ascii="Amiri" w:hAnsi="Amiri" w:eastAsia="Amiri" w:cs="Amiri"/>
          <w:color w:val="111111"/>
          <w:sz w:val="28"/>
          <w:sz w:val="28"/>
          <w:szCs w:val="28"/>
          <w:rtl w:val="true"/>
          <w:lang w:bidi="ar-SA"/>
        </w:rPr>
        <w:t>ذهب الشيخ الأنصاري و المحقّق النائيني إلى أنّ الخروج واجب شرعاً و ليس وراء الوجوب حكم سواه، و استدلّ عليه بوجوه ثلاثة نقلها المحقّق الخراساني بصورة السؤال و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مقدّمة لترك البقاء الواجب الأهم، و مقدّمة الواجب، واجبة، فلا يكون منهياً عنه لامتناع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المحقّق الخراساني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مقدّمة الواجب إنّما تكون واجبة إذا كانت مباحة لا محرمة، و كون الواجب أهمّ من المقدّمة المحرّمة و إن كان يوجب وجوبها إلاّ أنّه فيما إذا لم يكن بسوء الاختيار، و معه لا يتغير عمّا هو عليه من الحرمة و المبغوضية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المقدّمة المحرّمة على أقسام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لا تكون المقدّمة منحصرة بالحرام، بل كان معها مقدّمة مباحة، و عندئذ لا توصف المقدّمة المحرمة بالوجوب لعدم الانحصار، و بالتالي عدم</w:t>
      </w:r>
    </w:p>
    <w:p>
      <w:pPr>
        <w:pStyle w:val="BookText"/>
        <w:rPr/>
      </w:pPr>
      <w:r>
        <w:rPr>
          <w:rFonts w:ascii="Amiri" w:hAnsi="Amiri" w:eastAsia="Amiri" w:cs="Amiri"/>
          <w:color w:val="111111"/>
          <w:sz w:val="28"/>
          <w:sz w:val="28"/>
          <w:szCs w:val="28"/>
          <w:rtl w:val="true"/>
          <w:lang w:bidi="ar-SA"/>
        </w:rPr>
        <w:t>التوقف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المقدمة منحصرة به، و لكن لم يكن الابتلاء بها عن سوء الاختيار، فلو كان الواجب أهمّ من حرمة المقدّمة ليطرأ عليها الوجوب، كالمحبوس في مكان مغصوب إذا أُطلق سراحه فيكون الخروج واجباً على فرض وجوب ترك البقاء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و لكن كان الابتلاء بسوء الاختيار كما في المقام، فلا توصف المقدّمة بالخروج شرعاً و إن كان الواجب أهمّ من المقدمة، غير أنّ العقل يحكم بالخروج حذراً من أشدّ المحذورين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بوجوب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الحالة يلزم أن تكون حرمة الخروج و وجوبها، معلّقة على إرادة المكلّف، فلو لم يدخل، يبقى الخروج على حرمته، لكونه من مصاديق الغصب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دخل، صار واجباً بحكم كونه مقدّمة للواجب</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و الأولى أن يجاب بأنّ أصل الدليل باطل، لأنّه مبني على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مقدّمته الخروج، مع أنّ الحكم الشرعي في المقام هو حرمة الغصب، لا وجوب ترك البقاء، اللّهم إلاّ إذا قلنا بأنّه إذا حرم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البقاء بما أنّه من مصاديق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وجب تركه أخذاً بالقاعدة المعروفة من أنّ حرمة الشيء تستلزم وجوب ضدّه العام أي الترك و قد عرفت في مبحث الضدّ عدم صحته</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التصرّف في أرض الغير حرام دخولاً و بقاءً، و أمّا التصرّف الخروجي فليس بحرام، أمّا قبل الدخول فلعدم التمكّن منه، و أمّا بعده فلكونه </w:t>
      </w:r>
    </w:p>
    <w:p>
      <w:pPr>
        <w:pStyle w:val="BookText"/>
        <w:rPr/>
      </w:pPr>
      <w:r>
        <w:rPr>
          <w:rFonts w:ascii="Amiri" w:hAnsi="Amiri" w:eastAsia="Amiri" w:cs="Amiri"/>
          <w:color w:val="111111"/>
          <w:sz w:val="28"/>
          <w:sz w:val="28"/>
          <w:szCs w:val="28"/>
          <w:rtl w:val="true"/>
          <w:lang w:bidi="ar-SA"/>
        </w:rPr>
        <w:t>مضطرّاً إليه لانّه سبب للتخلص، فحاله حال من يشرب الخمر للتخلص عن الوقوع في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المحقّق الخراساني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بالنقض بالبقاء فانّه غير مقدور قبل الدخول، مع أنّه حرام، و بالنقض بالأفعال التوليدية كالإحراق المترتّبة على الأفعال المباشرية كالإلقاء فإنّ تركها بتركها و إيجادها بإيجادها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بالحل فانّ التصرّف الخروجي مقدور، غاية الأمر انّه مقدور بالواسطة، فتركه بترك الدخول، و المقدور بالواسطة مقدور أيضاً، و كون ترك الخروج بترك الدخول من قبيل السالبة بانتفاء الموضوع لا يضرّ في صدق المقدورية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الوجه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تمكّنه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اقتحامه فيه بسوء اختياره، و بالجملة كان قبل ذلك متمكّناً من التصرّف خروجاً كما يتمكّن منه دخولاً غاية الأمر يتمكّن من الدخول بلا واسطة، و من الخروج بالواسطة، و مجرّد عدم التمكّن منه إلاّ بالواسطة لا يخرجه عن كونه مقدوراً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قياس الخروج بشرب الخمر لأجل التخلّص من الهلكة قياس مع الفارق، لأنّ اضطراره إلى شرب الخمر لم يكن بسوء الاختيار، كما إذا لسعه العقرب فاضطرّ إلى شرب الخمر بتجويز الطبيب، بخلاف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إلى هذا الوجه أشار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ظهر حال شرب الخمر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نشير في المقام إلى نكتتين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الاستدلال و الإجابة مبنيّان على أنّ كلا من الدخول و البقاء، و الخروج متعلّقات للحرمة بعناوينها، فعندئذ يُوجَّه استدلال الشيخ بأنّه كيف يكون الخروج حراماً، مع أنّه غير مقدور؟ كما يوجّه إجابة المحقق الخراساني بأنّه </w:t>
      </w:r>
    </w:p>
    <w:p>
      <w:pPr>
        <w:pStyle w:val="BookText"/>
        <w:rPr/>
      </w:pPr>
      <w:r>
        <w:rPr>
          <w:rFonts w:ascii="Amiri" w:hAnsi="Amiri" w:eastAsia="Amiri" w:cs="Amiri"/>
          <w:color w:val="111111"/>
          <w:sz w:val="28"/>
          <w:sz w:val="28"/>
          <w:szCs w:val="28"/>
          <w:rtl w:val="true"/>
          <w:lang w:bidi="ar-SA"/>
        </w:rPr>
        <w:t>مقدور بالواسطة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الحقّ أنّ هنا حكماً واحداً متعلّقاً بموضوع واحد، و هو حرمة التصرف في مال الغير إذا كان بسوء الاختيار، فكلّ من الدخول و البقاء و الخروج، حرام لأجل انّها من مصاديق التقلّب في مال الغير و التصرّف فيه، لا بما أنّه دخول، أو بقاء، أو خروج، فوصف التصرّف بهذه العناوين إنّما هو من جانب المكلّف لا من جانب الشارع، و عندئذ يسقط البرهان، و مع سقوطه لا يبقى مجال للإجابة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الشيخ شبّه المقام بمن يضطرّ إلى شرب الخمر للنجاة من الهلكة و لكنّه في غير موقعه، إذ في مورد الخمر حكمان شرعيان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حفظ النفس من الهلكة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شرب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الأوّل أهمّ في نظر الشارع يقدّم حكمه على حرمة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المقام، إذ ليس فيه إلاّ تكليف واحد و هو حرمة التصرّف في مال الغير، و أمّا وجوب التخلّص من الغير، أو ردّه إليه، أو الخروج من المغصوب فكلّها أحكام عقلية مشتقة من حكم الشارع بحرمة الغصب، فليس في المقام حكمان شرعيان يكون أحدهما أهمّ من الآخر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مثل الخروج ممنوعاً عنه شرعاً و معاقباً عليه عقلاً، مع بقاء ما يتوقّف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البقاء أو التخلّص من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وجوبه، لوضوح سقوط وجوب ذي المقدّمة مع امتناع المقدّمة المنحصرة و لو كان بسوء الاختيار، و العقل قد استقل فانّ الممنوع شرعاً كالممنوع عادة أو عقلاً؟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الوجه الثالث الذي استدلّ به الشيخ على وجوب الخروج، و أساسه هو تسليم 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من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مع فرض </w:t>
      </w:r>
      <w:bookmarkStart w:id="535" w:name="pg14356_186842"/>
    </w:p>
    <w:p>
      <w:pPr>
        <w:pStyle w:val="BookText"/>
        <w:rPr/>
      </w:pPr>
      <w:bookmarkEnd w:id="535"/>
      <w:r>
        <w:rPr>
          <w:rFonts w:ascii="Amiri" w:hAnsi="Amiri" w:eastAsia="Amiri" w:cs="Amiri"/>
          <w:color w:val="111111"/>
          <w:sz w:val="28"/>
          <w:sz w:val="28"/>
          <w:szCs w:val="28"/>
          <w:rtl w:val="true"/>
          <w:lang w:bidi="ar-SA"/>
        </w:rPr>
        <w:t>وجوب ذيها، لا تعقل حرمة المقدّمة، تنزيلاً للممنوع الشرعي منزلة الامتناع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المحقّق الخراساني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يكون الممتنع شرعاً كالممتنع عقلاً إذا لم يكن هناك إرشاد من العقل إلى لزوم الأخذ بأقل المحذورين و الخروج ليتخلّص عن أشدّهما، و مع حكم العقل بالخروج، لا يكون الممتنع شرعاً كالممتنع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التناقض بين ايجاب ذي المقدّمة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التخلّص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تحريم مقدّمتها، فانّ إيجاب ذيها، يلازم إيجاب مقدّمتها، أو لا أقل من عدم تحريم المقدّمة، فإيجاب ذيها مع تحريم مقدّمته ممّا لا يجتمعان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الخروج عن هذا المأزق لا يصحّ إيجاب الشيء مع تحريم مقدّمته، و انّ ارشاد العقل إلى الخروج غير كاف كما يتحقّق بتحليل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يتحقّق بنحو آخر أيضاً و هو سقوط وجوب ذيها،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ترك البقاء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من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بكلمة جامعة 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الدخول للعصيان فانّه أحد أسباب سقوط التكليف و يتبعه عدم وجوب المقدّمة، مع بقاء حكم العقل بالخروج حذراً من أشدّ المحذورين كما حقّقناه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دراسة القول الثاني، و إليك دراسة القول الثالث و هو قول صاحب الفصول</w:t>
      </w:r>
      <w:r>
        <w:rPr>
          <w:rFonts w:eastAsia="Amiri" w:cs="Amiri" w:ascii="Amiri" w:hAnsi="Amiri"/>
          <w:color w:val="111111"/>
          <w:sz w:val="28"/>
          <w:szCs w:val="28"/>
          <w:rtl w:val="true"/>
          <w:lang w:bidi="ar-SA"/>
        </w:rPr>
        <w:t>.</w:t>
      </w:r>
    </w:p>
    <w:p>
      <w:pPr>
        <w:pStyle w:val="Heading6"/>
        <w:numPr>
          <w:ilvl w:val="5"/>
          <w:numId w:val="1"/>
        </w:numPr>
        <w:rPr/>
      </w:pPr>
      <w:bookmarkStart w:id="536" w:name="__RefHeading___Toc7304966_3381743652"/>
      <w:bookmarkStart w:id="537" w:name="_Toc204"/>
      <w:bookmarkEnd w:id="536"/>
      <w:r>
        <w:rPr>
          <w:rtl w:val="true"/>
        </w:rPr>
        <w:t>القول الثالث</w:t>
      </w:r>
      <w:r>
        <w:rPr>
          <w:rtl w:val="true"/>
        </w:rPr>
        <w:t xml:space="preserve">: </w:t>
      </w:r>
      <w:r>
        <w:rPr>
          <w:rtl w:val="true"/>
        </w:rPr>
        <w:t>مأمور به، و منهي بالنهي الساقط</w:t>
      </w:r>
      <w:bookmarkEnd w:id="537"/>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ذهب المحقّق صاحب الفصول إلى قول ثالث مركّب من جزءين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الخروج مأمور به و واجب شرعاً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منهيّ عنه بالنهي السابق الساقط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وافقه الشيخ الأنصاري في الجزء الأوّل، كما وافقه المحقّق الخراساني في الجزء الثاني، فلو كان هنا ردّ عليه من المحقّق الخراساني، فلا بدّ أن يتوجّه إلى الجزء الأوّل دون الثاني و لذلك ردّ على الأوّل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مرّ في دراسة نظرية الأنصاري أنّه لا وجه لوجوب الخروج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يستلزم اتصاف فعل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بعنوان واحد بالوجوب و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مانع من اجتماع حكمين مختلفين، لاختلاف زمان تعلّقهما، لأنّ زمان تعلّق الحرمة هو قبل الدخول، و زمان تعلّق الوجوب بعد الدخول و التصرف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اختلاف زمان التعلّق، مع اتّحاد زمان الفعل المتعلّق به، و إنّما المفيد، اختلاف زمان الفعل و لو مع اتحاد زمانهما، فلو نهى يوم الأربعاء عن صوم يوم الجمعة، و أمر يوم الخميس بصوم ذلك اليوم، لزم التكليف بالمحال، و إن كان زمان التعلّق مختلفاً، بخلاف ما لو أمر و نهى و لو في آن واحد بصوم يوم الخميس و نهى عن صوم يوم الجمعة، و المقام من قبيل القسم الأوّل، لأنّ الدخول منهي عنه بالنهي السابق على الدخول و مأمور به بالأمر اللاحق بعد الدخول فزمان التعلّق و إن كان مختلفاً، لكن زمان الفعل و الامتثال واحد</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مطلق يعم الحالات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و البقاء و الخروج، و الأمر بالخروج مشروط بالدخول، فلا منافاة بينهما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منافاة بينهما، مع أنّ المأمور به، قسم من المنهي عنه، و شمول إطلاق المنهيّ عنه لخصوص الخروج بعد الدخول، ينافي كونه واجباً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مقالة المحقّق الخراساني، حول نقد القول الثالث لصاحب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أفاده من أنّه لا دليل على وجوب الخروج حق لا غبار عليه، إنّما الكلام فيما ذكره من امتناع كون الخروج محرّماً بالنهي السابق الساقط و واجباً بعد الدخول لاستلزامه طلب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لأنّه إنّما يلزم طلب المحال لو كان النهي باقياً في ظرف امتثال الأمر بالخروج، و أمّا إذا كان ساقطاً في نفس ذلك الظرف فلا يلزم اجتماع الأمر و النهي في شيء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من أنّ الميزان في الصحة و الامتناع اختلاف زمان الفعل و الامتثال و وحدتهما و إن كان صحيحاً، لكن وحدة المتعلّق إنّما تكون سبباً للامتناع إذا كان كلا الحكمين باقياً إلى زمان الامتثال، دون ما إذا كان أحدهما ساقطاً بالعصيان كما في المقام أو بالنسخ كما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المقام نظير ما لو أمر يوم الأربعاء بصوم يوم الجمعة، و نهى عنه يوم الخميس، و مع ذلك نَسخ أحد الحكمين قُبيل ظرف الامتثال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جريان حكم المعصية، ليس بمعنى بقاء الخطاب و الحكم، بل بمعنى انّه كان قبل الدخول قادراً على 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بأقسامه الثلاثة، و لما عصى باختياره، يعاقب على الخروج لأجل أنّه بالدخول، أعجز نفسه عن امتثال الخطاب في مورد هذا المصداق، و هذا غير بقاء الخطاب و الحكم في حال الخروج</w:t>
      </w:r>
      <w:r>
        <w:rPr>
          <w:rFonts w:eastAsia="Amiri" w:cs="Amiri" w:ascii="Amiri" w:hAnsi="Amiri"/>
          <w:color w:val="111111"/>
          <w:sz w:val="28"/>
          <w:szCs w:val="28"/>
          <w:rtl w:val="true"/>
          <w:lang w:bidi="ar-SA"/>
        </w:rPr>
        <w:t xml:space="preserve">. </w:t>
      </w:r>
      <w:bookmarkStart w:id="538" w:name="pg14356_186845"/>
    </w:p>
    <w:p>
      <w:pPr>
        <w:pStyle w:val="BookText"/>
        <w:rPr/>
      </w:pPr>
      <w:bookmarkEnd w:id="538"/>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الخروج إن كان مشتملاً على المفسدة امتنع تعلّق الأمر به، و إن كان مشتملاً على المصلحة امتنع تعلّق النهي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أنّ المصالح و المفاسد، ليست من الأعراض القائمة بالفعل حتّى يمتنع اجتماعهما في الموضوع كالبياض و السواد، و إنّما هي جهات خارجية راجعة إلى حياة الفرد و المجتمع، و لا مانع من أن يكون الشيء ذا مصلحة من جهة و مفسدة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حال القول الثالث، فلندرس القول الرابع و هو قول أبي هاشم الجبائي و المحقّق القمي</w:t>
      </w:r>
      <w:r>
        <w:rPr>
          <w:rFonts w:eastAsia="Amiri" w:cs="Amiri" w:ascii="Amiri" w:hAnsi="Amiri"/>
          <w:color w:val="111111"/>
          <w:sz w:val="28"/>
          <w:szCs w:val="28"/>
          <w:rtl w:val="true"/>
          <w:lang w:bidi="ar-SA"/>
        </w:rPr>
        <w:t>.</w:t>
      </w:r>
    </w:p>
    <w:p>
      <w:pPr>
        <w:pStyle w:val="Heading6"/>
        <w:numPr>
          <w:ilvl w:val="5"/>
          <w:numId w:val="1"/>
        </w:numPr>
        <w:rPr/>
      </w:pPr>
      <w:bookmarkStart w:id="539" w:name="__RefHeading___Toc7304968_3381743652"/>
      <w:bookmarkStart w:id="540" w:name="_Toc205"/>
      <w:bookmarkEnd w:id="539"/>
      <w:r>
        <w:rPr>
          <w:rtl w:val="true"/>
        </w:rPr>
        <w:t>القول الرابع</w:t>
      </w:r>
      <w:r>
        <w:rPr>
          <w:rtl w:val="true"/>
        </w:rPr>
        <w:t xml:space="preserve">: </w:t>
      </w:r>
      <w:r>
        <w:rPr>
          <w:rtl w:val="true"/>
        </w:rPr>
        <w:t>انّه مأمور به و منهيّ عنه</w:t>
      </w:r>
      <w:bookmarkEnd w:id="540"/>
    </w:p>
    <w:p>
      <w:pPr>
        <w:pStyle w:val="BookText"/>
        <w:rPr/>
      </w:pPr>
      <w:r>
        <w:rPr>
          <w:rFonts w:ascii="Amiri" w:hAnsi="Amiri" w:eastAsia="Amiri" w:cs="Amiri"/>
          <w:color w:val="111111"/>
          <w:sz w:val="28"/>
          <w:sz w:val="28"/>
          <w:szCs w:val="28"/>
          <w:rtl w:val="true"/>
          <w:lang w:bidi="ar-SA"/>
        </w:rPr>
        <w:t>ذهب أبو هاشم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الخروج مأمور به و منهي عنه و كلاهما فعليان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لهذا القول كما نقله المحقّق الخراساني في آخر كلامه حول هذا القول بأنّ الأمر بالتخلّص، و النهي عن الغصب دليلان يجب إعمالهما، و لا موجب للتقييد عقلاً، لعدم استحالة كون الخروج واجباً و حراماً باعتبارين 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التخلّص و الغصب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منشأ الاستحالة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لزوم اجتماع الضدين، و هو غير لازم مع تعدّد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لزوم التكليف بما لا يطاق، و هو ليس بمحال إذا كان مسبباً عن سوء الاختيار</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المحقّق الخراساني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التقييد و تقديم أحدهما على الآخر، فيما إذا تعدّد العنوان، و الجهة حقيقة، كما إذا تعلّق الأمر بعنوان الصلاة، و النهي بعنوان الغصب، و إلاّ يلزم اجتماع الضدّين في شيء واحد و هو الفعل الخارجي لتعلّق الأحكام بالمصاديق دون العنوانين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بالجواز هناك فلا نقول بالجواز في المقام لعدم تعدد الجهة، و ذلك لأنّ عنوان التخلّص ليس عنواناً تقييدياً حتّى يتعلّق الأمر به و النهي بالغصب و إنّما هو عنوان انتزاعي، ينتزع من خروج الغاصب عن أرض الغير، و هو علّة غائية و ليس بموضوع للحكم، كأنّ الشارع يقول أخرج لأجل التخلّص من الغصب فيلزم اجتماع الأمر و النهي في موضوع واحد و هو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التكليف بالمحال محال حتى و إن كان بسوء الاختيار، و ما ربّما قيل من أنّ الامتناع بالاختيار لا ينافي الاختيار، فالمراد به انّه لا ينافي عقاباً و ملاكاً، لا انّه لا ينافي خطاباً و حكماً، لوضوح قبح خطاب العاجز و إن كان السبب للعجز هو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القاعدة لا صلة لها بالمقام، و قد وردت في ردّ الأشاعرة حيث أنكروا القاعدة الفلسفية،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ما لم يجب لم يوجد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بأنّه يستلزم الجبر، لأنّ تحقّق المعلول لو كان رهن وصوله إلى حالة الوجوب، يخرج عن اختيار الفاعل و يستلزم الجبر</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فأُجيب بأنّ إيجاب المعلول و وصوله إلى حدّ اللزوم و الوجوب لما كان باختيار الفاعل فلا يكون هذا النوع من الإيجاب و الامتناع أمراً غير اختياري، لأنّ الفاعل هو الذي أضفى على الممكن عند إيجاده أو إعدامه وصفَ الوجوب و الامتناع باختياره فالفاعل، فاعل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bookmarkStart w:id="541" w:name="pg14356_186847"/>
    </w:p>
    <w:p>
      <w:pPr>
        <w:pStyle w:val="Heading6"/>
        <w:numPr>
          <w:ilvl w:val="5"/>
          <w:numId w:val="1"/>
        </w:numPr>
        <w:rPr/>
      </w:pPr>
      <w:bookmarkStart w:id="542" w:name="__RefHeading___Toc7304970_3381743652"/>
      <w:bookmarkStart w:id="543" w:name="_Toc206"/>
      <w:bookmarkEnd w:id="541"/>
      <w:bookmarkEnd w:id="542"/>
      <w:r>
        <w:rPr>
          <w:rtl w:val="true"/>
        </w:rPr>
        <w:t>القول الخامس</w:t>
      </w:r>
      <w:r>
        <w:rPr>
          <w:rtl w:val="true"/>
        </w:rPr>
        <w:t xml:space="preserve">: </w:t>
      </w:r>
      <w:r>
        <w:rPr>
          <w:rtl w:val="true"/>
        </w:rPr>
        <w:t>ليس محكوماً بحكم فعلاً مع جريان المعصية</w:t>
      </w:r>
      <w:bookmarkEnd w:id="543"/>
    </w:p>
    <w:p>
      <w:pPr>
        <w:pStyle w:val="BookText"/>
        <w:rPr/>
      </w:pPr>
      <w:r>
        <w:rPr>
          <w:rFonts w:ascii="Amiri" w:hAnsi="Amiri" w:eastAsia="Amiri" w:cs="Amiri"/>
          <w:color w:val="111111"/>
          <w:sz w:val="28"/>
          <w:sz w:val="28"/>
          <w:szCs w:val="28"/>
          <w:rtl w:val="true"/>
          <w:lang w:bidi="ar-SA"/>
        </w:rPr>
        <w:t>و هذا القول هو مختار المحقّق الخراساني و خيرة شيخنا الأُستاذ مدّ ظلّه و قد مرّ تفصيلاً فلا نعيده</w:t>
      </w:r>
      <w:r>
        <w:rPr>
          <w:rFonts w:eastAsia="Amiri" w:cs="Amiri" w:ascii="Amiri" w:hAnsi="Amiri"/>
          <w:color w:val="111111"/>
          <w:sz w:val="28"/>
          <w:szCs w:val="28"/>
          <w:rtl w:val="true"/>
          <w:lang w:bidi="ar-SA"/>
        </w:rPr>
        <w:t>.</w:t>
      </w:r>
    </w:p>
    <w:p>
      <w:pPr>
        <w:pStyle w:val="Heading6"/>
        <w:numPr>
          <w:ilvl w:val="5"/>
          <w:numId w:val="1"/>
        </w:numPr>
        <w:rPr/>
      </w:pPr>
      <w:bookmarkStart w:id="544" w:name="__RefHeading___Toc7304972_3381743652"/>
      <w:bookmarkStart w:id="545" w:name="_Toc207"/>
      <w:bookmarkEnd w:id="544"/>
      <w:r>
        <w:rPr>
          <w:rtl w:val="true"/>
        </w:rPr>
        <w:t>القول السادس</w:t>
      </w:r>
      <w:r>
        <w:rPr>
          <w:rtl w:val="true"/>
        </w:rPr>
        <w:t xml:space="preserve">: </w:t>
      </w:r>
      <w:r>
        <w:rPr>
          <w:rtl w:val="true"/>
        </w:rPr>
        <w:t>انّه منهي عنه و مأمور به بالترتّب</w:t>
      </w:r>
      <w:bookmarkEnd w:id="545"/>
    </w:p>
    <w:p>
      <w:pPr>
        <w:pStyle w:val="BookText"/>
        <w:rPr/>
      </w:pPr>
      <w:r>
        <w:rPr>
          <w:rFonts w:ascii="Amiri" w:hAnsi="Amiri" w:eastAsia="Amiri" w:cs="Amiri"/>
          <w:color w:val="111111"/>
          <w:sz w:val="28"/>
          <w:sz w:val="28"/>
          <w:szCs w:val="28"/>
          <w:rtl w:val="true"/>
          <w:lang w:bidi="ar-SA"/>
        </w:rPr>
        <w:t>نقل السيد المحقّق البروجردي هذا الوجه في درسه الشريف، و هو انّه منهي عنه و مأمور به بالترتّب،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 و هو يشمل الأقسام الثلاثة،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عصيت بالدخول فأخرج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الفرق بين الترتّب و المقام،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الترتّب أمرين يتعلّق أحدهما بالأهم و الآخر بالمهم مقيّداً بعصيان الأوّل و لو تركهما يعاقب على كلا العصيانين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فليس هنا إلاّ تكليف واحد و هو النهي عن التصرّف في ملك الغير، بدون إذنه، و أمّا الأمر بالخروج فهو حكم العقل، ليدفع أشد المحذورين بأخفّهما، دون أن يكون هنا حكم من الشرع متعلّق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الكلام في مسألة من توسط أرض الغير بلا إذن، أو مع النهي، في الموردين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الدخول،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الخروج</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 الكلام في المورد الثالث و هو حكم العبادة حين الخروج، و إليك دراسته</w:t>
      </w:r>
      <w:r>
        <w:rPr>
          <w:rFonts w:eastAsia="Amiri" w:cs="Amiri" w:ascii="Amiri" w:hAnsi="Amiri"/>
          <w:color w:val="111111"/>
          <w:sz w:val="28"/>
          <w:szCs w:val="28"/>
          <w:rtl w:val="true"/>
          <w:lang w:bidi="ar-SA"/>
        </w:rPr>
        <w:t xml:space="preserve">: </w:t>
      </w:r>
      <w:bookmarkStart w:id="546" w:name="pg14356_186848"/>
    </w:p>
    <w:p>
      <w:pPr>
        <w:pStyle w:val="Heading6"/>
        <w:numPr>
          <w:ilvl w:val="5"/>
          <w:numId w:val="1"/>
        </w:numPr>
        <w:rPr/>
      </w:pPr>
      <w:bookmarkStart w:id="547" w:name="__RefHeading___Toc7304974_3381743652"/>
      <w:bookmarkStart w:id="548" w:name="_Toc208"/>
      <w:bookmarkEnd w:id="546"/>
      <w:bookmarkEnd w:id="547"/>
      <w:r>
        <w:rPr>
          <w:rtl w:val="true"/>
        </w:rPr>
        <w:t>المورد الثالث</w:t>
      </w:r>
      <w:r>
        <w:rPr>
          <w:rtl w:val="true"/>
        </w:rPr>
        <w:t xml:space="preserve">: </w:t>
      </w:r>
      <w:r>
        <w:rPr>
          <w:rtl w:val="true"/>
        </w:rPr>
        <w:t>حكم العبادة حين الخروج</w:t>
      </w:r>
      <w:bookmarkEnd w:id="548"/>
    </w:p>
    <w:p>
      <w:pPr>
        <w:pStyle w:val="BookText"/>
        <w:rPr/>
      </w:pPr>
      <w:r>
        <w:rPr>
          <w:rFonts w:ascii="Amiri" w:hAnsi="Amiri" w:eastAsia="Amiri" w:cs="Amiri"/>
          <w:color w:val="111111"/>
          <w:sz w:val="28"/>
          <w:sz w:val="28"/>
          <w:szCs w:val="28"/>
          <w:rtl w:val="true"/>
          <w:lang w:bidi="ar-SA"/>
        </w:rPr>
        <w:t>إذا صلّى حال الخروج جامعة لسائر الشرائط فالمشهور هو القول بالصحّة عند ضيق الوقت و البطلان عند سعته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لا ينطبق على القواعد، لأنّه لو قلنا بجواز الاجتماع أو بالامتناع لكن قدّمنا الأمر فمقتضى القاعدة هو الصحة مطلقاً، و لو قدّمنا النهي فاللازم هو البطلان من دون فرق بين سعة الوقت و ضيقه، و عندئذ لا محيص من ذكر الصور المتصوّرة مع بيان مقتضى القاعدة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قلنا بجواز الاجتماع و إمكان تمشّي القربة فالصلاة في الأرض المتوسطة مطلقاً دخولاً و بقاء و خروجاً صحيحة، سواء كان بسوء الاختيار أو لا، و إلى هذه الصورة أشار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إشكال في صحة الصلاة مطلقاً في الدار المغصوبة على القول بالاجتماع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الوقوع فيها لا بسوء الاختيار فالصلاة فيها صحيحة، سواء أقلنا بجواز الاجتماع أم لا، أمّا على الأوّل فواضح، و أمّا على الثاني فلأجل سقوط النهي لأجل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هذه الصورة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على القول بالامتناع فكذلك مع الاضطرار إلى الغصب لا لسوء الاختيار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قلنا بالامتناع و كان الاضطرار بسوء الاختيار، و قلنا بمقالة الشيخ من أنّ الخروج واجب، و ليس بحرام، و لا يجري عليه حكم المعصية، فالصلاة صحيحة لوجود الأمر و عدم النهي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إلى هذه الصورة أشار بقوله و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 القول بالامتناع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لكنّها وقعت </w:t>
      </w:r>
    </w:p>
    <w:p>
      <w:pPr>
        <w:pStyle w:val="BookText"/>
        <w:rPr/>
      </w:pPr>
      <w:r>
        <w:rPr>
          <w:rFonts w:ascii="Amiri" w:hAnsi="Amiri" w:eastAsia="Amiri" w:cs="Amiri"/>
          <w:color w:val="111111"/>
          <w:sz w:val="28"/>
          <w:sz w:val="28"/>
          <w:szCs w:val="28"/>
          <w:rtl w:val="true"/>
          <w:lang w:bidi="ar-SA"/>
        </w:rPr>
        <w:t>في حال الخروج على القول بكونه مأموراً، بدون إجراء حكم المعصية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قلنا بالامتناع و قدّمنا الأمر فمقتضى القاعدة الصحة، و إلى هذه الصورة أشار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 غلبة ملاك الأمر على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ضيق الوقت و أمّا السعة ففيها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المحقّق الخراساني حاول أن يطبِّق فتوى المشهور على التفصيل بين ضيق الوقت وسعته على هذه الصورة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بإمكان امتثال الأمر بالصلاة في الأرض المباحة في سعة الوقت، دون ضيقه بل ينحصر امتثال الأمر بالصلاة في الأرض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مصلحة الصلاة في الأرض المغصوبة على فرض تقديم الأمر على النهي و إن كانت غالبة على ما فيها من المفسدة، لكن الصلاة في غير تلك الدار خالية عن المفسدة، فيكون أهمّ من الواجد لها، و بما انّهما ضدّان يتوجّه الأمر الفعلي إلى الفاقد للمفسدة، و يكون الواجد لها منهيّاً عنه، بحجّة انّ الأمر بالشيء يقتضي النهي عن ضدّه، فتكون الصلاة في الأرض المغصوبة منهياً عنها، و محكومة بالبطلان لوجود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الصلاة فيها مع ضيق الوقت فانّ انحصار الامتثال بالصلاة في الدار المغصوبة ينفي توجّه الأمر إلى الضدّ الأهم الفاقد للمفسدة، فلا يكون هناك أمر بالضد الفاقد لها حتى يتولّد منه النهي عن الضد المهم</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تقديم الأهم على المهم في باب التزاحم، هو تقديم الأقوى ملاكاً، على الأضعف ملاكاً، كما إذا دار الأمر بين إنقاذ النبي و الرعية، فالعقل حكم بتقديم الأوّل، و أمّا المقام فالمفروض أنّ الفردين في سعة الوقت متساويان في الملاك، غير أنّ أحدهما يشتمل على المفسدة دون الآخر، </w:t>
      </w:r>
      <w:bookmarkStart w:id="549" w:name="pg14356_186850"/>
    </w:p>
    <w:p>
      <w:pPr>
        <w:pStyle w:val="BookText"/>
        <w:rPr/>
      </w:pPr>
      <w:bookmarkEnd w:id="549"/>
      <w:r>
        <w:rPr>
          <w:rFonts w:ascii="Amiri" w:hAnsi="Amiri" w:eastAsia="Amiri" w:cs="Amiri"/>
          <w:color w:val="111111"/>
          <w:sz w:val="28"/>
          <w:sz w:val="28"/>
          <w:szCs w:val="28"/>
          <w:rtl w:val="true"/>
          <w:lang w:bidi="ar-SA"/>
        </w:rPr>
        <w:t>و الخلو عن المفسدة، غير كون الخالي أهم من المشتمل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المفروض هو تقديم ملاك الأمر على ملاك النهي و كون مصلحة الأوّل غالبة على مفسدة الآخر، و لأجله لا تؤثر المفسدة لوجود المصلحة الغالبة، و عندئذ تكون الصلاة في الدار المغصوبة، مثل الصلاة في غيرها فلا مفسدة مؤثرة، حتّى يجعل الفرد المشتمل عليها، أضعف و الخالي عن المفسدة 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يمكن أن يقال انّ تفصيل المشهور راجع إلى صورة خامسة لم يذكرها المحقّق الخراساني، و هي إذا قلنا بالامتناع و كون الخروج منهيّاً عنه بالنهي السابق الساقط، أو الحاضر و قلنا بتقديم ملاك النهي، فالصلاة باطلة في سعة الوقت و ضيقه، لتقديم النهي على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الصورة لم يذكرها في الكفاية، فإذا قدّم النهي تكون المفسدة غالبة على المصلحة و من المعلوم انّها في سعة الوقت و أمّا في ضيقه، فيقدّم الأمر، لأجل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تسقط الصلاة بحال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فيقدّم على حرمة التصرّف في مال الغير لقوّة لسان دليل الأمر و هذا بخلاف سعة الوقت، إذ لا دليل ثالث حتّى يكون مؤثراً في تقديم الأمر على النهي فتكون التصرّفات المتّحدة مع الصلاة أمراً مبغوضاً و منهيّاً عنه فلا أمر كما هو المفروض من القول بالامتناع و تقديم النهي</w:t>
      </w:r>
      <w:r>
        <w:rPr>
          <w:rFonts w:eastAsia="Amiri" w:cs="Amiri" w:ascii="Amiri" w:hAnsi="Amiri"/>
          <w:color w:val="111111"/>
          <w:sz w:val="28"/>
          <w:szCs w:val="28"/>
          <w:rtl w:val="true"/>
          <w:lang w:bidi="ar-SA"/>
        </w:rPr>
        <w:t>.</w:t>
      </w:r>
    </w:p>
    <w:p>
      <w:pPr>
        <w:pStyle w:val="Heading6"/>
        <w:numPr>
          <w:ilvl w:val="5"/>
          <w:numId w:val="1"/>
        </w:numPr>
        <w:rPr/>
      </w:pPr>
      <w:bookmarkStart w:id="550" w:name="__RefHeading___Toc7304976_3381743652"/>
      <w:bookmarkStart w:id="551" w:name="_Toc209"/>
      <w:bookmarkEnd w:id="550"/>
      <w:r>
        <w:rPr>
          <w:rtl w:val="true"/>
        </w:rPr>
        <w:t>حكم الخروج إذا تاب بعد الدخول</w:t>
      </w:r>
      <w:bookmarkEnd w:id="55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تاب العبد بعد الدخول و حاول أن يخرج من أقرب الطرق للتخلّص عن المعصية لا للتنزّه كالدخول، فقد ذهب السيد البروجردي إلى عدم كونه منهياً عنه و صادراً عن معصية، و ذلك لأنّه إذا تاب عن تصرّفاته السابقة تكون تصرفاته </w:t>
      </w:r>
    </w:p>
    <w:p>
      <w:pPr>
        <w:pStyle w:val="BookText"/>
        <w:rPr/>
      </w:pPr>
      <w:r>
        <w:rPr>
          <w:rFonts w:ascii="Amiri" w:hAnsi="Amiri" w:eastAsia="Amiri" w:cs="Amiri"/>
          <w:color w:val="111111"/>
          <w:sz w:val="28"/>
          <w:sz w:val="28"/>
          <w:szCs w:val="28"/>
          <w:rtl w:val="true"/>
          <w:lang w:bidi="ar-SA"/>
        </w:rPr>
        <w:t>اللاحقة الاضطرارية بعد التوبة، تصرفات غير مسبوقة بالمعصية المؤثرة، فيصير حاله بالنسبة إلى التصرّفات الخروجية لأجل التخلّص كمن اضطرّ إلى الدخول، فاختار الخروج بعد رفع الاضطرار للتخلّص من البقاء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الخروج بما انّه من توابع الدخول فلو عدّ الدخول عصياناً و ظلماً و تمرّداً على المولى تكون توابعه محكومة بحكمه، و أمّا إذا تقلّب حكمه بحكم انّ التائب من ذنبه كمن لا ذنب له فتكون توابعه أيضاً محكومة بحكمه</w:t>
      </w:r>
      <w:r>
        <w:rPr>
          <w:rFonts w:eastAsia="Amiri" w:cs="Amiri" w:ascii="Amiri" w:hAnsi="Amiri"/>
          <w:color w:val="111111"/>
          <w:sz w:val="28"/>
          <w:szCs w:val="28"/>
          <w:rtl w:val="true"/>
          <w:lang w:bidi="ar-SA"/>
        </w:rPr>
        <w:t>.</w:t>
      </w:r>
      <w:r>
        <w:rPr>
          <w:rStyle w:val="FootnoteAnchor"/>
          <w:rtl w:val="true"/>
        </w:rPr>
        <w:footnoteReference w:id="132"/>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يتصوّر فيما إذا عصى اللّه في حقوقه، دون ما إذا عصاه في حقوق الناس، و أمّا إذا عصاهم و تجاوز على حقوقهم، فلا تكفي التوبة و الندامة ما لم يُحصِّل رضاهم، و مع تحصيله لا يبقى موضوع للبحث</w:t>
      </w:r>
      <w:r>
        <w:rPr>
          <w:rFonts w:eastAsia="Amiri" w:cs="Amiri" w:ascii="Amiri" w:hAnsi="Amiri"/>
          <w:color w:val="111111"/>
          <w:sz w:val="28"/>
          <w:szCs w:val="28"/>
          <w:rtl w:val="true"/>
          <w:lang w:bidi="ar-SA"/>
        </w:rPr>
        <w:t xml:space="preserve">. </w:t>
      </w:r>
      <w:bookmarkStart w:id="552" w:name="pg14356_186852"/>
    </w:p>
    <w:p>
      <w:pPr>
        <w:pStyle w:val="Heading5"/>
        <w:numPr>
          <w:ilvl w:val="4"/>
          <w:numId w:val="1"/>
        </w:numPr>
        <w:rPr/>
      </w:pPr>
      <w:bookmarkStart w:id="553" w:name="__RefHeading___Toc7304978_3381743652"/>
      <w:bookmarkStart w:id="554" w:name="_Toc210"/>
      <w:bookmarkEnd w:id="552"/>
      <w:bookmarkEnd w:id="553"/>
      <w:r>
        <w:rPr>
          <w:rtl w:val="true"/>
        </w:rPr>
        <w:t>التنبيه الثاني قد ذكر المحقّق الخراساني في هذا التنبيه أُموراً ثلاثة</w:t>
      </w:r>
      <w:r>
        <w:rPr>
          <w:rtl w:val="true"/>
        </w:rPr>
        <w:t>:</w:t>
      </w:r>
      <w:bookmarkEnd w:id="554"/>
    </w:p>
    <w:p>
      <w:pPr>
        <w:pStyle w:val="Heading6"/>
        <w:numPr>
          <w:ilvl w:val="5"/>
          <w:numId w:val="1"/>
        </w:numPr>
        <w:rPr/>
      </w:pPr>
      <w:bookmarkStart w:id="555" w:name="__RefHeading___Toc7304980_3381743652"/>
      <w:bookmarkStart w:id="556" w:name="_Toc211"/>
      <w:bookmarkEnd w:id="555"/>
      <w:r>
        <w:rPr>
          <w:rtl w:val="true"/>
        </w:rPr>
        <w:t>اشارة</w:t>
      </w:r>
      <w:bookmarkEnd w:id="5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تعارض و لا تزاحم بين 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تغصب على القول بجواز الاجتماع، و أمّا على القول بالامتناع فهما من قبيل المتزاحمين يقدّم منهما الأقوى ملاكاً، و ليسا من قبيل المتعارضين كي يقدّم الأقوى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الأقوى سنداً، و قد أفاض المحقّق الخراساني الكلام في ذلك في الأمر التاسع فلا وجه للتكرار هنا، و قد أشبعنا الكلام فيه كما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التزاحم في مصطلح المحقّق النائيني الذي اخترناه غير المصطلح في لسان المحقّق الخراساني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قلنا بالامتناع، و قدّمنا النهي فلا يلازم بطلانَ الصلاة في موارد الأعذار، كما إذا صلّى في المغصوب جاهلاً به، و قد أفاض الكلام فيه في الأمر العاشر، و قد أوضحنا حاله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ما قلنا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بين أن يقول من أوّل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الدار المغصوبة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 الصلاة فيها عن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تصحّ الصلاة عند طروء الأعذار كالنسيان، لأنّ التقييد أو التخصيص آية عدم وجود الملاك في مورد فقد القيد أو في الخارج عن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فالصلاة على الإطلاق و في كلّ مكان، مشتملة على الملاك، مثل الغصب في كلّ مكان، و عند ذاك يطرأ التزاحم على المقتضيين المؤثّرين عند الامتثال فيقدم الأقوى منهما ملاكاً، لو كان الخطإ </w:t>
      </w:r>
      <w:bookmarkStart w:id="557" w:name="pg14356_186853"/>
    </w:p>
    <w:p>
      <w:pPr>
        <w:pStyle w:val="BookText"/>
        <w:rPr/>
      </w:pPr>
      <w:bookmarkEnd w:id="557"/>
      <w:r>
        <w:rPr>
          <w:rFonts w:ascii="Amiri" w:hAnsi="Amiri" w:eastAsia="Amiri" w:cs="Amiri"/>
          <w:color w:val="111111"/>
          <w:sz w:val="28"/>
          <w:sz w:val="28"/>
          <w:szCs w:val="28"/>
          <w:rtl w:val="true"/>
          <w:lang w:bidi="ar-SA"/>
        </w:rPr>
        <w:t>بان متكفّلين لحكم فعلي و إلاّ فلا بدّ من الأخذ بالفعلي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يترتّب عليه أنّه لو لم يكن المقتضي لحرمة الغصب مؤثراً لها، لاضطرار أو جهل، أو نسيان كان المقتضي لصحة الصلاة مؤثّراً لها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لم يكن دليل الحرمة أقوى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لم يكن واحد من الدليلين دالاً على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وزان المقام تقديم دليل الحرمة على دليل الوجوب وزان التخصيص العقلي الناشئ من تقديم أحد المقتضيين و تأثيره فعلاً، و التقديم مختص بما إذا لم يمنع مانع عن تأثير المقتضي للنهي عنه كما في مورد الاضطرار، أو مانع عن فعلية التأثير كما في صورة الجهل و النسيان، فعندئذ تصح الصلاة مع الأمر و أُخرى بملاكه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قلنا بالامتناع و دار الأمر بين تقديم أحد الحكمين، فهل يقدّم النهي أو الأمر؟ و قد ذكروا لتقديم النهي وجوهاً ثلاثة ذكرها المحقّق الخراساني، و هذا هو اللازم بالبحث في المقام، و إليك تلك الوجوه</w:t>
      </w:r>
      <w:r>
        <w:rPr>
          <w:rFonts w:eastAsia="Amiri" w:cs="Amiri" w:ascii="Amiri" w:hAnsi="Amiri"/>
          <w:color w:val="111111"/>
          <w:sz w:val="28"/>
          <w:szCs w:val="28"/>
          <w:rtl w:val="true"/>
          <w:lang w:bidi="ar-SA"/>
        </w:rPr>
        <w:t>:</w:t>
      </w:r>
    </w:p>
    <w:p>
      <w:pPr>
        <w:pStyle w:val="Heading6"/>
        <w:numPr>
          <w:ilvl w:val="5"/>
          <w:numId w:val="1"/>
        </w:numPr>
        <w:rPr/>
      </w:pPr>
      <w:bookmarkStart w:id="558" w:name="__RefHeading___Toc7304982_3381743652"/>
      <w:bookmarkStart w:id="559" w:name="_Toc212"/>
      <w:bookmarkEnd w:id="558"/>
      <w:r>
        <w:rPr>
          <w:rtl w:val="true"/>
        </w:rPr>
        <w:t>الأوّل</w:t>
      </w:r>
      <w:r>
        <w:rPr>
          <w:rtl w:val="true"/>
        </w:rPr>
        <w:t xml:space="preserve">: </w:t>
      </w:r>
      <w:r>
        <w:rPr>
          <w:rtl w:val="true"/>
        </w:rPr>
        <w:t>النهي أقوى دلالة من الأمر</w:t>
      </w:r>
      <w:bookmarkEnd w:id="55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المرجّح أقوائيّة الدلالة مرجّح في مقام الإثبات و الدلالة، كما أنّ المرجح الثاني أي دفع المفسدة المترتبة على النهي أولى من جلب المنفعة المترتبة على الأمر مرجِّح في عالم الثبوت و الملاك، و كان على المحقّق الخراساني تقديم الثاني على الأوّل حفظاً للترتيب الطبيعي للبحث و لكنّه قدّم الأوّل، أي عالم الإثبات على عالم الثبوت، و نحن نتبع أثره حفظاً لنظام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تقرر قوّة الدلالة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دليل النهي أقوى دلالة من دليل الأمر، لأنّ مفاد النهي شمولي بخلاف مفاد الأمر فانّه 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كون الأوّل شمولياً فلانحلال النهي بانحلال موضوعه إلى أحكام فيكون كلّ تصرّف عصياناً مستقلاً لا صلة له بالتصرّف الآخر، و هذا بخلاف الأمر فانّه بعث إلى الطبيعة و يكفي في وجودها وجود فرد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يتعيّن التصرف في جانب الأمر بإخراج الصلاة في الدار المغصوبة من تحته و إبقاء الصلاة في غيرها تحته من دون تصرّف في جانب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على الاستدلال بأنّه لا فرق بين الدلالة الشمولية و الدلالة البدلية إذا كان الدال عليهما هو الإطلاق الذي هو نتيجة جريان مقدّمات الحكمة فلا وجه لترجيح إحداهما على الأُخرى، فكما يصلح النهي للتصرّف في الأمر و يكون الشمول قرينة على تقييد الأمر و إخراج ذلك الفرد من تحته، فهكذا الأمر يصلح للتصرّف في النهي و يكون طلب فرد ما، قرينة على إخراج فرد ما من الصلاة، من تحت النهي</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ردّ الإشكال بأنّ الدلالة البدلية هو مفاد الإطلاق حيث إنّ المولى أمر بالطبيعة دون أن يعيّن الخصوصية فيكفي في مقام الامتثال الإتيان بفرد ما، و أمّا الدلالة الشمولية فليست مستندة إلى الإطلاق، و ذلك لأنّه لو كانت مستندة إلى الإطلاق لكان 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بعض أفراد الغصب حقيقة، لعدم جريان مقدّمات الحكمة لأجل القرينة، فلا يكون هناك دالّ على الشمول، و بالتالي لا يكون استعماله في بعض الأفراد استعمالاً له في غير ما وضع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كون استعماله فيه حقيقة واضح الفساد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الشمول مستند إلى دلالة العقل، و هي انّ الطبيعة لا تنعدم إلاّ بانعدام جميع أفرادها، فعندئذ تقدّم الدلالة الشمولية على البدلية لقوّة الدلالة العقلية على الدلالة الإطلاقية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نصر المستشكل الأوّل و ردّ الإشكال عليه بما هذا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دلالة النفي أو النهي على العموم و الاستيعاب أمر لا ينكر إلاّ أنّ سعة العموم و الشمول تابع لما يراد من مدخولهما و متعلّقهما، و عندئذ تختلف سعة الشمول حسب اختلاف المتعلّق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أُريد من المتعلّق الطبيعة المطلقة فيدل النفي و النهي على سعة دائرة الشمول، و أمّا إذا أُريد من المدخول الطبيعة المقيّدة فيتوجه النفي و النهي على الطبيعة المقيّدة، فالسعة و الضيق في جانب النفي و النهي رهن سعة المتعلّق و ضيقه و هما فرع جريان مقدّمات الحكمة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يتّضح الأمران في المثالين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رجل في الدار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رجل عادل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فتجد أنّ النفي في الأوّل أوسع دائرة من النفي في الثاني، و يعود ذلك إلى سعة المتعلّق و ضيقه، فإذا اتّضح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بين الدلالة البدلية و الشمولية في الأقوائية، لأنّ البدل كما هو نتيجة الإطلاق فهكذا الشمول هو نتيجة إجراء مقدّمات الحكمة، حيث أخذ المولى الطبيعة المطلقة متعلّقة بالنهي من دون قيد و لو كان المراد هو الطبيعة المقيّدة لكان عليه الإتيان بالقيد</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أفاده في الكفاية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احتمل احتمالاً ضعيفاً أشار إلى ضعف الاحتمال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و حاصل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المخاطب في استفادة الشمول لفي غنى عن إجراء مقدّمات الحكمة، و ذلك لأنّ مكانة النهي و النفي في لغة العرب كلفظة كلّ في كلّ رجل، فكما أنّ استفادة الشمول في الثاني غير موقوف على إجراء مقدّمات الحكمة في متعلّقه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السامع ينتقل إلى السريان و الشمول لأجل لفظة كلّ، فهكذا المقام، حيث إنّ دلالة النفي و النهي على الشمول و الاستيعاب تُغني المخاطب عن اجراء مقدمات الحكمة، و هذا هو الذي أشار إليه المحقّق الخراساني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دلالتهما على الاستيعاب كفاية و دلالة على أنّ المراد من المتعلّق هو المطلق كما ربّما يدعى ذلك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مثل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على استيعاب جميع أفراد الرجل من غير حاجة إلى ملاحظة إطلاق مدخوله و قرينة الحكمة، بل يكفي إرادة ما هو معناه من الطبيعة المهملة</w:t>
      </w:r>
      <w:r>
        <w:rPr>
          <w:rFonts w:eastAsia="Amiri" w:cs="Amiri" w:ascii="Amiri" w:hAnsi="Amiri"/>
          <w:color w:val="111111"/>
          <w:sz w:val="28"/>
          <w:szCs w:val="28"/>
          <w:rtl w:val="true"/>
          <w:lang w:bidi="ar-SA"/>
        </w:rPr>
        <w:t>.</w:t>
      </w:r>
      <w:r>
        <w:rPr>
          <w:rStyle w:val="FootnoteAnchor"/>
          <w:rtl w:val="true"/>
        </w:rPr>
        <w:footnoteReference w:id="134"/>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أنّ المحقّق الخراساني حسب ما أفاده أخيراً 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الإشكال، على الإشكال، لكنّه لم يقبل دليله من أنّه لو كان الشمول مستفاداً من الإطلاق لكان استعمال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تغصب في بعض الأفراد حقيقة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اعترف بكونه حقيقة على جميع المباني، سواء قلنا بأنّ الشمول مستند إلى مقدّمات الحكمة فواضح، لعدم جريانها مع وجود القرينة و لا على القول بأنّ دلالته على الشمول بالالتزام أو بالوضع، لأجل تعدّد الدال و المدلول بمعنى انّ الخصوصية مستفادة من القرينة لا من استعمال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بعض الأفراد كما </w:t>
      </w:r>
      <w:bookmarkStart w:id="560" w:name="pg14356_186857"/>
    </w:p>
    <w:p>
      <w:pPr>
        <w:pStyle w:val="BookText"/>
        <w:rPr/>
      </w:pPr>
      <w:bookmarkEnd w:id="560"/>
      <w:r>
        <w:rPr>
          <w:rFonts w:ascii="Amiri" w:hAnsi="Amiri" w:eastAsia="Amiri" w:cs="Amiri"/>
          <w:color w:val="111111"/>
          <w:sz w:val="28"/>
          <w:sz w:val="28"/>
          <w:szCs w:val="28"/>
          <w:rtl w:val="true"/>
          <w:lang w:bidi="ar-SA"/>
        </w:rPr>
        <w:t>سيوافيك توضيحه في 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العام بعد التخصص حقيقة و ليس بمجاز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خبير بضعف ما احتمله، إذ لا فرق بين النفي و النهي و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استفادة السعة و الضيق تابع لسعة المتعلّق و ضيقه، 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في وسع المكلّف تقييد المتعلّق في جانب النفي و النهي، و مع التقييد تضيق دائرة الشمول، و الدالّ على عدم القيد هو الإطلاق بإجراء مقدّمات الحكمة، فالاشكال على الاستدلال متوجّه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يرد على الاستدلال بأنّه انّما تقدّم الدلالة الشمولية على البدلية إذا كانت الأُولى وضعية و الثانية إطلاقية، فإذا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فبما أنّ دلالة الأوّل على الشمول بالدلالة اللفظية،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المحلّى باللام، و دلالة الثاني على كفاية فرد من أفراد الطبيعة، بالدلالة العقلية، فلا مناص من تقديم الدلالة الوضعية على الدلالة العقلية عند التّعارض في العالم الفاسق، لأقوائية الوضعية و عدم توقّف تمامية دلالتها على شيء، بخلاف الدلالة العقلية، فانّها فرع عدم ما يصلح للقرينيّة، و الوضعية صالحة لها، و أمّا الشمولي و البدلي الإطلاقيان كما في المقام، فكلّ منهما يصلح للتصرّف في الآخر، فلا مرجّح للتقديم</w:t>
      </w:r>
      <w:r>
        <w:rPr>
          <w:rFonts w:eastAsia="Amiri" w:cs="Amiri" w:ascii="Amiri" w:hAnsi="Amiri"/>
          <w:color w:val="111111"/>
          <w:sz w:val="28"/>
          <w:szCs w:val="28"/>
          <w:rtl w:val="true"/>
          <w:lang w:bidi="ar-SA"/>
        </w:rPr>
        <w:t>.</w:t>
      </w:r>
    </w:p>
    <w:p>
      <w:pPr>
        <w:pStyle w:val="Heading6"/>
        <w:numPr>
          <w:ilvl w:val="5"/>
          <w:numId w:val="1"/>
        </w:numPr>
        <w:rPr/>
      </w:pPr>
      <w:bookmarkStart w:id="561" w:name="__RefHeading___Toc7304984_3381743652"/>
      <w:bookmarkStart w:id="562" w:name="_Toc213"/>
      <w:bookmarkEnd w:id="561"/>
      <w:r>
        <w:rPr>
          <w:rtl w:val="true"/>
        </w:rPr>
        <w:t>الثاني</w:t>
      </w:r>
      <w:r>
        <w:rPr>
          <w:rtl w:val="true"/>
        </w:rPr>
        <w:t xml:space="preserve">: </w:t>
      </w:r>
      <w:r>
        <w:rPr>
          <w:rtl w:val="true"/>
        </w:rPr>
        <w:t>دفع المفسدة أولى من جلب المنفعة</w:t>
      </w:r>
      <w:bookmarkEnd w:id="56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هذا الدليل أنّ في امتثال الأمر جلب المصلحة و في مخالفة النهي وجود المفسدة، فإذا دار الأمر بين كون شيء واجباً أو حراماً فقد دار الأمر بين حيازة المصلحة و دفع المفسدة، فترك الفعل لأجل دفع المفسدة المحتملة أولى من امتثاله لجلب المصلحة المحتملة</w:t>
      </w:r>
      <w:r>
        <w:rPr>
          <w:rFonts w:eastAsia="Amiri" w:cs="Amiri" w:ascii="Amiri" w:hAnsi="Amiri"/>
          <w:color w:val="111111"/>
          <w:sz w:val="28"/>
          <w:szCs w:val="28"/>
          <w:rtl w:val="true"/>
          <w:lang w:bidi="ar-SA"/>
        </w:rPr>
        <w:t xml:space="preserve">. </w:t>
      </w:r>
      <w:bookmarkStart w:id="563" w:name="pg14356_186858"/>
    </w:p>
    <w:p>
      <w:pPr>
        <w:pStyle w:val="BookText"/>
        <w:rPr/>
      </w:pPr>
      <w:bookmarkEnd w:id="563"/>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مؤلّف من صغرى و 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عبارة عن اشتمال الأمر على المصلحة دون أن يكون في تركه مفسدة، و اشتمال النهي على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أنّ دفع المفسدة المحتملة أولى من جلب المصلحة كذلك، و لكن كلاً من الصغرى و الكبرى ليسا بتامّين</w:t>
      </w:r>
      <w:r>
        <w:rPr>
          <w:rFonts w:eastAsia="Amiri" w:cs="Amiri" w:ascii="Amiri" w:hAnsi="Amiri"/>
          <w:color w:val="111111"/>
          <w:sz w:val="28"/>
          <w:szCs w:val="28"/>
          <w:rtl w:val="true"/>
          <w:lang w:bidi="ar-SA"/>
        </w:rPr>
        <w:t>.</w:t>
      </w:r>
    </w:p>
    <w:p>
      <w:pPr>
        <w:pStyle w:val="Heading6"/>
        <w:numPr>
          <w:ilvl w:val="5"/>
          <w:numId w:val="1"/>
        </w:numPr>
        <w:rPr/>
      </w:pPr>
      <w:bookmarkStart w:id="564" w:name="__RefHeading___Toc7304986_3381743652"/>
      <w:bookmarkStart w:id="565" w:name="_Toc214"/>
      <w:bookmarkEnd w:id="564"/>
      <w:r>
        <w:rPr>
          <w:rtl w:val="true"/>
        </w:rPr>
        <w:t>المناقشة في الصغرى</w:t>
      </w:r>
      <w:bookmarkEnd w:id="565"/>
    </w:p>
    <w:p>
      <w:pPr>
        <w:pStyle w:val="BookText"/>
        <w:rPr/>
      </w:pPr>
      <w:r>
        <w:rPr>
          <w:rFonts w:ascii="Amiri" w:hAnsi="Amiri" w:eastAsia="Amiri" w:cs="Amiri"/>
          <w:color w:val="111111"/>
          <w:sz w:val="28"/>
          <w:sz w:val="28"/>
          <w:szCs w:val="28"/>
          <w:rtl w:val="true"/>
          <w:lang w:bidi="ar-SA"/>
        </w:rPr>
        <w:t>و قد ناقش المحقّق القمّي في الصغرى بأنّ في ترك الواجب أيضاً مفسدة إذا 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 بأنّ الواجب و لو كان معيّناً ليس إلاّ لأجل أنّ في فعله مصلحة يلزم استيفاؤها من دون أن يكون في تركه مفسدة، كما انّ الحرام ليس إلاّ لأجل المفسدة في فعله بلا مصلحة في تركه</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و حاصل الإيراد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يشتمل على المصلحة من دون أن يكون في تركه مفسدة و الحرام على العكس</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كلام المحقّق الخراساني بأنّ المراد من المصالح و المفاسد هو الأعم من الفردية و الاجتماعية، و على ذلك فربّما يكون في ترك الواجب مفسدة عظمى كما في ترك الجهاد فانّه يوجب الذُّلّ و الهوان و سيطرة العدو على النفوس و الأموال، و أيّ مفسدة أعظم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غُزِي قوم في عُقر دارهم قط إلاّ و قد ذلّوا </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و مثله ترك الزكاة فانّ في تركها إيجاد الفوضى و اتّساع دائرة الفتنة و فقدان </w:t>
      </w:r>
      <w:bookmarkStart w:id="566" w:name="pg14356_186859"/>
    </w:p>
    <w:p>
      <w:pPr>
        <w:pStyle w:val="BookText"/>
        <w:rPr/>
      </w:pPr>
      <w:bookmarkEnd w:id="566"/>
      <w:r>
        <w:rPr>
          <w:rFonts w:ascii="Amiri" w:hAnsi="Amiri" w:eastAsia="Amiri" w:cs="Amiri"/>
          <w:color w:val="111111"/>
          <w:sz w:val="28"/>
          <w:sz w:val="28"/>
          <w:szCs w:val="28"/>
          <w:rtl w:val="true"/>
          <w:lang w:bidi="ar-SA"/>
        </w:rPr>
        <w:t>الأمن المالي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جاع فقير إلاّ بما متِّع به غني </w:t>
      </w:r>
      <w:r>
        <w:rPr>
          <w:rFonts w:eastAsia="Amiri" w:cs="Amiri" w:ascii="Amiri" w:hAnsi="Amiri"/>
          <w:color w:val="111111"/>
          <w:sz w:val="28"/>
          <w:szCs w:val="28"/>
          <w:rtl w:val="true"/>
          <w:lang w:bidi="ar-SA"/>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إلى هنا تبيّن أنّ الصغرى ليست بتامّة، و انّ المفسدة موجودة في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الحرام و ترك الواجب، و الحقّ مع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Heading6"/>
        <w:numPr>
          <w:ilvl w:val="5"/>
          <w:numId w:val="1"/>
        </w:numPr>
        <w:rPr/>
      </w:pPr>
      <w:bookmarkStart w:id="567" w:name="__RefHeading___Toc7304988_3381743652"/>
      <w:bookmarkStart w:id="568" w:name="_Toc215"/>
      <w:bookmarkEnd w:id="567"/>
      <w:r>
        <w:rPr>
          <w:rtl w:val="true"/>
        </w:rPr>
        <w:t>المناقشة في الكبرى</w:t>
      </w:r>
      <w:bookmarkEnd w:id="568"/>
    </w:p>
    <w:p>
      <w:pPr>
        <w:pStyle w:val="BookText"/>
        <w:rPr/>
      </w:pPr>
      <w:r>
        <w:rPr>
          <w:rFonts w:ascii="Amiri" w:hAnsi="Amiri" w:eastAsia="Amiri" w:cs="Amiri"/>
          <w:color w:val="111111"/>
          <w:sz w:val="28"/>
          <w:sz w:val="28"/>
          <w:szCs w:val="28"/>
          <w:rtl w:val="true"/>
          <w:lang w:bidi="ar-SA"/>
        </w:rPr>
        <w:t>و حاصل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دفع المفسدة المتيقّنة و المحتملة أولى من جلب المنفعة المتيقنة و المحتملة، و قد ناقشها المحقّق الخراساني بوجوه ستة نذكرها بتوضيح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الواجبات و المحرّمات ليست على وزان واحد فربّ واجب يكون في تركه أشد المجازات كالفرار من الزحف، و ربّ حرام لا يكون مثل ذلك كالنظر إلى الأجنبية، فلو دار الأمر بين الفرار من الزحف، و النظر إلى الأجنبية 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ترك المفسدة أولى من جلب المنفعة، فليس في المقام ضابطة كلية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القاعدة أجنبية عن المقام، فانّه فيما إذا دار الأمر بين الواجب و 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الحتميّين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دار الأمر بين ركوب الطائرة المغصوبة، و الحجّ، ففي مثله يرجع إلى القاعدة، لا في المقام الذي ليس هنا إلاّ أحد الحكمين إمّا الوجوب أو الحرمة، فلا موضوع للقاعدة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حسب ما في الكفاية، و لكنّه أوضحه في الهامش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بهذه القاعدة إنّما يناسب ترجيح المكلّف و اختياره للفعل أو الترك بما هو أوفق بغرضه لا المقام و هو مقام جعل الأحكام فانّ المرجع هناك ليست إلاّ حسنها أو قبحها العقليان لا موافقة الأغراض و مخالفتها</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ملاكات الأحكام على قسمين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التشريع و مناط جعل الحكم فهو ينحصر بالحسن و القبح فيحكم بوجوب الأوّل و حرمة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المصالح و المفاسد التي ترجع إلى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من الملاكين مقام خاص، فلو كان الشك راجعاً إلى نفس الحكم الشرعي و ما هو المجعول كما هو الحال في المقام حيث إنّ الشكّ مركز على أنّ المجعول في الصلاة في الدار المغصوبة هو الوجوب أو الحرمة ففي مثله لا يرجع إلى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المفسدة أولى من جلب المنفعة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الحكم الشرعي معلوماً و دار الأمر بين ترك الواجب و فعل الحرام ففي مثل ذلك يتمسّك بالقاعدة كما إذا دار الأمر بين الحجّ و ركوب الطائرة المغصوبة، فعندئذ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المفسدة أولى من جلب المنفعة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المناقشة الثانية، و إليك سائر المناقشات التي أوردها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سلّم فإنّما يجدي لو حصل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انّ مورد القاعدة فيما إذا قطع بالأولوية لا ما إذا ظن، و ليس في المقام أيُّ قطع بالأولوية، لما عرفت من أنّه ربما يكون جلب المنفعة المحتملة أولى من دفع المفسدة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سلّم انّه يجدي و لو لم يحصل اليقين فإنّما تجري فيما يكون العلم الواقعي فعلياً على كلّ تقدير و لا يكون هناك مجال لأصالة البراءة أو الاشتغال كما في دوران الأمر بين الوجوب و الحرمة التعينيين لا فيما يجري كما في المقام لأصالة البراءة عن حرمته فيحكم بصحته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مصب القاعدة هو ما إذا كان الحكم الواقعي المردد بين </w:t>
      </w:r>
    </w:p>
    <w:p>
      <w:pPr>
        <w:pStyle w:val="BookText"/>
        <w:rPr/>
      </w:pPr>
      <w:r>
        <w:rPr>
          <w:rFonts w:ascii="Amiri" w:hAnsi="Amiri" w:eastAsia="Amiri" w:cs="Amiri"/>
          <w:color w:val="111111"/>
          <w:sz w:val="28"/>
          <w:sz w:val="28"/>
          <w:szCs w:val="28"/>
          <w:rtl w:val="true"/>
          <w:lang w:bidi="ar-SA"/>
        </w:rPr>
        <w:t>الوجوب و الحرمة فعلياً على كلّ تقدير، بحيث نعلم أنّ المولى يطلب امتثاله، ففي مثله لا موضوع للبراءة للعلم القطعي بوجود الحكم الفعلي على كلّ تقدير كما في المرأة المرددة بين كونها زوجة على رأس أربعة أشهر أو أجنبية، فتصل النوبة إلى القاعدة فيؤخذ بما فيه دفع المفسدة و يترك ما فيه جلب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المقام فتجري البراءة في أحد الطرفين،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الحرمة دون الوجوب محال، أمّا عدم جريانها في جانب الوجوب للعلم القطعي بعدم سقوط وجوب الصلاة، و لو في ضمن المكان المباح، و أمّا جريانها في جانب الحرمة فبما انّه تُحتمل مساواة الملاكين، فلا يكون هنا علم بالحرمة الفعلية، لأنّ احتمال تساوي الملاكين يلازم احتمال عدم فعليتها فيصلح لأن تقع مجرى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قيل بقاعدة الاشتغال في الشكّ في الأجزاء و الشرائط فلا يلزم القول بالاشتغال في المقام فانّه لا مانع عقلاً إلاّ فعلية الحرمة المرفوعة بأصالة البراءة عنها عقلاً و نقلاً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قيل إنّ الأصل عند الشكّ في الأجزاء و الشرائط ككون السورة جزءاً من الصلاة أو لا هو الاشتغال و بطلان الصلاة بدونها، لما كان دليلاً على القول بالاشتغال و بطلان الصلاة في المقام، و ذلك لوجود المقتضي للصحة في المقام و هو الأمر و ليس المانع إلاّ الحرمة المرفوعة بأصل البراءة، بخلاف الشكّ في كمّية الأجزاء و الشرائط فلا علم بالصحة لاحتمال وجوب الشيء المشكوكة جزئيته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الفرق بين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وجود العلم بتمامية المأمور به من حيث الأجزاء و الشرائط في المقام و إنّما الشكّ في مانعية الغصب، و هي مرفوعة بالأصل، فالمقتضي موجود، و المانع مرفوع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بخلاف الشكّ في الجزئية و الشرطية فليس هناك علم بتمامية المأمور به من حيث الأجزاء و الشرائط، بل يحتمل كون السورة جزءاً، فيكون المأتي به ناقصاً من حيث كونه جامعاً للأجزاء و الشرائط، و توهم أنّ أصل البراءة رافع للجزئية على فرض ثبوتها مدفوع بأنّ الرفع الظاهري لا ينافي الجزئية الواقعية على فرض ثبوتها في الواقع فتكون الصلاة 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المانعية و الجزئية من باب واحد، فأصل البراءة رافع للمانعية و الجزئية في الظاهر دون الواقع، فلو كان المشكوك مانعاً واقعاً، يكون المأتي به ناقصاً من حيث اقترانه بالمانع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المفروض انّ المانع هو المبغوضية المحرزة لا المبغوضية الواقعية، كما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مانع عقلاً إلاّ فعلية الحرمة المرفوعة بأصالة البراءة عقلاً أو نقلاً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لم تكن محرزة يكون عدم المبغوضية قطعياً، بخلاف جزئية الجزء أو شرطية الشرط، فالجزء بما هو جزء و الشرط بما هو شرط مأخوذان في المتعلّق، فأصالة البراءة لا تؤثر في انقلاب الواقع على فرض وجوده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قلنا بأنّ المفسدة الواقعية الغالبة مؤثرة في المبغوضية و لو لم تكن الغلبة محرزة فأصالة البراءة غير مجدية، بل كانت أصالة الاشتغال بالواجب لو كان عبادة محكّمة حتّى لو قيل بأصالة البراءة في الأجزاء و الشرائط، لعدم تأتي قصد القربة مع الشكّ في المبغوضية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التفكيك بين المقام و الشك في الجزئية و الشرطية، مبنيّ كما تقدم على أنّ المفسدة الغالبة المحرزة مانعة من الصلاة، فعدم إحرازها يكفي في الحكم بصحّة الصلاة، و عدم اقترانها بالمانع واقعاً، و أمّا إذا قلنا بأنّ المفسدة بوجودها الواقعية الغالبة مانعة و إن لم يعلم بها المكلّف، فعندئذ، تكون النتيجة </w:t>
      </w:r>
      <w:bookmarkStart w:id="569" w:name="pg14356_186863"/>
    </w:p>
    <w:p>
      <w:pPr>
        <w:pStyle w:val="BookText"/>
        <w:rPr/>
      </w:pPr>
      <w:bookmarkEnd w:id="569"/>
      <w:r>
        <w:rPr>
          <w:rFonts w:ascii="Amiri" w:hAnsi="Amiri" w:eastAsia="Amiri" w:cs="Amiri"/>
          <w:color w:val="111111"/>
          <w:sz w:val="28"/>
          <w:sz w:val="28"/>
          <w:szCs w:val="28"/>
          <w:rtl w:val="true"/>
          <w:lang w:bidi="ar-SA"/>
        </w:rPr>
        <w:t>معكوسة، فلا يجدي الأصل في المقام و إن قلنا به في الشك في الجزئية و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لأنّها لو كانت المفسدة الواقعية مطلقاً مانعة فبما أنّها محتملة في المقام، فلا يتمشّى قصد القربة، إذ كيف يمكن التقرّب القطعي بشيء يحتمل أن يكون مبغوضاً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أصالة الاشتغال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الوجوه الستة التي أوردها صاحب الكفاية على القاعدة أوردناها بإيضاح لقصور عبارة الكفاية في المقام في إفادة المقصود</w:t>
      </w:r>
      <w:r>
        <w:rPr>
          <w:rFonts w:eastAsia="Amiri" w:cs="Amiri" w:ascii="Amiri" w:hAnsi="Amiri"/>
          <w:color w:val="111111"/>
          <w:sz w:val="28"/>
          <w:szCs w:val="28"/>
          <w:rtl w:val="true"/>
          <w:lang w:bidi="ar-SA"/>
        </w:rPr>
        <w:t>.</w:t>
      </w:r>
    </w:p>
    <w:p>
      <w:pPr>
        <w:pStyle w:val="Heading6"/>
        <w:numPr>
          <w:ilvl w:val="5"/>
          <w:numId w:val="1"/>
        </w:numPr>
        <w:rPr/>
      </w:pPr>
      <w:bookmarkStart w:id="570" w:name="__RefHeading___Toc7304990_3381743652"/>
      <w:bookmarkStart w:id="571" w:name="_Toc216"/>
      <w:bookmarkEnd w:id="570"/>
      <w:r>
        <w:rPr>
          <w:rtl w:val="true"/>
        </w:rPr>
        <w:t>المرجّح الثالث</w:t>
      </w:r>
      <w:r>
        <w:rPr>
          <w:rtl w:val="true"/>
        </w:rPr>
        <w:t xml:space="preserve">: </w:t>
      </w:r>
      <w:r>
        <w:rPr>
          <w:rtl w:val="true"/>
        </w:rPr>
        <w:t>الاستقراء</w:t>
      </w:r>
      <w:bookmarkEnd w:id="571"/>
    </w:p>
    <w:p>
      <w:pPr>
        <w:pStyle w:val="BookText"/>
        <w:rPr/>
      </w:pPr>
      <w:r>
        <w:rPr>
          <w:rFonts w:ascii="Amiri" w:hAnsi="Amiri" w:eastAsia="Amiri" w:cs="Amiri"/>
          <w:color w:val="111111"/>
          <w:sz w:val="28"/>
          <w:sz w:val="28"/>
          <w:szCs w:val="28"/>
          <w:rtl w:val="true"/>
          <w:lang w:bidi="ar-SA"/>
        </w:rPr>
        <w:t>استدلّ القائل بتقديم جانب الحرمة بأنّ الاستقراء يشهد على أنّ الشارع قدّم جانب الحرمة على جانب الوجوب فيما إذا دار الأمر بين المحذورين و أشار إلى 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أيّام الاستظهار بعد تمام العادة و قبل العشرة حيث أمر الشارع بترك العبادة مع أنّ الأمر يدور بين الوجوب و الحرمة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الإنسان محدثاً، و ابتلى بإناءين مشتبهين فقد أُمِر بإهراقهما و العدول إلى التيمم، مع دوران الأمر بين وجوب الوضوء مقدّمة للصلاة و حرمة التوضّؤ بالماء النجس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الاستدلال</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الاستقراء كما يستفاد من تعريفه، تصفح الجزئيات حتّى ينتقل الباحث منه إلى الحكم الكلّي و إفادته الظن أو القطع تابع لمقدار التتبع و كثرته، و أمّا تتبع مورد أو موردين فلا يفيد الظن، فكيف 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ترجيح جانب الحرمة في هذين الموردين، لوجود دليل اجتهادي أو أصل عملي يقتضي ذلك الجانب</w:t>
      </w:r>
      <w:r>
        <w:rPr>
          <w:rFonts w:eastAsia="Amiri" w:cs="Amiri" w:ascii="Amiri" w:hAnsi="Amiri"/>
          <w:color w:val="111111"/>
          <w:sz w:val="28"/>
          <w:szCs w:val="28"/>
          <w:rtl w:val="true"/>
          <w:lang w:bidi="ar-SA"/>
        </w:rPr>
        <w:t xml:space="preserve">. </w:t>
      </w:r>
      <w:bookmarkStart w:id="572" w:name="pg14356_186864"/>
    </w:p>
    <w:p>
      <w:pPr>
        <w:pStyle w:val="BookText"/>
        <w:rPr/>
      </w:pPr>
      <w:bookmarkEnd w:id="572"/>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الاستظهار أيّ ترجيح جانب الحرمة لأجل الدليل الحاكم على أنّ الدم المشكوك، دم حيض، و الدليل إمّا الاستصحاب، أو قاعدة الإمكان و انّ كلّ دم أمكن أن يكون حيضاً فهو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المورد الأوّل، و أمّا المورد الثاني أي عدم جواز الوضوء من الإنائين المشتبهين فقد</w:t>
      </w:r>
    </w:p>
    <w:p>
      <w:pPr>
        <w:pStyle w:val="Heading6"/>
        <w:numPr>
          <w:ilvl w:val="5"/>
          <w:numId w:val="1"/>
        </w:numPr>
        <w:rPr/>
      </w:pPr>
      <w:bookmarkStart w:id="573" w:name="__RefHeading___Toc7304992_3381743652"/>
      <w:bookmarkStart w:id="574" w:name="_Toc217"/>
      <w:bookmarkEnd w:id="573"/>
      <w:r>
        <w:rPr>
          <w:rtl w:val="true"/>
        </w:rPr>
        <w:t>أجاب عنه المحقّق الخراساني بوجهين</w:t>
      </w:r>
      <w:r>
        <w:rPr>
          <w:rtl w:val="true"/>
        </w:rPr>
        <w:t>:</w:t>
      </w:r>
      <w:bookmarkEnd w:id="574"/>
    </w:p>
    <w:p>
      <w:pPr>
        <w:pStyle w:val="Heading6"/>
        <w:numPr>
          <w:ilvl w:val="5"/>
          <w:numId w:val="1"/>
        </w:numPr>
        <w:rPr/>
      </w:pPr>
      <w:bookmarkStart w:id="575" w:name="__RefHeading___Toc7304994_3381743652"/>
      <w:bookmarkStart w:id="576" w:name="_Toc218"/>
      <w:bookmarkEnd w:id="575"/>
      <w:r>
        <w:rPr/>
        <w:t>1</w:t>
      </w:r>
      <w:r>
        <w:rPr>
          <w:rtl w:val="true"/>
        </w:rPr>
        <w:t xml:space="preserve">. </w:t>
      </w:r>
      <w:r>
        <w:rPr>
          <w:rtl w:val="true"/>
        </w:rPr>
        <w:t>تقديم النهي فيه تعبّدي يختصّ بمورده</w:t>
      </w:r>
      <w:bookmarkEnd w:id="576"/>
    </w:p>
    <w:p>
      <w:pPr>
        <w:pStyle w:val="BookText"/>
        <w:rPr/>
      </w:pPr>
      <w:r>
        <w:rPr>
          <w:rFonts w:ascii="Amiri" w:hAnsi="Amiri" w:eastAsia="Amiri" w:cs="Amiri"/>
          <w:color w:val="111111"/>
          <w:sz w:val="28"/>
          <w:sz w:val="28"/>
          <w:szCs w:val="28"/>
          <w:rtl w:val="true"/>
          <w:lang w:bidi="ar-SA"/>
        </w:rPr>
        <w:t>إنّ فرض المورد من قبيل دوران الأمر بين المحذورين إنّما يتم إذا قصد بالتوضّؤ بالماء الذي لم تحرز طهارته امتثالَ الأمر الواقعي فيوصف التوضّؤ بالحرمة التشريعية، فيدور أمر الوضوء بين الحرمة لأجل التشريع، و الوجوب لكونه مقدّمة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توضأ بكلّ من الماءين رجاء و من باب الاحتياط فلا يحرم، و بالتالي يخرج المورد عن باب دوران الأمر بين المحذورين، فتقديم النهي في هذه الصورة لأجل النصّ تعبدىٌّ يختص بمورده</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7304996_3381743652"/>
      <w:bookmarkStart w:id="578" w:name="_Toc219"/>
      <w:bookmarkEnd w:id="577"/>
      <w:r>
        <w:rPr/>
        <w:t>2</w:t>
      </w:r>
      <w:r>
        <w:rPr>
          <w:rtl w:val="true"/>
        </w:rPr>
        <w:t xml:space="preserve">. </w:t>
      </w:r>
      <w:r>
        <w:rPr>
          <w:rtl w:val="true"/>
        </w:rPr>
        <w:t>تقديم النهي لأجل عدم الابتلاء بالنجاسة</w:t>
      </w:r>
      <w:bookmarkEnd w:id="57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الجواب انّه لو توضّأ بالماءين المشتبهين ربّما تحصل له الطهارة من الحدث، في بعض الصور</w:t>
      </w:r>
      <w:r>
        <w:rPr>
          <w:rStyle w:val="FootnoteAnchor"/>
          <w:rtl w:val="true"/>
        </w:rPr>
        <w:footnoteReference w:id="138"/>
      </w:r>
      <w:r>
        <w:rPr>
          <w:rFonts w:ascii="Amiri" w:hAnsi="Amiri" w:eastAsia="Amiri" w:cs="Amiri"/>
          <w:color w:val="111111"/>
          <w:sz w:val="28"/>
          <w:sz w:val="28"/>
          <w:szCs w:val="28"/>
          <w:rtl w:val="true"/>
          <w:lang w:bidi="ar-SA"/>
        </w:rPr>
        <w:t xml:space="preserve">، لكنّه يبتلي بالنجاسة الخبثية القطعية، و المقرر في محلّه انّه إذا دار الأمر بين الطهارة الحدثية و النجاسة في البدن أو الثوب، تُقدّم الطهارةُ من الخبث على الطهارة من الحدث، مثلاً إذا كان محدثاً و كان بدنه أو ثوبه الساتر </w:t>
      </w:r>
      <w:bookmarkStart w:id="579" w:name="pg14356_186865"/>
    </w:p>
    <w:p>
      <w:pPr>
        <w:pStyle w:val="BookText"/>
        <w:rPr/>
      </w:pPr>
      <w:bookmarkEnd w:id="579"/>
      <w:r>
        <w:rPr>
          <w:rFonts w:ascii="Amiri" w:hAnsi="Amiri" w:eastAsia="Amiri" w:cs="Amiri"/>
          <w:color w:val="111111"/>
          <w:sz w:val="28"/>
          <w:sz w:val="28"/>
          <w:szCs w:val="28"/>
          <w:rtl w:val="true"/>
          <w:lang w:bidi="ar-SA"/>
        </w:rPr>
        <w:t>أيضاً نجساً و كان الماء الموجود لا يكفي إلاّ لواحد منهما، يُقدّم تطهير البدن و الثوب على الوضوء و الغسل، و ما هذا إلاّ لأنّ للطهارة من الحدث بدلاً و هو التيمم دون الأُخرى أي الطهارة من الخبث، و قد قُرِّر في باب التزاحم أنّه إذا دار الأمر بين أمرين لأحدهما بدل دون الآخر يقدّم الثاني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المقام فانّ الوضوء بماءين مشتبهين و إن كان ربّما يحصّل الطهارة من الحدث و لكنه يورث نجاسة البدن للقطع بنجاسة الأعضاء عند صبّ الماء الثاني إمّا بالماء الأوّل أو بالثاني كما سيوافيك تفصيله فعند الدوران تقدّم الطهارة من الخبث، على الطهارة من الحدث، فيترك الوضوء و يتيمّم، فتقديم جانب النهي لأجل هذا الدليل المقرّر في محلّه لا من باب أنّه إذا دار الأمر بين الأمر و النهي يقدّم النهي مطلقاً مع غض النظر عن الدليل كما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الجواب الواقعي، و قد أشار إليه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الابتلاء بنجاسة البدن ظاهراً</w:t>
      </w:r>
      <w:r>
        <w:rPr>
          <w:rFonts w:eastAsia="Amiri" w:cs="Amiri" w:ascii="Amiri" w:hAnsi="Amiri"/>
          <w:color w:val="111111"/>
          <w:sz w:val="28"/>
          <w:szCs w:val="28"/>
          <w:rtl w:val="true"/>
          <w:lang w:bidi="ar-SA"/>
        </w:rPr>
        <w:t>... «.</w:t>
      </w:r>
    </w:p>
    <w:p>
      <w:pPr>
        <w:pStyle w:val="Heading6"/>
        <w:numPr>
          <w:ilvl w:val="5"/>
          <w:numId w:val="1"/>
        </w:numPr>
        <w:rPr/>
      </w:pPr>
      <w:bookmarkStart w:id="580" w:name="__RefHeading___Toc7304998_3381743652"/>
      <w:bookmarkStart w:id="581" w:name="_Toc220"/>
      <w:bookmarkEnd w:id="580"/>
      <w:r>
        <w:rPr>
          <w:rtl w:val="true"/>
        </w:rPr>
        <w:t>دراسة أقسام التوضّؤ بماءين مشتبهين</w:t>
      </w:r>
      <w:bookmarkEnd w:id="581"/>
    </w:p>
    <w:p>
      <w:pPr>
        <w:pStyle w:val="BookText"/>
        <w:rPr/>
      </w:pPr>
      <w:r>
        <w:rPr>
          <w:rFonts w:ascii="Amiri" w:hAnsi="Amiri" w:eastAsia="Amiri" w:cs="Amiri"/>
          <w:color w:val="111111"/>
          <w:sz w:val="28"/>
          <w:sz w:val="28"/>
          <w:szCs w:val="28"/>
          <w:rtl w:val="true"/>
          <w:lang w:bidi="ar-SA"/>
        </w:rPr>
        <w:t>ثمّ إنّ للتوضّؤ بالماءين المشتبهين صوراً ثلاثاً أشار إليها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إليك إيضاحها على ضوء ما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جهة الابتلاء بنجاسة البدن ظاهراً بحكم الاستصحاب للقطع بحصول النجاسة حال ملاقاة المتوضّأ من الإناء الثاني، إمّا بملاقاته، أو بملاقاة الأُولى و عدم استعمال مطهر بعده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توضّأ بكلا الماءين من دون أن يتخلّل بين الوضوءين تطهير الأعضاء بالماء الثاني، فعند صب الماء الثاني على الوجه يقطع بنجاسة الوجه واقعاً </w:t>
      </w:r>
    </w:p>
    <w:p>
      <w:pPr>
        <w:pStyle w:val="BookText"/>
        <w:rPr/>
      </w:pPr>
      <w:r>
        <w:rPr>
          <w:rFonts w:ascii="Amiri" w:hAnsi="Amiri" w:eastAsia="Amiri" w:cs="Amiri"/>
          <w:color w:val="111111"/>
          <w:sz w:val="28"/>
          <w:sz w:val="28"/>
          <w:szCs w:val="28"/>
          <w:rtl w:val="true"/>
          <w:lang w:bidi="ar-SA"/>
        </w:rPr>
        <w:t>تفصيلاً إمّا لأجل استعمال الماء الأوّل و عدم استعمال مطهر بعده، أو باستعمال الماء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يحصل القطع بالنجاسة بصب الماء الثاني، قبل انفصال الغسالة، و قبل حصول تعدد الغسل فيما يحتاج إليه، ثمّ يزيل القطع بها إلى الشك فيها بعد الانفصال و حصول التعدد لاحتمال كون الماء الثاني طاهراً فيحكم على العضو بفضل الاستصحاب بكونه نجساً ظاهراً فلا منافاة بين العلم بالنجاسة الواقعية، ثم الظاهرية، لتعدد زمان العلم و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طهّر بالثانية مواضع الملاقاة بالأولى </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كلامه وصلية لا شرطية حاصله اشتراك الصورتين في العلم بالنجاسة الواقعية، ثمّ الشكّ في بقائها، و الفرق بينهما هو انّه في الصورة الأُولى لا يطهر الأعضاء بخلاف هذه الصورة فانّه يطهرها، و بالتالي يحصل العلم بالطهارة من الحدث في خصوص هذه الصورة كما أشرنا، و ذلك كما إذا توضّأ أوّلاً بأحدهما ثمّ غسل مواضع الوضوء بالماء الثاني، ثمّ توضّأ بالماء الباقي في الإناء، فعندئذ يحصل العلم بالنجاسة الظاهرية بحكم الاستصحاب، و ذلك لأنّه عند تطهير الأعضاء بالماء الثاني وصب الماء عليها قبل انفصال الغسالة الذي هو شرط التطهير بالماء القليل، يحصل له العلم التفصيلي بالنجاسة، إمّا لأجل استعمال الماء الثاني، أو الأوّل، و استعمال الماء الثاني و إن كان مطهراً لكن المفروض عدم حصول شرط التطهير،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انفصال الغسالة أو التعدد، و بعد الانفصال يطرأ الشك في بقاء النجاسة، لأنّه كما يحتمل أن يكون النجس هو الماء الثاني، يحتمل أن يكون النجس هو الأوّل الذي ترتفع نجاسته باستعمال الماء الثاني و انفصال الغسالة، و حيث إنّ الحالة غير معلومة يحكم ببقاء </w:t>
      </w:r>
    </w:p>
    <w:p>
      <w:pPr>
        <w:pStyle w:val="BookText"/>
        <w:rPr/>
      </w:pPr>
      <w:r>
        <w:rPr>
          <w:rFonts w:ascii="Amiri" w:hAnsi="Amiri" w:eastAsia="Amiri" w:cs="Amiri"/>
          <w:color w:val="111111"/>
          <w:sz w:val="28"/>
          <w:sz w:val="28"/>
          <w:szCs w:val="28"/>
          <w:rtl w:val="true"/>
          <w:lang w:bidi="ar-SA"/>
        </w:rPr>
        <w:t>ما علم عند الصب و قبل انفصال الغسالة، فيكون العضو محكوماً بالنجاسة الظاهرية لأجل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يحصل العلم بالطهارة من الحدث، مقرونة بالنجاسة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أشار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طَهُرتْ على تقدير نجاستها بمجرّد الملاقاة بلا حاجة إلى التعدد، و انفصال الغسالة، كما لو كان كلّ منهما كرّاً و لكن كان أحدهما نجساً، فلا يعلم تفصيلاً بنجاستها في وقت معين و إن علم بنجاستها حين ملاقاة الأُولى أو الثانية إجمالاً و لا مجال لاستصحابها بل كانت قاعدة الطهارة محكّمة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الماء الثاني قليلاً يحصل العلم التفصيلي بالنجاسة حين صب الماء الثاني و إن كان يطرأ الشكّ في ثباتها بعد انفصال الغسالة، و أمّا إذا كان الماءان كرّين و لا يتوقف التطهير بهما على التعدّد أو انفصال الغسالة، فلا يحصل العلم التفصيلي بالنجاسة حين الملاقاة بالماء الثاني، بل يعلم إجمالاً بأنّه صار نجساً إمّا بالملاقاة الأُولى أو بالثانية فلا مجال لاستصحابها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العبارة أنّ عدم جريان الاستصحاب لأجل عدم العلم تفصيلاً بنجاسة العضو في وقت معيّن، بخلاف الصورة الأُولى و الثانية، حيث يعلم عند الصب و قبل انفصال الغسالة، بنجاسة العضو، فلو كان الاستصحاب غير جار في المقام تصل النوبة إلى قاعدة الطهارة، لأنّه مشكوك الطهارة و النجاسة، فلو كان النجس هو الماء الثاني فهو نجس قطعاً، و لو كان الماء الأوّل فهو طاهر كذلك، و عند الجهل بحال الماءين، يكون الملاقى مشكوك الطهارة و النجاسة فيحكم عليه بالطهارة حسب القاعدة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الظاهر انّه يحكم في الجميع بضد الحالة السابقة قبل توارد </w:t>
      </w:r>
    </w:p>
    <w:p>
      <w:pPr>
        <w:pStyle w:val="BookText"/>
        <w:rPr/>
      </w:pPr>
      <w:r>
        <w:rPr>
          <w:rFonts w:ascii="Amiri" w:hAnsi="Amiri" w:eastAsia="Amiri" w:cs="Amiri"/>
          <w:color w:val="111111"/>
          <w:sz w:val="28"/>
          <w:sz w:val="28"/>
          <w:szCs w:val="28"/>
          <w:rtl w:val="true"/>
          <w:lang w:bidi="ar-SA"/>
        </w:rPr>
        <w:t>الماءين عليه و بالتالي يحكم في المقام بنجاسة الأعضاء في عامّة الصور، و ذلك لأنّه يشترط في تأثير العلم الإجمالي أن يكون محدثاً للتكليف على كلّ تقدير، بأن يكون الماء الطاهر، مطهراً سواء تقدّم استعماله أو تأخّر، و الماء النجس منجِّساً كذلك، و عندئذ يؤثر العلم الإجمالي، لكن هذا الشرط موجود في استعمال الماء النجس دون استعمال الماء الطاهر واقعاً، أمّا الأوّل فواضح فهو ينجس العضو سواء استعمله قبل الماء الطاهر أو بعده، بخلاف الماء الطاهر فلو استعمله قبل الماء النجس، لا يؤثر في العضو، لأنّ المفروض طهارة العضو، و لو استعمل بعد الماء النجس فهو و إن كان يؤثر في طهارة العضو لكن يكون محدثاً للتكليف على فرض دون فرض لا على جميع الفروض، فالعلم بطروء الطهارة على العضو دائر بين كونه مؤثّراً و غير مؤثر، محدثاً للطهارة، و غير محدث، فليس هنا علم بالطهارة المؤثرة المزيلة للنجاسة، لاحتمال كون الطاهر هو الماء الأوّل، بخلاف النجاسة فهناك علم تفصيلي بطروء النجاسة المؤثرة المزيلة للطهارة، المشكوك بقاؤها فتستصحب</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يؤخذ بضد الحالة السابقة، و منه يعلم حال عكس المسألة،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العضو نجساً و استعمل الماءان، فيحكم بطهارة العضو بنفس البيان في المقام السابق، فانّ الماء النجس غير مؤثر في كلتا الصورتين بل يؤثر استعماله إذا كان بعد استعمال الماء الطاهر، و أمّا لو كان قبله فلا يؤثر في نجاسة العضو، لأنّ المفروض كونه نجساً، بخلاف الماء الطاهر فهو رافع للنجاسة و مؤثر في رفع النجاسة، سواء استعمله قبل الماء النجس، أو بعده</w:t>
      </w:r>
      <w:r>
        <w:rPr>
          <w:rFonts w:eastAsia="Amiri" w:cs="Amiri" w:ascii="Amiri" w:hAnsi="Amiri"/>
          <w:color w:val="111111"/>
          <w:sz w:val="28"/>
          <w:szCs w:val="28"/>
          <w:rtl w:val="true"/>
          <w:lang w:bidi="ar-SA"/>
        </w:rPr>
        <w:t xml:space="preserve">. </w:t>
      </w:r>
      <w:bookmarkStart w:id="582" w:name="pg14356_186869"/>
    </w:p>
    <w:p>
      <w:pPr>
        <w:pStyle w:val="Heading5"/>
        <w:numPr>
          <w:ilvl w:val="4"/>
          <w:numId w:val="1"/>
        </w:numPr>
        <w:rPr/>
      </w:pPr>
      <w:bookmarkStart w:id="583" w:name="__RefHeading___Toc7305000_3381743652"/>
      <w:bookmarkStart w:id="584" w:name="_Toc221"/>
      <w:bookmarkEnd w:id="582"/>
      <w:bookmarkEnd w:id="583"/>
      <w:r>
        <w:rPr>
          <w:rtl w:val="true"/>
        </w:rPr>
        <w:t>التنبيه الثالث هل تعدّد الإضافات كالإكرام المضاف إلى العالم و الفاسق بالأمر بالأوّل و النهي عن الثاني كتعدّد العناوين و الجهات أو لا؟</w:t>
      </w:r>
      <w:bookmarkEnd w:id="584"/>
    </w:p>
    <w:p>
      <w:pPr>
        <w:pStyle w:val="BookText"/>
        <w:rPr/>
      </w:pPr>
      <w:r>
        <w:rPr>
          <w:rFonts w:ascii="Amiri" w:hAnsi="Amiri" w:eastAsia="Amiri" w:cs="Amiri"/>
          <w:color w:val="111111"/>
          <w:sz w:val="28"/>
          <w:sz w:val="28"/>
          <w:szCs w:val="28"/>
          <w:rtl w:val="true"/>
          <w:lang w:bidi="ar-SA"/>
        </w:rPr>
        <w:t>ذهب المحقّق الخراساني إلى الأوّل، لأنّه لو كان اختلاف العناوين مجدياً مع وحدة المعنون كان تعدّد الإضافات مجدياً لأنّ المصالح و المفاسد تختلف حسب الإضافات و الجهات و ما يتراءى من العلماء معاملة التعارض مع العموم من وجه، لأجل البناء على الامتناع أو إحراز عدم المقتضي لأحد الحكمين في مورد الاجتماع</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يظهر ذلك من الشيخ أيضاً قائلاً بأنّ العالم و الفاسق طبيعتان متغايرتان فيلزم على المجوّز في مورد الصلاة و الغصب، التجويز فيهما</w:t>
      </w:r>
      <w:r>
        <w:rPr>
          <w:rFonts w:eastAsia="Amiri" w:cs="Amiri" w:ascii="Amiri" w:hAnsi="Amiri"/>
          <w:color w:val="111111"/>
          <w:sz w:val="28"/>
          <w:szCs w:val="28"/>
          <w:rtl w:val="true"/>
          <w:lang w:bidi="ar-SA"/>
        </w:rPr>
        <w:t xml:space="preserve">. </w:t>
      </w:r>
      <w:bookmarkStart w:id="585" w:name="pg14356_186870"/>
    </w:p>
    <w:p>
      <w:pPr>
        <w:pStyle w:val="Heading3"/>
        <w:numPr>
          <w:ilvl w:val="2"/>
          <w:numId w:val="1"/>
        </w:numPr>
        <w:rPr/>
      </w:pPr>
      <w:bookmarkStart w:id="586" w:name="__RefHeading___Toc7305002_3381743652"/>
      <w:bookmarkStart w:id="587" w:name="_Toc222"/>
      <w:bookmarkEnd w:id="585"/>
      <w:bookmarkEnd w:id="586"/>
      <w:r>
        <w:rPr>
          <w:rtl w:val="true"/>
        </w:rPr>
        <w:t>الفصل الثالث في كشف النهي عن الفساد</w:t>
      </w:r>
      <w:bookmarkEnd w:id="587"/>
    </w:p>
    <w:p>
      <w:pPr>
        <w:pStyle w:val="Heading4"/>
        <w:numPr>
          <w:ilvl w:val="3"/>
          <w:numId w:val="1"/>
        </w:numPr>
        <w:rPr/>
      </w:pPr>
      <w:bookmarkStart w:id="588" w:name="__RefHeading___Toc7305004_3381743652"/>
      <w:bookmarkStart w:id="589" w:name="_Toc223"/>
      <w:bookmarkEnd w:id="588"/>
      <w:r>
        <w:rPr>
          <w:rtl w:val="true"/>
        </w:rPr>
        <w:t>اشارة</w:t>
      </w:r>
      <w:bookmarkEnd w:id="589"/>
    </w:p>
    <w:p>
      <w:pPr>
        <w:pStyle w:val="BookText"/>
        <w:rPr/>
      </w:pPr>
      <w:r>
        <w:rPr>
          <w:rStyle w:val="FootnoteAnchor"/>
          <w:rtl w:val="true"/>
        </w:rPr>
        <w:footnoteReference w:id="139"/>
      </w:r>
    </w:p>
    <w:p>
      <w:pPr>
        <w:pStyle w:val="Heading4"/>
        <w:numPr>
          <w:ilvl w:val="3"/>
          <w:numId w:val="1"/>
        </w:numPr>
        <w:rPr/>
      </w:pPr>
      <w:bookmarkStart w:id="590" w:name="__RefHeading___Toc7305006_3381743652"/>
      <w:bookmarkStart w:id="591" w:name="_Toc224"/>
      <w:bookmarkEnd w:id="590"/>
      <w:r>
        <w:rPr>
          <w:rtl w:val="true"/>
        </w:rPr>
        <w:t>قبل الدخول في صلب الموضوع نقدّم أُموراً</w:t>
      </w:r>
      <w:r>
        <w:rPr>
          <w:rtl w:val="true"/>
        </w:rPr>
        <w:t>:</w:t>
      </w:r>
      <w:bookmarkEnd w:id="591"/>
    </w:p>
    <w:p>
      <w:pPr>
        <w:pStyle w:val="Heading5"/>
        <w:numPr>
          <w:ilvl w:val="4"/>
          <w:numId w:val="1"/>
        </w:numPr>
        <w:rPr/>
      </w:pPr>
      <w:bookmarkStart w:id="592" w:name="__RefHeading___Toc7305008_3381743652"/>
      <w:bookmarkStart w:id="593" w:name="_Toc225"/>
      <w:bookmarkEnd w:id="592"/>
      <w:r>
        <w:rPr>
          <w:rtl w:val="true"/>
        </w:rPr>
        <w:t>الأوّل</w:t>
      </w:r>
      <w:r>
        <w:rPr>
          <w:rtl w:val="true"/>
        </w:rPr>
        <w:t xml:space="preserve">: </w:t>
      </w:r>
      <w:r>
        <w:rPr>
          <w:rtl w:val="true"/>
        </w:rPr>
        <w:t>قد اختلفت كلماتهم في عنوان الفصل</w:t>
      </w:r>
      <w:bookmarkEnd w:id="593"/>
    </w:p>
    <w:p>
      <w:pPr>
        <w:pStyle w:val="BookText"/>
        <w:rPr/>
      </w:pPr>
      <w:r>
        <w:rPr>
          <w:rFonts w:ascii="Amiri" w:hAnsi="Amiri" w:eastAsia="Amiri" w:cs="Amiri"/>
          <w:color w:val="111111"/>
          <w:sz w:val="28"/>
          <w:sz w:val="28"/>
          <w:szCs w:val="28"/>
          <w:rtl w:val="true"/>
          <w:lang w:bidi="ar-SA"/>
        </w:rPr>
        <w:t>فتارة يعبّرون عنه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النهي عن الشيء يقتضي فساده أو لا؟ و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النهي يدلّ على الفساد أو لا؟ و الأوّل غير وجيه، إذ ليس النهي مؤثراً في الفساد، و إنّما هو دالّ عليه أو كاشف عنه، و الثاني منصرف إلى الدلالة اللفظية، و لا يشمل استكشاف الفساد، من الملازمة العقلية، و الأولى أن يعبّر بما صدّرنا به البحث من كشف النهي عن الفساد</w:t>
      </w:r>
      <w:r>
        <w:rPr>
          <w:rFonts w:eastAsia="Amiri" w:cs="Amiri" w:ascii="Amiri" w:hAnsi="Amiri"/>
          <w:color w:val="111111"/>
          <w:sz w:val="28"/>
          <w:szCs w:val="28"/>
          <w:rtl w:val="true"/>
          <w:lang w:bidi="ar-SA"/>
        </w:rPr>
        <w:t>.</w:t>
      </w:r>
    </w:p>
    <w:p>
      <w:pPr>
        <w:pStyle w:val="Heading5"/>
        <w:numPr>
          <w:ilvl w:val="4"/>
          <w:numId w:val="1"/>
        </w:numPr>
        <w:rPr/>
      </w:pPr>
      <w:bookmarkStart w:id="594" w:name="__RefHeading___Toc7305010_3381743652"/>
      <w:bookmarkStart w:id="595" w:name="_Toc226"/>
      <w:bookmarkEnd w:id="594"/>
      <w:r>
        <w:rPr>
          <w:rtl w:val="true"/>
        </w:rPr>
        <w:t>الثاني</w:t>
      </w:r>
      <w:r>
        <w:rPr>
          <w:rtl w:val="true"/>
        </w:rPr>
        <w:t xml:space="preserve">: </w:t>
      </w:r>
      <w:r>
        <w:rPr>
          <w:rtl w:val="true"/>
        </w:rPr>
        <w:t xml:space="preserve">يتبادر من عبارة </w:t>
      </w:r>
      <w:r>
        <w:rPr>
          <w:rtl w:val="true"/>
        </w:rPr>
        <w:t>«</w:t>
      </w:r>
      <w:r>
        <w:rPr>
          <w:rtl w:val="true"/>
        </w:rPr>
        <w:t>الكفاية</w:t>
      </w:r>
      <w:r>
        <w:rPr>
          <w:rtl w:val="true"/>
        </w:rPr>
        <w:t xml:space="preserve">» </w:t>
      </w:r>
      <w:r>
        <w:rPr>
          <w:rtl w:val="true"/>
        </w:rPr>
        <w:t xml:space="preserve">انّ المسألتين </w:t>
      </w:r>
      <w:r>
        <w:rPr>
          <w:rtl w:val="true"/>
        </w:rPr>
        <w:t>(</w:t>
      </w:r>
      <w:r>
        <w:rPr>
          <w:rtl w:val="true"/>
        </w:rPr>
        <w:t>هذه المسألة و المسألة السابقة</w:t>
      </w:r>
      <w:r>
        <w:rPr>
          <w:rtl w:val="true"/>
        </w:rPr>
        <w:t xml:space="preserve">) </w:t>
      </w:r>
      <w:r>
        <w:rPr>
          <w:rtl w:val="true"/>
        </w:rPr>
        <w:t>متّحدتان جوهراً و مختلفتان في الجهة المبحوث عنها،</w:t>
      </w:r>
      <w:bookmarkEnd w:id="59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جهة البحث في المقام هو دلالة النهي على الفساد، و هي في المسألة السابقة، هو انّ تعدد العنوان هل يجدي في رفع غائلة اجتماع الأمر و النهي في مورد الاجتماع أو لا؟ </w:t>
      </w:r>
      <w:bookmarkStart w:id="596" w:name="pg14356_186871"/>
    </w:p>
    <w:p>
      <w:pPr>
        <w:pStyle w:val="BookText"/>
        <w:rPr/>
      </w:pPr>
      <w:bookmarkEnd w:id="596"/>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المسألتين متميّزتان جوهراً قبل تميّزهما بالاغراض و جهات البحث، فأين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يجوز تعلّق الأمر و النهي بشيئين مختلفين في مقام التعلق، و متحدين في مقام الوجود، أو لا؟ من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النهي يكشف عن الفساد أو لا؟ و قد مرّ أنّ لفظ الكشف جامع للدلالة اللفظية، و الملازمة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قلنا بأنّ النزاع في المسألة السابقة كبروي كما هو المختار و أمّا إذا قلنا بأنّ النزاع فيها صغروي كما هو مختار المحقّق الخراساني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تسليم امتناع الكبرى هل تعدد العنوان يوجب تعدد المعنون أو لا؟ فهذا النوع من البحث غير ما هو المبحوث عنه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يعرب عن تمايز المسألتين بجوهرهما هو لزوم وجود الأمر في المسألة السابقة، دون هذه المسألة، بل يكفي وجود النهي سواء أ كان معه أمر كما في العبادات أو لا كما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في المسألة السابقة بالامتناع، و قدّمنا النهي على الأمر، تكون نتيجة البحث في المسألة السابقة، صغرى لهذه المسألة، و أمّا لو قلنا بجوازهما، أو قلنا بالامتناع لكن بتقديم الأمر على النهي، فلا صلة بين المسألتين أبداً</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7305012_3381743652"/>
      <w:bookmarkStart w:id="598" w:name="_Toc227"/>
      <w:bookmarkEnd w:id="597"/>
      <w:r>
        <w:rPr>
          <w:rtl w:val="true"/>
        </w:rPr>
        <w:t>الثالث</w:t>
      </w:r>
      <w:r>
        <w:rPr>
          <w:rtl w:val="true"/>
        </w:rPr>
        <w:t xml:space="preserve">: </w:t>
      </w:r>
      <w:r>
        <w:rPr>
          <w:rtl w:val="true"/>
        </w:rPr>
        <w:t>انّ البحث في المسألة السابقة عقلي محض،</w:t>
      </w:r>
      <w:bookmarkEnd w:id="59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يعلم من براهين المجوّزين و المانعين، و أمّا المقام، فذهب المحقّق النائيني</w:t>
      </w:r>
      <w:r>
        <w:rPr>
          <w:rStyle w:val="FootnoteAnchor"/>
          <w:rtl w:val="true"/>
        </w:rPr>
        <w:footnoteReference w:id="140"/>
      </w:r>
      <w:r>
        <w:rPr>
          <w:rFonts w:ascii="Amiri" w:hAnsi="Amiri" w:eastAsia="Amiri" w:cs="Amiri"/>
          <w:color w:val="111111"/>
          <w:sz w:val="28"/>
          <w:sz w:val="28"/>
          <w:szCs w:val="28"/>
          <w:rtl w:val="true"/>
          <w:lang w:bidi="ar-SA"/>
        </w:rPr>
        <w:t>تبعاً للشيخ الأنصاري في مطارح الأنظار</w:t>
      </w:r>
      <w:r>
        <w:rPr>
          <w:rStyle w:val="FootnoteAnchor"/>
          <w:rtl w:val="true"/>
        </w:rPr>
        <w:footnoteReference w:id="141"/>
      </w:r>
      <w:r>
        <w:rPr>
          <w:rFonts w:ascii="Amiri" w:hAnsi="Amiri" w:eastAsia="Amiri" w:cs="Amiri"/>
          <w:color w:val="111111"/>
          <w:sz w:val="28"/>
          <w:sz w:val="28"/>
          <w:szCs w:val="28"/>
          <w:rtl w:val="true"/>
          <w:lang w:bidi="ar-SA"/>
        </w:rPr>
        <w:t>إلى أنّ البحث في المقام أيضاً عقلي، كما أنّ المتبادر من المحقّق الخراساني أنّ البحث لفظي،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عدّ هذه المسألة من مباحث الألفاظ إنّما هو لأجل انّه في الأقوال قول بدلالته على الفساد في المعاملات مع إنكار الملازمة بينه و بين الحرمة</w:t>
      </w:r>
      <w:r>
        <w:rPr>
          <w:rFonts w:eastAsia="Amiri" w:cs="Amiri" w:ascii="Amiri" w:hAnsi="Amiri"/>
          <w:color w:val="111111"/>
          <w:sz w:val="28"/>
          <w:szCs w:val="28"/>
          <w:rtl w:val="true"/>
          <w:lang w:bidi="ar-SA"/>
        </w:rPr>
        <w:t>.</w:t>
      </w:r>
      <w:r>
        <w:rPr>
          <w:rStyle w:val="FootnoteAnchor"/>
          <w:rtl w:val="true"/>
        </w:rPr>
        <w:footnoteReference w:id="142"/>
      </w:r>
      <w:bookmarkStart w:id="599" w:name="pg14356_186872"/>
    </w:p>
    <w:p>
      <w:pPr>
        <w:pStyle w:val="BookText"/>
        <w:rPr/>
      </w:pPr>
      <w:bookmarkEnd w:id="599"/>
      <w:r>
        <w:rPr>
          <w:rFonts w:ascii="Amiri" w:hAnsi="Amiri" w:eastAsia="Amiri" w:cs="Amiri"/>
          <w:color w:val="111111"/>
          <w:sz w:val="28"/>
          <w:sz w:val="28"/>
          <w:szCs w:val="28"/>
          <w:rtl w:val="true"/>
          <w:lang w:bidi="ar-SA"/>
        </w:rPr>
        <w:t>و 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البحث بأحد العنوانين، تابع لكيفية البرهنة و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بدلالة لفظ النهي على الفساد، فيكون البحث لفظياً، و إن قلنا بوجود الملازمة العقلية بين الحرمة و الفساد، يكون البحث عقلياً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لما استظهر كون النزاع لفظياً، أورد إشكالاً ثمّ أجاب عنه و لما كان الإيراد و الجواب مبهمين نأتي بتوضيحهما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الإشكال فحاصله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الملازمة بين الحرمة و الفساد إما ثابتة أو لا، فعلى الوجه الأوّل يكون النزاع عقلياً، و على الوجه الثاني تكون الملازمة منتفية، فلم يبق لكون النزاع لفظياً أو عقلياً 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الملازمة عبارة أُخرى عن دلالة النهي على الفساد عن طريق الدلالة الالتزامية و هي عند المنطقيين دلالة لفظية، و إن كانت عند علماء البيان دلالة عقلية فالنزاع على القول بالملازمة لفظيّ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يدفع الإشكال بحذافيره و إنّما دفعه عند وجود النهي اللفظي فصار البحث لفظياً حتّى على القول بالملازمة بين الحرمة و الفساد، و لكن المورد أعمّ، إذ ربّما لا يكون لفظ في المقام و إنّما دلّ الإجماع على التحريم دون وجود أيِّ لفظ فالفساد ثابت و متحقّق دون أن تكون هنا دلالة لفظيّة</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7305014_3381743652"/>
      <w:bookmarkStart w:id="601" w:name="_Toc228"/>
      <w:bookmarkEnd w:id="600"/>
      <w:r>
        <w:rPr>
          <w:rtl w:val="true"/>
        </w:rPr>
        <w:t>الرابع</w:t>
      </w:r>
      <w:r>
        <w:rPr>
          <w:rtl w:val="true"/>
        </w:rPr>
        <w:t xml:space="preserve">: </w:t>
      </w:r>
      <w:r>
        <w:rPr>
          <w:rtl w:val="true"/>
        </w:rPr>
        <w:t>لا شكّ أنّ المسألة أُصولية،</w:t>
      </w:r>
      <w:bookmarkEnd w:id="60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نتيجة البحث تقع كبرى للاستنباط، فلو قلنا بدلالة النهي على الفساد، أو قلنا بالملازمة بين الحرمة و الفساد أو بين النهي و الفساد تكون العبادات و المعاملات المنهية فاسدة لا يترتّب عليها الأثر المقصود،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وبر ما لا يؤكل 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بدلالة النهي على الفساد، أو قلنا بالملازمة العقلية، تكون </w:t>
      </w:r>
      <w:bookmarkStart w:id="602" w:name="pg14356_186873"/>
    </w:p>
    <w:p>
      <w:pPr>
        <w:pStyle w:val="BookText"/>
        <w:rPr/>
      </w:pPr>
      <w:bookmarkEnd w:id="602"/>
      <w:r>
        <w:rPr>
          <w:rFonts w:ascii="Amiri" w:hAnsi="Amiri" w:eastAsia="Amiri" w:cs="Amiri"/>
          <w:color w:val="111111"/>
          <w:sz w:val="28"/>
          <w:sz w:val="28"/>
          <w:szCs w:val="28"/>
          <w:rtl w:val="true"/>
          <w:lang w:bidi="ar-SA"/>
        </w:rPr>
        <w:t>النتيجة فساد الصلاة و البيع، فلا تكون الصلاة مسقطة للقضاء و الإعادة كما لا يكون البيع سبباً لخروج المبيع عن ملك البائع و دخوله في ملك المشتري و الثمن على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في المقدّمة الأُولى من مقدّمات علم الأُصول أنّ الفرق بين القاعدة الأُصولية و القاعدة الفقهية هو أنّ المحمول في الثانية حكم شرعي، نظير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انّه قذر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في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المسألة الأُصولية فالمحمول فيها هو الحجّية و عدمها كالبحث عن حجية الخبر الواحد و الإجماع و الشهرة، أو البحث عن الملازمات بين وجوب الشيء و وجوب مقدّمته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فالمحمول إمّا حكم عقلائي كحجية الخبر الواحد أو عقلي كباب الملازمات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فالمسألة في المقام قاعدة فقهية لأنّها تبحث عن فساد العبادة و المعاملة و عدمهما، و الفساد حكم شرعي كالصحة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الفساد و الصحّة من الأُمور الانتزاعية من مطابقة المأتي به للمأمور به و عدمه، فهما حكمان وضعيّان منتزعان من 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تعاد الصلاة إلاّ من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فيوصف عمل ناسي السورة بالصحّة، بحكم الرواية، كما يوصف بيع من باع من غير ملك بالفساد بفضل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ليس عندك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فليس الفساد كالصحة من الأحكام الشرعية بل من الأحكام الوضعية المنتزعة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بأنّهما مجهولان فلا محيص عن كون المسألة فقهية</w:t>
      </w:r>
      <w:r>
        <w:rPr>
          <w:rFonts w:eastAsia="Amiri" w:cs="Amiri" w:ascii="Amiri" w:hAnsi="Amiri"/>
          <w:color w:val="111111"/>
          <w:sz w:val="28"/>
          <w:szCs w:val="28"/>
          <w:rtl w:val="true"/>
          <w:lang w:bidi="ar-SA"/>
        </w:rPr>
        <w:t>.</w:t>
      </w:r>
    </w:p>
    <w:p>
      <w:pPr>
        <w:pStyle w:val="Heading5"/>
        <w:numPr>
          <w:ilvl w:val="4"/>
          <w:numId w:val="1"/>
        </w:numPr>
        <w:rPr/>
      </w:pPr>
      <w:bookmarkStart w:id="603" w:name="__RefHeading___Toc7305016_3381743652"/>
      <w:bookmarkStart w:id="604" w:name="_Toc229"/>
      <w:bookmarkEnd w:id="603"/>
      <w:r>
        <w:rPr>
          <w:rtl w:val="true"/>
        </w:rPr>
        <w:t>الخامس</w:t>
      </w:r>
      <w:r>
        <w:rPr>
          <w:rtl w:val="true"/>
        </w:rPr>
        <w:t xml:space="preserve">: </w:t>
      </w:r>
      <w:r>
        <w:rPr>
          <w:rtl w:val="true"/>
        </w:rPr>
        <w:t>إنّ للنهي أقساماً و إنّ أيّ قسم من الأقسام مورد للنزاع،</w:t>
      </w:r>
      <w:bookmarkEnd w:id="60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الأقسام كالتالي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تحريمي و تنزيهي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نفسي و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أصلي و 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اختلفت أنظار الأُصوليين في تعيين محط النزاع، فذهب المحقّق الخراساني إلى أنّ الجميع داخل في محطّ النزاع،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النهي يدل أو يكشف عن الفساد؟ يعم جميع الأقسام، إمّا عنواناً أو ملاكاً، كما سيتضح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المحقّق النائيني إلى اختصاص النزاع بالنهي التحريمي دون التنزيهي، و بالنفسي دون الغيري، و لم يذكر شيئاً حول الأصلي و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مع المحقّق الخراساني، و إليك بيان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النهي التحريمي داخل في محط النزاع و يشمله عنوان البحث، و امّا النهي التنزيهي كالعبادة عند مطلع الشمس و مغربها فغير داخل في عنوان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لانصراف النهي إلى التحريمي و لكنّه داخل فيه ملاكاً، إذ لقائل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عدم المطلوبية في الفساد و هو أمر مشترك بين التحريمي و التنزيهي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النهي النفسي داخل في مصب النزاع، و أمّا الغيري كالنهي عن الصلاة عند ابتلاء المصلي بوجوب إزالة النجاسة عن المسجد فهو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غيري أصلي، و غيري تبعي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قلنا بأنّ الملاك في تقسيم الأمر إلى الأصلي و التبعي إنّما هو مقام الإثبات و الدلالة، بمعنى أنّه إذا كان الوجوب مفهوماً بخطاب مستقل و مدلولاً بالدلالة المطابقية، فالواجب أصلي، و إن كان مفهوماً بتبع خطاب آخر و مدلولاً بالدلالة الالتزامية فالواجب تبعي، فلو قلنا بهذا التفسير للأصلي و التبعي، </w:t>
      </w:r>
    </w:p>
    <w:p>
      <w:pPr>
        <w:pStyle w:val="BookText"/>
        <w:rPr/>
      </w:pPr>
      <w:r>
        <w:rPr>
          <w:rFonts w:ascii="Amiri" w:hAnsi="Amiri" w:eastAsia="Amiri" w:cs="Amiri"/>
          <w:color w:val="111111"/>
          <w:sz w:val="28"/>
          <w:sz w:val="28"/>
          <w:szCs w:val="28"/>
          <w:rtl w:val="true"/>
          <w:lang w:bidi="ar-SA"/>
        </w:rPr>
        <w:t>فالغيري مطلقاً داخل في عنوان النزاع لشمول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النهي يدلّ على الفساد للنهي المفهوم بالدلالة المطابقية أو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ملاك التقسيم إليها هو الثبوت لا الإثبات، فلو كان الشيء متعلّقاً للإرادة على وجه الاستقلال عند الالتفات إليه بما هو عليه فهو أصلي، و إن كان متعلّقاً بها تبعاً لإرادة غيره من دون التفات إليه فهو تبعي، فلو قلنا بهذا التفسير فالغيري التبعي بما انّه ليس مدلولاً للدلالة يكون داخلاً في محط البحث ملاكاً لا عنواناً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توضيح ما أفاده المحقّق الخراساني</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يلاحظ عليه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بانصراف النهي إلى التحريمي و خروج التنزيهي عن مدلوله غير تامّ، لأنّ الانصراف إمّا لكثرة استعمال النهي في التحريمي، أو لكثرة وجوده، و كلاهما منتفيان، فانّ النهي استعمل في التنزيه كثيراً و له مصاديق متوفرة، فالتحريمي و التنزيهي أمام العنوان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جعل الغيري التبعي تارة داخلاً في عنوان النزاع، و أُخرى داخلاً فيه بملاك النزاع لا بعنوانه، مع أنّ الأصلي أيضاً كذلك، فلو فسّر الأصلي بما تعلّق به الخطاب على وجه الاستقلال، فهو داخل في عنوان النزاع، و ان فسّر بما تعلّقت به الإرادة الاستقلالية و إن لم يتلفّظ به المولى، فهو داخل في البحث ملاكاً، اللّهمّ إلاّ أن يقال إذا كان الشيء متعلّقاً للإرادة الاستقلالية لا ينفك عن كونه متعلّقاً للنهي اللفظي مطلقاً، فكأنّ الأصلي بكلا التفسيرين داخل في عنوان النزاع</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النائيني أخرج النهي التنزيهي عن محل النزاع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w:t>
      </w:r>
    </w:p>
    <w:p>
      <w:pPr>
        <w:pStyle w:val="BookText"/>
        <w:rPr/>
      </w:pPr>
      <w:r>
        <w:rPr>
          <w:rFonts w:ascii="Amiri" w:hAnsi="Amiri" w:eastAsia="Amiri" w:cs="Amiri"/>
          <w:color w:val="111111"/>
          <w:sz w:val="28"/>
          <w:sz w:val="28"/>
          <w:szCs w:val="28"/>
          <w:rtl w:val="true"/>
          <w:lang w:bidi="ar-SA"/>
        </w:rPr>
        <w:t>النهي التنزيهي عن فرد لا ينافي الرخصة الضمنية المستفادة من إطلاق الأمر فلا يكون بينهما معارضة ليقيّد به إطلاق الأمر، نعم لو تعلّق النهي التنزيهي بذات ما يكون عبادة لكان لدعوى اقتضائه الفساد مجال من جهة انّ ما يكون مرجوحاً ذاتاً لا يصلح أن يتقرّب به، إلاّ أنّ النواهي التنزيهية الواردة في الشريعة المتعلّقة بالعبادات لم تتعلّق بذات العبادة على وجه يتّحد متعلّق الأمر و النهي</w:t>
      </w:r>
      <w:r>
        <w:rPr>
          <w:rFonts w:eastAsia="Amiri" w:cs="Amiri" w:ascii="Amiri" w:hAnsi="Amiri"/>
          <w:color w:val="111111"/>
          <w:sz w:val="28"/>
          <w:szCs w:val="28"/>
          <w:rtl w:val="true"/>
          <w:lang w:bidi="ar-SA"/>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عدم اقتضاء النهي التنزيهي فساد العبادة و إن كان حقاً، لكنه لا يوجب خروجه عن محلّ النزاع، إذ يمكن أن يتوهم أنّ النهي كاشف عن عدم المطلوبية أو الحزازة، و هما لا يجتمعان مع التقرّب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الفساد على خلاف التحقيق أمر، و كونه غير داخل في محط النزاع شيء آخر، و الكلام في الدخول و عدمه إنّما هو قبل التحقيق و بيان الحال لا بعده، و ما ذكره راجع إلى ما بعد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ذكره صاحب الكفاية و المحقّق النائيني، بقي هنا أقسام لم يشر إليها المحقّق الخراساني و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الإرشادي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التشريعي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النهي التخييري في مقابل التعييني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يكون إرشاداً للفساد،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تبع ما لا يملك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يكون إرشاداً إلى المانعية،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وبر ما لا يؤكل لحمه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أن تفسّر المانعية بأخذ قيد عدمي في المأمور به، أو بضدية الشيء المنهي عنه مع الصلاة و انّهما لا يجتمعان، و بما أنّ النهي الإرشادي بكلا قسميه سواء كان </w:t>
      </w:r>
      <w:bookmarkStart w:id="605" w:name="pg14356_186877"/>
    </w:p>
    <w:p>
      <w:pPr>
        <w:pStyle w:val="BookText"/>
        <w:rPr/>
      </w:pPr>
      <w:bookmarkEnd w:id="605"/>
      <w:r>
        <w:rPr>
          <w:rFonts w:ascii="Amiri" w:hAnsi="Amiri" w:eastAsia="Amiri" w:cs="Amiri"/>
          <w:color w:val="111111"/>
          <w:sz w:val="28"/>
          <w:sz w:val="28"/>
          <w:szCs w:val="28"/>
          <w:rtl w:val="true"/>
          <w:lang w:bidi="ar-SA"/>
        </w:rPr>
        <w:t>إرشاداً إلى الفساد أو إلى المانعية واضح الحكم فلا يكون داخلاً في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النهي التشريعي فمفاده النهي عن الاعتقاد بكون شيء مأموراً به بالخصوص، كما إذا صلّى في مكان خاص زاعماً بتعلّق أمر خاص به مع إطلاق الأمر فصار باعتقاده و عمله مشرّعاً، فهل هو داخل في محلّ النزاع أو لا؟ اختار المحقّق القوجاني</w:t>
      </w:r>
      <w:r>
        <w:rPr>
          <w:rStyle w:val="FootnoteAnchor"/>
          <w:rtl w:val="true"/>
        </w:rPr>
        <w:footnoteReference w:id="145"/>
      </w:r>
      <w:r>
        <w:rPr>
          <w:rFonts w:ascii="Amiri" w:hAnsi="Amiri" w:eastAsia="Amiri" w:cs="Amiri"/>
          <w:color w:val="111111"/>
          <w:sz w:val="28"/>
          <w:sz w:val="28"/>
          <w:szCs w:val="28"/>
          <w:rtl w:val="true"/>
          <w:lang w:bidi="ar-SA"/>
        </w:rPr>
        <w:t>الثاني قائلاً بأنّ مفاد النهي التشريعي هو البطلان فلا يتصوّر فيه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غاية ما يدلّ عليه النهي التشريعي هو حرمة الإتيان بالعمل الناشئ منه، أمّا الفساد فليس من المداليل الواضحة، فيقع البحث عن دلالته على الفساد أو ملازمته معه عقلاً أو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النهي التعييني و التخييري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الدار المغصوبة أو لا تجالس الفسّاق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فيها مع مجالستهم، فالظاهر دخول القسمين في محلّ النزاع، لكن المحرّم في الأوّل نفس العمل و في الثاني الجمع بين العملين</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7305018_3381743652"/>
      <w:bookmarkStart w:id="607" w:name="_Toc230"/>
      <w:bookmarkEnd w:id="606"/>
      <w:r>
        <w:rPr>
          <w:rtl w:val="true"/>
        </w:rPr>
        <w:t>السادس</w:t>
      </w:r>
      <w:r>
        <w:rPr>
          <w:rtl w:val="true"/>
        </w:rPr>
        <w:t xml:space="preserve">: </w:t>
      </w:r>
      <w:r>
        <w:rPr>
          <w:rtl w:val="true"/>
        </w:rPr>
        <w:t>في تعريف العبادة و المعاملة</w:t>
      </w:r>
      <w:bookmarkEnd w:id="607"/>
    </w:p>
    <w:p>
      <w:pPr>
        <w:pStyle w:val="BookText"/>
        <w:rPr/>
      </w:pPr>
      <w:r>
        <w:rPr>
          <w:rFonts w:ascii="Amiri" w:hAnsi="Amiri" w:eastAsia="Amiri" w:cs="Amiri"/>
          <w:color w:val="111111"/>
          <w:sz w:val="28"/>
          <w:sz w:val="28"/>
          <w:szCs w:val="28"/>
          <w:rtl w:val="true"/>
          <w:lang w:bidi="ar-SA"/>
        </w:rPr>
        <w:t>الغاية القصوى من عقد هذا الفصل، هو استكشاف حال العبادة و المعاملة إذا تعلّق بهما النهي من حيث الصحّة و الفساد، فيلزم التعرّف على مفهوم العبادة و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بوجوه ثلاثة وراء ما عَرَّف به المحقّق الخراساني و هي</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 لأجل التعبّد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تتوقف صحّتُه على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يعلم انحصارُ المصلحة فيها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عليها المحقّق الخراساني بأنّ الكلام في العبادة التي يتعلّق بها النهي، و العبادة بهذه المعاني لا يتعلق بها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يصحّ في التعريف الأوّل، لأنّ ما أمر به يكون صحيحاً بالفعل، فكيف يتعلّق به النهي، بخلاف التعريفين الأخيرين، فلا مانع من تعلّق النهي بما تتوقّف صحّته على الأمر، و لكن لم يتعلّق به الأمر، و مثله الثالث، فلنرجع إلى ما ذكره المحقّق الخراساني من التعريف و قد عرفها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بنفسه و بعنوانه عبادة له تعالى، موجباً بذاته للتقرّب من حضرته لو لا حرمته كالسجود و الخضوع له و تسبيحه و تقديسه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لو تعلّق به كان أمره عباديّاً لا يكاد يسقط إلاّ إذا أتى به بنحو قربي، كسائر أمثاله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صوم العيدين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الصلاة في أيّام العادة</w:t>
      </w:r>
      <w:r>
        <w:rPr>
          <w:rFonts w:eastAsia="Amiri" w:cs="Amiri" w:ascii="Amiri" w:hAnsi="Amiri"/>
          <w:color w:val="111111"/>
          <w:sz w:val="28"/>
          <w:szCs w:val="28"/>
          <w:rtl w:val="true"/>
          <w:lang w:bidi="ar-SA"/>
        </w:rPr>
        <w:t>.</w:t>
      </w:r>
      <w:r>
        <w:rPr>
          <w:rStyle w:val="FootnoteAnchor"/>
          <w:rtl w:val="true"/>
        </w:rPr>
        <w:footnoteReference w:id="146"/>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التعريف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كان السجود عبادة ذاتية، لما جاز أمر الملائكة بالسجود لآدم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قُلْنا لِلْمَلائِكَةِ اسْجُدُوا لِآدَمَ </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فآدم كان مسجوداً له، لا قبلة، و لا مسجوداً عليه، كالتربة الحسينية إذ معنى ذلك انّه سبحانه أمر بعبادة غيره الذي هو يساوي الأمر بالشرك المنزّه عنه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فَعَلُوا فاحِشَةً قالُوا وَجَدْنا عَلَيْها آباءَنا وَ اللّهُ أَمَرَنا بِها قُلْ إِنَّ اللّهَ لا يَأْمُرُ بِالْفَحْشاءِ أَ تَقُولُونَ عَلَى اللّهِ ما لا تَعْلَمُونَ </w:t>
      </w:r>
      <w:r>
        <w:rPr>
          <w:rFonts w:eastAsia="Amiri" w:cs="Amiri" w:ascii="Amiri" w:hAnsi="Amiri"/>
          <w:color w:val="111111"/>
          <w:sz w:val="28"/>
          <w:szCs w:val="28"/>
          <w:rtl w:val="true"/>
          <w:lang w:bidi="ar-SA"/>
        </w:rPr>
        <w:t xml:space="preserve">). </w:t>
      </w:r>
      <w:r>
        <w:rPr>
          <w:rStyle w:val="FootnoteAnchor"/>
          <w:rtl w:val="true"/>
        </w:rPr>
        <w:footnoteReference w:id="148"/>
      </w:r>
      <w:r>
        <w:rPr>
          <w:rFonts w:ascii="Amiri" w:hAnsi="Amiri" w:eastAsia="Amiri" w:cs="Amiri"/>
          <w:color w:val="111111"/>
          <w:sz w:val="28"/>
          <w:sz w:val="28"/>
          <w:szCs w:val="28"/>
          <w:rtl w:val="true"/>
          <w:lang w:bidi="ar-SA"/>
        </w:rPr>
        <w:t>و الفحشاء القبيح، أو ما اشتد قبحه و المقصود به هنا هو الشرك</w:t>
      </w:r>
      <w:r>
        <w:rPr>
          <w:rFonts w:eastAsia="Amiri" w:cs="Amiri" w:ascii="Amiri" w:hAnsi="Amiri"/>
          <w:color w:val="111111"/>
          <w:sz w:val="28"/>
          <w:szCs w:val="28"/>
          <w:rtl w:val="true"/>
          <w:lang w:bidi="ar-SA"/>
        </w:rPr>
        <w:t xml:space="preserve">. </w:t>
      </w:r>
      <w:bookmarkStart w:id="608" w:name="pg14356_186879"/>
    </w:p>
    <w:p>
      <w:pPr>
        <w:pStyle w:val="BookText"/>
        <w:rPr/>
      </w:pPr>
      <w:bookmarkEnd w:id="608"/>
      <w:r>
        <w:rPr>
          <w:rFonts w:ascii="Amiri" w:hAnsi="Amiri" w:eastAsia="Amiri" w:cs="Amiri"/>
          <w:color w:val="111111"/>
          <w:sz w:val="28"/>
          <w:sz w:val="28"/>
          <w:szCs w:val="28"/>
          <w:rtl w:val="true"/>
          <w:lang w:bidi="ar-SA"/>
        </w:rPr>
        <w:t>فالأولى أن يعرف بما ذكره ثانياً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تعلّق به الأمر لا يكاد يسقط إلاّ إذا أتى به بنحو قربي</w:t>
      </w:r>
      <w:r>
        <w:rPr>
          <w:rStyle w:val="FootnoteAnchor"/>
          <w:rtl w:val="true"/>
        </w:rPr>
        <w:footnoteReference w:id="149"/>
      </w:r>
    </w:p>
    <w:p>
      <w:pPr>
        <w:pStyle w:val="BookText"/>
        <w:rPr/>
      </w:pPr>
      <w:r>
        <w:rPr>
          <w:rFonts w:eastAsia="Times New Roman" w:cs="Times New Roman" w:ascii="Times New Roman" w:hAnsi="Times New Roman"/>
          <w:color w:val="111111"/>
          <w:sz w:val="28"/>
          <w:szCs w:val="28"/>
          <w:lang w:val="en-US" w:bidi="en-US"/>
        </w:rPr>
        <w:t>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خرج التوصليّات فانّها لو تعلّق بها الأمر يسقط مطلقاً قصد به القربة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حول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المعاملة، فقد أُريد منها في العنوان، كلّ ما يكون قابلاً لوصفه بالصحة و الفساد، فيعمّ العقود و الإيقاعات و غيرهما، كالرضاع و الاحياء من الموضوعات التي تارة يترتّب عليه الأثر المترتّب عنه، و أُخرى لا يترتب لاختلال بعض الشرائط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الأمران التاليان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يترتّب عليه الأثر شرعاً مطلقاً، كالغلبة في القمار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لا ينفك أثره عنه كالإتلاف بلا إذن، لعدم طروء الفساد عليه</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7305020_3381743652"/>
      <w:bookmarkStart w:id="610" w:name="_Toc231"/>
      <w:bookmarkEnd w:id="609"/>
      <w:r>
        <w:rPr>
          <w:rtl w:val="true"/>
        </w:rPr>
        <w:t>السابع</w:t>
      </w:r>
      <w:r>
        <w:rPr>
          <w:rtl w:val="true"/>
        </w:rPr>
        <w:t xml:space="preserve">: </w:t>
      </w:r>
      <w:r>
        <w:rPr>
          <w:rtl w:val="true"/>
        </w:rPr>
        <w:t>في معنى الصحّة و الفساد</w:t>
      </w:r>
      <w:bookmarkEnd w:id="610"/>
    </w:p>
    <w:p>
      <w:pPr>
        <w:pStyle w:val="BookText"/>
        <w:rPr/>
      </w:pPr>
      <w:r>
        <w:rPr>
          <w:rFonts w:ascii="Amiri" w:hAnsi="Amiri" w:eastAsia="Amiri" w:cs="Amiri"/>
          <w:color w:val="111111"/>
          <w:sz w:val="28"/>
          <w:sz w:val="28"/>
          <w:szCs w:val="28"/>
          <w:rtl w:val="true"/>
          <w:lang w:bidi="ar-SA"/>
        </w:rPr>
        <w:t>ذكر المحقّق الخراساني في المقام أُموراً نشير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الصحّة و الفساد، وصفان إضافيّان يختلفان حسب الآثار و الأنظار، فربّ شيء يكون صحيحاً بحسب أثر، دون أثر كإفساد الصوم بما يوجب القضاء دون الكفّارة، فهو صحيح بالنسبة إلى الكفّارة و فاسد حسب القضاء، كما ربّما يكون صحيحاً في نظر فقيه دون فقيه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الصحّة في العبادة و المعاملة، بمعنى واحد و هو التمامية، و أمّا الاختلاف فيهما فإنّما هو فيما هو المرغوب منهما من الآثار، حيث إنّ المطلوب في </w:t>
      </w:r>
    </w:p>
    <w:p>
      <w:pPr>
        <w:pStyle w:val="BookText"/>
        <w:rPr/>
      </w:pPr>
      <w:r>
        <w:rPr>
          <w:rFonts w:ascii="Amiri" w:hAnsi="Amiri" w:eastAsia="Amiri" w:cs="Amiri"/>
          <w:color w:val="111111"/>
          <w:sz w:val="28"/>
          <w:sz w:val="28"/>
          <w:szCs w:val="28"/>
          <w:rtl w:val="true"/>
          <w:lang w:bidi="ar-SA"/>
        </w:rPr>
        <w:t>العبادة حصول الامتثال أو سقوط التّضاد و الإعادة، و في المعاملة ترتّب الأثر المطلوب كالملكية في البيع، فتوصف الصلاة بالصحة لهاتين الغايتين، كما يوصف البيع بالصحة لتلك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ترتّب الأثر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فالصحة في الموردين بمعنى التمامية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اختلاف الفقيه و المتكلّم في صحّة العبادة ليس اختلافاً مفهومياً أو اختلافاً جوهرياً، بل الصحّة عند الطائفتين بمعنى واحد و هو التمامية، لكن ملاك التمامية عند المتكلّم هو حصول الامتثال الموجب عقلاً، لاستحقاق المثوبة، و ملاكها عند الفقيه سقوط الإعادة و القضاء، فكلّ ينظر إلى التمامية من منظاره الخاص و مطلوبه، فالغاية عند المتكلّم هو تعيين موارد استحقاق المثوبة و العقوبة فيفسّر التمامية بموافقة الأمر، أو الشريعة الملازم للامتثال الموجب عقلاً للمثوبة بخلاف الغاية عند الفقيه، فهو بصدد تعيين موارد سقوط القضاء و الإعادة فيفسّر التمامية بهما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الأمر ينقسم إلى واقعي أوّلي و واقعي ثانوي و ظاهري، و قد اختلفت الأنظار في أنّ امتثال الأخيرين هل يجزيان عن امتثال الأمر الواقعي أو لا كالصلاة متيمّماً، أو الصلاة بالطهارة الظاهرية؟ فلو فسّر الأمر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امتثال الأمر، يقتضي الإجزاء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بالأعم من الواقعي الثانوي و الظاهري، تكون النتيجة هو الإجزاء مطلقاً، و لو فسّر بخصوص امتثال الأمر الواقعي، تكون النتيجة عدم الإجزاء</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يكون الملاك عند المتكلّم، موافقة مطلق الأمر، و عند الفقيه هو خصوص موافقة الأمر الواقعي، فيكون مجزئاً عند الأوّل دون الثاني، و ربّما يكون الملاك على العكس، فيكون مجزئاً عند الفقيه دون المتكلّم، و ربّما يتفقان في الملاك، فيخرجان بنتيجة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فظهر انّه لا اختلاف في مفهوم الصحّة في الموارد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في العبادات و لا في المعاملات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بين الفقيه و المتكلّم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في مجال امتثال الأمر الواقعي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ما في الكفاية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قدمناه في مبحث الصحيح و الأعم</w:t>
      </w:r>
      <w:r>
        <w:rPr>
          <w:rStyle w:val="FootnoteAnchor"/>
          <w:rtl w:val="true"/>
        </w:rPr>
        <w:footnoteReference w:id="150"/>
      </w:r>
      <w:r>
        <w:rPr>
          <w:rFonts w:ascii="Amiri" w:hAnsi="Amiri" w:eastAsia="Amiri" w:cs="Amiri"/>
          <w:color w:val="111111"/>
          <w:sz w:val="28"/>
          <w:sz w:val="28"/>
          <w:szCs w:val="28"/>
          <w:rtl w:val="true"/>
          <w:lang w:bidi="ar-SA"/>
        </w:rPr>
        <w:t>أنّ تفسير الصحّة بالتمام ليس تفسيراً تاماً في عامة الموارد و ذلك لأنّ الصحّة تستعمل في موردين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الصحّة في مقابل المرض، فيقال مصحّ لا مريض، قال ابن فارس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أصل يدل على البراءة من المرض و العيب و على الاستواء من ذلك، و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فالصحة كيفية وجودية في الشيء ملائمة لنوعه، و المرض على خلافها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المعنيين من التقابل تقابل التضاد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الصحّة في مقابل العيب، فيقال صحيح لا معيب، و إليه أشار ابن فارس في كلامه أيضاً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البراءة من المرض و العيب، فإذا كان الوجود تاماً حسب الخلقة النوعية يقال صحيح و إن كان ناقصاً يقال انّه 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ظهر أنّ الصحّة بمعنى التمامية في خصوص المورد الثاني، أي إذا استعملت في مقابل المعيب، فيكون وزان الصحيح و المعيب، وزان التام و الناقص، و بين المعنيين تقابل العدم و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استعمال الصحّة إنّما هو في المعنى المقابل للمرض</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حال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اصطلاحاً فتطلق الصحّة تارة على الجامع للصفة </w:t>
      </w:r>
      <w:bookmarkStart w:id="611" w:name="pg14356_186882"/>
    </w:p>
    <w:p>
      <w:pPr>
        <w:pStyle w:val="BookText"/>
        <w:rPr/>
      </w:pPr>
      <w:bookmarkEnd w:id="611"/>
      <w:r>
        <w:rPr>
          <w:rFonts w:ascii="Amiri" w:hAnsi="Amiri" w:eastAsia="Amiri" w:cs="Amiri"/>
          <w:color w:val="111111"/>
          <w:sz w:val="28"/>
          <w:sz w:val="28"/>
          <w:szCs w:val="28"/>
          <w:rtl w:val="true"/>
          <w:lang w:bidi="ar-SA"/>
        </w:rPr>
        <w:t>المعتبرة في العبادة في مقابل الآخر إذا لم تكن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ككون القراءة صحيحة أو ملحونة، فيكون بينهما من التقابل، هو تقابل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على الجامع للأجزاء و الشرائط و غير الجامع لهما، فيكون بينهما من التقابل هو تقابل العدم و الملكة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يناسب كون الصحّة في مقابل المرض، و الآخر كون الصحّة في مقابل المعيب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المركبات الانتزاعية بالصحة و الفساد إنّما هو بالإضافة إلى أنفسها عند تحقّقها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سيوافيك أنّ الصحّة و الفساد من عوارض الماهية الموجودة لا بما هي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جامعة لما يعتبر فيها فصحيحة و إلاّ ففاسدة لا بالإضافة إلى الآثار و الأنظار</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7305022_3381743652"/>
      <w:bookmarkStart w:id="613" w:name="_Toc232"/>
      <w:bookmarkEnd w:id="612"/>
      <w:r>
        <w:rPr>
          <w:rtl w:val="true"/>
        </w:rPr>
        <w:t>الثامن</w:t>
      </w:r>
      <w:r>
        <w:rPr>
          <w:rtl w:val="true"/>
        </w:rPr>
        <w:t xml:space="preserve">: </w:t>
      </w:r>
      <w:r>
        <w:rPr>
          <w:rtl w:val="true"/>
        </w:rPr>
        <w:t>هل الصحّة و الفساد مجعولان مطلقاً؟</w:t>
      </w:r>
      <w:bookmarkEnd w:id="613"/>
    </w:p>
    <w:p>
      <w:pPr>
        <w:pStyle w:val="Heading6"/>
        <w:numPr>
          <w:ilvl w:val="5"/>
          <w:numId w:val="1"/>
        </w:numPr>
        <w:rPr/>
      </w:pPr>
      <w:bookmarkStart w:id="614" w:name="__RefHeading___Toc7305024_3381743652"/>
      <w:bookmarkStart w:id="615" w:name="_Toc233"/>
      <w:bookmarkEnd w:id="614"/>
      <w:r>
        <w:rPr>
          <w:rtl w:val="true"/>
        </w:rPr>
        <w:t>اشارة</w:t>
      </w:r>
      <w:bookmarkEnd w:id="615"/>
    </w:p>
    <w:p>
      <w:pPr>
        <w:pStyle w:val="BookText"/>
        <w:rPr/>
      </w:pPr>
      <w:r>
        <w:rPr>
          <w:rFonts w:ascii="Amiri" w:hAnsi="Amiri" w:eastAsia="Amiri" w:cs="Amiri"/>
          <w:color w:val="111111"/>
          <w:sz w:val="28"/>
          <w:sz w:val="28"/>
          <w:szCs w:val="28"/>
          <w:rtl w:val="true"/>
          <w:lang w:bidi="ar-SA"/>
        </w:rPr>
        <w:t>هل الصحّة و الفساد مجعولان مطلقاً أو ليس كذلك مطلقاً، أو مجعولان في المعاملات دون العبادات، أو الصحّة الظاهرية مجعولة دون الواقعية؟ وجوه و احتمالات، فتارة يقع الكلام في العبادات، و أُخرى في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نظرية المحقّق الخراساني حول الصحّة في العبادات يظهر من المحقّق الخراساني في مجعولية الصحّة في العبادات، التفصيل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فسِّرت الصحّة و الفساد وِفقَ مسلك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مطابقة المأتي به للشريعة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فالصحّة و الفساد وصفان اعتباريان ينتزعان من المطابقة و عدمها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فُسِّرت الصحّة و الفساد وفق مسلك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مسقطاً للإعادة و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فالصحة و الفساد حكمان عقليان حيث يستقل العقل بسقوط </w:t>
      </w:r>
    </w:p>
    <w:p>
      <w:pPr>
        <w:pStyle w:val="BookText"/>
        <w:rPr/>
      </w:pPr>
      <w:r>
        <w:rPr>
          <w:rFonts w:ascii="Amiri" w:hAnsi="Amiri" w:eastAsia="Amiri" w:cs="Amiri"/>
          <w:color w:val="111111"/>
          <w:sz w:val="28"/>
          <w:sz w:val="28"/>
          <w:szCs w:val="28"/>
          <w:rtl w:val="true"/>
          <w:lang w:bidi="ar-SA"/>
        </w:rPr>
        <w:t>الإعادة و القضاء جزماً أو يستقل بعدمها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فليست من الأحكام المجعولة مستقلة و لا من المجعولة تبعاً كما ليست أمراً اعتبارياً و انتزاعياً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امتثال الأمر الواقعي، و أمّا امتثال الأمر الاضطراري</w:t>
      </w:r>
      <w:r>
        <w:rPr>
          <w:rStyle w:val="FootnoteAnchor"/>
          <w:rtl w:val="true"/>
        </w:rPr>
        <w:footnoteReference w:id="151"/>
      </w:r>
      <w:r>
        <w:rPr>
          <w:rFonts w:ascii="Amiri" w:hAnsi="Amiri" w:eastAsia="Amiri" w:cs="Amiri"/>
          <w:color w:val="111111"/>
          <w:sz w:val="28"/>
          <w:sz w:val="28"/>
          <w:szCs w:val="28"/>
          <w:rtl w:val="true"/>
          <w:lang w:bidi="ar-SA"/>
        </w:rPr>
        <w:t>فقد ذكر هنا صورة واحدة و هي ما إذا لم يكن المأتي به وافياً لمصلحة الواقع و كانت المصلحة الفائتة لازمة الاستيفاء، فلو كان الاستيفاء حرجيّاً يكون السقوط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مجعولاً شرعاً تخفيفاً و منّة على العباد مع وجود المقتضي لثبوت الإعادة و القضاء، كما ربّما يكون وجوب الإعادة 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مجعولين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خلاصة ما أفاده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يرجع حاصله إلى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و الفساد في مسلك المتكلّمين اعتباريان انتزاعيان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مسلك الفقهاء من الأحكام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امتثال الأمر الاضطراري إذا كان الفائت لازم الاستيفاء و لكن حرجيّاً تكون الصحّة مجعولة شرعاً و إلاّ يكون الفساد مجعولاً</w:t>
      </w:r>
      <w:r>
        <w:rPr>
          <w:rFonts w:eastAsia="Amiri" w:cs="Amiri" w:ascii="Amiri" w:hAnsi="Amiri"/>
          <w:color w:val="111111"/>
          <w:sz w:val="28"/>
          <w:szCs w:val="28"/>
          <w:rtl w:val="true"/>
          <w:lang w:bidi="ar-SA"/>
        </w:rPr>
        <w:t>.</w:t>
      </w:r>
      <w:r>
        <w:rPr>
          <w:rStyle w:val="FootnoteAnchor"/>
          <w:rtl w:val="true"/>
        </w:rPr>
        <w:footnoteReference w:id="152"/>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بين الاعتباري و الانتزاعي في الشق الأوّل على خلاف الاصطلاح، فانّ الأمر الانتزاعي يُعدُّ من مراتب التكويني في بعض الموارد، كما إذا كان المنشأ متحيثاً بحيثية وجودية، كالفوقية المنتزعة من الطابق الثاني لكونه فوق الأوّل، و هو تحته، فلذلك قالوا إنّ الحقائق الخارجية إمّا جواهر، </w:t>
      </w:r>
    </w:p>
    <w:p>
      <w:pPr>
        <w:pStyle w:val="BookText"/>
        <w:rPr/>
      </w:pPr>
      <w:r>
        <w:rPr>
          <w:rFonts w:ascii="Amiri" w:hAnsi="Amiri" w:eastAsia="Amiri" w:cs="Amiri"/>
          <w:color w:val="111111"/>
          <w:sz w:val="28"/>
          <w:sz w:val="28"/>
          <w:szCs w:val="28"/>
          <w:rtl w:val="true"/>
          <w:lang w:bidi="ar-SA"/>
        </w:rPr>
        <w:t>أو أعراض أو انتزاعيات، بخلاف الأُمور الاعتبارية فانّ قوامها بإعطاء حدّ التكوين لشيء آخر، اعتباراً، كإعطاء حد الرأس الذي شأنه الإدارة للرئيس، فهو رأس اعتباراً، و الآخرون بمنزلة الأعضاء فأين الثاني من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للبحث حول الأُمور الانتزاعية و الاعتبارية مجال آخر و الغرض أنّ الجمع بينهما خلاف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الصحّة على مسلك المتكلّمين ليست من الأُمور الانتزاعية و لا الاعتبارية و إنّما هي من الأُمور الواقعية كسائر الواقعيات التي يدركها العقل، فانّ حصول الامتثال بتطابق المأتي به للشريعة، من الأُمور الواقعية كتطابق الخطين و تساويهما، فالصحة عندئذ ليست أمراً انتزاعياً و لا اعتبارياً و لا مجعولاً بنفسه و لا مجعولاً بتبع أمر آخر، و لا من الأحكام العقلية المستقلة كحسن الإحسان و قبح الظلم أو الملازمة بين الوجوبين، بل واقعية يدركها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ما أفاده من أنّ الصحّة على مسلك الفقهاء، من الأحكام العقلية، إذ هو الحاكم بسقوط الإعادة و القضاء إذا أتى بالمأمور على ما هو عليه، و عدمه إذا لم يأت كذلك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بأنّ الصحّة و الفساد مجعولين شرعاً فيما إذا كان المأتي به غير واف بمصلحة الواقع فيما كانت الإعادة أو القضاء حرجيّاً فيكون سقوطهما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مجعولين و إلاّ كان ثبوتهما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مجعولين، مع أنّ الظاهر منه في مبحث الإجزاء، أنّ الإجزاء و عدمه في الصورتين أمر عقلي</w:t>
      </w:r>
      <w:r>
        <w:rPr>
          <w:rStyle w:val="FootnoteAnchor"/>
          <w:rtl w:val="true"/>
        </w:rPr>
        <w:footnoteReference w:id="153"/>
      </w:r>
      <w:r>
        <w:rPr>
          <w:rFonts w:ascii="Amiri" w:hAnsi="Amiri" w:eastAsia="Amiri" w:cs="Amiri"/>
          <w:color w:val="111111"/>
          <w:sz w:val="28"/>
          <w:sz w:val="28"/>
          <w:szCs w:val="28"/>
          <w:rtl w:val="true"/>
          <w:lang w:bidi="ar-SA"/>
        </w:rPr>
        <w:t xml:space="preserve">، و مع ذلك يمكن تصحيح كونهما مجعولين لكن باعتبار منشأ انتزاعهما حيث إنّ العمل لا يوصف </w:t>
      </w:r>
      <w:bookmarkStart w:id="616" w:name="pg14356_186885"/>
    </w:p>
    <w:p>
      <w:pPr>
        <w:pStyle w:val="BookText"/>
        <w:rPr/>
      </w:pPr>
      <w:bookmarkEnd w:id="616"/>
      <w:r>
        <w:rPr>
          <w:rFonts w:ascii="Amiri" w:hAnsi="Amiri" w:eastAsia="Amiri" w:cs="Amiri"/>
          <w:color w:val="111111"/>
          <w:sz w:val="28"/>
          <w:sz w:val="28"/>
          <w:szCs w:val="28"/>
          <w:rtl w:val="true"/>
          <w:lang w:bidi="ar-SA"/>
        </w:rPr>
        <w:t>بالصحة، إلاّ برفع اليد عن جزئية الجزء و شرطية الشرط، كما لا يوصف بالفساد إلاّ بإثباتهما، فالمجعول رفع الشرط أو الجزء أو إثباتهما، فيتبعهما جعل الصحة و الفساد</w:t>
      </w:r>
      <w:r>
        <w:rPr>
          <w:rFonts w:eastAsia="Amiri" w:cs="Amiri" w:ascii="Amiri" w:hAnsi="Amiri"/>
          <w:color w:val="111111"/>
          <w:sz w:val="28"/>
          <w:szCs w:val="28"/>
          <w:rtl w:val="true"/>
          <w:lang w:bidi="ar-SA"/>
        </w:rPr>
        <w:t>.</w:t>
      </w:r>
    </w:p>
    <w:p>
      <w:pPr>
        <w:pStyle w:val="Heading6"/>
        <w:numPr>
          <w:ilvl w:val="5"/>
          <w:numId w:val="1"/>
        </w:numPr>
        <w:rPr/>
      </w:pPr>
      <w:bookmarkStart w:id="617" w:name="__RefHeading___Toc7305026_3381743652"/>
      <w:bookmarkStart w:id="618" w:name="_Toc234"/>
      <w:bookmarkEnd w:id="617"/>
      <w:r>
        <w:rPr>
          <w:rtl w:val="true"/>
        </w:rPr>
        <w:t>إكمال</w:t>
      </w:r>
      <w:bookmarkEnd w:id="618"/>
    </w:p>
    <w:p>
      <w:pPr>
        <w:pStyle w:val="BookText"/>
        <w:rPr/>
      </w:pPr>
      <w:r>
        <w:rPr>
          <w:rFonts w:ascii="Amiri" w:hAnsi="Amiri" w:eastAsia="Amiri" w:cs="Amiri"/>
          <w:color w:val="111111"/>
          <w:sz w:val="28"/>
          <w:sz w:val="28"/>
          <w:szCs w:val="28"/>
          <w:rtl w:val="true"/>
          <w:lang w:bidi="ar-SA"/>
        </w:rPr>
        <w:t>ثمّ إنّ المحقّق الخراساني أفاد في آخر التنبيه الذي عقده في ذيل الأمر السادس بأنّ الصحّة و الفساد في الموارد الخاصّة لا يكاد يكونان مجعولين، بل إنّما هي تتصف بهما بمجرّد الانطباق على ما هو المأمور به</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معنى ذلك أنّ الموصوف بالصحّة و الفساد هو العناوين الكلّية من الصلاة و البيع، و اتّصاف الفرد الخارجي منهما إنّما هو بانطباق المفهوم الكلّي عليه، و لكنّه كما ترى، لأنّ الصلاة الكلية لا توصف بالصحة و الفساد ما لم تتحقّق في الخارج، فانّ الأجزاء و الشرائط بما هي هي لا توصف بالصحّة و الفساد، و إنّما توصف بأحدهما إذا انطبق عليها عنوان الصلاة في الخارج، فإن كانت جامعة لهما فتوصف بالصحة، و إلاّ فتوصف بالفساد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الكلام في البحث التالي</w:t>
      </w:r>
      <w:r>
        <w:rPr>
          <w:rFonts w:eastAsia="Amiri" w:cs="Amiri" w:ascii="Amiri" w:hAnsi="Amiri"/>
          <w:color w:val="111111"/>
          <w:sz w:val="28"/>
          <w:szCs w:val="28"/>
          <w:rtl w:val="true"/>
          <w:lang w:bidi="ar-SA"/>
        </w:rPr>
        <w:t>.</w:t>
      </w:r>
    </w:p>
    <w:p>
      <w:pPr>
        <w:pStyle w:val="Heading6"/>
        <w:numPr>
          <w:ilvl w:val="5"/>
          <w:numId w:val="1"/>
        </w:numPr>
        <w:rPr/>
      </w:pPr>
      <w:bookmarkStart w:id="619" w:name="__RefHeading___Toc7305028_3381743652"/>
      <w:bookmarkStart w:id="620" w:name="_Toc235"/>
      <w:bookmarkEnd w:id="619"/>
      <w:r>
        <w:rPr>
          <w:rtl w:val="true"/>
        </w:rPr>
        <w:t>الصحّة في المعاملات</w:t>
      </w:r>
      <w:bookmarkEnd w:id="620"/>
    </w:p>
    <w:p>
      <w:pPr>
        <w:pStyle w:val="BookText"/>
        <w:rPr/>
      </w:pPr>
      <w:r>
        <w:rPr>
          <w:rFonts w:ascii="Amiri" w:hAnsi="Amiri" w:eastAsia="Amiri" w:cs="Amiri"/>
          <w:color w:val="111111"/>
          <w:sz w:val="28"/>
          <w:sz w:val="28"/>
          <w:szCs w:val="28"/>
          <w:rtl w:val="true"/>
          <w:lang w:bidi="ar-SA"/>
        </w:rPr>
        <w:t>قد وقفت على نظرية الخراساني حول الصحّة في العبادات و تفاصيلها، و أمّا الصحّة في المعاملات فأفاد في المقام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الصحّة في المعاملات مجعولة، حيث كان ترتّب الأثر على معاملة إنّما</w:t>
      </w:r>
    </w:p>
    <w:p>
      <w:pPr>
        <w:pStyle w:val="BookText"/>
        <w:rPr/>
      </w:pPr>
      <w:r>
        <w:rPr>
          <w:rFonts w:ascii="Amiri" w:hAnsi="Amiri" w:eastAsia="Amiri" w:cs="Amiri"/>
          <w:color w:val="111111"/>
          <w:sz w:val="28"/>
          <w:sz w:val="28"/>
          <w:szCs w:val="28"/>
          <w:rtl w:val="true"/>
          <w:lang w:bidi="ar-SA"/>
        </w:rPr>
        <w:t>هو بجعل الشارع و ترتيبه عليها و لو إمضاءً، ضرورة انّه لو لا جعله لما كان يترتّب عليه لأصالة الفساد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صحّة كلّ معاملة شخصية و فسادها ليس إلاّ لأجل انطباقها على ما هو المجعول سبباً و عدمه كما هو الحال في التكليفية من الأحكام، فاتصاف المأتي به بالوجوب أو الحرمة ليس إلاّ انطباق ما هو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سبحانه جعل البيع حلالاً،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أَحَلَّ اللّهُ الْبَيْعَ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جعل الصلح بين المسلمين جائزاً و نافذاً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الصلح جائز بين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فمتعلّق الجعل في الآية و الرواية، هو الحلّية و الجواز، لا الصحة، فلو قلنا بأنّه لا دور للشارع في مجال المعاملات، فالمراد انّه أمضى الحلّية و الجواز الرائجين بين العقلاء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الصحّة فإنّما يوصف بها العنوان إذا تحقّق في الخارج، و انطبق عليه ما أمضاه الشارع بالحلّية أو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الخراساني خلط بين متعلّق جعل الحلية 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شئت قلت القانونية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متعلّق الصحّة، فمتعلق الحلّية و الجواز هو العناوين الكلية و المجعول فيها هو الحلّية و الجواز، و متعلّق الصحّة هو المصداق الخارجي المنطبق عليه تلك العناوين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فما هو المجعول شرعاً و لو إمضاء، هو الحلّية و الجواز، لا الصحّة، بل الصحّة و الفساد تنتزع من انطباق تلك العناوين الحامل للأحكام على المصداق الخارجي، و قد أشرنا إلى ذلك في الإكمال السابق</w:t>
      </w:r>
      <w:r>
        <w:rPr>
          <w:rFonts w:eastAsia="Amiri" w:cs="Amiri" w:ascii="Amiri" w:hAnsi="Amiri"/>
          <w:color w:val="111111"/>
          <w:sz w:val="28"/>
          <w:szCs w:val="28"/>
          <w:rtl w:val="true"/>
          <w:lang w:bidi="ar-SA"/>
        </w:rPr>
        <w:t xml:space="preserve">. </w:t>
      </w:r>
      <w:bookmarkStart w:id="621" w:name="pg14356_186887"/>
    </w:p>
    <w:p>
      <w:pPr>
        <w:pStyle w:val="Heading5"/>
        <w:numPr>
          <w:ilvl w:val="4"/>
          <w:numId w:val="1"/>
        </w:numPr>
        <w:rPr/>
      </w:pPr>
      <w:bookmarkStart w:id="622" w:name="__RefHeading___Toc7305030_3381743652"/>
      <w:bookmarkStart w:id="623" w:name="_Toc236"/>
      <w:bookmarkEnd w:id="621"/>
      <w:bookmarkEnd w:id="622"/>
      <w:r>
        <w:rPr>
          <w:rtl w:val="true"/>
        </w:rPr>
        <w:t>التاسع</w:t>
      </w:r>
      <w:r>
        <w:rPr>
          <w:rtl w:val="true"/>
        </w:rPr>
        <w:t xml:space="preserve">: </w:t>
      </w:r>
      <w:r>
        <w:rPr>
          <w:rtl w:val="true"/>
        </w:rPr>
        <w:t>ما هو الأصل المعوّل عليه عند الشكّ؟</w:t>
      </w:r>
      <w:bookmarkEnd w:id="623"/>
    </w:p>
    <w:p>
      <w:pPr>
        <w:pStyle w:val="Heading6"/>
        <w:numPr>
          <w:ilvl w:val="5"/>
          <w:numId w:val="1"/>
        </w:numPr>
        <w:rPr/>
      </w:pPr>
      <w:bookmarkStart w:id="624" w:name="__RefHeading___Toc7305032_3381743652"/>
      <w:bookmarkStart w:id="625" w:name="_Toc237"/>
      <w:bookmarkEnd w:id="624"/>
      <w:r>
        <w:rPr>
          <w:rtl w:val="true"/>
        </w:rPr>
        <w:t>اشارة</w:t>
      </w:r>
      <w:bookmarkEnd w:id="625"/>
    </w:p>
    <w:p>
      <w:pPr>
        <w:pStyle w:val="BookText"/>
        <w:rPr/>
      </w:pPr>
      <w:r>
        <w:rPr>
          <w:rFonts w:ascii="Amiri" w:hAnsi="Amiri" w:eastAsia="Amiri" w:cs="Amiri"/>
          <w:color w:val="111111"/>
          <w:sz w:val="28"/>
          <w:sz w:val="28"/>
          <w:szCs w:val="28"/>
          <w:rtl w:val="true"/>
          <w:lang w:bidi="ar-SA"/>
        </w:rPr>
        <w:t>إذا ثبت عند المجتهد دلالة النهي على الفساد أو عدم دلالته عليه فهو في غنى عن طرح هذا البحث، لعدم الحاجة إليه بعد وجود الدليل الاجتهادي على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تصل النوبة إليه إذا قصرت اليدُ عن الدليل الاجتهادي و لم يثبت أحد الأمرين، فلا محيص من الرجوع إلى الأصل العملي عند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يتعلّق الشكّ بالمسألة الأُصولية، و أُخرى بالمسألة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مصب النزاع عقلياً، أي في وجود الملازمة بين النهي و الفساد عقلاً و عدمها، فلا أصل هنا يعوّل عليه، إذ ليست للملازمة و لا لعدمها حالة سابقة، و على فرض وجودها لا شكّ في الحالة اللاحقة، إذ لو ثبت الملازمة لكانت باقية قطعاً، و لو ثبت عدمها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النزاع عقليّاً فليس هاهنا قضية متيقّنة أوّلاً، و على فرض وجودها فليس هاهنا قضية 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الملازمة و عدمها غير قابلة للاستصحاب، لأنّه يشترط فيه كون المستصحب حكماً شرعياً أو موضوعاً لحكم شرعي، و الملازمة تفتقد هذا الشرط</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كان مصبُّ النزاع في المسألة الأُصولية عقليّاً، و أمّا إذا كان لفظياً، أي في دلالة لفظ النهي على الفساد أو عدمه، فالأصل و إن كان موجوداً،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وضع النهي للفساد و لكنّها بالنسبة إلى إثبات أنّ النهي الموجود غير موضوع له مثبت، و قد ثبت في محلّه انّ استصحاب النفي التام لا يثبت النفي </w:t>
      </w:r>
      <w:bookmarkStart w:id="626" w:name="pg14356_186888"/>
    </w:p>
    <w:p>
      <w:pPr>
        <w:pStyle w:val="BookText"/>
        <w:rPr/>
      </w:pPr>
      <w:bookmarkEnd w:id="626"/>
      <w:r>
        <w:rPr>
          <w:rFonts w:ascii="Amiri" w:hAnsi="Amiri" w:eastAsia="Amiri" w:cs="Amiri"/>
          <w:color w:val="111111"/>
          <w:sz w:val="28"/>
          <w:sz w:val="28"/>
          <w:szCs w:val="28"/>
          <w:rtl w:val="true"/>
          <w:lang w:bidi="ar-SA"/>
        </w:rPr>
        <w:t>الناقص، كاستصحاب عدم قرشية هذه المرأة عند ما لم تكن موجودة و إثبات عدم قرشيتها بعد ما وجدت، لأنّ القضية المتيقّنة صادقة بانتفاء الموضوع، و القضية المشكوكة لا تصدق إلاّ بعد وجود الموضوع و انتفاء محموله، و مثله المقام حيث إنّ عدم دلالة النهي على الفساد لأجل عدم وجود الواضع و الوضع، فكان عدم دلالتها أشبه بالسالبة بانتفاء الموضوع، و المقصود إثبات عدم الدلالة بعد وجود الواضع و ثبوت الوضع و صدور النهي من المولى، فالقضية المتيقّنة سالبة بانتفاء الموضوع، و القضية المشكوكة إن صدقت صادقة بعد وجود الموضوع و الاتصاف بعدم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فثبت أنّه لا أصل مفيد إذا كان النزاع في المسألة الأُصولية، إمّا لا أصل كما إذا كان عقليّاً أو هنا أصل و لكنّه مثبت كما إذا كان النزاع لفظيّاً</w:t>
      </w:r>
      <w:r>
        <w:rPr>
          <w:rFonts w:eastAsia="Amiri" w:cs="Amiri" w:ascii="Amiri" w:hAnsi="Amiri"/>
          <w:color w:val="111111"/>
          <w:sz w:val="28"/>
          <w:szCs w:val="28"/>
          <w:rtl w:val="true"/>
          <w:lang w:bidi="ar-SA"/>
        </w:rPr>
        <w:t>.</w:t>
      </w:r>
    </w:p>
    <w:p>
      <w:pPr>
        <w:pStyle w:val="Heading6"/>
        <w:numPr>
          <w:ilvl w:val="5"/>
          <w:numId w:val="1"/>
        </w:numPr>
        <w:rPr/>
      </w:pPr>
      <w:bookmarkStart w:id="627" w:name="__RefHeading___Toc7305034_3381743652"/>
      <w:bookmarkStart w:id="628" w:name="_Toc238"/>
      <w:bookmarkEnd w:id="627"/>
      <w:r>
        <w:rPr>
          <w:rtl w:val="true"/>
        </w:rPr>
        <w:t>إذا كان الشكّ في المسألة الفرعية</w:t>
      </w:r>
      <w:bookmarkEnd w:id="628"/>
    </w:p>
    <w:p>
      <w:pPr>
        <w:pStyle w:val="BookText"/>
        <w:rPr/>
      </w:pPr>
      <w:r>
        <w:rPr>
          <w:rFonts w:ascii="Amiri" w:hAnsi="Amiri" w:eastAsia="Amiri" w:cs="Amiri"/>
          <w:color w:val="111111"/>
          <w:sz w:val="28"/>
          <w:sz w:val="28"/>
          <w:szCs w:val="28"/>
          <w:rtl w:val="true"/>
          <w:lang w:bidi="ar-SA"/>
        </w:rPr>
        <w:t>إذا كان الشكّ في المسألة الفرعية في باب المعاملات بأن شك في صحّة البيع وقت النداء، أو صحة المضاربة مع شرط اللزوم، فقد ذهب المحقّق الخراساني إلى أنّ الأصل هو الفساد، لأنّ مقتضى صحّة البيع مثلاً انتقال المبيع من ملك البائع إلى ملك المشتري و الثمن على العكس، فالأصل عدم حصول النقل و الانتقال</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في المعاملات، و أمّا في العبادات فقد أفاد المحقّق الخراساني بأنّ الأصل هو الفساد، لأنّ تعلّق النهي مانع عن تعلّق الأمر لامتناع اجتماع الأمر و النهي في شيء واحد، فصوم يوم الفطر إذا كان منهيّاً عنه يمتنع أن يتعلّق به الأمر</w:t>
      </w:r>
      <w:r>
        <w:rPr>
          <w:rFonts w:eastAsia="Amiri" w:cs="Amiri" w:ascii="Amiri" w:hAnsi="Amiri"/>
          <w:color w:val="111111"/>
          <w:sz w:val="28"/>
          <w:szCs w:val="28"/>
          <w:rtl w:val="true"/>
          <w:lang w:bidi="ar-SA"/>
        </w:rPr>
        <w:t xml:space="preserve">. </w:t>
      </w:r>
      <w:bookmarkStart w:id="629" w:name="pg14356_186889"/>
    </w:p>
    <w:p>
      <w:pPr>
        <w:pStyle w:val="Heading6"/>
        <w:numPr>
          <w:ilvl w:val="5"/>
          <w:numId w:val="1"/>
        </w:numPr>
        <w:rPr/>
      </w:pPr>
      <w:bookmarkStart w:id="630" w:name="__RefHeading___Toc7305036_3381743652"/>
      <w:bookmarkStart w:id="631" w:name="_Toc239"/>
      <w:bookmarkEnd w:id="629"/>
      <w:bookmarkEnd w:id="630"/>
      <w:r>
        <w:rPr>
          <w:rtl w:val="true"/>
        </w:rPr>
        <w:t>كلام للمحقّق الأصفهاني</w:t>
      </w:r>
      <w:bookmarkEnd w:id="631"/>
    </w:p>
    <w:p>
      <w:pPr>
        <w:pStyle w:val="BookText"/>
        <w:rPr/>
      </w:pPr>
      <w:r>
        <w:rPr>
          <w:rFonts w:ascii="Amiri" w:hAnsi="Amiri" w:eastAsia="Amiri" w:cs="Amiri"/>
          <w:color w:val="111111"/>
          <w:sz w:val="28"/>
          <w:sz w:val="28"/>
          <w:szCs w:val="28"/>
          <w:rtl w:val="true"/>
          <w:lang w:bidi="ar-SA"/>
        </w:rPr>
        <w:t>و أورد عليه المحقّق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لا شكّ في المسألة الفرعية حتّى يؤسس الأصل في مقام الشكّ، لأنّ الصحّة لو كانت بمعنى موافقة الأمر فلا شكّ في الفساد لعدم تعلّق الأمر بالعبادة مع تعلّق النهي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بمعنى موافقة المأتي به للمأمور به من حيث الملاك فهو قطعي الثبوت، فالمنهي عنه مستجمع لجميع الأجزاء و الشرائط الدخيلة في الملاك، و الشكّ في أمر آخر و هو إمكان التقرّب مع المبغوضية و عدمه، و لا أصل يقتضي أحد الأمرين، فكيف يقال الأصل الفساد؟</w:t>
      </w:r>
      <w:r>
        <w:rPr>
          <w:rStyle w:val="FootnoteAnchor"/>
          <w:rtl w:val="true"/>
        </w:rPr>
        <w:footnoteReference w:id="155"/>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ملاك الصحّة، هو الأمر، فالعبادة باطلة قطعاً بلا شكّ لعدم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ملاك الصحة هو وجود الملاك فهو صحيح قطعاً لكونه واجداً للملاك، و لو طرأ الشكّ في الصحة لأجل إمكان التقرّب مع المبغوضية و عدمه فلا أصل يعيّن أحد الطرفين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الشقّ الثاني و هو انّ الصحّة تدور حول وجود الملاك في الصلاة، و القول بأنّه قطعي الثبوت غير تام، إذ لو كان الشكّ في الصحّة لأجل ابتلاء العبادة بالمزاحم كابتلاء الصلاة بإزالة النجاسة عن المسجد، فالقول بوجود الملاك القطعي صحيح، و أمّا إذا كان الشكّ معلولاً لأجل النهي عن الجزء كقوله لا تقرأ العزائم في الصلاة، أو الوصف كالنهي عن الصلاة متكتفاً، فالقول بأنّ الملاك قطعي غير صحيح، لاحتمال أن تكون الصلاة مقيّدة بغير العزائم و التكتّف، و الشكّ في الصحّة يلازم الشكّ في كون الصلاة تامّة من حيث عدم </w:t>
      </w:r>
      <w:bookmarkStart w:id="632" w:name="pg14356_186890"/>
    </w:p>
    <w:p>
      <w:pPr>
        <w:pStyle w:val="BookText"/>
        <w:rPr/>
      </w:pPr>
      <w:bookmarkEnd w:id="632"/>
      <w:r>
        <w:rPr>
          <w:rFonts w:ascii="Amiri" w:hAnsi="Amiri" w:eastAsia="Amiri" w:cs="Amiri"/>
          <w:color w:val="111111"/>
          <w:sz w:val="28"/>
          <w:sz w:val="28"/>
          <w:szCs w:val="28"/>
          <w:rtl w:val="true"/>
          <w:lang w:bidi="ar-SA"/>
        </w:rPr>
        <w:t>المانع أو لا، فعندئذ يكون الملاك أيضاً مشكوكاً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 أنّ الشك في إمكان التقرّب مع المبغوضية و عدمه،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صحيح، لوجود الأصل و هو انّ الاشتغال اليقيني يقتضي البراءة اليقينية، فليس للمكلّف الاكتفاء بالصلاة مع سور العزائم أو التكتّف لاحتمال مانعيتها، فيجب عليه الإعادة أخذاً بقاعدة الاشتغال</w:t>
      </w:r>
      <w:r>
        <w:rPr>
          <w:rFonts w:eastAsia="Amiri" w:cs="Amiri" w:ascii="Amiri" w:hAnsi="Amiri"/>
          <w:color w:val="111111"/>
          <w:sz w:val="28"/>
          <w:szCs w:val="28"/>
          <w:rtl w:val="true"/>
          <w:lang w:bidi="ar-SA"/>
        </w:rPr>
        <w:t>.</w:t>
      </w:r>
      <w:r>
        <w:rPr>
          <w:rStyle w:val="FootnoteAnchor"/>
          <w:rtl w:val="true"/>
        </w:rPr>
        <w:footnoteReference w:id="156"/>
      </w:r>
    </w:p>
    <w:p>
      <w:pPr>
        <w:pStyle w:val="Heading6"/>
        <w:numPr>
          <w:ilvl w:val="5"/>
          <w:numId w:val="1"/>
        </w:numPr>
        <w:rPr/>
      </w:pPr>
      <w:bookmarkStart w:id="633" w:name="__RefHeading___Toc7305038_3381743652"/>
      <w:bookmarkStart w:id="634" w:name="_Toc240"/>
      <w:bookmarkEnd w:id="633"/>
      <w:r>
        <w:rPr>
          <w:rtl w:val="true"/>
        </w:rPr>
        <w:t>كلام للمحقّق النائيني</w:t>
      </w:r>
      <w:bookmarkEnd w:id="634"/>
    </w:p>
    <w:p>
      <w:pPr>
        <w:pStyle w:val="BookText"/>
        <w:rPr/>
      </w:pPr>
      <w:r>
        <w:rPr>
          <w:rFonts w:ascii="Amiri" w:hAnsi="Amiri" w:eastAsia="Amiri" w:cs="Amiri"/>
          <w:color w:val="111111"/>
          <w:sz w:val="28"/>
          <w:sz w:val="28"/>
          <w:szCs w:val="28"/>
          <w:rtl w:val="true"/>
          <w:lang w:bidi="ar-SA"/>
        </w:rPr>
        <w:t>و قد فصّل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إذا كان الشكّ في صحتها و فسادها لأجل شبهة موضوعية، كما إذا شكّ في أنّه ركع أو سجد في الركعة الأُولى أو لا؟ فمقتضى القاعدة الأُولى فسادها مع قطع النظر عن القاعدة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الفراغ و التجاوز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لأجل شبهة حكمية، فالحكم بالصحّة و الفساد عند الشكّ يبتني على الخلاف في جريان البراءة أو الاشتغال عند الشكّ في الجزئية أو الشرطية أو المانعية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 في اقتضاء النهي للفساد يستتبع الشكّ في مانعية المنهي عنه عن العبادة و عدمها و يندرج في مسألة الأقل و الأكثر</w:t>
      </w:r>
      <w:r>
        <w:rPr>
          <w:rFonts w:eastAsia="Amiri" w:cs="Amiri" w:ascii="Amiri" w:hAnsi="Amiri"/>
          <w:color w:val="111111"/>
          <w:sz w:val="28"/>
          <w:szCs w:val="28"/>
          <w:rtl w:val="true"/>
          <w:lang w:bidi="ar-SA"/>
        </w:rPr>
        <w:t>.</w:t>
      </w:r>
      <w:r>
        <w:rPr>
          <w:rStyle w:val="FootnoteAnchor"/>
          <w:rtl w:val="true"/>
        </w:rPr>
        <w:footnoteReference w:id="157"/>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كلاً من الشقين خارج عن محطّ البحث، أمّا إذا كانت الشبهة موضوعية فلا نهي هناك حتّى يدخل في صلب الموضوع، فمن يشكّ في أنّه </w:t>
      </w:r>
      <w:bookmarkStart w:id="635" w:name="pg14356_186891"/>
    </w:p>
    <w:p>
      <w:pPr>
        <w:pStyle w:val="BookText"/>
        <w:rPr/>
      </w:pPr>
      <w:bookmarkEnd w:id="635"/>
      <w:r>
        <w:rPr>
          <w:rFonts w:ascii="Amiri" w:hAnsi="Amiri" w:eastAsia="Amiri" w:cs="Amiri"/>
          <w:color w:val="111111"/>
          <w:sz w:val="28"/>
          <w:sz w:val="28"/>
          <w:szCs w:val="28"/>
          <w:rtl w:val="true"/>
          <w:lang w:bidi="ar-SA"/>
        </w:rPr>
        <w:t>ركع أو سجد لا نهي هنا قطعاً حتّى يبحث في دلالته، و أمّا إذا كانت الشبهة حكمية فالشكّ في الصحة و إن كان نابعاً من الشكّ في مانعية التكتّف أو لبس خاتم الذهب فبالتالي يدخل في مبحث الشكّ في المانعية الذي يبحث عنه في باب الاشتغال، و لكنّه خروج عن نمط البحث في المقام، فانّ البحث هنا مركّز على شيء واحد و هو دلالة النهي على الفساد و عدمها، و إرجاع البحث إلى الشكّ في المانعية و إدخاله في مبحث الأقل و الأكثر الارتباطيين خروج عن موضوع البحث</w:t>
      </w:r>
      <w:r>
        <w:rPr>
          <w:rFonts w:eastAsia="Amiri" w:cs="Amiri" w:ascii="Amiri" w:hAnsi="Amiri"/>
          <w:color w:val="111111"/>
          <w:sz w:val="28"/>
          <w:szCs w:val="28"/>
          <w:rtl w:val="true"/>
          <w:lang w:bidi="ar-SA"/>
        </w:rPr>
        <w:t>.</w:t>
      </w:r>
    </w:p>
    <w:p>
      <w:pPr>
        <w:pStyle w:val="Heading6"/>
        <w:numPr>
          <w:ilvl w:val="5"/>
          <w:numId w:val="1"/>
        </w:numPr>
        <w:rPr/>
      </w:pPr>
      <w:bookmarkStart w:id="636" w:name="__RefHeading___Toc7305040_3381743652"/>
      <w:bookmarkStart w:id="637" w:name="_Toc241"/>
      <w:bookmarkEnd w:id="636"/>
      <w:r>
        <w:rPr>
          <w:rtl w:val="true"/>
        </w:rPr>
        <w:t>كلام للمحقّق الحائري</w:t>
      </w:r>
      <w:bookmarkEnd w:id="637"/>
    </w:p>
    <w:p>
      <w:pPr>
        <w:pStyle w:val="BookText"/>
        <w:rPr/>
      </w:pPr>
      <w:r>
        <w:rPr>
          <w:rFonts w:ascii="Amiri" w:hAnsi="Amiri" w:eastAsia="Amiri" w:cs="Amiri"/>
          <w:color w:val="111111"/>
          <w:sz w:val="28"/>
          <w:sz w:val="28"/>
          <w:szCs w:val="28"/>
          <w:rtl w:val="true"/>
          <w:lang w:bidi="ar-SA"/>
        </w:rPr>
        <w:t>قد فرّق شيخ مشايخنا العلاّمة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كون النزاع لفظياً و كونه عقلياً، إذ على الأوّل يرجع الشكّ إلى تقييد دليل العبادة بغير الخصوصية كالتختّم بالذهب و التكتّف، و معه إمّا تجري البراءة أو الاشتغال على الخلاف، بخلاف ما إذا كان عقلياً، و إنّما الشكّ في القرب المعتبر في العبادات هل يحصل بإيجاد العمل في ضمن فرد محرّم، أو لا و الأصل الاشتغال حتّى يحصل القطع</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في الشق الثاني لا غبار عليه، و قد أوضحناه عند نقل كلام المحقّق الاصفهاني حيث زعم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مناط الصحة هو الملاك فيرجع إلى مبغوضية المنهي عنه و عدمها و لا أصل في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عرفت أنّ الأصل هو انّ الاشتغال اليقيني يستدعي البراءة اليقينية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يرد الإشكال على الشقّ الأوّل حيث أرجع البحث في المقام إلى الشكّ في تقييد العبادة بغير الخصوصية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التكتّف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عرفت أنّ هذا خروج عن </w:t>
      </w:r>
      <w:bookmarkStart w:id="638" w:name="pg14356_186892"/>
    </w:p>
    <w:p>
      <w:pPr>
        <w:pStyle w:val="BookText"/>
        <w:rPr/>
      </w:pPr>
      <w:bookmarkEnd w:id="638"/>
      <w:r>
        <w:rPr>
          <w:rFonts w:ascii="Amiri" w:hAnsi="Amiri" w:eastAsia="Amiri" w:cs="Amiri"/>
          <w:color w:val="111111"/>
          <w:sz w:val="28"/>
          <w:sz w:val="28"/>
          <w:szCs w:val="28"/>
          <w:rtl w:val="true"/>
          <w:lang w:bidi="ar-SA"/>
        </w:rPr>
        <w:t>موضوع البحث، بل البحث مركَّز على كون النهي مانعاً عن الصحّة أو لا، لا كون النهي سبباً للشكّ في تقييد المأمور به بعدم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في العبادات المنهية هو الفساد، إذ الشكّ في الصحّة يلازم الشكّ في حصول البراءة اليقينية، و معه تجب الإعادة و القضاء</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7305042_3381743652"/>
      <w:bookmarkStart w:id="640" w:name="_Toc242"/>
      <w:bookmarkEnd w:id="639"/>
      <w:r>
        <w:rPr>
          <w:rtl w:val="true"/>
        </w:rPr>
        <w:t>العاشر</w:t>
      </w:r>
      <w:r>
        <w:rPr>
          <w:rtl w:val="true"/>
        </w:rPr>
        <w:t xml:space="preserve">: </w:t>
      </w:r>
      <w:r>
        <w:rPr>
          <w:rtl w:val="true"/>
        </w:rPr>
        <w:t>في أقسام تعلّق النهي بالعبادة</w:t>
      </w:r>
      <w:bookmarkEnd w:id="640"/>
    </w:p>
    <w:p>
      <w:pPr>
        <w:pStyle w:val="Heading6"/>
        <w:numPr>
          <w:ilvl w:val="5"/>
          <w:numId w:val="1"/>
        </w:numPr>
        <w:rPr/>
      </w:pPr>
      <w:bookmarkStart w:id="641" w:name="__RefHeading___Toc7305044_3381743652"/>
      <w:bookmarkStart w:id="642" w:name="_Toc243"/>
      <w:bookmarkEnd w:id="641"/>
      <w:r>
        <w:rPr>
          <w:rtl w:val="true"/>
        </w:rPr>
        <w:t>اشارة</w:t>
      </w:r>
      <w:bookmarkEnd w:id="642"/>
    </w:p>
    <w:p>
      <w:pPr>
        <w:pStyle w:val="BookText"/>
        <w:rPr/>
      </w:pPr>
      <w:r>
        <w:rPr>
          <w:rFonts w:ascii="Amiri" w:hAnsi="Amiri" w:eastAsia="Amiri" w:cs="Amiri"/>
          <w:color w:val="111111"/>
          <w:sz w:val="28"/>
          <w:sz w:val="28"/>
          <w:szCs w:val="28"/>
          <w:rtl w:val="true"/>
          <w:lang w:bidi="ar-SA"/>
        </w:rPr>
        <w:t>إنّ النهي عن العبادة على أقسام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إمّا يتعلّق بنفس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جزئها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شرطها الخارج عنها كالتستّر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وصفها الملازم لها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وصفها غير الملازم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يتعلّق بها لا بالمباشرة، بل لأجل تعلّق النهي بأحد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قدّم المحقّق الخراساني البحث في تعلّق النهي بالجزء و الشرط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انتقل إلى البحث عن تعلّق النهي بنفس العبادة، و بعد إنهائه استعرض مسألة تعلّق النهي بالمعاملات، و نحن نقتفيه أيضاً فنقول</w:t>
      </w:r>
      <w:r>
        <w:rPr>
          <w:rFonts w:eastAsia="Amiri" w:cs="Amiri" w:ascii="Amiri" w:hAnsi="Amiri"/>
          <w:color w:val="111111"/>
          <w:sz w:val="28"/>
          <w:szCs w:val="28"/>
          <w:rtl w:val="true"/>
          <w:lang w:bidi="ar-SA"/>
        </w:rPr>
        <w:t>:</w:t>
      </w:r>
    </w:p>
    <w:p>
      <w:pPr>
        <w:pStyle w:val="Heading6"/>
        <w:numPr>
          <w:ilvl w:val="5"/>
          <w:numId w:val="1"/>
        </w:numPr>
        <w:rPr/>
      </w:pPr>
      <w:bookmarkStart w:id="643" w:name="__RefHeading___Toc7305046_3381743652"/>
      <w:bookmarkStart w:id="644" w:name="_Toc244"/>
      <w:bookmarkEnd w:id="643"/>
      <w:r>
        <w:rPr/>
        <w:t>1</w:t>
      </w:r>
      <w:r>
        <w:rPr>
          <w:rtl w:val="true"/>
        </w:rPr>
        <w:t xml:space="preserve">. </w:t>
      </w:r>
      <w:r>
        <w:rPr>
          <w:rtl w:val="true"/>
        </w:rPr>
        <w:t>إذا تعلّق النهي بالجزء</w:t>
      </w:r>
      <w:bookmarkEnd w:id="64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تعلّق النهي بالجزء كالنهي عن قراءة سور العزائم في الصلاة، روى زرارة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في المكتوبة بشيء من العزائم، فانّ السجود </w:t>
      </w:r>
    </w:p>
    <w:p>
      <w:pPr>
        <w:pStyle w:val="BookText"/>
        <w:rPr/>
      </w:pPr>
      <w:r>
        <w:rPr>
          <w:rFonts w:ascii="Amiri" w:hAnsi="Amiri" w:eastAsia="Amiri" w:cs="Amiri"/>
          <w:color w:val="111111"/>
          <w:sz w:val="28"/>
          <w:sz w:val="28"/>
          <w:szCs w:val="28"/>
          <w:rtl w:val="true"/>
          <w:lang w:bidi="ar-SA"/>
        </w:rPr>
        <w:t xml:space="preserve">زيادة في المكتوبة </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فقال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يوجب بطلان الجزء لكن بطلانه لا يوجب بطلان العبادة إلاّ في صورتين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اقتصر على الجزء المنهي عنه لا مع الإتيان بغيره ممّا لم يتعلّق به النهي بأن يقرأ سورة أُخرى من العزائم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استلزم الإتيان بجزء آخر، محذوراً كالقران بين السورتين و قد نهي عنه، روى الصدوق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قرآن بين السورتين في ركعة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ثمّ إنّ المحقّق النائيني أورد على نظرية المحقّق الخراساني بوجوه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الجزء، مبطل للجزء و الكلّ، أي العبادة، و إليك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النهي عن الجزء يوجب تقييد العبادة بما عدا ذلك الجزء، و تكون نسبة العبادة إلى ذلك الجزء المنهي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محالة، و اعتبار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إلى شيء، يقتضي فساد العبادة المشتملة على ذلك الشيء لعدم كون الواجد من أفراد المأمور به، بل المأمور به غيره، فالآتي بالمنهي عنه غير آت بالمأمور به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يعد زيادة في الفريضة فتبطل الصلاة بسبب الزيادة العمدية المعتبر عدمها في صحتها، و لا يعتبر في تحقّق الزيادة قصد الجزئية إذا كان المأتي به من جنس إجزاء العمل، نعم يعتبر قصد الجزئية في صدقها إذا كان المأتي به من غير جنسه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تعمّه أدلّة مبطلية مطلق التكلّم من غير تقييد بكلام الآدمي، و القدر الخارج عن هذا الإطلاق هو التكلّم بالقرآن و الذكر الجائزين، و يبقى الذكر و القرآن المنهي عنهما داخلين تحت الإطلاق</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و الوجوه الثلاثة تهدف إلى أنّ بطلان الجزء موجب لبطلان الكلّ أي نفس العبادة، فتارة من جهة فقدان وصف الصلاة، أي اللابشرط، و أُخرى من جهة الزيادة، و ثالثة من جهة كونه تكلّماً غير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حرمة جزء العبادة ليست إلاّ بمعنى حرمته في نفسه، و حرمته كذلك تقتضي بطلانه و عدم حصول الامتثال به، و أمّا تقييد العبادة بعدمه، و كون نسبتها إليه،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ممّا لا تدلّ عليه حرمة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تعبير مسامحي، فانّ الروايات الناهية عن قراءة سور العزائم في المكتوبة سلبت عنها وصف الجزئية، و صارت قراءتها فيها، كالنظر إلى الأجنبيّة في حال الصلاة، فكما أنّ الثاني، لا يبطل العبادة فهكذا قراءة العزائم، و كون السورة المنهيّة من جنس سائر الأجزاء دون النظر لا يكون فارقاً، بعد سلب عنوان الجزئية عنها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في المكتوبة بشيء من العزائم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بطلان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يلازم بطلان العبادة إذا اقتصر به، و أمّا إذا قرأ سورة أُخرى، كانت الصلاة واجدة للجزء لو لا المحذور الآخر،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بين السورتين المنهي عنه كما مرّ</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المفروض انّ المصلّي عالم بالحكم، و انّ الشارع سلب عن العزائم عنوان الجزئية فيمتنع أن يقرأها بقصد الجزئية، و إنّما يقرأها بعنوان انّه </w:t>
      </w:r>
    </w:p>
    <w:p>
      <w:pPr>
        <w:pStyle w:val="BookText"/>
        <w:rPr/>
      </w:pPr>
      <w:r>
        <w:rPr>
          <w:rFonts w:ascii="Amiri" w:hAnsi="Amiri" w:eastAsia="Amiri" w:cs="Amiri"/>
          <w:color w:val="111111"/>
          <w:sz w:val="28"/>
          <w:sz w:val="28"/>
          <w:szCs w:val="28"/>
          <w:rtl w:val="true"/>
          <w:lang w:bidi="ar-SA"/>
        </w:rPr>
        <w:t>قرآن، فعندئذ كيف يكون سبباً للزيادة مع عدم قصد الجزئية؟ و التفريق بين ما كان من سنخ العبادة و غيرها باشتراط قصدها في الثاني دون الأوّل خال عن الوجه، و ذلك للفرق الواضح بين كون شيء جزءاً تكوينياً و كونه جزءاً اعتباريّاً، فلو زاد في المركب الخارجي شيئاً عن سهو، صدق انّه زاد فيه سواء قصد الجزئية أم لا، و بين كونه جزءاً اعتبارياً للمركب الاعتباري الذي هو في الحقيقة أُمور مختلفة، متفرقة، من مقولات متشتّة، يجمعها عنوان اعتباري آخر كالصلاة، ففي مثلها، تكون جزئية الشيء رهن القصد و الاعتبار فلا يصدق انّه زاد في صلاته إلاّ إذا أتى بالجزء بما انّه جزء منه، و المفروض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أتى بالجزء بما انّه جزء للصلاة و انّه لا فرق بين العزائم و غيرها صدقت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عدّ السجود لأجل قراءة العزائم زيادة في المكتوبة كما مرّ، مع أنّه لم يقصد كونه جزءاً من الصلاة، و هذا دالّ على التفصيل بين ما يكون من جنس المزيد عليه و ما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كون السجود ماحياً للهيئة الصلاتية المعتبرة فيها كالأفعال الكثيرة المبطلة، بما هي ماحية لها، و إلا فالاستعمال أعمّ من الحقيقة، و إطلاقها على السجود في مورد لا يكون دليلاً على صحّة إطلاقها على غيره إذا لم يقصد كونه من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الثالث، فانّ المحرّم هو التكلّم بكلام الآدمي لا مطلق التكلّم حتّى يخصص بالقرآن و الذكر الجائزين و يبقى القرآن و الذكر المحرّمين تحته، و يدلّ على ذلك لسان الروايات</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بصير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تكلمت أو صرفت وجهك عن القبلة فأعد الصلاة </w:t>
      </w:r>
      <w:r>
        <w:rPr>
          <w:rFonts w:eastAsia="Amiri" w:cs="Amiri" w:ascii="Amiri" w:hAnsi="Amiri"/>
          <w:color w:val="111111"/>
          <w:sz w:val="28"/>
          <w:szCs w:val="28"/>
          <w:rtl w:val="true"/>
          <w:lang w:bidi="ar-SA"/>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أضف إلى الجميع أنّ المسألة أُصولية، لا فقهية، فيجب تحليلها على غرار سائر المسائل الأُصولية بأن يركّز على البحث في الملازمة أو دلالة النهي على الفساد، و أمّا تحليله بفقدان الوصف أو الزيادة، أو بكونه تكلّماً فهو يناسب المسائل الفرعية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تعلّق النهي بالشرط إذا تعلّق النهي بالشرط كالتستر بالحرير فهل يوجب فساد العبادة أو لا؟ ذهب المحقّق الخراساني إلى التفصيل بين أن يكون الشرط عبادة، كالطهارات الثلاث فانّ فسادها يوجب فساد المشروط، و ما لا يكون عبادة كالتستر فانّ النهي يجتمع مع الصحة لعدم لزوم قصد القربة حتّى لا تجتمع مع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غير العبادي إذا كان متقدّماً على المشروط صح ما ذكره كغسل الثوب النجس بالماء المغصوب، و الصلاة فيه بعد جفافه و أمّا إذا كان الشرط مقارناً مع الصلاة كالتستر، فانّ النهي عنه كاشف عن مبغوضيته و عدم إمكان التقرّب بالصلاة المتّحدة مع الشرط المبغوض</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هنا مشروطاً كالصلاة و قيداً كالثوب المنسوج من الحرير و تقيداً و هو الإضافة الحاصلة بين الستر و الصلاة، و ذات القيد أي نفس الثوب و إن كان خارجاً عن الصلاة، لكن التقيّد داخل فيها، فالأمر يتعلّق بالصلاة التي تكون العورة فيها مستورة، فإذا كان الشرط أي التستّر محرماً، يمتنع تعلّق الأمر الصلاتي به و لو بانبساط الأمر، و قد اشتهر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تقيّد جزء و قيد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فالتستّر جزء من الصلاة داخل فيها و إن كان نفس الستر خارجاً فالأمر النفسي المتعلّق بالمشروط، يتعلّق بالشرط أيضاً و النهي مانع عن تعلّقه به</w:t>
      </w:r>
      <w:r>
        <w:rPr>
          <w:rFonts w:eastAsia="Amiri" w:cs="Amiri" w:ascii="Amiri" w:hAnsi="Amiri"/>
          <w:color w:val="111111"/>
          <w:sz w:val="28"/>
          <w:szCs w:val="28"/>
          <w:rtl w:val="true"/>
          <w:lang w:bidi="ar-SA"/>
        </w:rPr>
        <w:t xml:space="preserve">. </w:t>
      </w:r>
      <w:bookmarkStart w:id="645" w:name="pg14356_186897"/>
    </w:p>
    <w:p>
      <w:pPr>
        <w:pStyle w:val="BookText"/>
        <w:rPr/>
      </w:pPr>
      <w:bookmarkEnd w:id="645"/>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التقيّد أمراً ذهنياً، فلا يكون متعلّقاً للأمر النفسي و لو بانبساطه إلى الأجزاء و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كونه أمراً ذهنياً أنّ وجوده ليس من سنخ الجواهر بأن يكون عيناً من الأعيان، و إلاّ يلزم أن تكون المعاني الحرفية كلّها أُموراً ذهنية فاقدة للواقعية، مع أنّها من مراتب التكوين، و لذلك يمكن أن يقال انّ التستّر، كالتعمم و التقمّص من مقولة الجدة و له واقعية كسائر الأعراض النسبية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الجزء و الشرط حيث إنّ بطلان الجزء بما هو هو لا يوجب بطلان الكل، بخلاف الشرط فانّ مبغوضية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توجب بطلان العبادة؟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واضح فانّه ليس للجزء المنهي أيُّ دور في قوام الصلاة و انّما هو فعل زائد في الصلاة موصوف بالحرمة، بمعنى أنّه لا يسري بطلانه إلى الكلّ إذا استدركه بإتيان فرد منه غير ممنوع، بخلاف الشرط فانّ له دوراً في الصلاة، لأنّه من توابع الصلاة و مكمّلاً لها حيث لا تصحّ الصلاة بلا تستر</w:t>
      </w:r>
      <w:r>
        <w:rPr>
          <w:rFonts w:eastAsia="Amiri" w:cs="Amiri" w:ascii="Amiri" w:hAnsi="Amiri"/>
          <w:color w:val="111111"/>
          <w:sz w:val="28"/>
          <w:szCs w:val="28"/>
          <w:rtl w:val="true"/>
          <w:lang w:bidi="ar-SA"/>
        </w:rPr>
        <w:t>.</w:t>
      </w:r>
    </w:p>
    <w:p>
      <w:pPr>
        <w:pStyle w:val="Heading6"/>
        <w:numPr>
          <w:ilvl w:val="5"/>
          <w:numId w:val="1"/>
        </w:numPr>
        <w:rPr/>
      </w:pPr>
      <w:bookmarkStart w:id="646" w:name="__RefHeading___Toc7305048_3381743652"/>
      <w:bookmarkStart w:id="647" w:name="_Toc245"/>
      <w:bookmarkEnd w:id="646"/>
      <w:r>
        <w:rPr/>
        <w:t>3</w:t>
      </w:r>
      <w:r>
        <w:rPr>
          <w:rtl w:val="true"/>
        </w:rPr>
        <w:t xml:space="preserve">. </w:t>
      </w:r>
      <w:r>
        <w:rPr>
          <w:rtl w:val="true"/>
        </w:rPr>
        <w:t>إذا تعلّق النهي بالوصف اللازم</w:t>
      </w:r>
      <w:bookmarkEnd w:id="647"/>
    </w:p>
    <w:p>
      <w:pPr>
        <w:pStyle w:val="BookText"/>
        <w:rPr/>
      </w:pPr>
      <w:r>
        <w:rPr>
          <w:rFonts w:ascii="Amiri" w:hAnsi="Amiri" w:eastAsia="Amiri" w:cs="Amiri"/>
          <w:color w:val="111111"/>
          <w:sz w:val="28"/>
          <w:sz w:val="28"/>
          <w:szCs w:val="28"/>
          <w:rtl w:val="true"/>
          <w:lang w:bidi="ar-SA"/>
        </w:rPr>
        <w:t>إذا تعلّق النهي بالوصف اللازم كالجهر بالقراءة في الصلوات النهارية، فهل يدلّ على فساد القراءة أو لا؟ و ربّما يفسّر الوصف اللازم بما لا ينفك عن الملزوم، كالزوجية بالنسبة إلى الأربعة، لكن التفسير خاطئ من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الجهر ليس من اللوازم غير المنفكّة، لإمكان القراءة بالمخافتة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الوصف ممّا لا ينفك، يمتنع تعلّق الوجوب بالملزوم و الحرمة </w:t>
      </w:r>
    </w:p>
    <w:p>
      <w:pPr>
        <w:pStyle w:val="BookText"/>
        <w:rPr/>
      </w:pPr>
      <w:r>
        <w:rPr>
          <w:rFonts w:ascii="Amiri" w:hAnsi="Amiri" w:eastAsia="Amiri" w:cs="Amiri"/>
          <w:color w:val="111111"/>
          <w:sz w:val="28"/>
          <w:sz w:val="28"/>
          <w:szCs w:val="28"/>
          <w:rtl w:val="true"/>
          <w:lang w:bidi="ar-SA"/>
        </w:rPr>
        <w:t>باللازم لاستلزامه طلب الضدّين و لذلك قيل بأنّ اللاّزم و إن كان لا يجب أن يكون محكوماً بحكم الملزوم لكن يجب أن لا يكون محكوماً بحكم يضادّ حكم الملزوم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المراد من اللازم ما لا يمكن سلبه مع بقاء موصوفه، و في المقام تنعدم القراءة الشخصية مع انعدام وصفها، نعم يمكن إيجاد قراءة أُخرى في ضمن صنف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للموصوف وجود مغاير للوصف حيث إنّ الجهر من كيفيّات القراءة و خصوصياتها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ذهب إلى أنّ النهي عن الوصف اللازم مساوق للنهي عن القراءة لامتناع كون القراءة التي يجهر بها مأموراً بها مع كون الجهر بها منهيّاً عنه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مبنيّ على مختاره في باب تعلّق الأحكام فانّ التحريم عنده يتعلّق بما هو مصداق الجهر خارجاً، و المفروض انّه متّحد وجوداً مع القراءة، و لو تعلّق بها الأمر، يلزم أن يتعلّق بنفس ما تعلّق به النهي لحديث اتحادهما في الخارج و هو محال، و لازم ذلك خروج القراءة عن تحت الأمر فيكون ما أتى به غير مأمور به، و ما هو المأمور به، غير مأتي به، و هذا هو الوجه لفساد القراءة عند المحقّق لا ما ذكره بعض الشرّاح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يمكن عند العقل أن يكون أحد المتلازمين واجباً و الآخر حراماً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عرفت من عدم صحّة تفسير اللازم في المقام بما ذكر</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تفسير الفساد، بامتناع التقرّب بهذه القراءة المنهية، أو استلزام النهي كون القراءة فاقدة لوصفها الشرعي،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المخافتة، كلّها خروج عن محط البحث، لأنّ البحث أُصولي، لا فقهي، و ما ذكر من الوجهين يناسب كون البحث </w:t>
      </w:r>
      <w:bookmarkStart w:id="648" w:name="pg14356_186899"/>
    </w:p>
    <w:p>
      <w:pPr>
        <w:pStyle w:val="BookText"/>
        <w:rPr/>
      </w:pPr>
      <w:bookmarkEnd w:id="648"/>
      <w:r>
        <w:rPr>
          <w:rFonts w:ascii="Amiri" w:hAnsi="Amiri" w:eastAsia="Amiri" w:cs="Amiri"/>
          <w:color w:val="111111"/>
          <w:sz w:val="28"/>
          <w:sz w:val="28"/>
          <w:szCs w:val="28"/>
          <w:rtl w:val="true"/>
          <w:lang w:bidi="ar-SA"/>
        </w:rPr>
        <w:t>فقهياً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عدم اقتضاء النهي الفساد، لما عرفت من أنّ متعلّق الأحكام هو العناوين الفعلية، و المصاديق ليست متعلّقة للأحكام، و إنّما هي مصاديق لما هو الواجب، و القراءة و الجهر من المفاهيم المختلفة فلا يسري الحكم المتعلّق بالجهر إلى القراءة و هكذا بالعكس</w:t>
      </w:r>
      <w:r>
        <w:rPr>
          <w:rFonts w:eastAsia="Amiri" w:cs="Amiri" w:ascii="Amiri" w:hAnsi="Amiri"/>
          <w:color w:val="111111"/>
          <w:sz w:val="28"/>
          <w:szCs w:val="28"/>
          <w:rtl w:val="true"/>
          <w:lang w:bidi="ar-SA"/>
        </w:rPr>
        <w:t>.</w:t>
      </w:r>
    </w:p>
    <w:p>
      <w:pPr>
        <w:pStyle w:val="Heading6"/>
        <w:numPr>
          <w:ilvl w:val="5"/>
          <w:numId w:val="1"/>
        </w:numPr>
        <w:rPr/>
      </w:pPr>
      <w:bookmarkStart w:id="649" w:name="__RefHeading___Toc7305050_3381743652"/>
      <w:bookmarkStart w:id="650" w:name="_Toc246"/>
      <w:bookmarkEnd w:id="649"/>
      <w:r>
        <w:rPr/>
        <w:t>4</w:t>
      </w:r>
      <w:r>
        <w:rPr>
          <w:rtl w:val="true"/>
        </w:rPr>
        <w:t xml:space="preserve">. </w:t>
      </w:r>
      <w:r>
        <w:rPr>
          <w:rtl w:val="true"/>
        </w:rPr>
        <w:t>إذا تعلّق النهي بالوصف المفارق</w:t>
      </w:r>
      <w:bookmarkEnd w:id="650"/>
    </w:p>
    <w:p>
      <w:pPr>
        <w:pStyle w:val="BookText"/>
        <w:rPr/>
      </w:pPr>
      <w:r>
        <w:rPr>
          <w:rFonts w:ascii="Amiri" w:hAnsi="Amiri" w:eastAsia="Amiri" w:cs="Amiri"/>
          <w:color w:val="111111"/>
          <w:sz w:val="28"/>
          <w:sz w:val="28"/>
          <w:szCs w:val="28"/>
          <w:rtl w:val="true"/>
          <w:lang w:bidi="ar-SA"/>
        </w:rPr>
        <w:t>إذا تعلّق النهي بالوصف المفارق، كالغصب بالنسبة إلى الصلاة حيث إنّ الصلاة عبارة عن الأذكار و الأفعال، و الغصب، هو الاستيلاء على مال الغير عدواناً، و هما في الخارج حقيقتان مختلفتان، بل ربّما يحصل الاستيلاء بلا تصرّف في مال الغير، كما إذا منع المالك من التصرّف في ماله، و سلب سلطانه عنه من دون أن يتصرّف في الدار، فعندئذ عدم استلزام النهي، فساد الموصوف واضح لا يحتاج إلى البيان، و أمّا فسادها لأجل عدم حصول التقرب و غيره فهو خارج عن محط البحث</w:t>
      </w:r>
      <w:r>
        <w:rPr>
          <w:rFonts w:eastAsia="Amiri" w:cs="Amiri" w:ascii="Amiri" w:hAnsi="Amiri"/>
          <w:color w:val="111111"/>
          <w:sz w:val="28"/>
          <w:szCs w:val="28"/>
          <w:rtl w:val="true"/>
          <w:lang w:bidi="ar-SA"/>
        </w:rPr>
        <w:t>.</w:t>
      </w:r>
    </w:p>
    <w:p>
      <w:pPr>
        <w:pStyle w:val="Heading6"/>
        <w:numPr>
          <w:ilvl w:val="5"/>
          <w:numId w:val="1"/>
        </w:numPr>
        <w:rPr/>
      </w:pPr>
      <w:bookmarkStart w:id="651" w:name="__RefHeading___Toc7305052_3381743652"/>
      <w:bookmarkStart w:id="652" w:name="_Toc247"/>
      <w:bookmarkEnd w:id="651"/>
      <w:r>
        <w:rPr/>
        <w:t>5</w:t>
      </w:r>
      <w:r>
        <w:rPr>
          <w:rtl w:val="true"/>
        </w:rPr>
        <w:t xml:space="preserve">. </w:t>
      </w:r>
      <w:r>
        <w:rPr>
          <w:rtl w:val="true"/>
        </w:rPr>
        <w:t>إذا تعلّق النهي بالعبادة لأجل أحد هذه النواهي</w:t>
      </w:r>
      <w:bookmarkEnd w:id="652"/>
    </w:p>
    <w:p>
      <w:pPr>
        <w:pStyle w:val="BookText"/>
        <w:rPr/>
      </w:pPr>
      <w:r>
        <w:rPr>
          <w:rFonts w:ascii="Amiri" w:hAnsi="Amiri" w:eastAsia="Amiri" w:cs="Amiri"/>
          <w:color w:val="111111"/>
          <w:sz w:val="28"/>
          <w:sz w:val="28"/>
          <w:szCs w:val="28"/>
          <w:rtl w:val="true"/>
          <w:lang w:bidi="ar-SA"/>
        </w:rPr>
        <w:t>إذا تعلّق النهي بالعبادة و كان النهي ناجماً من تعلّق النهي بالجزء، أو الشرط و غيرهما فهو على قسمين، فتارة يكون النهي عن الجزء و الشرط واسطة في العروض فيكون حكمه، حكم الواسطة، و أمّا إذا كان النهي عن أحد هذه الأُمور واسطة في الثبوت، يدخل في باب النهي المباشر عن العبادة الذي سوف يوافيك حكمه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وجهه، انّه إذا كانت الواسطة، واسطة في العروض، كقولك جرى الميزاب، </w:t>
      </w:r>
      <w:bookmarkStart w:id="653" w:name="pg14356_186900"/>
    </w:p>
    <w:p>
      <w:pPr>
        <w:pStyle w:val="BookText"/>
        <w:rPr/>
      </w:pPr>
      <w:bookmarkEnd w:id="653"/>
      <w:r>
        <w:rPr>
          <w:rFonts w:ascii="Amiri" w:hAnsi="Amiri" w:eastAsia="Amiri" w:cs="Amiri"/>
          <w:color w:val="111111"/>
          <w:sz w:val="28"/>
          <w:sz w:val="28"/>
          <w:szCs w:val="28"/>
          <w:rtl w:val="true"/>
          <w:lang w:bidi="ar-SA"/>
        </w:rPr>
        <w:t>فإنّ جريان الماء واسطة لنسبته إلى الميزاب، فلا يكون ذو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موصوفاً حقيقة بالجريان و إنّما ينسب إليه مجازاً و بالعرض، بإعطاء حكم الحالّ للمحلّ، فيكون النهي الناجم من هذه النواهي، المتعلّق بنفس العبادة، نهياً مجازيّاً لا حقيقياً، فلا يزيد حكمه على حكم الواسطة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الواسطة، واسطة في الثبوت كوساطة النار لعروض الحرارة على الماء، يكون ذو الواسطة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موصوفاً بالحرارة حقيقة، لا مجازاً، فيكون النهي المتولّد من هذه النواهي نهياً حقيقياً متعلّقاً بالمباشرة بالعبادة فيدخل في قسم النهي عن ذات العبادة الذي 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هذه الأقسام الخمسة متصوّرة في النهي عن المعاملة، فتارة يتعلّق النهي بجزء المعاملة، و أُخرى بشرطها و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لكنّها فروض لا مصداق لها في الخارج و كلّها مبتنية على كون أسماء المعاملات، أسماء للأسباب المركّبة، لا للمسببات البسيطة كالملكية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فلنعد إلى ما هو المقصود من عقد هذا الفصل، أعني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تعلّق النهي بنفس العبادة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تعلّق النهي بنفس المعاملة</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7305054_3381743652"/>
      <w:bookmarkStart w:id="655" w:name="_Toc248"/>
      <w:bookmarkEnd w:id="654"/>
      <w:r>
        <w:rPr>
          <w:rtl w:val="true"/>
        </w:rPr>
        <w:t>فيقع الكلام في مقامين</w:t>
      </w:r>
      <w:r>
        <w:rPr>
          <w:rtl w:val="true"/>
        </w:rPr>
        <w:t>.</w:t>
      </w:r>
      <w:bookmarkEnd w:id="655"/>
    </w:p>
    <w:p>
      <w:pPr>
        <w:pStyle w:val="Heading5"/>
        <w:numPr>
          <w:ilvl w:val="4"/>
          <w:numId w:val="1"/>
        </w:numPr>
        <w:rPr/>
      </w:pPr>
      <w:bookmarkStart w:id="656" w:name="__RefHeading___Toc7305056_3381743652"/>
      <w:bookmarkStart w:id="657" w:name="_Toc249"/>
      <w:bookmarkEnd w:id="656"/>
      <w:r>
        <w:rPr>
          <w:rtl w:val="true"/>
        </w:rPr>
        <w:t>المقام الأوّل</w:t>
      </w:r>
      <w:r>
        <w:rPr>
          <w:rtl w:val="true"/>
        </w:rPr>
        <w:t xml:space="preserve">: </w:t>
      </w:r>
      <w:r>
        <w:rPr>
          <w:rtl w:val="true"/>
        </w:rPr>
        <w:t>تعلّق النهي بالعبادة</w:t>
      </w:r>
      <w:bookmarkEnd w:id="657"/>
    </w:p>
    <w:p>
      <w:pPr>
        <w:pStyle w:val="Heading6"/>
        <w:numPr>
          <w:ilvl w:val="5"/>
          <w:numId w:val="1"/>
        </w:numPr>
        <w:rPr/>
      </w:pPr>
      <w:bookmarkStart w:id="658" w:name="__RefHeading___Toc7305058_3381743652"/>
      <w:bookmarkStart w:id="659" w:name="_Toc250"/>
      <w:bookmarkEnd w:id="658"/>
      <w:r>
        <w:rPr>
          <w:rtl w:val="true"/>
        </w:rPr>
        <w:t>اشارة</w:t>
      </w:r>
      <w:bookmarkEnd w:id="65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تعلّق النهي بالعبادة، فهو إمّا مولوي، و إمّا إرشادي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المولوي إمّا ذاتي أو تشريعي، فتصير الأقسام ثلاثة، و إليك بيان أحكامها</w:t>
      </w:r>
      <w:r>
        <w:rPr>
          <w:rFonts w:eastAsia="Amiri" w:cs="Amiri" w:ascii="Amiri" w:hAnsi="Amiri"/>
          <w:color w:val="111111"/>
          <w:sz w:val="28"/>
          <w:szCs w:val="28"/>
          <w:rtl w:val="true"/>
          <w:lang w:bidi="ar-SA"/>
        </w:rPr>
        <w:t xml:space="preserve">: </w:t>
      </w:r>
      <w:bookmarkStart w:id="660" w:name="pg14356_186901"/>
    </w:p>
    <w:p>
      <w:pPr>
        <w:pStyle w:val="BookText"/>
        <w:rPr/>
      </w:pPr>
      <w:bookmarkEnd w:id="66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1" w:name="__RefHeading___Toc7305060_3381743652"/>
      <w:bookmarkStart w:id="662" w:name="_Toc251"/>
      <w:bookmarkEnd w:id="661"/>
      <w:r>
        <w:rPr>
          <w:rtl w:val="true"/>
        </w:rPr>
        <w:t>الأول النهي التحريمي المولوي الذاتي</w:t>
      </w:r>
      <w:bookmarkEnd w:id="662"/>
    </w:p>
    <w:p>
      <w:pPr>
        <w:pStyle w:val="BookText"/>
        <w:rPr/>
      </w:pPr>
      <w:r>
        <w:rPr>
          <w:rFonts w:ascii="Amiri" w:hAnsi="Amiri" w:eastAsia="Amiri" w:cs="Amiri"/>
          <w:color w:val="111111"/>
          <w:sz w:val="28"/>
          <w:sz w:val="28"/>
          <w:szCs w:val="28"/>
          <w:rtl w:val="true"/>
          <w:lang w:bidi="ar-SA"/>
        </w:rPr>
        <w:t>إذا تعلّق النهي التحريمي المولوي الذاتي بذات العبادة كصلاة الحائض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الصلاة أيّام أقرائك </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وصوم يوم الفطر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صيام ستة أيام يوم الفطر، و يوم النحر</w:t>
      </w:r>
      <w:r>
        <w:rPr>
          <w:rFonts w:eastAsia="Amiri" w:cs="Amiri" w:ascii="Amiri" w:hAnsi="Amiri"/>
          <w:color w:val="111111"/>
          <w:sz w:val="28"/>
          <w:szCs w:val="28"/>
          <w:rtl w:val="true"/>
          <w:lang w:bidi="ar-SA"/>
        </w:rPr>
        <w:t>...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أو بذات العبادة، و لكن بواسطة النهي عن وصفه كصوم الوصال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وصال في الصوم </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فهل يدلّ النهي على الفساد أو لا؟ ذهب المحقّق الخراساني إلى الدلالة و استدلّ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الصحّة إمّا بمعنى مطابقة الأمر للشريعة كما عليه المتكلّمون أو بمعنى سقوط الإعادة و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الصحة فرع الأمر، و مع النهي عن ذات الشيء لا يتعلّق به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فسقوط القضاء و الإعادة فرع تمشّي قصد القربة، و مع الحرمة الذاتية كيف يتمشّى قصدها؟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المحقّق الخراساني أورد على نفسه إشكالاً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النهي في الموارد المذكورة ليس نهياً تحريمياً ذاتيّاً و إنّما هو نهي تحريمي تشريعي، و ذلك لأنّ متعلّق النهي الذاتي إمّا العبادة الشأنية، أو العبادة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ذات الفعل بلا قصد القربة، أو هو مع قصد القربة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فالأوّل ليس عبادة فلا يوصف فعلها بالحرمة، كما إذا علّمت الحائض إقامة </w:t>
      </w:r>
    </w:p>
    <w:p>
      <w:pPr>
        <w:pStyle w:val="BookText"/>
        <w:rPr/>
      </w:pPr>
      <w:r>
        <w:rPr>
          <w:rFonts w:ascii="Amiri" w:hAnsi="Amiri" w:eastAsia="Amiri" w:cs="Amiri"/>
          <w:color w:val="111111"/>
          <w:sz w:val="28"/>
          <w:sz w:val="28"/>
          <w:szCs w:val="28"/>
          <w:rtl w:val="true"/>
          <w:lang w:bidi="ar-SA"/>
        </w:rPr>
        <w:t>الصلاة من حضرها من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أي ما يكون متعلّق النهي العبادة الفعلية و التي تعلّق به الأمر بالفعل فلا يخلو إمّا أن يقصد الأمر الواقعي أو الأمر التشريعي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أمر غير ممكن لامتناع تعلّق الأمر بالمحرّم ذاتاً، و على الثاني تكون الحرمة تشريعية لا ذاتية، و معه يمتنع أن يتعلّق به نهي ذاتي لامتناع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هذه القضية المنفصلة أشار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القدرة عليها مع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الأمر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تشريعاً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الأمر التشريعي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بالنتيجة يصبح النهي تشريعيّاً لا ذاتياً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الكلام في النهي الذاتي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لتوضيح الحال نذكر صلاة التراويح التي نهي عن إقامتها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أتى بها بلا قصد الأمر الواقعي فلا تكون محرّمة، و إن أتى بها بقصد الأمر الواقعي فهو غير ممكن لامتناع تعلّق الأمر بها مع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أتى بها بالأمر التشريعي بأن ادّعى انّ الشارع أمر بصلاة التراويح جماعة فتصبح العبادة حراماً تشريعياً و يمتنع أن يتعلّق بها نهي ذاتي لامتناع اجتماعهما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أجاب عن الإشكال بوجوه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نختار الشق الأوّل و انّ المراد من العبادة، العبادة الشأنية،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الذي لو تعلّق به الأمر يكون عبادة و إن لم يتعلّق به الأمر الفعلي كصوم يوم العيدين فانّ فيه تلك القابلية،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تعلّق به الأمر يكون عبادة فالإتيان به و الحال هذه حرام ذاتي، فسقط قول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بدون قصد القربة ليس بحرام </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نختار الشق الثاني أي كون متعلّق النهي العبادة الفعلية و لكنّها </w:t>
      </w:r>
    </w:p>
    <w:p>
      <w:pPr>
        <w:pStyle w:val="BookText"/>
        <w:rPr/>
      </w:pPr>
      <w:r>
        <w:rPr>
          <w:rFonts w:ascii="Amiri" w:hAnsi="Amiri" w:eastAsia="Amiri" w:cs="Amiri"/>
          <w:color w:val="111111"/>
          <w:sz w:val="28"/>
          <w:sz w:val="28"/>
          <w:szCs w:val="28"/>
          <w:rtl w:val="true"/>
          <w:lang w:bidi="ar-SA"/>
        </w:rPr>
        <w:t>ليست رهن أمر فعلي، بل ربّما تكون عبادة ذاتية كما في نهي الحائض عن السجود للّه فتكون عبادة محرّمة ذاتاً بلا حاجة إلى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نمنع ما قاله من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الأمر التشريعي يصير حراماً تشريعيّاً و يمتنع تعلّق النهي الذاتي به لاستلزامه اجتماع المثلين، و ذلك لاختلاف متعلّق الحرمتين، لأنّ النهي الذاتي تعلّق بذات الفعل و الحرمة التشريعية تتعلّق بعقد القلب بأنّه ممّا أمر به الشارع مع أنّه لم يأمر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أنّ النهي ليس ذاتياً بل نهي تشريعي فيكون دالاً على الفساد و لا أقلّ يدلّ على أنّها ليست بمأمور بها و ان عمّها إطلاق دليل الأمر أو 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فيخصص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يقيد</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يلاحظ على الأوّل بأنّ ما ذكره و إن كان صحيحاً في تعريف العبادة و قد قلنا بصحّة التعريف في أوائل البحث، لكن عنوان البحث، أعني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النهي عن العبادة يدلّ على الفساد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ناظر إلى العبادة الفعلية لا الشأنية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الثاني بأنّه مبنيٌّ على وجود العبادة الذاتية كالسجود للّه، و قد عرفت ضعفها، لأنّه يستلزم أن يكون أمر الملائكة بالسجود لآدم أمراً بالشرك، و هو فحشاء، و اللّه سبحانه لا يأمر بالفحشاء أ تقولون على اللّه ما لا تعلمون</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على الثالث بأنّ تصوير النهيين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الذاتي و التشريعي و القول باختلاف متعلّقها صحيح على القول بإمكان التشريع وراء البدعة، و أمّا على ما حقّقناه من امتناع التشريع بالمعنى الرائج عند العلماء و هو عقد القلب بوجوب شيء يعلم بعدم وجوبه شرعاً، فهو غير متصوّر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كيف يتأتّى عقد القلب بما </w:t>
      </w:r>
      <w:bookmarkStart w:id="663" w:name="pg14356_186904"/>
    </w:p>
    <w:p>
      <w:pPr>
        <w:pStyle w:val="BookText"/>
        <w:rPr/>
      </w:pPr>
      <w:bookmarkEnd w:id="663"/>
      <w:r>
        <w:rPr>
          <w:rFonts w:ascii="Amiri" w:hAnsi="Amiri" w:eastAsia="Amiri" w:cs="Amiri"/>
          <w:color w:val="111111"/>
          <w:sz w:val="28"/>
          <w:sz w:val="28"/>
          <w:szCs w:val="28"/>
          <w:rtl w:val="true"/>
          <w:lang w:bidi="ar-SA"/>
        </w:rPr>
        <w:t>يعلم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الذي يتصوّر هو البدعة، و هو القيام العملي بنشر البدع بين الناس و القول بأنّها من الشارع، و هو غير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فهو عدول عن القول بالحرمة الذاتية و تسليم للحرمة التشريعية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ما ذكره المحقّق الخراساني و ما 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نقول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في هذه الموارد و ما شابهها ليس نهياً ذاتيّاً كالنهي عن الخمر و القمار كما يدّعيه المحقّق الخراساني، و لا نهياً تشريعيّاً كما كان يدّعيه المستشكل، بل النهي في هذه الموارد إرشادي إلى فساد العبادة و عدم تحقّقها و الذي يدلّ على ذلك هو فهم العرف في امتثال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كان العنوان موضوعاً لحكم و لم يكن العنوان مطلوباً بالذات و إنّما أمر به لأجل مصالح تترتّب عليه، غير أنّ المأمور جاهل بتركيب العنوان و أجزائه و شرائطه و موانعه، فعندئذ كلّما يصدر من الآمر أمر أو نهي فكلّها تحمل على الإرشاد إلى أجزاء الموضوع و شرائطه و موانعه،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الصلاة أيّام أقرائك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إرشاد إلى أنّ الحيض مانع عن صحّة الصلاة فلا يحصل ما 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انّ المحقّق الخراساني و من سار على نهجه أطنبوا الكلام في المقام مع انتفاء الموضوع و هو تعلّق الحرمة الذاتية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القسمين الآخرين، و إليك الكلام فيهما</w:t>
      </w:r>
      <w:r>
        <w:rPr>
          <w:rFonts w:eastAsia="Amiri" w:cs="Amiri" w:ascii="Amiri" w:hAnsi="Amiri"/>
          <w:color w:val="111111"/>
          <w:sz w:val="28"/>
          <w:szCs w:val="28"/>
          <w:rtl w:val="true"/>
          <w:lang w:bidi="ar-SA"/>
        </w:rPr>
        <w:t>.</w:t>
      </w:r>
    </w:p>
    <w:p>
      <w:pPr>
        <w:pStyle w:val="Heading6"/>
        <w:numPr>
          <w:ilvl w:val="5"/>
          <w:numId w:val="1"/>
        </w:numPr>
        <w:rPr/>
      </w:pPr>
      <w:bookmarkStart w:id="664" w:name="__RefHeading___Toc7305062_3381743652"/>
      <w:bookmarkStart w:id="665" w:name="_Toc252"/>
      <w:bookmarkEnd w:id="664"/>
      <w:r>
        <w:rPr>
          <w:rtl w:val="true"/>
        </w:rPr>
        <w:t>الثاني</w:t>
      </w:r>
      <w:r>
        <w:rPr>
          <w:rtl w:val="true"/>
        </w:rPr>
        <w:t xml:space="preserve">: </w:t>
      </w:r>
      <w:r>
        <w:rPr>
          <w:rtl w:val="true"/>
        </w:rPr>
        <w:t>النهي المولوي التشريعي</w:t>
      </w:r>
      <w:bookmarkEnd w:id="66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أوجب الإنسان على نفسه شيئاً لم يوجبه الشرع أو حرّم عليها ما لم يُحرّمه </w:t>
      </w:r>
      <w:bookmarkStart w:id="666" w:name="pg14356_186905"/>
    </w:p>
    <w:p>
      <w:pPr>
        <w:pStyle w:val="BookText"/>
        <w:rPr/>
      </w:pPr>
      <w:bookmarkEnd w:id="666"/>
      <w:r>
        <w:rPr>
          <w:rFonts w:ascii="Amiri" w:hAnsi="Amiri" w:eastAsia="Amiri" w:cs="Amiri"/>
          <w:color w:val="111111"/>
          <w:sz w:val="28"/>
          <w:sz w:val="28"/>
          <w:szCs w:val="28"/>
          <w:rtl w:val="true"/>
          <w:lang w:bidi="ar-SA"/>
        </w:rPr>
        <w:t>فأتى به أو تركه بنيّة أمره و نهيه، يكون الفعل و الترك حراماً تشريعياً لا ذاتياً، فالفعل و الترك ربّما لا يكون واجباً و لا حراماً بالذات، لكن ادّعاء تعلّق الأمر أو النهي به شرعاً، يصيِّره حراماً تشريعياً، ويحكم عليه بالفساد، سواء أقلنا بأنّ الصحة رهن الأمر، فالمفروض انّه لا أمر له و إلاّ لم يكن حراماً تشريعاً أو رهن الملاك و المفروض عدم العلم به، لأنّ الكاشف عنه هو الأمر و المفروض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حمل النواهي المتعلّقة بصوم يوم العيدين، و صلاة الحائض و صومها، و قد مضى انّ الظاهر انّها من قبيل القسم الثالث الذي سيوافيك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منه، النهي عن إقامة صلاة النوافل في ليالي رمضان بالجماعة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قسم من النهي و أسماه بالعرضي، و هو النهي المتولّد من الأمر بالشيء المقتضي للنهي عن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 فهذا النهي بما انّه عرضي، لا يوجب الفساد، إذ ليس هنا إلاّ واجب واحد، و هو الإزالة، و نسبة النهي إلى ضده،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نسبة مجازية</w:t>
      </w:r>
      <w:r>
        <w:rPr>
          <w:rFonts w:eastAsia="Amiri" w:cs="Amiri" w:ascii="Amiri" w:hAnsi="Amiri"/>
          <w:color w:val="111111"/>
          <w:sz w:val="28"/>
          <w:szCs w:val="28"/>
          <w:rtl w:val="true"/>
          <w:lang w:bidi="ar-SA"/>
        </w:rPr>
        <w:t>.</w:t>
      </w:r>
    </w:p>
    <w:p>
      <w:pPr>
        <w:pStyle w:val="Heading6"/>
        <w:numPr>
          <w:ilvl w:val="5"/>
          <w:numId w:val="1"/>
        </w:numPr>
        <w:rPr/>
      </w:pPr>
      <w:bookmarkStart w:id="667" w:name="__RefHeading___Toc7305064_3381743652"/>
      <w:bookmarkStart w:id="668" w:name="_Toc253"/>
      <w:bookmarkEnd w:id="667"/>
      <w:r>
        <w:rPr>
          <w:rtl w:val="true"/>
        </w:rPr>
        <w:t>الثالث</w:t>
      </w:r>
      <w:r>
        <w:rPr>
          <w:rtl w:val="true"/>
        </w:rPr>
        <w:t xml:space="preserve">: </w:t>
      </w:r>
      <w:r>
        <w:rPr>
          <w:rtl w:val="true"/>
        </w:rPr>
        <w:t>النهي الإرشادي</w:t>
      </w:r>
      <w:bookmarkEnd w:id="668"/>
    </w:p>
    <w:p>
      <w:pPr>
        <w:pStyle w:val="BookText"/>
        <w:rPr/>
      </w:pPr>
      <w:r>
        <w:rPr>
          <w:rFonts w:ascii="Amiri" w:hAnsi="Amiri" w:eastAsia="Amiri" w:cs="Amiri"/>
          <w:color w:val="111111"/>
          <w:sz w:val="28"/>
          <w:sz w:val="28"/>
          <w:szCs w:val="28"/>
          <w:rtl w:val="true"/>
          <w:lang w:bidi="ar-SA"/>
        </w:rPr>
        <w:t>قد عرفت أنّه إذا أمر المولى بعنوان طريق لإحراز المصالح، فالأوامر و النواهي المبيّنة، لإجزائه و شرائطه و موانعه، نواهي إرشادية إلى بيان الأجزاء و الشرائط و الموانع، و ربما يكون المرشد إليه هو الكراهة كما في النهي عن الصلاة في الحمام، و في البيت و هو جار للمسجد، فانّ المتبادر بعد الإجماع على الصحة هو الإرشاد إلى الكراهة</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يكون النهي المتعلّق بالعنوان، إرشاداً إلى كونه فاسداً كما في النهي عن صوم العيدين</w:t>
      </w:r>
      <w:r>
        <w:rPr>
          <w:rFonts w:eastAsia="Amiri" w:cs="Amiri" w:ascii="Amiri" w:hAnsi="Amiri"/>
          <w:color w:val="111111"/>
          <w:sz w:val="28"/>
          <w:szCs w:val="28"/>
          <w:rtl w:val="true"/>
          <w:lang w:bidi="ar-SA"/>
        </w:rPr>
        <w:t xml:space="preserve">. </w:t>
      </w:r>
      <w:bookmarkStart w:id="669" w:name="pg14356_186906"/>
    </w:p>
    <w:p>
      <w:pPr>
        <w:pStyle w:val="Heading5"/>
        <w:numPr>
          <w:ilvl w:val="4"/>
          <w:numId w:val="1"/>
        </w:numPr>
        <w:rPr/>
      </w:pPr>
      <w:bookmarkStart w:id="670" w:name="__RefHeading___Toc7305066_3381743652"/>
      <w:bookmarkStart w:id="671" w:name="_Toc254"/>
      <w:bookmarkEnd w:id="669"/>
      <w:bookmarkEnd w:id="670"/>
      <w:r>
        <w:rPr>
          <w:rtl w:val="true"/>
        </w:rPr>
        <w:t>المقام الثاني دلالة النهي على الفساد في المعاملات</w:t>
      </w:r>
      <w:bookmarkEnd w:id="671"/>
    </w:p>
    <w:p>
      <w:pPr>
        <w:pStyle w:val="Heading6"/>
        <w:numPr>
          <w:ilvl w:val="5"/>
          <w:numId w:val="1"/>
        </w:numPr>
        <w:rPr/>
      </w:pPr>
      <w:bookmarkStart w:id="672" w:name="__RefHeading___Toc7305068_3381743652"/>
      <w:bookmarkStart w:id="673" w:name="_Toc255"/>
      <w:bookmarkEnd w:id="672"/>
      <w:r>
        <w:rPr>
          <w:rtl w:val="true"/>
        </w:rPr>
        <w:t>اشارة</w:t>
      </w:r>
      <w:bookmarkEnd w:id="673"/>
    </w:p>
    <w:p>
      <w:pPr>
        <w:pStyle w:val="BookText"/>
        <w:rPr/>
      </w:pPr>
      <w:r>
        <w:rPr>
          <w:rFonts w:ascii="Amiri" w:hAnsi="Amiri" w:eastAsia="Amiri" w:cs="Amiri"/>
          <w:color w:val="111111"/>
          <w:sz w:val="28"/>
          <w:sz w:val="28"/>
          <w:szCs w:val="28"/>
          <w:rtl w:val="true"/>
          <w:lang w:bidi="ar-SA"/>
        </w:rPr>
        <w:t>قد عرفت حكم النهي عن العبادة و لم يذكر له المحقّق الخراساني إلاّ قسماً واحداً و هو تعلّق النهي المولوي التحريمي بذات العبادة، و قد أضفنا إليه قسمين آخرين و هو تعلّق النهي التشريعي بالعبادة، أو النهي الإرشادي إلى الفساد، و قد أشرنا إلى أنّه ليس للقسم الأوّل مصداق في الفقه، و انّ دلالة النهي على الفساد في القسمين الأخيرين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المعاملات فقد ذكر له المحقّق الخراساني أقساماً خمسة أنكر دلالة النهي فيها على الفساد إلاّ في القسم الرابع و الخامس، و إليك الإشارة إلى أقسامها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تعلّق النهي بنفس المعاملة بما هو فعل مباشري كالعقد وقت النداء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تعلّق النهي بمضمون المعاملة بما هو فعل بالتسبيب كالنهي عن بيع المصحف من الكافر فالمنهي عنه هو مالكيته المتحققة بالبيع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تعلّق النهي بالتسبيب بها إليه و إن لم يكن السبب و لا المسبب بما هو فعل من الأفعال بحرام، و هذا كالتسبب إلى الطلاق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خليّة، و مثل المحقّق البروجردي بالظهار، فانّ التلفّظ 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ظهرك كظهر أُمّي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بحرام، كما أنّ مفارقة الزوجة مثله، فالمبغوض هو تحصيل المسبب بذلك السبب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رابعها أن يتعلّق النهي بما لا يكاد يحرم مع صحّة المعاملة مثل النهي عن </w:t>
      </w:r>
    </w:p>
    <w:p>
      <w:pPr>
        <w:pStyle w:val="BookText"/>
        <w:rPr/>
      </w:pPr>
      <w:r>
        <w:rPr>
          <w:rFonts w:ascii="Amiri" w:hAnsi="Amiri" w:eastAsia="Amiri" w:cs="Amiri"/>
          <w:color w:val="111111"/>
          <w:sz w:val="28"/>
          <w:sz w:val="28"/>
          <w:szCs w:val="28"/>
          <w:rtl w:val="true"/>
          <w:lang w:bidi="ar-SA"/>
        </w:rPr>
        <w:t>أكل الثمن و المثمن في بيع المنابذة، أو بيع شيء كالخمر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ظاهراً في الإرشاد إلى الفساد و خص الدلالة على الفساد بالعقود و الإيقاعات لا مطلق المعاملات كالنهي عن غسل الثوب النجس بماء 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قسم سادس لم يتعرّض له المحقّق الخراساني و هو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ورد نهي و لم يعلم أنّه من مصاديق أيِّ قسم من الأقسام الخمسة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فإنّ تعلّق النهي بالفعل المباشري أي صدور العقد وقت النداء لكونه مانعاً من درك الفريضة لا بمضمونه، فهو لا يلازم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معنى لتعلّق النهي بنفس التلفّظ بالعقد مع كونه غير مبغوض، بل النهي تعلّق في الواقع بالاشتغال بغير ذكر اللّه، و لما كان البيع من أغلب ما يوجب الاشتغال بغيره، خصّ بالذكر و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ذَرُوا الْبَيْعَ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 النهي في المقام لما لم يكن ناشئاً عن مفسدة موجودة في المتعلّق لا في لفظه و لا في معناه، بل كان لأجل كونه مفوّتاً للمصلحة فيكون النهي في الواقع تأكيداً للأمر بإتيان الواجب لا شيئاً زائداً، و كان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فَاسْعَوْا إِلى ذِكْرِ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و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ذَرُوا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وجهين لعُملة واحدة فتارة يعبر عنه بالأمر به و أُخرى بالنهي عمّا يزاحمه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يمثّل بإجراء العقد مُحْرِماً، لنفسه أو غيره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الثاني، أي تعلّق النهي بمضمون المعاملة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هو فعل تسبيبي لا مباشري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ذهب الشيخ الأعظم و المحقّق الخراساني إلى عدم دلالته على الفساد، لأنّ غاية ما يدلّ عليه النهي هو كونه مبغوضاً، و أمّا كونه فاسداً فلا، بشرط أن لا يكون النهي إرشاداً إلى الفساد، و لم يكن لسانُه لسانَ تقييد العمومات </w:t>
      </w:r>
    </w:p>
    <w:p>
      <w:pPr>
        <w:pStyle w:val="BookText"/>
        <w:rPr/>
      </w:pPr>
      <w:r>
        <w:rPr>
          <w:rFonts w:ascii="IRNazanin" w:hAnsi="IRNazanin" w:eastAsia="IRNazanin"/>
          <w:color w:val="111111"/>
          <w:sz w:val="28"/>
          <w:sz w:val="28"/>
          <w:szCs w:val="28"/>
          <w:rtl w:val="true"/>
          <w:lang w:bidi="fa-IR"/>
        </w:rPr>
        <w:t>و المطلقات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ذهب المحقّق النائيني إلى دلالته على الفساد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يشترط في صحّة المعاملة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كلّ من المتعاملين مالكاً للعين أو بحكم المالك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محجوراً عن التصرّف فيها من جهة تعلّق حقّ الغير بها أو لغير ذلك من أسباب الحجر لتكون له السلطنة الفعلية على التصرّف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لا يكون لإيجاد المعاملة سبب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إذا تعلّق النهي بالمسبب و بنفس الملكية المنشأة كالنهي عن بيع المصحف، كان النهي معجزاً مولوياً للمكلّف و رافعاً للسلطنة عليه، فلا يكون المكلّف مسلّطاً على المعاملة في حكم الشارع و يترتب على ذلك فسادها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استشهد على ما رامه بأنّ الفقهاء حكموا بفساد البيع في الموارد التالية لأجل فقدان هذا الشرط أي ما يكون محجوراً عن التصرّف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الإجارة على إنجاز الواجبات المجّانية، لأنّ العمل لوجوبه عليه، خارجة عن سلطانه و مملوك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بيع منذور الصدقة فانّ النذر يجعل المكلّف محجوراً عن التصرّف المنافي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حجر المشتري عن بيع خاص كما إذا باع الدار، و شرط على المشتري عدم بيعه من زيد، فيبطل لو باعه، لحجر المكلّف حسب ما التزم في هذا النوع من التصرّف فيترتّب عليه الفساد</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الثاني لصحّة المعاملة عبارة عن عدم كون البائع محجوراً شرعاً كالسفيه، و عدم كون مورد المعاملة متعلّقاً لحقّ الغير كالعين المرهونة التي تعلّق بها حقّ المرتهن أو ورثة الميّت، و كأموال المفلّس التي تعلّق بها حقّ الديّان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ادّعاه من أنّ شرط صحّة المعاملة اشتراط كون التصرّف حلالاً و غير حرام، فلم يقم عليه دليل، فإذا كان التصرّف مبغوضاً، لا لأجل تعلّق حق الغير به، و لا لأجل كون المتصرّف محجوراً، بل لنهي الشارع عن التصرّف كالنهي عن بيع المصحف فلا دليل على كونه شرطاً في الصحّة، نعم هو حرام لكن ليس كلّ حرام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الموارد التي استشهد بها على ما ادّعى من الشرط مورد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الإجارة على الواجبات المجانية، فإنّما هو لأجل تعلّق غرض الشارع بتحقّقها في الخارج بالمجان لا لكون العمل مملوكاً للّه سبحانه أو كون الأجير محجوراً عن التصرّف، و ذلك فان أريد من كونه مملوكاً للّه تكويناً فالكون و ما فيه حتّى أفعال الإنسان مملوك للّه سبحانه مع أنّه يجوز عقد الإجارة على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كونه مملوكاً للّه تعالى اعتباراً و بالتقنين و التشريع، فاللّه سبحانه فوق هذا و في غنى عن كونه مالكاً قانوناً بعد كونه مالكاً حقيقة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فَأَنَّ لِلّهِ خُمُسَهُ وَ لِلرَّسُولِ وَ لِذِي الْقُرْبى </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 xml:space="preserve">فاللام للاختصاص لا للملكية، و على فرض كونها للملكية بعد كونه سبحانه مالكاً لأجل اقترانه بمالكية الرسول وذي القربى، فعبّر عن الأوّل بلفظ الأخيرين و هذا </w:t>
      </w:r>
      <w:bookmarkStart w:id="674" w:name="pg14356_186910"/>
    </w:p>
    <w:p>
      <w:pPr>
        <w:pStyle w:val="BookText"/>
        <w:rPr/>
      </w:pPr>
      <w:bookmarkEnd w:id="674"/>
      <w:r>
        <w:rPr>
          <w:rFonts w:ascii="Amiri" w:hAnsi="Amiri" w:eastAsia="Amiri" w:cs="Amiri"/>
          <w:color w:val="111111"/>
          <w:sz w:val="28"/>
          <w:sz w:val="28"/>
          <w:szCs w:val="28"/>
          <w:rtl w:val="true"/>
          <w:lang w:bidi="ar-SA"/>
        </w:rPr>
        <w:t>ما يوصف في علم البديع،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بالمشاكلة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يَمْكُرُونَ وَ يَمْكُرُ اللّهُ وَ اللّهُ خَيْرُ الْماكِرِينَ </w:t>
      </w:r>
      <w:r>
        <w:rPr>
          <w:rFonts w:eastAsia="Amiri" w:cs="Amiri" w:ascii="Amiri" w:hAnsi="Amiri"/>
          <w:color w:val="111111"/>
          <w:sz w:val="28"/>
          <w:szCs w:val="28"/>
          <w:rtl w:val="true"/>
          <w:lang w:bidi="ar-SA"/>
        </w:rPr>
        <w:t>).</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و أمّا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المنذور، فهو بين صحيح و فاسد فانّ تعلّق النذر بالفعل، أي الالتزام بأن ينذر للّه سبحانه، فلو لم يفعل فقد حنث نذره و لكن المنذور باق على ملكه له أن يبيع و يهب، و هذا ما يعبّر عنه بنذر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تعلّق النذر بالنتيجة أي التزم أن يكون قطيع الغنم صدقة إذا قضيت حاجته، فبعد القضاء تكون العين خارجة عن ملك الناذر و لا يجوز له البيع لعدم كونه مالكاً و هذا ما يعبّر عنه بنذر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النذر نذر فعل فالمعاملة صحيحة و ليس عليه إلاّ كفّارة الحنث، و إن كان نذر نتيجة فالبيع باطل لعدم كونه مالكاً للعين عند البيع لدخولها في ملك المنذور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إذا شرط في البيع، عدم بيعها من زيد فالظاهر انّه لو باعه منه صحّ البيع و للبائع الأوّل خيار تخلّف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تحصّل من ذلك انّه لم يقم دليل على أنّ جواز التصرّف في المبيع من شروط الصحّة أوّلاً و إنّ ما رتّب عليه من المسائل الثلاث لا تصلح للاستشهاد كما عرفت ثانياً</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7305070_3381743652"/>
      <w:bookmarkStart w:id="676" w:name="_Toc256"/>
      <w:bookmarkEnd w:id="675"/>
      <w:r>
        <w:rPr>
          <w:rtl w:val="true"/>
        </w:rPr>
        <w:t>إكمال</w:t>
      </w:r>
      <w:r>
        <w:rPr>
          <w:rtl w:val="true"/>
        </w:rPr>
        <w:t xml:space="preserve">: </w:t>
      </w:r>
      <w:r>
        <w:rPr>
          <w:rtl w:val="true"/>
        </w:rPr>
        <w:t>الاستدلال بصحيحة زرارة</w:t>
      </w:r>
      <w:bookmarkEnd w:id="676"/>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يستدلّ بصحيحة زرارة على الملازمة الشرعية بين النهي المولوي التحريمي و الفساد نظير الملازمة المستفادة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قصّرتَ أفطرتَ </w:t>
      </w:r>
      <w:r>
        <w:rPr>
          <w:rFonts w:eastAsia="Amiri" w:cs="Amiri" w:ascii="Amiri" w:hAnsi="Amiri"/>
          <w:color w:val="111111"/>
          <w:sz w:val="28"/>
          <w:szCs w:val="28"/>
          <w:rtl w:val="true"/>
          <w:lang w:bidi="ar-SA"/>
        </w:rPr>
        <w:t>«</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و إليك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زرارة،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تزوج بغير إذن سيّده،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إلى سيّده إن شاء أجازه و إن شاء فرّق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الحكم بن عتيبة و إبراهيم النخعي و أصحابَهما،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النكاح فاسد و لا تُحِلُّ إجازة السيّد له،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يعص اللّه، و إنّما عصى سيّده، فإذا أجاز فهو له جائز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يعص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كان هنا عصيان بالنسبة إليه تعالى كان فاسداً و المراد من العصيان هو العصيان التكليفي، و بما انّه لم يكن هناك عصيان بالنسبة إلى اللّه سبحانه لم يكن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ظاهر هذا الحديث كلّ ما تعلّق به النهي التحريمي فهو يدلّ على فساد متعلّقه إذا أتى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سؤالاً آخر و هو أنّه كيف فرّق الإمام بين عصيان اللّه و عصيان السيد،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يعص اللّه و إنّما عصى سيّده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عصيان السيّد يلازم عصيانه سبحانه، لانّه تعالى أمر العبد بإطاعة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التصرّف في شيء إلاّ بإذنه، فإذا خالف مولاه و سيده فهو في الحقيقة خالف أمر اللّه تعالى، فكيف فرَّق بينهما في الحديث؟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عن الاستدلال بالحديث أوّلاً، و الإجابة عن وجه التفريق بين العصيانين ثانياً يظهر بالبيان التالي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الاستدلال بالحديث على أنّ العصيان يلازم الفساد في النهي التحريمي، مبنيّ على تفسير العصيان في الرواية بالعصيان التكليفي، أي ما </w:t>
      </w:r>
    </w:p>
    <w:p>
      <w:pPr>
        <w:pStyle w:val="BookText"/>
        <w:rPr/>
      </w:pPr>
      <w:r>
        <w:rPr>
          <w:rFonts w:ascii="Amiri" w:hAnsi="Amiri" w:eastAsia="Amiri" w:cs="Amiri"/>
          <w:color w:val="111111"/>
          <w:sz w:val="28"/>
          <w:sz w:val="28"/>
          <w:szCs w:val="28"/>
          <w:rtl w:val="true"/>
          <w:lang w:bidi="ar-SA"/>
        </w:rPr>
        <w:t>يستلزم العقوبةَ و المؤاخذةَ في الآخرة، و حينئذٍ يدلّ على أنّ كلّ مخالفة شرعية للحكم التحريمي في مورد المعاملات، يوجب الفساد و يثبت مقصود المستدل، كما يوجب طرح السؤال عن التفريق بين العصيانين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قلنا بأنّ المراد من العصيان في المقام هو العصيان الوضعي، أي كون الشيء موافقاً للضوابط أو مخالفاً لها، فعندئذ يسقط الاستدلال أوّلاً، و لا يبقى مجال لطرح السؤال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مورد العصيان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المراد منه في كلا المقامين، العصيانَ التكليفي المستتبع للعقاب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المراد منه في كلا الموردين، العصيانَ الوضعي المستتبع للفساد قطعاً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المراد من العصيان في الأوّل، العصيان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الثاني العصيان التكليفي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عكس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التفريق بين العصيانين خلاف الظاهر فيحمل على معنى واحد، و بذلك يبطل الاحتمالان الأخيران المبنيّان على التفريق بين العصيانين، و لكن الظاهر من الرواية و الرواية التالية هو العصيان الوضعي الذي يراد منه كون الشيء غير موافق للقانون و الضابطة الشرعيّة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ذلك أنّ الإمام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فسّر العصيان في رواية أُخرى بالنكاح في عدّة و أشباهه الذي يكون نكاحها على خلاف الشريعة و قوانينها، </w:t>
      </w:r>
    </w:p>
    <w:p>
      <w:pPr>
        <w:pStyle w:val="BookText"/>
        <w:rPr/>
      </w:pPr>
      <w:r>
        <w:rPr>
          <w:rFonts w:ascii="Amiri" w:hAnsi="Amiri" w:eastAsia="Amiri" w:cs="Amiri"/>
          <w:color w:val="111111"/>
          <w:sz w:val="28"/>
          <w:sz w:val="28"/>
          <w:szCs w:val="28"/>
          <w:rtl w:val="true"/>
          <w:lang w:bidi="ar-SA"/>
        </w:rPr>
        <w:t>و إليك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زرارة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عبدُه امرأةً بغير إذنه فدخل بها ثمّ اطّلع على ذلك 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لمولاه إن شاء فرّق بينهما و إن شاء أجاز نكاحهما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أصل النكاح كان عاصياً، فقال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أتى شيئاً حلالاً و ليس بعاص للّه و إنّما عصى سيده و لم يعص اللّه إنّ ذلك ليس كإتيان ما حرّم اللّه عليه من نكاح في عدة و أشباهه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ترى أنّ الإمام يفسّر العصيان المنفي في المقام بما حرّم اللّه عليه من النكاح في العدة، فتكون النتيجة أنّ الإمام ينفي العصيان الوضعي في المورد من غير تعرّض للعصيان التكليفي، و من المعلوم أنّ العصيان الوضعي يلازم الفساد، لأنّ كون العمل غير موافق للضابطة عبارة أُخرى عن عدم إمضاء الشارع له، و هو لا ينفك عن الفساد، بخلاف العصيان التكليفي الذي نحن بصدد بيان حكمه فلا يلازم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نكاح العبد تعتمد على دعامتين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المنكوحة محللة النكاح و لا يكون بينها و بين الزوج ما يحرمه عليه من النسب و الرضاع و المصاهرة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ممّا حرّم اللّه نكاحه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 أَخَواتُكُمْ وَ عَمّاتُكُمْ وَ خالاتُكُمْ</w:t>
      </w:r>
      <w:r>
        <w:rPr>
          <w:rFonts w:eastAsia="Amiri" w:cs="Amiri" w:ascii="Amiri" w:hAnsi="Amiri"/>
          <w:color w:val="111111"/>
          <w:sz w:val="28"/>
          <w:szCs w:val="28"/>
          <w:rtl w:val="true"/>
          <w:lang w:bidi="ar-SA"/>
        </w:rPr>
        <w:t>...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المفروض تحقّق هذا الشرط</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العقد من العبد عن رضا المولى، و المفروض انتفاء هذا </w:t>
      </w:r>
      <w:bookmarkStart w:id="677" w:name="pg14356_186914"/>
    </w:p>
    <w:p>
      <w:pPr>
        <w:pStyle w:val="BookText"/>
        <w:rPr/>
      </w:pPr>
      <w:bookmarkEnd w:id="677"/>
      <w:r>
        <w:rPr>
          <w:rFonts w:ascii="Amiri" w:hAnsi="Amiri" w:eastAsia="Amiri" w:cs="Amiri"/>
          <w:color w:val="111111"/>
          <w:sz w:val="28"/>
          <w:sz w:val="28"/>
          <w:szCs w:val="28"/>
          <w:rtl w:val="true"/>
          <w:lang w:bidi="ar-SA"/>
        </w:rPr>
        <w:t>الشرط، فنكاح العبد جامع للشرط الأوّل دون الشرط الثاني، فإذا حاز الشرطَ الثاني يكتمل الموضوع و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نكاح العبد عقد فضولي صدر من أهله و وضع في محله، و لكنّه يفقد شرطاً من شروط الصحّة الوضعية، فإذا حاز شرطها يحكم عليه بالصحة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تحيط بالاجابة عن 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الاستدلال فقد عرفت أنّه مبنيّ على تفسير العصيان بالحرمة التكليفية التي هي محلّ البحث و النقاش، و لكن المراد من العصيان هو الوضعية، فالعصيان الوضعي يلازم الفساد، لا العصيان التكليفي الذي هو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فانّ الملازمة بين عصيان السيّد و عصيانه سبحانه إنّما هو في مرحلة الحرمة التكليفية، و المفروض أنّها غير مطروحة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الحرمة الوضعية أي كون العقد مشروطاً برضا المولى فهو من خصائصه حيث أعطى له سبحانه تلك الخصيصة فله أن يجيز و له أن لا يجيز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من الجواب هو أوضح ما يمكن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يظهر من تقريرات سيّد مشايخنا المحقّق البروجردي ارتضاؤه لهذا الجواب</w:t>
      </w:r>
      <w:r>
        <w:rPr>
          <w:rFonts w:eastAsia="Amiri" w:cs="Amiri" w:ascii="Amiri" w:hAnsi="Amiri"/>
          <w:color w:val="111111"/>
          <w:sz w:val="28"/>
          <w:szCs w:val="28"/>
          <w:rtl w:val="true"/>
          <w:lang w:bidi="ar-SA"/>
        </w:rPr>
        <w:t>.</w:t>
      </w:r>
      <w:r>
        <w:rPr>
          <w:rStyle w:val="FootnoteAnchor"/>
          <w:rtl w:val="true"/>
        </w:rPr>
        <w:footnoteReference w:id="174"/>
      </w:r>
    </w:p>
    <w:p>
      <w:pPr>
        <w:pStyle w:val="Heading6"/>
        <w:numPr>
          <w:ilvl w:val="5"/>
          <w:numId w:val="1"/>
        </w:numPr>
        <w:rPr/>
      </w:pPr>
      <w:bookmarkStart w:id="678" w:name="__RefHeading___Toc7305072_3381743652"/>
      <w:bookmarkStart w:id="679" w:name="_Toc257"/>
      <w:bookmarkEnd w:id="678"/>
      <w:r>
        <w:rPr>
          <w:rtl w:val="true"/>
        </w:rPr>
        <w:t>تذنيب</w:t>
      </w:r>
      <w:r>
        <w:rPr>
          <w:rtl w:val="true"/>
        </w:rPr>
        <w:t xml:space="preserve">: </w:t>
      </w:r>
      <w:r>
        <w:rPr>
          <w:rtl w:val="true"/>
        </w:rPr>
        <w:t>في ملازمة النهي للصحّة</w:t>
      </w:r>
      <w:bookmarkEnd w:id="679"/>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الأُصوليين ركّزوا على البحث في دلالة النهي على الفساد و عدم دلالته، و لكن أبا حنيفة و تلميذيه أبا يوسف و محمد بن الحسن الشيباني، </w:t>
      </w:r>
      <w:bookmarkStart w:id="680" w:name="pg14356_186915"/>
    </w:p>
    <w:p>
      <w:pPr>
        <w:pStyle w:val="BookText"/>
        <w:rPr/>
      </w:pPr>
      <w:bookmarkEnd w:id="680"/>
      <w:r>
        <w:rPr>
          <w:rFonts w:ascii="Amiri" w:hAnsi="Amiri" w:eastAsia="Amiri" w:cs="Amiri"/>
          <w:color w:val="111111"/>
          <w:sz w:val="28"/>
          <w:sz w:val="28"/>
          <w:szCs w:val="28"/>
          <w:rtl w:val="true"/>
          <w:lang w:bidi="ar-SA"/>
        </w:rPr>
        <w:t>و حُكي عن فخر المحقّقين أيضاً انّ النهي يدل على الصحّة مكان دلالته على الفساد، و هذا من غريب الدعاوي حيث يجتني الصحة من النهي مكان اجتناء المشهور الفساد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ذكره أبو حنيفة و تلميذاه من البيان غير موجود بأيدينا و لكن</w:t>
      </w:r>
    </w:p>
    <w:p>
      <w:pPr>
        <w:pStyle w:val="Heading6"/>
        <w:numPr>
          <w:ilvl w:val="5"/>
          <w:numId w:val="1"/>
        </w:numPr>
        <w:rPr/>
      </w:pPr>
      <w:bookmarkStart w:id="681" w:name="__RefHeading___Toc7305074_3381743652"/>
      <w:bookmarkStart w:id="682" w:name="_Toc258"/>
      <w:bookmarkEnd w:id="681"/>
      <w:r>
        <w:rPr>
          <w:rtl w:val="true"/>
        </w:rPr>
        <w:t>المحقّق القمي نقل في المقام بيانين</w:t>
      </w:r>
      <w:bookmarkEnd w:id="6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كلّ واحد على وجه الإيجاز</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7305076_3381743652"/>
      <w:bookmarkStart w:id="684" w:name="_Toc259"/>
      <w:bookmarkEnd w:id="683"/>
      <w:r>
        <w:rPr>
          <w:rtl w:val="true"/>
        </w:rPr>
        <w:t>الأوّل</w:t>
      </w:r>
      <w:r>
        <w:rPr>
          <w:rtl w:val="true"/>
        </w:rPr>
        <w:t xml:space="preserve">: </w:t>
      </w:r>
      <w:r>
        <w:rPr>
          <w:rtl w:val="true"/>
        </w:rPr>
        <w:t>المنهي عنه هو الصوم الشرعي لا اللغوي</w:t>
      </w:r>
      <w:bookmarkEnd w:id="684"/>
    </w:p>
    <w:p>
      <w:pPr>
        <w:pStyle w:val="BookText"/>
        <w:rPr/>
      </w:pPr>
      <w:r>
        <w:rPr>
          <w:rFonts w:ascii="Amiri" w:hAnsi="Amiri" w:eastAsia="Amiri" w:cs="Amiri"/>
          <w:color w:val="111111"/>
          <w:sz w:val="28"/>
          <w:sz w:val="28"/>
          <w:szCs w:val="28"/>
          <w:rtl w:val="true"/>
          <w:lang w:bidi="ar-SA"/>
        </w:rPr>
        <w:t>ليس المراد دلالة النهي على الصحة بالدلالة المطابقية أو التضمنية، إذ ليست الصحة نفس مفاد النهي لا عيناً و لا جزءاً، بل المراد انّه يستلزم الصحة، فقول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تصم يوم 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إطلاق الصوم على صومها و الصلاة على صلاتها، و الأصل في الإطلاق الحقيقة، فلو لم يكن مورد النهي صحيحاً لم يصدق تعلّق النهي على أمر شرعي فيكون المنهي عنه مثل الإمساك و الدعاء و نحو ذلك و هو باطل إذ نحن نجزم بأنّ المنهي عنه أمر شرعي</w:t>
      </w:r>
      <w:r>
        <w:rPr>
          <w:rFonts w:eastAsia="Amiri" w:cs="Amiri" w:ascii="Amiri" w:hAnsi="Amiri"/>
          <w:color w:val="111111"/>
          <w:sz w:val="28"/>
          <w:szCs w:val="28"/>
          <w:rtl w:val="true"/>
          <w:lang w:bidi="ar-SA"/>
        </w:rPr>
        <w:t>.</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و حاصل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المنهي عنه إمّا الصوم أو الصلاة بمفهومهما الشرعي أو بمفهومهما اللغوي، و الثاني غير منهيّ عنه، و الأوّل يلازم الصحة، فإذا تعلّق النهي بالصوم الشرعي فقد تعلّق بالصوم الصحيح، لأنّ كلّ صوم شرعي صحيح، و هذا ما قلنا من أنّ النهي يدلّ على الصحة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الأمر غير دائر بين شيئين، بل هناك أمر ثالث يعد قسماً من الشرعي، و هو انّ الأمر تعلّق بالصوم أو الصلاة بمفهومهما الشرعي، لكنّه أعمّ من الصحة و الفساد، فالصلاة غير الصحيحة و الصوم الفاسد كلاهما من العبادات </w:t>
      </w:r>
      <w:bookmarkStart w:id="685" w:name="pg14356_186916"/>
    </w:p>
    <w:p>
      <w:pPr>
        <w:pStyle w:val="BookText"/>
        <w:rPr/>
      </w:pPr>
      <w:bookmarkEnd w:id="685"/>
      <w:r>
        <w:rPr>
          <w:rFonts w:ascii="Amiri" w:hAnsi="Amiri" w:eastAsia="Amiri" w:cs="Amiri"/>
          <w:color w:val="111111"/>
          <w:sz w:val="28"/>
          <w:sz w:val="28"/>
          <w:szCs w:val="28"/>
          <w:rtl w:val="true"/>
          <w:lang w:bidi="ar-SA"/>
        </w:rPr>
        <w:t>الشرعية الفاسدة، فلو قلنا بأنّ ألفاظ العبادات موضوعة للأعمّ فهو واضح، لأنّ الفاسد أيضاً أمر شرعي فاسد، و أمّا لو قلنا بكونها موضوعة لخصوص الصحيح، فاستعمال هذه الألفاظ في القسم الفاسد يكون مجازاً و لا مانع منه بعد قيام القرينة على الفساد</w:t>
      </w:r>
      <w:r>
        <w:rPr>
          <w:rFonts w:eastAsia="Amiri" w:cs="Amiri" w:ascii="Amiri" w:hAnsi="Amiri"/>
          <w:color w:val="111111"/>
          <w:sz w:val="28"/>
          <w:szCs w:val="28"/>
          <w:rtl w:val="true"/>
          <w:lang w:bidi="ar-SA"/>
        </w:rPr>
        <w:t>.</w:t>
      </w:r>
    </w:p>
    <w:p>
      <w:pPr>
        <w:pStyle w:val="Heading6"/>
        <w:numPr>
          <w:ilvl w:val="5"/>
          <w:numId w:val="1"/>
        </w:numPr>
        <w:rPr/>
      </w:pPr>
      <w:bookmarkStart w:id="686" w:name="__RefHeading___Toc7305078_3381743652"/>
      <w:bookmarkStart w:id="687" w:name="_Toc260"/>
      <w:bookmarkEnd w:id="686"/>
      <w:r>
        <w:rPr>
          <w:rtl w:val="true"/>
        </w:rPr>
        <w:t>الثاني</w:t>
      </w:r>
      <w:r>
        <w:rPr>
          <w:rtl w:val="true"/>
        </w:rPr>
        <w:t xml:space="preserve">: </w:t>
      </w:r>
      <w:r>
        <w:rPr>
          <w:rtl w:val="true"/>
        </w:rPr>
        <w:t>الحرمة الذاتية لا تتعلّق بالفاسد</w:t>
      </w:r>
      <w:bookmarkEnd w:id="687"/>
    </w:p>
    <w:p>
      <w:pPr>
        <w:pStyle w:val="BookText"/>
        <w:rPr/>
      </w:pPr>
      <w:r>
        <w:rPr>
          <w:rFonts w:ascii="Amiri" w:hAnsi="Amiri" w:eastAsia="Amiri" w:cs="Amiri"/>
          <w:color w:val="111111"/>
          <w:sz w:val="28"/>
          <w:sz w:val="28"/>
          <w:szCs w:val="28"/>
          <w:rtl w:val="true"/>
          <w:lang w:bidi="ar-SA"/>
        </w:rPr>
        <w:t>هذا هو البيان الثاني لإثبات أنّ النهي يلازم الصحّة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شيء كالأمر إنّما يصحّ بعد كون المتعلّق مقدوراً، و من المعلوم أنّ النهي لا يتعلّق بالعبادة الفاسدة، إذ لا حرمة لها فلا بدّ أن يكون متعلّق النهي هو الصحيح و لو بعد النهي فلو اقتضى النهي الفساد يلزم أن يتعلّق النهي بشيء غير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لو كان النهي سبباً للفساد لزم أن يكون النهي سالباً للقدرة، و التكليف الذي يجعل المكلّف عاجزاً عن الارتكاب يكون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أجاب عن هذا الاستدلال في مجال العبادات أوّلاً و المعاملات ثانياً، أمّا في الأوّل فقد أجاب عنه بالبيان التالي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العبادات فما كان منها عبادة ذاتية كالسجود و الركوع و الخشوع و الخضوع له تبارك و تعالى فمع النهي عنه يكون مقدوراً، كما إذا كان مأموراً به و ما كان منها عبادة لاعتبار قصد القربة فيه لو كان مأموراً به، فلا يكاد يقدر عليه إلاّ إذا قيل باجتماع الأمر و النهي في شيء و لو بعنوان واحد و هو محال، و قد عرفت أنّ النهي في هذا القسم إنّما يكون نهياً عن العبادة بمعنى انّه لو كان مأموراً به كان الأمر به أمر عبادة لا يسقط إلاّ بقصد القربة </w:t>
      </w:r>
      <w:r>
        <w:rPr>
          <w:rFonts w:eastAsia="Amiri" w:cs="Amiri" w:ascii="Amiri" w:hAnsi="Amiri"/>
          <w:color w:val="111111"/>
          <w:sz w:val="28"/>
          <w:szCs w:val="28"/>
          <w:rtl w:val="true"/>
          <w:lang w:bidi="ar-SA"/>
        </w:rPr>
        <w:t>«.</w:t>
      </w:r>
      <w:r>
        <w:rPr>
          <w:rStyle w:val="FootnoteAnchor"/>
          <w:rtl w:val="true"/>
        </w:rPr>
        <w:footnoteReference w:id="176"/>
      </w:r>
      <w:bookmarkStart w:id="688" w:name="pg14356_186917"/>
    </w:p>
    <w:p>
      <w:pPr>
        <w:pStyle w:val="BookText"/>
        <w:rPr/>
      </w:pPr>
      <w:bookmarkEnd w:id="688"/>
      <w:r>
        <w:rPr>
          <w:rFonts w:ascii="Amiri" w:hAnsi="Amiri" w:eastAsia="Amiri" w:cs="Amiri"/>
          <w:color w:val="111111"/>
          <w:sz w:val="28"/>
          <w:sz w:val="28"/>
          <w:szCs w:val="28"/>
          <w:rtl w:val="true"/>
          <w:lang w:bidi="ar-SA"/>
        </w:rPr>
        <w:t>و حاصل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العبادة على قسمين امّا الذاتي فلا تتغيّر و لا تتبدّل أوصافها فهي عبادة بالذات قبل النهي و بعد النهي و لا يؤثر النهي في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العبادات المجعولة التي قوام عباديتها بتعلّق الأمر بها، فهي تنقسم إلى عبادة فعلية و عبادة شأنية أو بالتالي إلى صحيحة فعلية و صحيحة شأنية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الأُولى ما يكون متعلّقاً للأمر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الثانية ما لو تعلّق به الأمر لكان أمره عبادية و لما سقط إلاّ بالقصد، فالقسم الأوّل لا يقع متعلّقاً للنهي، لأنّ العبادة و الصحّة الفعلية و الصحّة عبارة عمّا تعلّق به الأمر، و ما هو كذلك يمتنع أن يقع متعلّقاً للنهي و المفروض انّه تعلّق به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الثاني، أي العبادة الشأنية يقع متعلّقاً للنهي و يكشف عن صحّة المتعلّق لكن صحّة شأنية، و هو غير مطلوب المستدلّ فانّه يريد أن يستدلّ بتعلّق النهي على الصحّة الفعلية دون الشأنية، و لكن النهي لا يكشف إلاّ عن الصحّة الشأنية، أي ما لو تعلّق به الأمر يكون أمره عبادياً و فعله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المطلوب أي الصحّة الفعلية لا يعطيه النهي و ما يعطيه النهي، أي العبادة الشأنية ليس هو المطلوب</w:t>
      </w:r>
      <w:r>
        <w:rPr>
          <w:rFonts w:eastAsia="Amiri" w:cs="Amiri" w:ascii="Amiri" w:hAnsi="Amiri"/>
          <w:color w:val="111111"/>
          <w:sz w:val="28"/>
          <w:szCs w:val="28"/>
          <w:rtl w:val="true"/>
          <w:lang w:bidi="ar-SA"/>
        </w:rPr>
        <w:t>.</w:t>
      </w:r>
    </w:p>
    <w:p>
      <w:pPr>
        <w:pStyle w:val="Heading6"/>
        <w:numPr>
          <w:ilvl w:val="5"/>
          <w:numId w:val="1"/>
        </w:numPr>
        <w:rPr/>
      </w:pPr>
      <w:bookmarkStart w:id="689" w:name="__RefHeading___Toc7305080_3381743652"/>
      <w:bookmarkStart w:id="690" w:name="_Toc261"/>
      <w:bookmarkEnd w:id="689"/>
      <w:r>
        <w:rPr>
          <w:rtl w:val="true"/>
        </w:rPr>
        <w:t>إجابة المحقّق الخراساني في مورد المعاملات</w:t>
      </w:r>
      <w:bookmarkEnd w:id="690"/>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المحقّق الخراساني أجاب عن الاستدلال في مجال المعاملة بالنحو التالي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التحقيق في المعاملات انّه كذلك إذا كان في السبب أو التسبيب لاعتبار القدرة في متعلّق النهي كالأمر و لا يكاد يقدر عليهما إلاّ فيما كانت </w:t>
      </w:r>
    </w:p>
    <w:p>
      <w:pPr>
        <w:pStyle w:val="BookText"/>
        <w:rPr/>
      </w:pPr>
      <w:r>
        <w:rPr>
          <w:rFonts w:ascii="Amiri" w:hAnsi="Amiri" w:eastAsia="Amiri" w:cs="Amiri"/>
          <w:color w:val="111111"/>
          <w:sz w:val="28"/>
          <w:sz w:val="28"/>
          <w:szCs w:val="28"/>
          <w:rtl w:val="true"/>
          <w:lang w:bidi="ar-SA"/>
        </w:rPr>
        <w:t>المعاملة مؤثرة صحيحة، و أمّا إذا كان عن السبب فلا لكونه مقدوراً و إن لم يكن صحيحاً</w:t>
      </w:r>
      <w:r>
        <w:rPr>
          <w:rFonts w:eastAsia="Amiri" w:cs="Amiri" w:ascii="Amiri" w:hAnsi="Amiri"/>
          <w:color w:val="111111"/>
          <w:sz w:val="28"/>
          <w:szCs w:val="28"/>
          <w:rtl w:val="true"/>
          <w:lang w:bidi="ar-SA"/>
        </w:rPr>
        <w:t>.</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و حاصله انّ النهي عن السبب لا يكشف عن الصحّة، لأنّ حرمة السبب عبارة عن حرمة التلفّظ به في حال النداء و الإحرام، و هو مقدور مطلقاً قبل النهي و بعده، نعم يكشف النهي عن الصحّة فيما إذا تعلّق النهي بمضمون المعاملة، أي تملّك الكافر المصحفَ و العبدَ أو تعلّق النهي بالتسبب، فانّ النهي كاشف عن كون المعاملة المنهية مؤثرة في حصول السبب و هو آية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الفرق بين العبادات و المعاملات فانّ الأُولى مخترعات شرعية بخلاف الثانية فانّها مخترعات عقلائية، و قد تحقّق الاختراع و التسمية بالبيع و الإجارة و غيرها قبل بزوغ شمس الرسالة و لم يتصرف الشارع فيها إلاّ بإضافة شرط أو جزء أو بيان مانع، فعلى ذلك فأسماء المعاملات اسم للصحيح عند العرف و العقلاء و نهي الشارع دليل على أنّ المعاملة مؤثرة في حصول هذا النوع من الصحّة، أي الصحّة العرفية، و من المعلوم أنّ الصحة العرفية لا تثبت مطلوب المستدل فانّه يريد أن يستدل بالنهي على الصحة الشرعية لا العرفية و بينها من النسب عموم و خصوص مطلق أو من وجه، فكلّ صحيح عند الشرع صحيح عند العقلاء دون العكس، فالبيع الربوي صحيح عند العقلاء و ليس كذلك عند الشرع</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 فأقصى ما يدل عليه النهي تأثير المعاملة في الصحة العرفية، و هي ليست بمطلوبة، و إنّما المطلوب دلالة النهي على الصحّة الشرعية</w:t>
      </w:r>
      <w:r>
        <w:rPr>
          <w:rFonts w:eastAsia="Amiri" w:cs="Amiri" w:ascii="Amiri" w:hAnsi="Amiri"/>
          <w:color w:val="111111"/>
          <w:sz w:val="28"/>
          <w:szCs w:val="28"/>
          <w:rtl w:val="true"/>
          <w:lang w:bidi="ar-SA"/>
        </w:rPr>
        <w:t xml:space="preserve">. </w:t>
      </w:r>
      <w:bookmarkStart w:id="691" w:name="pg14356_186919"/>
    </w:p>
    <w:p>
      <w:pPr>
        <w:pStyle w:val="Heading6"/>
        <w:numPr>
          <w:ilvl w:val="5"/>
          <w:numId w:val="1"/>
        </w:numPr>
        <w:rPr/>
      </w:pPr>
      <w:bookmarkStart w:id="692" w:name="__RefHeading___Toc7305082_3381743652"/>
      <w:bookmarkStart w:id="693" w:name="_Toc262"/>
      <w:bookmarkEnd w:id="691"/>
      <w:bookmarkEnd w:id="692"/>
      <w:r>
        <w:rPr>
          <w:rtl w:val="true"/>
        </w:rPr>
        <w:t>فروع فقهية</w:t>
      </w:r>
      <w:bookmarkEnd w:id="693"/>
    </w:p>
    <w:p>
      <w:pPr>
        <w:pStyle w:val="BookText"/>
        <w:rPr/>
      </w:pPr>
      <w:r>
        <w:rPr>
          <w:rFonts w:ascii="Amiri" w:hAnsi="Amiri" w:eastAsia="Amiri" w:cs="Amiri"/>
          <w:color w:val="111111"/>
          <w:sz w:val="28"/>
          <w:sz w:val="28"/>
          <w:szCs w:val="28"/>
          <w:rtl w:val="true"/>
          <w:lang w:bidi="ar-SA"/>
        </w:rPr>
        <w:t>ثمّ إنّ الشيخ الأعظم تعرض في تقريراته إلى بعض المسائل التي لها صلة بالموضوع و نحن نقتفيه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تعلّق النهي بالإيجاب دون القبول فهل تسري الحرمة إلى القبول أو لا؟ كما إذا كان الموجب محرماً دون القابل؟ الظاهر، لا لعدم الملاك إلاّ إذا لوحظت المسألة من باب الإعانة على الإثم، و هو خارج عن محط البحث، 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جماعة إلى اختلاف حكم المتعاقدين في البيع وقت النداء إذا كان أحدهما مخاطباً بالجمعة دون الآخر، فخصّوا المنع بمن خوطب بالسعي و حكموا بجواز البيع من طرف الآخر، نعم رجّح جماعة آخرون عموم المنع من حيث الإعانة بالإثم</w:t>
      </w:r>
      <w:r>
        <w:rPr>
          <w:rFonts w:eastAsia="Amiri" w:cs="Amiri" w:ascii="Amiri" w:hAnsi="Amiri"/>
          <w:color w:val="111111"/>
          <w:sz w:val="28"/>
          <w:szCs w:val="28"/>
          <w:rtl w:val="true"/>
          <w:lang w:bidi="ar-SA"/>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المعاملة باطلة من جانب واحد كما إذا كانت غررية من جانب الموجب دون القابل، فهل يسري الحكم الوضعي إلى الطرف الآخر، أو لا؟ الظاهر نعم، لأنّ مفاد المعاملة أمر بسيط لا يقبل التبعض، فالملكية المنشأة إمّا موجودة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يلزم صحة المعاملة في كلا الجانبين، و هو خلاف الفرض، و الثاني هو المطلوب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لنفس الإيجاب أثر مستقل و إن لم ينضم إليه القبول لترتب عليه، كما إذا كان الموجب أصلياً دون القابل، فما لم يردّ القابلُ الحقيقي لما كان له حق التصرف في المبيع، لأنّه أثر للايجاب الكامل، و هو محقّق و ليس أثراً لمالكيّة القابل حتّى يقال بأنّها غير متحقّقة بعده</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الثمرات الفقهية لمسألة النهي عن العبادات و المعاملات متوفرة في الفقه، و قد ذكر شيخنا الأُستاذ مد ظلّه قسماً منها في الدورة السابقة و لم يتعرض لها في هذه الدورة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أحال إلى كتاب المحصول الذي هو تقرير لدروس الأُستاذ مدّ ظلّه في الدورة الثالثة من دورات أُصوله بقلم زميلنا السيّد محمود الجلالي المازندراني حفظه اللّه فمن حاول الاطلاع فليرجع إليه</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المقصد الثالث المفاهيم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الوصف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الغاية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الحصر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اللّقب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العدد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4" w:name="pg14356_186924"/>
      <w:bookmarkStart w:id="695" w:name="pg14356_186924"/>
      <w:bookmarkEnd w:id="695"/>
    </w:p>
    <w:p>
      <w:pPr>
        <w:pStyle w:val="Heading2"/>
        <w:numPr>
          <w:ilvl w:val="1"/>
          <w:numId w:val="1"/>
        </w:numPr>
        <w:rPr/>
      </w:pPr>
      <w:bookmarkStart w:id="696" w:name="pg14356_186924"/>
      <w:bookmarkStart w:id="697" w:name="__RefHeading___Toc7305084_3381743652"/>
      <w:bookmarkStart w:id="698" w:name="_Toc263"/>
      <w:bookmarkEnd w:id="696"/>
      <w:bookmarkEnd w:id="697"/>
      <w:r>
        <w:rPr>
          <w:rtl w:val="true"/>
        </w:rPr>
        <w:t>المقصد الثالث المفاهيم</w:t>
      </w:r>
      <w:bookmarkEnd w:id="698"/>
    </w:p>
    <w:p>
      <w:pPr>
        <w:pStyle w:val="Heading3"/>
        <w:numPr>
          <w:ilvl w:val="2"/>
          <w:numId w:val="1"/>
        </w:numPr>
        <w:rPr/>
      </w:pPr>
      <w:bookmarkStart w:id="699" w:name="__RefHeading___Toc7305086_3381743652"/>
      <w:bookmarkStart w:id="700" w:name="_Toc264"/>
      <w:bookmarkEnd w:id="699"/>
      <w:r>
        <w:rPr>
          <w:rtl w:val="true"/>
        </w:rPr>
        <w:t>و قبل الدخول في صلب المقصود نقدّم أُموراً</w:t>
      </w:r>
      <w:r>
        <w:rPr>
          <w:rtl w:val="true"/>
        </w:rPr>
        <w:t>:</w:t>
      </w:r>
      <w:bookmarkEnd w:id="700"/>
    </w:p>
    <w:p>
      <w:pPr>
        <w:pStyle w:val="Heading4"/>
        <w:numPr>
          <w:ilvl w:val="3"/>
          <w:numId w:val="1"/>
        </w:numPr>
        <w:rPr/>
      </w:pPr>
      <w:bookmarkStart w:id="701" w:name="__RefHeading___Toc7305088_3381743652"/>
      <w:bookmarkStart w:id="702" w:name="_Toc265"/>
      <w:bookmarkEnd w:id="701"/>
      <w:r>
        <w:rPr>
          <w:rtl w:val="true"/>
        </w:rPr>
        <w:t>الأوّل</w:t>
      </w:r>
      <w:r>
        <w:rPr>
          <w:rtl w:val="true"/>
        </w:rPr>
        <w:t xml:space="preserve">: </w:t>
      </w:r>
      <w:r>
        <w:rPr>
          <w:rtl w:val="true"/>
        </w:rPr>
        <w:t>المنطوق و المفهوم من أوصاف المدلول</w:t>
      </w:r>
      <w:bookmarkEnd w:id="702"/>
    </w:p>
    <w:p>
      <w:pPr>
        <w:pStyle w:val="BookText"/>
        <w:rPr/>
      </w:pPr>
      <w:r>
        <w:rPr>
          <w:rFonts w:ascii="Amiri" w:hAnsi="Amiri" w:eastAsia="Amiri" w:cs="Amiri"/>
          <w:color w:val="111111"/>
          <w:sz w:val="28"/>
          <w:sz w:val="28"/>
          <w:szCs w:val="28"/>
          <w:rtl w:val="true"/>
          <w:lang w:bidi="ar-SA"/>
        </w:rPr>
        <w:t>يوصف المدلول، بالمنطوق تارة و بالمفهوم أُخرى،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مدلول منطوقي و مدلول مفهومي، كما توصف الدلالة بهما أيضاً و يقال دلالة منطوقية، و دلالة مفهومية، فيقع الكلام في أنّهما من أوصاف المدلول أو الدلالة، و الظاهر انّهما من أوصاف المدلول فانّ المعنى إذا دلّ عليه شيء، فإمّا أن يفهم من منطوق اللفظ و حاقِّه فهو مدلول منطوقي، أو يفهم لا من منطوقه و حاقه فهو مدلول مفهومي، فعندئذ ينقسم المعنى المدلول إلى منطوق و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المدلول هو المعنى الذي دلّ عليه اللفظ الدالّ فتنقسم الدلالة أيضاً باعتبار المدلول إلى منطوقية و مفهومية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يدلّ عليه اللفظ ينقسم إلى ما يسمّى بالعرف بما يُنْطَق و إلى ما يُفْهم، و وصف الدلالة بهما ليست بنفسهما، بل بعناية انتزاعهما من المدلول ثمّ وصفها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المدلول منطوقياً توصف الدلالة أيضاً بها، و إذا كان مفهومياً توصف بها أيضاً</w:t>
      </w:r>
      <w:r>
        <w:rPr>
          <w:rFonts w:eastAsia="Amiri" w:cs="Amiri" w:ascii="Amiri" w:hAnsi="Amiri"/>
          <w:color w:val="111111"/>
          <w:sz w:val="28"/>
          <w:szCs w:val="28"/>
          <w:rtl w:val="true"/>
          <w:lang w:bidi="ar-SA"/>
        </w:rPr>
        <w:t xml:space="preserve">. </w:t>
      </w:r>
      <w:bookmarkStart w:id="703" w:name="pg14356_186925"/>
    </w:p>
    <w:p>
      <w:pPr>
        <w:pStyle w:val="BookText"/>
        <w:rPr/>
      </w:pPr>
      <w:bookmarkEnd w:id="703"/>
      <w:r>
        <w:rPr>
          <w:rFonts w:ascii="Amiri" w:hAnsi="Amiri" w:eastAsia="Amiri" w:cs="Amiri"/>
          <w:color w:val="111111"/>
          <w:sz w:val="28"/>
          <w:sz w:val="28"/>
          <w:szCs w:val="28"/>
          <w:rtl w:val="true"/>
          <w:lang w:bidi="ar-SA"/>
        </w:rPr>
        <w:t>نعم، ليس المنطوق و لا المفهوم من أوصاف المعنى بما هو هو، بل من أوصاف المعنى إذا وقع في إطار الدلالة حتى صار مدلولاً، و هذا بخلاف الكلية و الجزئية فانّها من صفات المعنى بما هو هو، و إن لم يقع في إطار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أوصاف المفهوم على قسمين، قسم وصف له بما هو هو، كما مثّلنا بالكلية، و قسم وصف له بما انّه مدلول بإحدى الدلالات فلاحظ</w:t>
      </w:r>
      <w:r>
        <w:rPr>
          <w:rFonts w:eastAsia="Amiri" w:cs="Amiri" w:ascii="Amiri" w:hAnsi="Amiri"/>
          <w:color w:val="111111"/>
          <w:sz w:val="28"/>
          <w:szCs w:val="28"/>
          <w:rtl w:val="true"/>
          <w:lang w:bidi="ar-SA"/>
        </w:rPr>
        <w:t>.</w:t>
      </w:r>
    </w:p>
    <w:p>
      <w:pPr>
        <w:pStyle w:val="Heading4"/>
        <w:numPr>
          <w:ilvl w:val="3"/>
          <w:numId w:val="1"/>
        </w:numPr>
        <w:rPr/>
      </w:pPr>
      <w:bookmarkStart w:id="704" w:name="__RefHeading___Toc7305090_3381743652"/>
      <w:bookmarkStart w:id="705" w:name="_Toc266"/>
      <w:bookmarkEnd w:id="704"/>
      <w:r>
        <w:rPr>
          <w:rtl w:val="true"/>
        </w:rPr>
        <w:t>الثاني</w:t>
      </w:r>
      <w:r>
        <w:rPr>
          <w:rtl w:val="true"/>
        </w:rPr>
        <w:t xml:space="preserve">: </w:t>
      </w:r>
      <w:r>
        <w:rPr>
          <w:rtl w:val="true"/>
        </w:rPr>
        <w:t>تعريف المفهوم</w:t>
      </w:r>
      <w:bookmarkEnd w:id="705"/>
    </w:p>
    <w:p>
      <w:pPr>
        <w:pStyle w:val="Heading5"/>
        <w:numPr>
          <w:ilvl w:val="4"/>
          <w:numId w:val="1"/>
        </w:numPr>
        <w:rPr/>
      </w:pPr>
      <w:bookmarkStart w:id="706" w:name="__RefHeading___Toc7305092_3381743652"/>
      <w:bookmarkStart w:id="707" w:name="_Toc267"/>
      <w:bookmarkEnd w:id="706"/>
      <w:r>
        <w:rPr>
          <w:rtl w:val="true"/>
        </w:rPr>
        <w:t>اشارة</w:t>
      </w:r>
      <w:bookmarkEnd w:id="707"/>
    </w:p>
    <w:p>
      <w:pPr>
        <w:pStyle w:val="BookText"/>
        <w:rPr/>
      </w:pPr>
      <w:r>
        <w:rPr>
          <w:rFonts w:ascii="Amiri" w:hAnsi="Amiri" w:eastAsia="Amiri" w:cs="Amiri"/>
          <w:color w:val="111111"/>
          <w:sz w:val="28"/>
          <w:sz w:val="28"/>
          <w:szCs w:val="28"/>
          <w:rtl w:val="true"/>
          <w:lang w:bidi="ar-SA"/>
        </w:rPr>
        <w:t>عرّف الحاجبي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ما دلّ عليه اللفظ في غير محل النطق و المنطوق ما دلّ عليه اللفظ في محل النطق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العضدي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شارح مختصر الحاجبي قال بأنّ المراد من الموصول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الحكم، فهو إن كان محمولاً على موضوع مذكور فهو منطوق، و إن كان محمولاً على موضوع غير مذكور فهو 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المنطوق بما انّ الموضوع مذكور فيه، 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محل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إشارة إلى المفهوم لعدم ذكر الموضوع في محله</w:t>
      </w:r>
      <w:r>
        <w:rPr>
          <w:rFonts w:eastAsia="Amiri" w:cs="Amiri" w:ascii="Amiri" w:hAnsi="Amiri"/>
          <w:color w:val="111111"/>
          <w:sz w:val="28"/>
          <w:szCs w:val="28"/>
          <w:rtl w:val="true"/>
          <w:lang w:bidi="ar-SA"/>
        </w:rPr>
        <w:t>.</w:t>
      </w:r>
      <w:r>
        <w:rPr>
          <w:rStyle w:val="FootnoteAnchor"/>
          <w:rtl w:val="true"/>
        </w:rPr>
        <w:footnoteReference w:id="180"/>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ذلك التفسير بأنّ الفارق بين المنطوق و المفهوم ليس هو ذكر الموضوع في الأوّل، و عدمه في الثاني، بل الموضوع مذكور في كلتا القضيتين، و إنّما الاختلاف في وجود القيد في المنطوق و عدمه في المفهوم و بالتالي اختلاف القضيتين في الكيف أي الإيجاب و السلب،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زيد أكرمه، فالموضوع هو زيد لكنّه في صورة التسليم يحكم عليه بالإكرام، و في صورة عدمه بعدمه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كان هذا التفسير من العضدي غير صحيح عاد المحقّق البروجردي إلى تفسير كلام الحاجبي بنحو آخر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خلاصته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يفهم من كلام المتكلّم قد يكون على نحو يمكن أن يقال انّه نطق به على نحو لو قيل للمتكلّم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قلت هذا؟ لا يصحّ له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يكون على نحو لا يصحّ أن ينسب إليه بأنّه نطق به و للمتكلّم إمكان الفرار منه و نفي صدوره عنه،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زيد أكرمه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فعدم ثبوت الإكرام عند عدم المجيء و إن كان مفهوماً منه لكن للمتكلم إمكان الفرار منه و إنكار انّه مراده، و المداليل المطابقية و التضمنية و الالتزامية للجمل ممّا لا يمكن للمتكلّم أن ينكر القول بها بعد إقراره بنطقه بالكلام، و لأجل ذلك جعلوها من المداليل المنطوقية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المنطوق ما نطق به المتكلم بلا واسطة كما في المدلول المطابقي أو مع الواسطة كما في الأخيرين، و المفهوم عبارة عمّا لم ينطق به لا بلا واسطة و لا معها و لكن يفهم من كلامه</w:t>
      </w:r>
      <w:r>
        <w:rPr>
          <w:rFonts w:eastAsia="Amiri" w:cs="Amiri" w:ascii="Amiri" w:hAnsi="Amiri"/>
          <w:color w:val="111111"/>
          <w:sz w:val="28"/>
          <w:szCs w:val="28"/>
          <w:rtl w:val="true"/>
          <w:lang w:bidi="ar-SA"/>
        </w:rPr>
        <w:t>.</w:t>
      </w:r>
      <w:r>
        <w:rPr>
          <w:rStyle w:val="FootnoteAnchor"/>
          <w:rtl w:val="true"/>
        </w:rPr>
        <w:footnoteReference w:id="181"/>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التفسير أيضاً كالتفسير السابق، و ذلك لأنّه لم يبين ضابطة لما يُنطق به المتكلّم و لما لم يُنطق به، بل اكتفى بأنّ المداليل الثلاثة يعدّ ممّا ينطق بها و غيرها ممّا لا ينطق بها، و ذلك لأنّ الملاك في النطق و عدمه لو كان سرعة التبادر إلى الذهن فرب مفهوم أسرع تبادراً من المنطوق خصوصاً إذا كان المفهوم مفهوم الموافقة، كالنهي عن الشتم و الضرب المتبادر من النهي عن التأفيف و تبادره أسرع من تبادر جزء المعنى الذي ربما يكون مغفولاً عنه، و عندئذ يطرح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يكون النطق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المدلول المطابقي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نطقاً بالجزء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التضمنية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يكون النهي عن التأفيف نطقاً بالنهي عن الضرب و الشتم؟ </w:t>
      </w:r>
      <w:bookmarkStart w:id="708" w:name="pg14356_186927"/>
    </w:p>
    <w:p>
      <w:pPr>
        <w:pStyle w:val="BookText"/>
        <w:rPr/>
      </w:pPr>
      <w:bookmarkEnd w:id="708"/>
      <w:r>
        <w:rPr>
          <w:rFonts w:ascii="Amiri" w:hAnsi="Amiri" w:eastAsia="Amiri" w:cs="Amiri"/>
          <w:color w:val="111111"/>
          <w:sz w:val="28"/>
          <w:sz w:val="28"/>
          <w:szCs w:val="28"/>
          <w:rtl w:val="true"/>
          <w:lang w:bidi="ar-SA"/>
        </w:rPr>
        <w:t>و لو كان الملاك كون المنطوق ممّا سيق لأجله الكلام دون المفاهيم فهو أيضاً كالشقّ السابق، إذ ربما يكون المفهوم ممّا سيق لأجله الكلام و يتعلّق الغرض من الكلام إفادة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إذا كانت الدلالة التزامية من المداليل المنطوقية فلا يبقى للمدلول المفهومي شيء، سوى الدلالات السياقية الثلاثة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فتعريف الحاجبي بكلا التفسيرين غير خال عن الإشكال</w:t>
      </w:r>
      <w:r>
        <w:rPr>
          <w:rFonts w:eastAsia="Amiri" w:cs="Amiri" w:ascii="Amiri" w:hAnsi="Amiri"/>
          <w:color w:val="111111"/>
          <w:sz w:val="28"/>
          <w:szCs w:val="28"/>
          <w:rtl w:val="true"/>
          <w:lang w:bidi="ar-SA"/>
        </w:rPr>
        <w:t>.</w:t>
      </w:r>
    </w:p>
    <w:p>
      <w:pPr>
        <w:pStyle w:val="Heading5"/>
        <w:numPr>
          <w:ilvl w:val="4"/>
          <w:numId w:val="1"/>
        </w:numPr>
        <w:rPr/>
      </w:pPr>
      <w:bookmarkStart w:id="709" w:name="__RefHeading___Toc7305094_3381743652"/>
      <w:bookmarkStart w:id="710" w:name="_Toc268"/>
      <w:bookmarkEnd w:id="709"/>
      <w:r>
        <w:rPr>
          <w:rtl w:val="true"/>
        </w:rPr>
        <w:t>تعريف المحقّق الخراساني للمفهوم</w:t>
      </w:r>
      <w:bookmarkEnd w:id="710"/>
    </w:p>
    <w:p>
      <w:pPr>
        <w:pStyle w:val="BookText"/>
        <w:rPr/>
      </w:pPr>
      <w:r>
        <w:rPr>
          <w:rFonts w:ascii="Amiri" w:hAnsi="Amiri" w:eastAsia="Amiri" w:cs="Amiri"/>
          <w:color w:val="111111"/>
          <w:sz w:val="28"/>
          <w:sz w:val="28"/>
          <w:szCs w:val="28"/>
          <w:rtl w:val="true"/>
          <w:lang w:bidi="ar-SA"/>
        </w:rPr>
        <w:t>عرّف المحقّق الخراساني المفهوم بأنّه حكم إنشائي أو إخباري تستتبعه خصوصيةُ المعنى الذي أُريد من اللفظ بتلك الخصوصية، فالمفهوم حكم غير مذكور لا أنّه حكم لغير مذكور</w:t>
      </w:r>
      <w:r>
        <w:rPr>
          <w:rFonts w:eastAsia="Amiri" w:cs="Amiri" w:ascii="Amiri" w:hAnsi="Amiri"/>
          <w:color w:val="111111"/>
          <w:sz w:val="28"/>
          <w:szCs w:val="28"/>
          <w:rtl w:val="true"/>
          <w:lang w:bidi="ar-SA"/>
        </w:rPr>
        <w:t>.</w:t>
      </w:r>
      <w:r>
        <w:rPr>
          <w:rStyle w:val="FootnoteAnchor"/>
          <w:rtl w:val="true"/>
        </w:rPr>
        <w:footnoteReference w:id="182"/>
      </w:r>
    </w:p>
    <w:p>
      <w:pPr>
        <w:pStyle w:val="BookText"/>
        <w:rPr/>
      </w:pPr>
      <w:r>
        <w:rPr>
          <w:rFonts w:ascii="Amiri" w:hAnsi="Amiri" w:eastAsia="Amiri" w:cs="Amiri"/>
          <w:color w:val="111111"/>
          <w:sz w:val="28"/>
          <w:sz w:val="28"/>
          <w:szCs w:val="28"/>
          <w:rtl w:val="true"/>
          <w:lang w:bidi="ar-SA"/>
        </w:rPr>
        <w:t>إنّ ما أفاده في ذيل الكلام هو الذي أشرنا إليه في نقد كلام العضدي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مذكور، و الاختلاف في الحكم رهن الاختلاف في الشرط، فعند وجوده يترتّب عليه الجزاء، و عند عدمه يرتفع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مراد المحقّق الخراساني من المعنى في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المعنى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العلية، و المراد من الخصوصية كونها منحصرة، و معنى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رهن كون القيد علّة 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ظاهر العبارة انّ هنا شيئين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و هو العلّية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الخصوصية و هي الانحصار</w:t>
      </w:r>
      <w:r>
        <w:rPr>
          <w:rFonts w:eastAsia="Amiri" w:cs="Amiri" w:ascii="Amiri" w:hAnsi="Amiri"/>
          <w:color w:val="111111"/>
          <w:sz w:val="28"/>
          <w:szCs w:val="28"/>
          <w:rtl w:val="true"/>
          <w:lang w:bidi="ar-SA"/>
        </w:rPr>
        <w:t xml:space="preserve">. </w:t>
      </w:r>
      <w:bookmarkStart w:id="711" w:name="pg14356_186928"/>
    </w:p>
    <w:p>
      <w:pPr>
        <w:pStyle w:val="BookText"/>
        <w:rPr/>
      </w:pPr>
      <w:bookmarkEnd w:id="711"/>
      <w:r>
        <w:rPr>
          <w:rFonts w:ascii="Amiri" w:hAnsi="Amiri" w:eastAsia="Amiri" w:cs="Amiri"/>
          <w:color w:val="111111"/>
          <w:sz w:val="28"/>
          <w:sz w:val="28"/>
          <w:szCs w:val="28"/>
          <w:rtl w:val="true"/>
          <w:lang w:bidi="ar-SA"/>
        </w:rPr>
        <w:t>و لا يخفى انّ الخصوصية جزء من المعنى لا زائد عليه، فمعنى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زيد أكرمه، هو انّ التسليم علّة منحصرة دلّ عليها الهيئة الشرطية، فإذا ارتفعت العلّة المنحصرة ارتفع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على المحقّق الخراساني أن يعرّفه بتعريف أسهل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إنشائي أو إخباري لازم للمعنى المراد من اللفظ</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7305096_3381743652"/>
      <w:bookmarkStart w:id="713" w:name="_Toc269"/>
      <w:bookmarkEnd w:id="712"/>
      <w:r>
        <w:rPr>
          <w:rtl w:val="true"/>
        </w:rPr>
        <w:t>الثالث</w:t>
      </w:r>
      <w:r>
        <w:rPr>
          <w:rtl w:val="true"/>
        </w:rPr>
        <w:t xml:space="preserve">: </w:t>
      </w:r>
      <w:r>
        <w:rPr>
          <w:rtl w:val="true"/>
        </w:rPr>
        <w:t>حصر المداليل في المنطوق و المفهوم</w:t>
      </w:r>
      <w:bookmarkEnd w:id="713"/>
    </w:p>
    <w:p>
      <w:pPr>
        <w:pStyle w:val="Heading5"/>
        <w:numPr>
          <w:ilvl w:val="4"/>
          <w:numId w:val="1"/>
        </w:numPr>
        <w:rPr/>
      </w:pPr>
      <w:bookmarkStart w:id="714" w:name="__RefHeading___Toc7305098_3381743652"/>
      <w:bookmarkStart w:id="715" w:name="_Toc270"/>
      <w:bookmarkEnd w:id="714"/>
      <w:r>
        <w:rPr>
          <w:rtl w:val="true"/>
        </w:rPr>
        <w:t>اشارة</w:t>
      </w:r>
      <w:bookmarkEnd w:id="715"/>
    </w:p>
    <w:p>
      <w:pPr>
        <w:pStyle w:val="BookText"/>
        <w:rPr/>
      </w:pPr>
      <w:r>
        <w:rPr>
          <w:rFonts w:ascii="Amiri" w:hAnsi="Amiri" w:eastAsia="Amiri" w:cs="Amiri"/>
          <w:color w:val="111111"/>
          <w:sz w:val="28"/>
          <w:sz w:val="28"/>
          <w:szCs w:val="28"/>
          <w:rtl w:val="true"/>
          <w:lang w:bidi="ar-SA"/>
        </w:rPr>
        <w:t>إنّ ظاهر كلمات القوم حصر المداليل في المنطوق و المفهوم و لا ثالث له، و المراد من المنطوق ما نطق به المتكلّم باعتبار كون اللفظ مرآة للمعنى، و ينحصر في الدلالة المطابقية و التضمنية باعتبار انّ النطق بالكل، نطق بالجزء، كما أنّ المراد من المفهوم هو الدلالة الالتزامية، أي لازم المعنى، من غير فرق بين لازم المفرد، أو لازم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كلام المنطقيين، انّ تقسيم الدلالة إلى مطابقية أو تضمنية أو التزامية من خصائص المفردات و الكلمات، لا الكلام و الجمل و لكنّ الأُصوليين عمّموها إلى الكلام أيضاً، فيجري فيه ما يجري في المفرد، مثلاً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طالعة، فقد أخبر بالدلالة الالتزامية عن أنّ النهار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يعرب عن كون موضوع التقسيم عند أهل الميزان هو المفرد، تعبير التفتازاني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السبزواري في منظومته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اللفظ على تمام ما وضع له، مطابقة، و على جزئه تضمن و على الخارج التزام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الحكيم السبزواري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دلالة اللفظ بدت مطابقة حيث على تمام المعنى وافقه</w:t>
      </w:r>
    </w:p>
    <w:p>
      <w:pPr>
        <w:pStyle w:val="BookText"/>
        <w:rPr/>
      </w:pPr>
      <w:r>
        <w:rPr>
          <w:rFonts w:ascii="IRNazanin" w:hAnsi="IRNazanin" w:eastAsia="IRNazanin"/>
          <w:color w:val="111111"/>
          <w:sz w:val="28"/>
          <w:sz w:val="28"/>
          <w:szCs w:val="28"/>
          <w:rtl w:val="true"/>
          <w:lang w:bidi="fa-IR"/>
        </w:rPr>
        <w:t>و ما على الجزء تضمنا وُسِم و خارج المعنى التزام إن لزم</w:t>
      </w:r>
    </w:p>
    <w:p>
      <w:pPr>
        <w:pStyle w:val="BookText"/>
        <w:rPr/>
      </w:pPr>
      <w:r>
        <w:rPr>
          <w:rFonts w:ascii="Amiri" w:hAnsi="Amiri" w:eastAsia="Amiri" w:cs="Amiri"/>
          <w:color w:val="111111"/>
          <w:sz w:val="28"/>
          <w:sz w:val="28"/>
          <w:szCs w:val="28"/>
          <w:rtl w:val="true"/>
          <w:lang w:bidi="ar-SA"/>
        </w:rPr>
        <w:t>و نظير ذلك، تقسيم اللازم إلى البيّن و غير البيّن، و كلّ منهما إلى الأخص و الأعم فانّ المتبادر، هو تقسيم 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تلك الأقسام قال التفتازاني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 العرض الخاص و العام إن امتنع انفكاكه عن الشيء فلازم بالنظر إلى الماهية و الوجود، بيّن يلزم تصوّره من تصوّر الملزوم أو من تصوّرهما و النسبة بينهما بالجزم باللزوم و غير بيّن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قالوا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اللازم البيّن بالمعنى الأخص هو ما يكون تصوّر الموضوع كافياً في تصوّر اللازم، كالأعمى بالنسبة إلى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اللازم غير البيّن بخلاف حيث لا يكفي تصوّر الموضوع، في تصوّر اللازم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اللازم البيّن بالمعنى الأعم و هو ما يكون تصوّر الموضوع غير كاف في تصور اللازم، بل يحتاج إلى تصوّر الطرفين و لحاظ النسبة ثمّ الجزم باللزوم، و هذا كالزوجية بالنسبة إلى الأجداد القريبة، فانّ الإنسان لا ينتقل من مجرد تصوّر الموضوع إلى اللازم و الحكم بالملازمة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اللازم غير البيّن بالمعنى الأعم، و هو ما يحتاج وراء تصوّر الأُمور الثلاثة إلى إقامة البرهان على الملازمة، و هذا كالحدوث بالنسبة إلى العالم الذي يحتاج بالجزم بالنسبة إلى برهان،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متغير، و كلّ متغيّر حادث، فالعالم حادث</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الأُصوليين، قالوا بجريان مثل ذلك في لوازم الكلام و الجمل، و انّه أيضاً ينقسم إلى أقسام ثلاثة، فلوازم المعنى مفرداً كان المعنى أو كلاماً، بيّناً كان </w:t>
      </w:r>
    </w:p>
    <w:p>
      <w:pPr>
        <w:pStyle w:val="BookText"/>
        <w:rPr/>
      </w:pPr>
      <w:r>
        <w:rPr>
          <w:rFonts w:ascii="Amiri" w:hAnsi="Amiri" w:eastAsia="Amiri" w:cs="Amiri"/>
          <w:color w:val="111111"/>
          <w:sz w:val="28"/>
          <w:sz w:val="28"/>
          <w:szCs w:val="28"/>
          <w:rtl w:val="true"/>
          <w:lang w:bidi="ar-SA"/>
        </w:rPr>
        <w:t>اللازم أو غير بيّن من أقسام الدلالة الالتزامية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بذلك انّ المداليل إمّا منطوقية أو مفهومية و لا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المداليل لا يخلو إمّا أن تكون مطابقية أو تضمنية أو التزامية و لا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الأوّلان يشكّلان المداليل المنطوقية، و الأخير بعرضها العريض كما عرفت يشكّل المدلول المفهومي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المداليل السياقية أ هي مداليل منطوقية، أو مفهومية، أو لا هذه و لا تلك بل هي أُمور برأسها، يجمع الكل انّها دلالات سياقية، فعندئذ تنثلم كلية القضية المذكورة،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المداليل إمّا منطوقية أو مفهومية؟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 البروجردي إلى أنّها دلالات منطوقية بأنّ المنطوق منقسم إلى الصريح و غير الصريح، و الثاني ما دلّ عليه اللفظ بدلالة الاقتضاء و التنبيه و الإشارة، لأنّ ما يدلّ عليه إن كان غير مقصود للمتكلّم فهو المدلول عليه بدلالة الإشارة كدلالة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الأحقاف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أقلّ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مقصوداً بأن كان صدق الكلام أو صحته يتوقّف عليه فهو المدلول بدلالة الاقتضاء، نحو رفع عن أُمّتي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الخطأ و النسيان و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سْئَلِ الْقَرْيَةَ </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فانّهما يدلاّن على مقدّر مصحّح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اقترن بالحكم ما فهم منه العلية فهو المدلول عليه بدلالة الإيماء و التنبيه، كما لو قال السائل</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واقعت في نهار رمضان،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اقتران الجواب بسؤال السائل يفهم منه، عليّة الوقاع للكفّارة</w:t>
      </w:r>
      <w:r>
        <w:rPr>
          <w:rFonts w:eastAsia="Amiri" w:cs="Amiri" w:ascii="Amiri" w:hAnsi="Amiri"/>
          <w:color w:val="111111"/>
          <w:sz w:val="28"/>
          <w:szCs w:val="28"/>
          <w:rtl w:val="true"/>
          <w:lang w:bidi="ar-SA"/>
        </w:rPr>
        <w:t xml:space="preserve">. </w:t>
      </w:r>
      <w:bookmarkStart w:id="716" w:name="pg14356_186931"/>
    </w:p>
    <w:p>
      <w:pPr>
        <w:pStyle w:val="BookText"/>
        <w:rPr/>
      </w:pPr>
      <w:bookmarkEnd w:id="716"/>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عدّها من الدلالات الالتزامية حيث إنّ الجميع من لوازم المعنى، سواء كان مقصوداً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خصّ المحقّق النائيني المفهوم باللازم البيّن بالمعنى الأخص، و جعل الدلالات الثلاث من اللازم البيّن بالمعنى الأعمّ و أسماها دلالة سياقية، و ظاهره انّها ليست منطوقية و لا مفهومية</w:t>
      </w:r>
      <w:r>
        <w:rPr>
          <w:rFonts w:eastAsia="Amiri" w:cs="Amiri" w:ascii="Amiri" w:hAnsi="Amiri"/>
          <w:color w:val="111111"/>
          <w:sz w:val="28"/>
          <w:szCs w:val="28"/>
          <w:rtl w:val="true"/>
          <w:lang w:bidi="ar-SA"/>
        </w:rPr>
        <w:t>.</w:t>
      </w:r>
    </w:p>
    <w:p>
      <w:pPr>
        <w:pStyle w:val="Heading5"/>
        <w:numPr>
          <w:ilvl w:val="4"/>
          <w:numId w:val="1"/>
        </w:numPr>
        <w:rPr/>
      </w:pPr>
      <w:bookmarkStart w:id="717" w:name="__RefHeading___Toc7305100_3381743652"/>
      <w:bookmarkStart w:id="718" w:name="_Toc271"/>
      <w:bookmarkEnd w:id="717"/>
      <w:r>
        <w:rPr>
          <w:rtl w:val="true"/>
        </w:rPr>
        <w:t>وجود اصطلاحين في لفظ المفهوم</w:t>
      </w:r>
      <w:bookmarkEnd w:id="718"/>
    </w:p>
    <w:p>
      <w:pPr>
        <w:pStyle w:val="BookText"/>
        <w:rPr/>
      </w:pPr>
      <w:r>
        <w:rPr>
          <w:rFonts w:ascii="Amiri" w:hAnsi="Amiri" w:eastAsia="Amiri" w:cs="Amiri"/>
          <w:color w:val="111111"/>
          <w:sz w:val="28"/>
          <w:sz w:val="28"/>
          <w:szCs w:val="28"/>
          <w:rtl w:val="true"/>
          <w:lang w:bidi="ar-SA"/>
        </w:rPr>
        <w:t>و مما يجب إلفات نظر القارئ إليه انّ في إطلاق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اصطلاحين مختلفين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الاصطلاح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يعمّ جميع المداليل الالتزامية للمفرد و الكلام، البيّن و غير البيّن حتّى الأقسام الثلاثة التي أسماها المحقّق النائيني بالسياقية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الاصطلاح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ما يبحث عنه هنا من ثبوت الحكم عند ثبوت القيد و ارتفاعه عند ارتفاعه، و المقصود في المقام هو الثاني، و لعلّ النسبة بين الاصطلاحين هي العموم و الخصوص المطلق</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7305102_3381743652"/>
      <w:bookmarkStart w:id="720" w:name="_Toc272"/>
      <w:bookmarkEnd w:id="719"/>
      <w:r>
        <w:rPr>
          <w:rtl w:val="true"/>
        </w:rPr>
        <w:t>الرابع</w:t>
      </w:r>
      <w:r>
        <w:rPr>
          <w:rtl w:val="true"/>
        </w:rPr>
        <w:t xml:space="preserve">: </w:t>
      </w:r>
      <w:r>
        <w:rPr>
          <w:rtl w:val="true"/>
        </w:rPr>
        <w:t>مسلك القدماء و المتأخّرين في استفادة المفهوم</w:t>
      </w:r>
      <w:bookmarkEnd w:id="72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 السيّد البروجردي إلى أنّ مسلك القدماء في استفادة العموم من القضايا، يختلف مع مسلك المتأخرين، فإنّ دلالة الخصوصية المذكورة في الكلام من الشرط أو الوصف أو الغاية أو اللقب أو نحوها ليست دلالة لفظيّة، بل هي من باب بناء العقلاء على حمل الفعل الصادر عن الغير، على كونه صادراً لغاية، و كون الغاية المنظورة منه، غايته النوعية العادية، و الغاية المنظورة عند العقلاء من </w:t>
      </w:r>
    </w:p>
    <w:p>
      <w:pPr>
        <w:pStyle w:val="BookText"/>
        <w:rPr/>
      </w:pPr>
      <w:r>
        <w:rPr>
          <w:rFonts w:ascii="Amiri" w:hAnsi="Amiri" w:eastAsia="Amiri" w:cs="Amiri"/>
          <w:color w:val="111111"/>
          <w:sz w:val="28"/>
          <w:sz w:val="28"/>
          <w:szCs w:val="28"/>
          <w:rtl w:val="true"/>
          <w:lang w:bidi="ar-SA"/>
        </w:rPr>
        <w:t>نفس الكلام، حكايته لمعناه، و من خصوصياته، دخالتها في المطلوب، فإذا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فأكرمه، حَكَمَ العقلاءُ بمدخلية مجيء زيد في وجوب إكرامه قائلاً بأنّه لو لا دخله فيه لما ذكره المتكلّم، و كذا سائر القيود، و على ذلك فاستفادة المفهوم ليست مبنيّة على دلالة الجملة على الانتفاء عند الانتفاء، بل مبني على أنّ الأصل في فعل الإنسان أن لا يكون لاغياً، بل يكون كلّ فعل منه، و منه الإتيان بالقيد صادراً لغايته الطبيعية و هو دخله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مسلك المتأخّرين فهو مبنيّ على دلالة الجملة وضعاً أو إطلاقاً على كون الشرط أو الوصف علّة منحصرة للحكم فيرتفع الحكم بارتفاعه، و على ذلك يكون البحث عند القدماء عقلياً، و عند المتأخّرين لفظيّاً</w:t>
      </w:r>
      <w:r>
        <w:rPr>
          <w:rFonts w:eastAsia="Amiri" w:cs="Amiri" w:ascii="Amiri" w:hAnsi="Amiri"/>
          <w:color w:val="111111"/>
          <w:sz w:val="28"/>
          <w:szCs w:val="28"/>
          <w:rtl w:val="true"/>
          <w:lang w:bidi="ar-SA"/>
        </w:rPr>
        <w:t>.</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إنّ ما نسبه سيّدنا الأُستاذ إلى القدماء لم أقف عليه صريحاً في كتب القدماء إلاّ في الذريعة للشريف المرتضى،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 المخالف لنا في هذه المسألة بأشياء</w:t>
      </w:r>
      <w:r>
        <w:rPr>
          <w:rFonts w:eastAsia="Amiri" w:cs="Amiri" w:ascii="Amiri" w:hAnsi="Amiri"/>
          <w:color w:val="111111"/>
          <w:sz w:val="28"/>
          <w:szCs w:val="28"/>
          <w:rtl w:val="true"/>
          <w:lang w:bidi="ar-SA"/>
        </w:rPr>
        <w:t>.</w:t>
      </w:r>
      <w:r>
        <w:rPr>
          <w:rStyle w:val="FootnoteAnchor"/>
          <w:rtl w:val="true"/>
        </w:rPr>
        <w:footnoteReference w:id="185"/>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تعليق الحكم بالوصف لو لم يدل على انتفائه إذا انتفت الصفة لم يكن لتعليقه بالصوم معنى و كان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فقد استدلّ بأُمور أُخرى غالبها يرجع إلى التبادر أو قياس الوصف بالاستثناء، أو قياس الوصف بالشرط، و لذلك استدلّ المخالف بالوجوه التالية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تعليق الحكم بالسوم يجري مجرى الاستثناء من الغنم، و يقوم مقام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الغنم إلاّ السائمة،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فكما أنّه لو قال ذلك لوجب أن تكون</w:t>
      </w:r>
    </w:p>
    <w:p>
      <w:pPr>
        <w:pStyle w:val="BookText"/>
        <w:rPr/>
      </w:pPr>
      <w:r>
        <w:rPr>
          <w:rFonts w:ascii="Amiri" w:hAnsi="Amiri" w:eastAsia="Amiri" w:cs="Amiri"/>
          <w:color w:val="111111"/>
          <w:sz w:val="28"/>
          <w:sz w:val="28"/>
          <w:szCs w:val="28"/>
          <w:rtl w:val="true"/>
          <w:lang w:bidi="ar-SA"/>
        </w:rPr>
        <w:t>الجملة المستثنى منها بخلاف الاستثناء، فكذلك تعليق الحكم بصفة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تعليق الحكم بالشرط لمّا دلّ على انتفائه بانتفاء الشرط، فكذلك الصفة، و الجامع بينهما انّ كلّ واحد منهما كالآخر في التخصيص، لأنّه لا فرق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سائمة الغنم الزكاة، و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إذا كانت سائمة الزكاة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روي عن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يعلى بن منبه سأله،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نقصر، و قد أُمنّا؟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ممّا عجبتَ منه، فسألتُ عنه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تصدق اللّه بها عليكم، فاقبلوا صدقته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فتعجبهما من ذلك يدلّ على أنّهما فهما من تعلّق القصر بالخوف أنّ حال الأمن بخلافه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هذا هو نصّ المرتضى من أعيان أئمّة الأُصوليين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 نصاً آخر من أحد أئمّة الأُصوليين من السنّة ألا و هو أبو الحسين محمد بن علي بن طيب البصري المعتزلي، المتوفّى في نفس السنة التي توفي فيها المرتضى، فانّه ذكر ما ذكره المرتضى بصورة أُخرى، و استدلّ على وجود المفهوم بالقضايا الشرطية،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أنّ الشرط يمنع من ثبوت الحكم مع عدمه على كلّ حال انّ قول القائل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الدار إن دخلها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معناه انّ الشرط في دخولك هو دخول عمرو، لأنّ لفظة إن موضوعة للشرط، و لو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 دخولك الدار دخول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علمنا أنّه لم يوجب عليه دخول الدار مع فقد دخول عمرو على كلّ حال، فكذلك في مسألتنا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ترى أنّه يستدلّ بالتبادر</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يدلّ على أنّ المعقول من الشرط ما ذكرنا ما روي من أنّ يعلى بن </w:t>
      </w:r>
      <w:bookmarkStart w:id="721" w:name="pg14356_186934"/>
    </w:p>
    <w:p>
      <w:pPr>
        <w:pStyle w:val="BookText"/>
        <w:rPr/>
      </w:pPr>
      <w:bookmarkEnd w:id="721"/>
      <w:r>
        <w:rPr>
          <w:rFonts w:ascii="Amiri" w:hAnsi="Amiri" w:eastAsia="Amiri" w:cs="Amiri"/>
          <w:color w:val="111111"/>
          <w:sz w:val="28"/>
          <w:sz w:val="28"/>
          <w:szCs w:val="28"/>
          <w:rtl w:val="true"/>
          <w:lang w:bidi="ar-SA"/>
        </w:rPr>
        <w:t>منبه سأل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نقصر و قد أُمنا؟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عجبتُ ممّا عجبتَ منه فسألت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تصدق اللّه بها عليكم فأقبلوا صدقته، فلو لم يعقل من الشرط نفي الحكم عمّا عداها لم يكن لتعجبهما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أبا إسحاق إبراهيم بن علي بن يوسف الفيروزآبادي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التبصرة في أُصول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ببعض هذه الوجوه مثلاً،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ابن عباس خالف الصحابة في توريث الأُخت مع البنت و احتجّ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امْرُؤٌ هَلَكَ لَيْسَ لَهُ وَلَدٌ وَ لَهُ أُخْتٌ فَلَها نِصْفُ ما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تعلّق بدليل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انّه لما ثبت ميراث الأُخت عند عدم الولد، دلّ على أنّها عند وجوده لا تستحقه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فصحاء الصحابة و علمائهم، و لم ينكر أحد استدلاله، فدلّ على أنّ ذلك مقتضى اللغة</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ترى أنّهم يستدلّون بالتبادر تارة، و بالمقايسة ثانياً، و ليس في كلامهم شيء من بناء العقلاء على أنّ للقيد دخلاً، كما ليس في كلامهم ما يدلّ على أنّ البحث منعقد على حجّية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 لسيد مشايخنا المحقّق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 واسع على كلمات الأُصوليين قدمائهم و متأخريهم، و لعلّه وقف على ما لم نقف عليه</w:t>
      </w:r>
      <w:r>
        <w:rPr>
          <w:rFonts w:eastAsia="Amiri" w:cs="Amiri" w:ascii="Amiri" w:hAnsi="Amiri"/>
          <w:color w:val="111111"/>
          <w:sz w:val="28"/>
          <w:szCs w:val="28"/>
          <w:rtl w:val="true"/>
          <w:lang w:bidi="ar-SA"/>
        </w:rPr>
        <w:t>.</w:t>
      </w:r>
    </w:p>
    <w:p>
      <w:pPr>
        <w:pStyle w:val="Heading4"/>
        <w:numPr>
          <w:ilvl w:val="3"/>
          <w:numId w:val="1"/>
        </w:numPr>
        <w:rPr/>
      </w:pPr>
      <w:bookmarkStart w:id="722" w:name="__RefHeading___Toc7305104_3381743652"/>
      <w:bookmarkStart w:id="723" w:name="_Toc273"/>
      <w:bookmarkEnd w:id="722"/>
      <w:r>
        <w:rPr>
          <w:rtl w:val="true"/>
        </w:rPr>
        <w:t>الخامس</w:t>
      </w:r>
      <w:r>
        <w:rPr>
          <w:rtl w:val="true"/>
        </w:rPr>
        <w:t xml:space="preserve">: </w:t>
      </w:r>
      <w:r>
        <w:rPr>
          <w:rtl w:val="true"/>
        </w:rPr>
        <w:t>النزاع صغروي لا كبروي</w:t>
      </w:r>
      <w:bookmarkEnd w:id="72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النزاع في باب المفاهيم على مسلك المتأخّرين صغروي و مرجعه إلى دلالة القضية الشرطية الوصفية بالوضع أو الإطلاق على كون الشرط أو الوصف علّة منحصرة للحكم، و عدم دلالتها، فلو ثبت الانحصار، و دلّ على المفهوم، يكون </w:t>
      </w:r>
      <w:bookmarkStart w:id="724" w:name="pg14356_186935"/>
    </w:p>
    <w:p>
      <w:pPr>
        <w:pStyle w:val="BookText"/>
        <w:rPr/>
      </w:pPr>
      <w:bookmarkEnd w:id="724"/>
      <w:r>
        <w:rPr>
          <w:rFonts w:ascii="Amiri" w:hAnsi="Amiri" w:eastAsia="Amiri" w:cs="Amiri"/>
          <w:color w:val="111111"/>
          <w:sz w:val="28"/>
          <w:sz w:val="28"/>
          <w:szCs w:val="28"/>
          <w:rtl w:val="true"/>
          <w:lang w:bidi="ar-SA"/>
        </w:rPr>
        <w:t>حجّة بلا كلام، بخلاف ما إذا لم يثبت، فالنزاع في دلالة القضية على الانحصار، و بالتالي في وجود المفهوم للقضية و عدمه، الذي هو نزاع 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فلو ثبت انّ للقضية مفهوماً فهو حجّة بلا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مسلك القدماء فقد استظهر السيّد البروجردي بناءً على أنّ النزاع كبروي، أنّ البحث في حجية بناء العقلاء، لأنّه قد استقر بناؤهم على حمل الخصوصيات الموجودة في الكلام على كونها صادرة عنه بداعي غايتها النوعية، و انّ الغاية النوعية هي دخلها في المطلوب، و هذا البناء من العقلاء موجود و الكلام في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النزاع على مسلك القدماء لو ثبت أيضاً صغرويّاً و هو النزاع في تفسير مقدار المدخلية في الحكم، فهل على نحو لو ارتفع ارتفع، الحكم مطلقاً و لا ينوبه شيء آخر، حتّى يكون سنخ الحكم مرتفعاً أيضاً كشخص الحكم أو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إذا بلغ قدر كرّ لا ينجسه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مدخلية الكرّية على نحو، يدور سنخ الحكم مدارها فيثبت بثبوتها و ينتفي بانتفائها؟ أو ليس كذلك و إنّما يرتفع شخص الحكم، دون سنخه لإمكان إقامة علّة قيد آخر مكانه ككونه جارياً، أو كون السماء ماطرة عليه عند ملاقاته بالنجاسة، فالنزاع في مقدار المدخلية، فلو ثبت مقدارها فبناء العقلاء حجّة لكونه بمرأى و مسمع من الشارع</w:t>
      </w:r>
      <w:r>
        <w:rPr>
          <w:rFonts w:eastAsia="Amiri" w:cs="Amiri" w:ascii="Amiri" w:hAnsi="Amiri"/>
          <w:color w:val="111111"/>
          <w:sz w:val="28"/>
          <w:szCs w:val="28"/>
          <w:rtl w:val="true"/>
          <w:lang w:bidi="ar-SA"/>
        </w:rPr>
        <w:t>.</w:t>
      </w:r>
    </w:p>
    <w:p>
      <w:pPr>
        <w:pStyle w:val="Heading4"/>
        <w:numPr>
          <w:ilvl w:val="3"/>
          <w:numId w:val="1"/>
        </w:numPr>
        <w:rPr/>
      </w:pPr>
      <w:bookmarkStart w:id="725" w:name="__RefHeading___Toc7305106_3381743652"/>
      <w:bookmarkStart w:id="726" w:name="_Toc274"/>
      <w:bookmarkEnd w:id="725"/>
      <w:r>
        <w:rPr>
          <w:rtl w:val="true"/>
        </w:rPr>
        <w:t>السادس</w:t>
      </w:r>
      <w:r>
        <w:rPr>
          <w:rtl w:val="true"/>
        </w:rPr>
        <w:t xml:space="preserve">: </w:t>
      </w:r>
      <w:r>
        <w:rPr>
          <w:rtl w:val="true"/>
        </w:rPr>
        <w:t>في مفهوم الموافقة</w:t>
      </w:r>
      <w:bookmarkEnd w:id="72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الفرق بين المفهوم المخالف و الموافق هو انّ الحكم في القضيتين لو كان </w:t>
      </w:r>
      <w:bookmarkStart w:id="727" w:name="pg14356_186936"/>
    </w:p>
    <w:p>
      <w:pPr>
        <w:pStyle w:val="BookText"/>
        <w:rPr/>
      </w:pPr>
      <w:bookmarkEnd w:id="727"/>
      <w:r>
        <w:rPr>
          <w:rFonts w:ascii="Amiri" w:hAnsi="Amiri" w:eastAsia="Amiri" w:cs="Amiri"/>
          <w:color w:val="111111"/>
          <w:sz w:val="28"/>
          <w:sz w:val="28"/>
          <w:szCs w:val="28"/>
          <w:rtl w:val="true"/>
          <w:lang w:bidi="ar-SA"/>
        </w:rPr>
        <w:t>مخالفاً بالنفي و الإثبات، فالمفهوم مخالف، و لو كان موافقاً فالمفهوم موافق، فإذا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تَقُلْ لَهُما 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يدلّ على حرمة الضرب و السب، فالحكم منطوقاً و مفهوماً هو الحرمة، و القضية سالبة بخلاف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سلّم زيد أكرمه، فالمنطوق قضية موجبة، و المفهوم قضية سالبة</w:t>
      </w:r>
      <w:r>
        <w:rPr>
          <w:rFonts w:eastAsia="Amiri" w:cs="Amiri" w:ascii="Amiri" w:hAnsi="Amiri"/>
          <w:color w:val="111111"/>
          <w:sz w:val="28"/>
          <w:szCs w:val="28"/>
          <w:rtl w:val="true"/>
          <w:lang w:bidi="ar-SA"/>
        </w:rPr>
        <w:t>.</w:t>
      </w:r>
    </w:p>
    <w:p>
      <w:pPr>
        <w:pStyle w:val="Heading4"/>
        <w:numPr>
          <w:ilvl w:val="3"/>
          <w:numId w:val="1"/>
        </w:numPr>
        <w:rPr/>
      </w:pPr>
      <w:bookmarkStart w:id="728" w:name="__RefHeading___Toc7305108_3381743652"/>
      <w:bookmarkStart w:id="729" w:name="_Toc275"/>
      <w:bookmarkEnd w:id="728"/>
      <w:r>
        <w:rPr>
          <w:rtl w:val="true"/>
        </w:rPr>
        <w:t>السابع</w:t>
      </w:r>
      <w:r>
        <w:rPr>
          <w:rtl w:val="true"/>
        </w:rPr>
        <w:t xml:space="preserve">: </w:t>
      </w:r>
      <w:r>
        <w:rPr>
          <w:rtl w:val="true"/>
        </w:rPr>
        <w:t>في الشرط المحقّق للموضوع</w:t>
      </w:r>
      <w:bookmarkEnd w:id="729"/>
    </w:p>
    <w:p>
      <w:pPr>
        <w:pStyle w:val="BookText"/>
        <w:rPr/>
      </w:pPr>
      <w:r>
        <w:rPr>
          <w:rFonts w:ascii="Amiri" w:hAnsi="Amiri" w:eastAsia="Amiri" w:cs="Amiri"/>
          <w:color w:val="111111"/>
          <w:sz w:val="28"/>
          <w:sz w:val="28"/>
          <w:szCs w:val="28"/>
          <w:rtl w:val="true"/>
          <w:lang w:bidi="ar-SA"/>
        </w:rPr>
        <w:t>النزاع في وجود المفهوم أو حجّيته فيما إذا شملت القضية على أُمور ثلاثة متغايرة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 الشرط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الموضوع، أو الفاعل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فيحكم على الموضوع أو الفاعل بالجزاء عند وجود الشرط، و بعدمه عند عدم الشرط، و أمّا إذا كان فعل الشرط، محقّقاً للموضوع لا أمراً زائد عليه،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 فإنّ رزق الولد، ليس شيئاً زائد على وجود نفس الولد، ففي مثله، تكون القضية خالية عن المفهوم لعدم الموضوع، لا لوجود الموضوع و عدم الشرط</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الأُمور فلندخل في صلب الموضوع، و الكلام فيه ضمن فصول</w:t>
      </w:r>
      <w:r>
        <w:rPr>
          <w:rFonts w:eastAsia="Amiri" w:cs="Amiri" w:ascii="Amiri" w:hAnsi="Amiri"/>
          <w:color w:val="111111"/>
          <w:sz w:val="28"/>
          <w:szCs w:val="28"/>
          <w:rtl w:val="true"/>
          <w:lang w:bidi="ar-SA"/>
        </w:rPr>
        <w:t xml:space="preserve">: </w:t>
      </w:r>
      <w:bookmarkStart w:id="730" w:name="pg14356_186937"/>
    </w:p>
    <w:p>
      <w:pPr>
        <w:pStyle w:val="Heading3"/>
        <w:numPr>
          <w:ilvl w:val="2"/>
          <w:numId w:val="1"/>
        </w:numPr>
        <w:rPr/>
      </w:pPr>
      <w:bookmarkStart w:id="731" w:name="__RefHeading___Toc7305110_3381743652"/>
      <w:bookmarkStart w:id="732" w:name="_Toc276"/>
      <w:bookmarkEnd w:id="730"/>
      <w:bookmarkEnd w:id="731"/>
      <w:r>
        <w:rPr>
          <w:rtl w:val="true"/>
        </w:rPr>
        <w:t>الفصل الأوّل مفهوم الشرط</w:t>
      </w:r>
      <w:bookmarkEnd w:id="732"/>
    </w:p>
    <w:p>
      <w:pPr>
        <w:pStyle w:val="Heading4"/>
        <w:numPr>
          <w:ilvl w:val="3"/>
          <w:numId w:val="1"/>
        </w:numPr>
        <w:rPr/>
      </w:pPr>
      <w:bookmarkStart w:id="733" w:name="__RefHeading___Toc7305112_3381743652"/>
      <w:bookmarkStart w:id="734" w:name="_Toc277"/>
      <w:bookmarkEnd w:id="733"/>
      <w:r>
        <w:rPr>
          <w:rtl w:val="true"/>
        </w:rPr>
        <w:t>اشارة</w:t>
      </w:r>
      <w:bookmarkEnd w:id="734"/>
    </w:p>
    <w:p>
      <w:pPr>
        <w:pStyle w:val="BookText"/>
        <w:rPr/>
      </w:pPr>
      <w:r>
        <w:rPr>
          <w:rFonts w:ascii="Amiri" w:hAnsi="Amiri" w:eastAsia="Amiri" w:cs="Amiri"/>
          <w:color w:val="111111"/>
          <w:sz w:val="28"/>
          <w:sz w:val="28"/>
          <w:szCs w:val="28"/>
          <w:rtl w:val="true"/>
          <w:lang w:bidi="ar-SA"/>
        </w:rPr>
        <w:t>هل الجملة الشرطية، تدلّ على الثبوت لدى الثبوت و الانتفاء عند الانتفاء، أو لا؟ و القائل بالدلالة، إمّا يدّعيها عن طريق الوضع و ان هيئة الجملة الشرطية وضعت لذلك، أو يدّعيها عن طريق الإطلاق و مقدّمات الحكمة، و انّ الاقتصار على بيان شرط واحد، مع كونه في مقام البيان، شاهد على أنّه السبب المنحصر، أو يدّعيها عن طريق الانصراف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القول بالدلالة على المفهوم فرع ثبوت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الملازمة بين وجود الشرط و الجزاء، و عدم كون القضية من قبيل القضايا الاتفاقية،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فإذا زيد بالباب، فانّ المفاجأة بوجود زيد، لدى الخروج قضية اتفاقية دون وجود أيّة ملازمة بين الخروج و المفاجأة لوجوده</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التلازم من باب الترتّب، أي كون الشرط علّة للجزاء، فخرج ما إذا كان هناك تلازم دون أن يكون ترتّب علّيّ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قصر النهار طال الليل، أو كلّما طال النهار قصر الليل، فانّ طول الليلة عند قصر النهار، معلولين لعلّة </w:t>
      </w:r>
      <w:bookmarkStart w:id="735" w:name="pg14356_186938"/>
    </w:p>
    <w:p>
      <w:pPr>
        <w:pStyle w:val="BookText"/>
        <w:rPr/>
      </w:pPr>
      <w:bookmarkEnd w:id="735"/>
      <w:r>
        <w:rPr>
          <w:rFonts w:ascii="Amiri" w:hAnsi="Amiri" w:eastAsia="Amiri" w:cs="Amiri"/>
          <w:color w:val="111111"/>
          <w:sz w:val="28"/>
          <w:sz w:val="28"/>
          <w:szCs w:val="28"/>
          <w:rtl w:val="true"/>
          <w:lang w:bidi="ar-SA"/>
        </w:rPr>
        <w:t>ثالثة دون أن يكون الأوّل علّة للثاني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الترتّب بنحو العلّة المنحصرة، و عدم وجود علّة أُخرى تقوم مقام العلّة المنتفية، و لعلّ ظهور القضية في الأوّلين ممّا لا ريب فيه،</w:t>
      </w:r>
    </w:p>
    <w:p>
      <w:pPr>
        <w:pStyle w:val="Heading4"/>
        <w:numPr>
          <w:ilvl w:val="3"/>
          <w:numId w:val="1"/>
        </w:numPr>
        <w:rPr/>
      </w:pPr>
      <w:bookmarkStart w:id="736" w:name="__RefHeading___Toc7305114_3381743652"/>
      <w:bookmarkStart w:id="737" w:name="_Toc278"/>
      <w:bookmarkEnd w:id="736"/>
      <w:r>
        <w:rPr>
          <w:rtl w:val="true"/>
        </w:rPr>
        <w:t>وجوه على كون ترتّب الجزاء على الشرط بنحو العلّة المنحصرة و النقاش فيها</w:t>
      </w:r>
      <w:bookmarkEnd w:id="737"/>
    </w:p>
    <w:p>
      <w:pPr>
        <w:pStyle w:val="Heading5"/>
        <w:numPr>
          <w:ilvl w:val="4"/>
          <w:numId w:val="1"/>
        </w:numPr>
        <w:rPr/>
      </w:pPr>
      <w:bookmarkStart w:id="738" w:name="__RefHeading___Toc7305116_3381743652"/>
      <w:bookmarkStart w:id="739" w:name="_Toc279"/>
      <w:bookmarkEnd w:id="738"/>
      <w:r>
        <w:rPr>
          <w:rtl w:val="true"/>
        </w:rPr>
        <w:t>اشارة</w:t>
      </w:r>
      <w:bookmarkEnd w:id="739"/>
    </w:p>
    <w:p>
      <w:pPr>
        <w:pStyle w:val="BookText"/>
        <w:rPr/>
      </w:pPr>
      <w:r>
        <w:rPr>
          <w:rFonts w:ascii="Amiri" w:hAnsi="Amiri" w:eastAsia="Amiri" w:cs="Amiri"/>
          <w:color w:val="111111"/>
          <w:sz w:val="28"/>
          <w:sz w:val="28"/>
          <w:szCs w:val="28"/>
          <w:rtl w:val="true"/>
          <w:lang w:bidi="ar-SA"/>
        </w:rPr>
        <w:t>إنّما الكلام في ثبوت الأمر الثالث و قد استدل عليه المحقّق الخراساني بوجوه خمسة و ناقش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نذكر الجميع، مع بعض الملاحظات في كلام المحقّق الخراساني</w:t>
      </w:r>
      <w:r>
        <w:rPr>
          <w:rFonts w:eastAsia="Amiri" w:cs="Amiri" w:ascii="Amiri" w:hAnsi="Amiri"/>
          <w:color w:val="111111"/>
          <w:sz w:val="28"/>
          <w:szCs w:val="28"/>
          <w:rtl w:val="true"/>
          <w:lang w:bidi="ar-SA"/>
        </w:rPr>
        <w:t>.</w:t>
      </w:r>
    </w:p>
    <w:p>
      <w:pPr>
        <w:pStyle w:val="Heading5"/>
        <w:numPr>
          <w:ilvl w:val="4"/>
          <w:numId w:val="1"/>
        </w:numPr>
        <w:rPr/>
      </w:pPr>
      <w:bookmarkStart w:id="740" w:name="__RefHeading___Toc7305118_3381743652"/>
      <w:bookmarkStart w:id="741" w:name="_Toc280"/>
      <w:bookmarkEnd w:id="740"/>
      <w:r>
        <w:rPr>
          <w:rtl w:val="true"/>
        </w:rPr>
        <w:t>الأوّل</w:t>
      </w:r>
      <w:r>
        <w:rPr>
          <w:rtl w:val="true"/>
        </w:rPr>
        <w:t xml:space="preserve">: </w:t>
      </w:r>
      <w:r>
        <w:rPr>
          <w:rtl w:val="true"/>
        </w:rPr>
        <w:t>التبادر</w:t>
      </w:r>
      <w:bookmarkEnd w:id="741"/>
    </w:p>
    <w:p>
      <w:pPr>
        <w:pStyle w:val="BookText"/>
        <w:rPr/>
      </w:pPr>
      <w:r>
        <w:rPr>
          <w:rFonts w:ascii="Amiri" w:hAnsi="Amiri" w:eastAsia="Amiri" w:cs="Amiri"/>
          <w:color w:val="111111"/>
          <w:sz w:val="28"/>
          <w:sz w:val="28"/>
          <w:szCs w:val="28"/>
          <w:rtl w:val="true"/>
          <w:lang w:bidi="ar-SA"/>
        </w:rPr>
        <w:t>المتبادر من الجملة الشرطية، كون اللزوم و الترتّب بين الشرط و الجزاء، بنحو العلّة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ناقش فيه المحقّق الخراساني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التبادر آية الوضع، أي وضع الجملة الشرطية على ما كون الشرط علّة منحصرة، و يترتّب على ذلك انّه لو استعملت في غير العلة المنحصرة صار مجازاً و هو كما ترى، إذ لا يرى في استعمالها في غير المنحصرة عناية و رعاية علاقة، بل إنّما تكون إرادته كإرادة الترتّب على العلة المنحصرة بلا عناية، فلا ترى أي عناية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قدر كرّ لم ينجّسه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أنّ الكرّيّة ليست علّة منحصرة للعاصمية، بل ينوب عنها كون الماء جارياً، أو ورود المطر عليه عند ورود النجاسة على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صحّة التمسك بمفهوم كلام المتهم في المحاكمات و المخاصمات و أنّ له أن يعتذر بخلو كلامه عن المفهوم، مع أنّه لو كان موضوعاً له، لم يصحّ الاعتذار</w:t>
      </w:r>
      <w:r>
        <w:rPr>
          <w:rFonts w:eastAsia="Amiri" w:cs="Amiri" w:ascii="Amiri" w:hAnsi="Amiri"/>
          <w:color w:val="111111"/>
          <w:sz w:val="28"/>
          <w:szCs w:val="28"/>
          <w:rtl w:val="true"/>
          <w:lang w:bidi="ar-SA"/>
        </w:rPr>
        <w:t xml:space="preserve">. </w:t>
      </w:r>
      <w:bookmarkStart w:id="742" w:name="pg14356_186939"/>
    </w:p>
    <w:p>
      <w:pPr>
        <w:pStyle w:val="Heading5"/>
        <w:numPr>
          <w:ilvl w:val="4"/>
          <w:numId w:val="1"/>
        </w:numPr>
        <w:rPr/>
      </w:pPr>
      <w:bookmarkStart w:id="743" w:name="__RefHeading___Toc7305120_3381743652"/>
      <w:bookmarkStart w:id="744" w:name="_Toc281"/>
      <w:bookmarkEnd w:id="742"/>
      <w:bookmarkEnd w:id="743"/>
      <w:r>
        <w:rPr>
          <w:rtl w:val="true"/>
        </w:rPr>
        <w:t>الثاني</w:t>
      </w:r>
      <w:r>
        <w:rPr>
          <w:rtl w:val="true"/>
        </w:rPr>
        <w:t xml:space="preserve">: </w:t>
      </w:r>
      <w:r>
        <w:rPr>
          <w:rtl w:val="true"/>
        </w:rPr>
        <w:t>الانصراف</w:t>
      </w:r>
      <w:bookmarkEnd w:id="744"/>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 ينصرف إلى أكمل أفراده، فإذا كان السبب دالاً على الترتّب العلّي فهو ينصرف إلى أكمل الأفراد، و هي العلّة المنحصرة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 بوجهين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صغروي و الآخر كبروي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 العلّة المنحصرة، أكمل في العلّية من غيرها إذ عدم قيام شيء آخر مقامه، أو قيامه، لا يؤثر في شئون العلية و واقعها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افترضنا انّ المنحصرة أكمل أفراد العلّة فلا وجه لانصراف المطلق إليه، لأنّ الانصراف معلول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الاستعمال، أو كثرة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كلاهما منتفيان في العلّة المنحصرة</w:t>
      </w:r>
      <w:r>
        <w:rPr>
          <w:rFonts w:eastAsia="Amiri" w:cs="Amiri" w:ascii="Amiri" w:hAnsi="Amiri"/>
          <w:color w:val="111111"/>
          <w:sz w:val="28"/>
          <w:szCs w:val="28"/>
          <w:rtl w:val="true"/>
          <w:lang w:bidi="ar-SA"/>
        </w:rPr>
        <w:t>.</w:t>
      </w:r>
    </w:p>
    <w:p>
      <w:pPr>
        <w:pStyle w:val="Heading5"/>
        <w:numPr>
          <w:ilvl w:val="4"/>
          <w:numId w:val="1"/>
        </w:numPr>
        <w:rPr/>
      </w:pPr>
      <w:bookmarkStart w:id="745" w:name="__RefHeading___Toc7305122_3381743652"/>
      <w:bookmarkStart w:id="746" w:name="_Toc282"/>
      <w:bookmarkEnd w:id="745"/>
      <w:r>
        <w:rPr>
          <w:rtl w:val="true"/>
        </w:rPr>
        <w:t>الثالث</w:t>
      </w:r>
      <w:r>
        <w:rPr>
          <w:rtl w:val="true"/>
        </w:rPr>
        <w:t xml:space="preserve">: </w:t>
      </w:r>
      <w:r>
        <w:rPr>
          <w:rtl w:val="true"/>
        </w:rPr>
        <w:t>التمسّك بالإطلاق</w:t>
      </w:r>
      <w:bookmarkEnd w:id="746"/>
    </w:p>
    <w:p>
      <w:pPr>
        <w:pStyle w:val="Heading6"/>
        <w:numPr>
          <w:ilvl w:val="5"/>
          <w:numId w:val="1"/>
        </w:numPr>
        <w:rPr/>
      </w:pPr>
      <w:bookmarkStart w:id="747" w:name="__RefHeading___Toc7305124_3381743652"/>
      <w:bookmarkStart w:id="748" w:name="_Toc283"/>
      <w:bookmarkEnd w:id="747"/>
      <w:r>
        <w:rPr>
          <w:rtl w:val="true"/>
        </w:rPr>
        <w:t>اشارة</w:t>
      </w:r>
      <w:bookmarkEnd w:id="748"/>
    </w:p>
    <w:p>
      <w:pPr>
        <w:pStyle w:val="BookText"/>
        <w:rPr/>
      </w:pPr>
      <w:r>
        <w:rPr>
          <w:rFonts w:ascii="Amiri" w:hAnsi="Amiri" w:eastAsia="Amiri" w:cs="Amiri"/>
          <w:color w:val="111111"/>
          <w:sz w:val="28"/>
          <w:sz w:val="28"/>
          <w:szCs w:val="28"/>
          <w:rtl w:val="true"/>
          <w:lang w:bidi="ar-SA"/>
        </w:rPr>
        <w:t>و قد قرره المحقّق الخراساني بوجوه ثلاثة</w:t>
      </w:r>
      <w:r>
        <w:rPr>
          <w:rFonts w:eastAsia="Amiri" w:cs="Amiri" w:ascii="Amiri" w:hAnsi="Amiri"/>
          <w:color w:val="111111"/>
          <w:sz w:val="28"/>
          <w:szCs w:val="28"/>
          <w:rtl w:val="true"/>
          <w:lang w:bidi="ar-SA"/>
        </w:rPr>
        <w:t>:</w:t>
      </w:r>
    </w:p>
    <w:p>
      <w:pPr>
        <w:pStyle w:val="Heading6"/>
        <w:numPr>
          <w:ilvl w:val="5"/>
          <w:numId w:val="1"/>
        </w:numPr>
        <w:rPr/>
      </w:pPr>
      <w:bookmarkStart w:id="749" w:name="__RefHeading___Toc7305126_3381743652"/>
      <w:bookmarkStart w:id="750" w:name="_Toc284"/>
      <w:bookmarkEnd w:id="749"/>
      <w:r>
        <w:rPr>
          <w:rtl w:val="true"/>
        </w:rPr>
        <w:t>الأوّل</w:t>
      </w:r>
      <w:r>
        <w:rPr>
          <w:rtl w:val="true"/>
        </w:rPr>
        <w:t xml:space="preserve">: </w:t>
      </w:r>
      <w:r>
        <w:rPr>
          <w:rtl w:val="true"/>
        </w:rPr>
        <w:t>الانحصار مقتضى إطلاق أداة الشرط</w:t>
      </w:r>
      <w:bookmarkEnd w:id="750"/>
    </w:p>
    <w:p>
      <w:pPr>
        <w:pStyle w:val="BookText"/>
        <w:rPr/>
      </w:pPr>
      <w:r>
        <w:rPr>
          <w:rFonts w:ascii="Amiri" w:hAnsi="Amiri" w:eastAsia="Amiri" w:cs="Amiri"/>
          <w:color w:val="111111"/>
          <w:sz w:val="28"/>
          <w:sz w:val="28"/>
          <w:szCs w:val="28"/>
          <w:rtl w:val="true"/>
          <w:lang w:bidi="ar-SA"/>
        </w:rPr>
        <w:t>إنّ أداة الشرط أو هيئة الجملة الشرطية موضوعة لمطلق اللزوم الترتّبي إلاّ أنّ له فردين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اللزوم الترتّبي بنحو الانحصار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اللزوم الترتّبي لا بنحو الانحصار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المعلوم أنّ المتكلّم بالقضية الشرطية لم يستعمل صرف الشرط أو هيئة الجملة الشرطية في الجامع،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اللزوم الترتبي بما هو هو، بل أراد منه أحد </w:t>
      </w:r>
    </w:p>
    <w:p>
      <w:pPr>
        <w:pStyle w:val="BookText"/>
        <w:rPr/>
      </w:pPr>
      <w:r>
        <w:rPr>
          <w:rFonts w:ascii="Amiri" w:hAnsi="Amiri" w:eastAsia="Amiri" w:cs="Amiri"/>
          <w:color w:val="111111"/>
          <w:sz w:val="28"/>
          <w:sz w:val="28"/>
          <w:szCs w:val="28"/>
          <w:rtl w:val="true"/>
          <w:lang w:bidi="ar-SA"/>
        </w:rPr>
        <w:t>الفردين، فمقتضى مقدمات الحكمة حملها على الفرد الذي لا يحتاج إلى بيان زائد،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العلّة المنحصرة لا على الفرد الآخر، أي العلّة غير المنحصرة و لو أراد الثاني لقيّده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المستدل قاس المقام بما إذا دار الأمر بين الواجب النفسي و الغيري، فانّ الضابطة هي حمل الصيغة على الأمر النفسي دون الغيري، و ذلك لأنّ النفسي هو الواجب على الإطلاق بلا قيد و لكن الثاني هو الواجب لغيره، أو إذا وجب الغير فمقتضى مقدّمات الحكمة حمله على ما يكون المطلق وافياً ببيانه كالنفسي دون الفرد الآخر الذي يحتاج وراء المطلق إلى وجود قيد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أورد عليه المحقّق الخراساني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و التقييد من شئون المعاني الاسمية التي تقع في أُفق النفس، فيلاحظها تارة مطلقة و أُخرى مقيدة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المعاني الحرفية كمعنى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هيئة الجملة الشرطية فكلّها معان حرفية آلية فلا توصف بالإطلاق و لا التقييد، إذ لا يمكن لحاظها على وجه الاستقلال حتّى توصف بأحدهما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الفارق بين المقيس و المقيس عليه،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المطلق أو الجامع بين الفردين كاف في بيان الواجب النفسي، و ليس كذلك في بيان الواجب الغيري، و ذلك لأنّ النفسي هو الواجب على كلّ حال بخلاف الغيري فانّه واجب إذا وجب الغير، فإذا تمت مقدّمات الحكمة يحمل المطلق على النفسي لعدم حاجته إلى بيان زائد</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بخلاف اللزوم الترتّبي فانّ له فردين و كلّ فرد يتميّز عن الفرد الآخر بقيد زائد على اللزوم الترتّبي،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الانحصار و عدم الانحصار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يلاحظ على نقد المحقّق الخراساني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هنا في وصف المعاني الحرفية يغاير مختاره في مقدّمات الكتاب عند البحث عن المعاني الاسمية و الحرفية، فقد ذهب هناك إلى وحدة المعنى الاسمي و الحرفي جوهراً و ان الاستقلالية و الآلية من طوارئ الاستعمال و عوارضه، فعندئذ تصبح المعاني الحرفية كالاسمية مصباً للإطلاق، إذ ليس الآلية جزءاً، كما أنّ الاستقلالية ليست جزءاً بل ذات المعنى عارية عن الآلية و الاستقلالية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انّ الآلية جزء للمعنى الحرفي و لكن كون الشيء مفهوماً آلياً ليس بمعنى كونه مغفولاً عنه من رأس حتّى يمتنع التقييد، بل انّ كثيراً من القيود في الكلام يرجع إلى المعاني الحرفية،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زيداً في الدار، فالظرف قيد للنسبة، أي كونه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التفريق بين المقيس و المقيس عليه غير تام إذا قصرنا النظر إلى مقام الثبوت، فكما أنّ العليّة التي هي المقسم ينقسم إلى قسمين منحصرة و غير منحصرة و كلّ من القسمين يتميز عن المقسم بقيد زائد و إلاّ عاد القسم مقسماً، فهكذا الواجب فانّه بما هو هو مقسم و النفسي و الغيري من أقسامه، و من واجب القسم أن يتميز عن المقسم بقيدين، و إلاّ عاد القسم مقسماً، فالواجب النفسي ما وجب لنفسه أو ما وجب على كلّ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الواجب الغيري ما وجب لا على كلّ تقدير، بل إذا وجب الغير</w:t>
      </w:r>
      <w:r>
        <w:rPr>
          <w:rStyle w:val="FootnoteAnchor"/>
          <w:rtl w:val="true"/>
        </w:rPr>
        <w:footnoteReference w:id="190"/>
      </w:r>
      <w:r>
        <w:rPr>
          <w:rFonts w:ascii="Amiri" w:hAnsi="Amiri" w:eastAsia="Amiri" w:cs="Amiri"/>
          <w:color w:val="111111"/>
          <w:sz w:val="28"/>
          <w:sz w:val="28"/>
          <w:szCs w:val="28"/>
          <w:rtl w:val="true"/>
          <w:lang w:bidi="ar-SA"/>
        </w:rPr>
        <w:t>، فأصبح كالعلّة المنقسمة إلى المنحصرة و غير المنحصرة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الأولى أن يُردّ الاستدلال بوجه حاسم، و هو انّ قوام الإطلاق كون المتكلّم </w:t>
      </w:r>
      <w:bookmarkStart w:id="751" w:name="pg14356_186942"/>
    </w:p>
    <w:p>
      <w:pPr>
        <w:pStyle w:val="BookText"/>
        <w:rPr/>
      </w:pPr>
      <w:bookmarkEnd w:id="751"/>
      <w:r>
        <w:rPr>
          <w:rFonts w:ascii="Amiri" w:hAnsi="Amiri" w:eastAsia="Amiri" w:cs="Amiri"/>
          <w:color w:val="111111"/>
          <w:sz w:val="28"/>
          <w:sz w:val="28"/>
          <w:szCs w:val="28"/>
          <w:rtl w:val="true"/>
          <w:lang w:bidi="ar-SA"/>
        </w:rPr>
        <w:t>في مقام البيان بالنسبة إلى نفي القيد الزائد، إلاّ أنّ احتمال دخالة القيد الزائد يتصوّر على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دخله في الموضوع بنحو الجزئية و الشرطية،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فاحتمال دخالة الإيمان مدفوع بالإطلاق، و ذلك لأنّ المتكلّم إذا صار بصدد بيان الموضوع كلّه كان عليه أن يقيد الرقبة بالإيمان، فإذا خلا كلامه عن ذلك القيد يحكم عليه بعدم الدخالة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دخله في الموضوع لا بصورة الجزئية، بل لكونه نائباً عن الموضوع و مؤثراً مثله، كما إذا احتملنا انّ لوجوب تكريم زيد سببين أحدهما تسليمه، و الآخر إحسانه، فإذا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إن سلّم أكرمه، فمقتضى الإطلاق كون التسليم تمام الموضوع كالرقبة في المثال السابق، و أمّا كونه سبباً منحصراً لا ينوب عنه شيء آخر فلا يثبته الإطلاق إلاّ أن يكون المتكلّم بصدد بيان هذه الجهة أيضاً و 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إذا بلغ قدر كرّ لم ينجّسه شيء، فمقتضى الإطلاق كون الكرّيّة تمام الموضوع للعاصمية و ليس لها شرط و لا جزء وراء الكرّيّة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أمّا كون الكرّيّة سبباً منحصراً مضافاً إلى أنّه سبب تام فهو يحتاج إلى كون المتكلّم في مقام البيان بالنسبة إلى هذه الجهة، أي وراء جهة كونه سبباً تامّاً و أنّى يمكن إحرازه، و هذا هو الإشكال المهم في المقام، و هو يرد على عامّة التقريرات الثلاثة للإطلاق، و لكن المحقّق الخراساني أشار إليه في التقرير الثاني من التقريرات الثلاثة للإطلاق</w:t>
      </w:r>
      <w:r>
        <w:rPr>
          <w:rFonts w:eastAsia="Amiri" w:cs="Amiri" w:ascii="Amiri" w:hAnsi="Amiri"/>
          <w:color w:val="111111"/>
          <w:sz w:val="28"/>
          <w:szCs w:val="28"/>
          <w:rtl w:val="true"/>
          <w:lang w:bidi="ar-SA"/>
        </w:rPr>
        <w:t>.</w:t>
      </w:r>
    </w:p>
    <w:p>
      <w:pPr>
        <w:pStyle w:val="Heading6"/>
        <w:numPr>
          <w:ilvl w:val="5"/>
          <w:numId w:val="1"/>
        </w:numPr>
        <w:rPr/>
      </w:pPr>
      <w:bookmarkStart w:id="752" w:name="__RefHeading___Toc7305128_3381743652"/>
      <w:bookmarkStart w:id="753" w:name="_Toc285"/>
      <w:bookmarkEnd w:id="752"/>
      <w:r>
        <w:rPr>
          <w:rtl w:val="true"/>
        </w:rPr>
        <w:t>الثاني</w:t>
      </w:r>
      <w:r>
        <w:rPr>
          <w:rtl w:val="true"/>
        </w:rPr>
        <w:t xml:space="preserve">: </w:t>
      </w:r>
      <w:r>
        <w:rPr>
          <w:rtl w:val="true"/>
        </w:rPr>
        <w:t>الانحصار مقتضى إطلاق فعل الشرط</w:t>
      </w:r>
      <w:bookmarkEnd w:id="75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التقرير الثاني للإطلاق، و الفرق بين التقريرين واضح، فإنّ مصب </w:t>
      </w:r>
    </w:p>
    <w:p>
      <w:pPr>
        <w:pStyle w:val="BookText"/>
        <w:rPr/>
      </w:pPr>
      <w:r>
        <w:rPr>
          <w:rFonts w:ascii="Amiri" w:hAnsi="Amiri" w:eastAsia="Amiri" w:cs="Amiri"/>
          <w:color w:val="111111"/>
          <w:sz w:val="28"/>
          <w:sz w:val="28"/>
          <w:szCs w:val="28"/>
          <w:rtl w:val="true"/>
          <w:lang w:bidi="ar-SA"/>
        </w:rPr>
        <w:t>الإطلاق في التقرير الأوّل هو مفاد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هيئة الجملة الشرطية، بخلاف هذا الوجه فانّ مصبه هو فعل الشرط،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 زيد أكرمه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لم يكن منحصراً لزم تقييد تأثيره بما إذا لم يقارنه أو لم يسبقه شرط آخر ضرورة انّه لو قارنه أو سبقه شرط آخر لما أثّر وحدة كما في عاصمية الكر فانّه إنّما يؤثر إذا لم يكن ماء جارياً عن مبدأ و إلاّ فلا يكون مؤثراً مع أنّ قضية إطلاقه أنّه مؤثر مطلقاً، قارنه شيء أم لم يقارنه، سبقه شيء أم لم يسبقه</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في نقد الوجه الأوّل من التقرير للإطلاق، و هو انّ الإطلاق رهن كون المتكلّم في مقام البيان بالنسبة إلى القيد الذي يراد نفيه، فلو كان القيد مؤثراً في نفس الموضوع جزءاً أو شرطاً فينفى دخله بالموضوع في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القيد المحتمل غير مؤثر في الموضوع، بل يحتمل أن يكون ذلك القيد سبباً مستقلاً للحكم وراء السبب الموجود في المنطوق بأن يكون للعاصمية سببان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الماء متّصلاً بالنبع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فنفي الشك الثاني النابع عن احتمال تعدّد السبب، و عدمه، فرع كون المتكلّم في مقام البيان من هذه الجهة أيضاً و أنّى لنا إثبات ذلك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نفي الشكّ في وحدة السبب و عدمها، رهن كون المتكلّم يكون في مقام بيان أمرين</w:t>
      </w:r>
      <w:r>
        <w:rPr>
          <w:rFonts w:eastAsia="Amiri" w:cs="Amiri" w:ascii="Amiri" w:hAnsi="Amiri"/>
          <w:color w:val="111111"/>
          <w:sz w:val="28"/>
          <w:szCs w:val="28"/>
          <w:rtl w:val="true"/>
          <w:lang w:bidi="ar-SA"/>
        </w:rPr>
        <w:t xml:space="preserve">: </w:t>
      </w:r>
      <w:bookmarkStart w:id="754" w:name="pg14356_186944"/>
    </w:p>
    <w:p>
      <w:pPr>
        <w:pStyle w:val="BookText"/>
        <w:rPr/>
      </w:pPr>
      <w:bookmarkEnd w:id="75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كمال السبب و عدم نقصه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وحدة السبب و عدم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السائد على المتكلّمين في مقام الإطلاق هو الأوّل، و أمّا كونه واحداً لا متعدّداً فخارج عن مصب الإطلاق غالباً، إلاّ أن يحرز انّه أيضاً في مقام البيان لهذه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التمسّك بالإطلاق لإثبات الانحصار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الوجه الثالث للإطلاق، و هو الذي أشار إليه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توهم انّه قضية إطلاق الشرط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إليك بيانه</w:t>
      </w:r>
      <w:r>
        <w:rPr>
          <w:rFonts w:eastAsia="Amiri" w:cs="Amiri" w:ascii="Amiri" w:hAnsi="Amiri"/>
          <w:color w:val="111111"/>
          <w:sz w:val="28"/>
          <w:szCs w:val="28"/>
          <w:rtl w:val="true"/>
          <w:lang w:bidi="ar-SA"/>
        </w:rPr>
        <w:t>:</w:t>
      </w:r>
    </w:p>
    <w:p>
      <w:pPr>
        <w:pStyle w:val="Heading6"/>
        <w:numPr>
          <w:ilvl w:val="5"/>
          <w:numId w:val="1"/>
        </w:numPr>
        <w:rPr/>
      </w:pPr>
      <w:bookmarkStart w:id="755" w:name="__RefHeading___Toc7305130_3381743652"/>
      <w:bookmarkStart w:id="756" w:name="_Toc286"/>
      <w:bookmarkEnd w:id="755"/>
      <w:r>
        <w:rPr>
          <w:rtl w:val="true"/>
        </w:rPr>
        <w:t>الوجه الثالث</w:t>
      </w:r>
      <w:r>
        <w:rPr>
          <w:rtl w:val="true"/>
        </w:rPr>
        <w:t xml:space="preserve">: </w:t>
      </w:r>
      <w:r>
        <w:rPr>
          <w:rtl w:val="true"/>
        </w:rPr>
        <w:t>التمسّك بإطلاق الشرط بتقريب انّ مقتضى إطلاقه، انحصارُه</w:t>
      </w:r>
      <w:bookmarkEnd w:id="756"/>
    </w:p>
    <w:p>
      <w:pPr>
        <w:pStyle w:val="BookText"/>
        <w:rPr/>
      </w:pPr>
      <w:r>
        <w:rPr>
          <w:rFonts w:ascii="Amiri" w:hAnsi="Amiri" w:eastAsia="Amiri" w:cs="Amiri"/>
          <w:color w:val="111111"/>
          <w:sz w:val="28"/>
          <w:sz w:val="28"/>
          <w:szCs w:val="28"/>
          <w:rtl w:val="true"/>
          <w:lang w:bidi="ar-SA"/>
        </w:rPr>
        <w:t>كما أنّ مقتضى إطلاق الأمر كون الوجوب تعيينياً لا تخييرياً</w:t>
      </w:r>
      <w:r>
        <w:rPr>
          <w:rFonts w:eastAsia="Amiri" w:cs="Amiri" w:ascii="Amiri" w:hAnsi="Amiri"/>
          <w:color w:val="111111"/>
          <w:sz w:val="28"/>
          <w:szCs w:val="28"/>
          <w:rtl w:val="true"/>
          <w:lang w:bidi="ar-SA"/>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و هذا الوجه ليس شيئاً جديداً و إنّما أخذ من الأوّل شيئاً و من الثاني شيئاً آخر و لفّقهما و صار بصورة تقريب ثالث للإطلاق المفيد للانحصار، فقد أخذ من التقريب الثاني كون مصب الإطلاق هو الفعل لا مفاد هيئة الجملة الشرطية، كما أخذ من التقريب الثاني التشبيه غاية الأمر شبّه المقام بتردد صيغة الأمر بين التعييني و التخييري، و قد شبّه المقام في التقريب الأوّل بتردّد الصيغة بين النفسي و الغيري، و إليك توضيحه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كانت العلّة و المؤثر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منحصر يؤثر مطلقاً سواء أ كان هناك شيء آخر أو لا، و قسم غير منحصر و إنّما يؤثر إذا لم يكن هناك مؤثر آخر متقدّم عليه، فإذا كان المتكلّم في مقام البيان و اقتصر على بيان مؤثر واحد، فمعناه انّه يؤثر مطلقاً حتّى و ان تقدّم عليه شيء، إذ لو لم يكن كذلك لزم المتكلّم تقييد </w:t>
      </w:r>
    </w:p>
    <w:p>
      <w:pPr>
        <w:pStyle w:val="BookText"/>
        <w:rPr/>
      </w:pPr>
      <w:r>
        <w:rPr>
          <w:rFonts w:ascii="Amiri" w:hAnsi="Amiri" w:eastAsia="Amiri" w:cs="Amiri"/>
          <w:color w:val="111111"/>
          <w:sz w:val="28"/>
          <w:sz w:val="28"/>
          <w:szCs w:val="28"/>
          <w:rtl w:val="true"/>
          <w:lang w:bidi="ar-SA"/>
        </w:rPr>
        <w:t>تأثيره بما إذا لم يكن هناك شيء آخر، فسكوته دليل على أنّه من قبيل القسم الأوّل، نظير الواجب التعييني و التخييري حيث إنّ المتكلّم إذا اقتصر على بيان واجب واحد فمعناه انّه واجب مطلقاً أتى بشيء آخر أو لا، و إلاّ كان عليه تقييد وجوبه بما إذا لم يأت بشيء آخر، فإذا سكت فهو دليل على أنّه واجب تعييناً، إذ لو كان واجباً تخييرياً كان عليه بيان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بتلك 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بيان الجامع بين المنحصرة و غير المنحصرة، و بين الواجب التعييني و التخييري كاف في بيان الشق الأوّل من الشقين أي العلّة المنحصرة و الواجب التعييني و ليس بواف لبيان الشقين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المنحصر، و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أورد على هذا البيان، 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الفرق بين المقيس و المقيس عليه ظاهر فانّ التعيين و التخيير وصفان داخلان في ماهية الوجوبين، و كأنّهما بالنسبة إلى الوجوب فصلان منوِّعان فكلّ من التعييني و التخييري نوع من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إنّ الوجوب التعييني وجوب على كلّ تقدير أتى بشيء أو لا، بخلاف الثاني فانّ التخييري وجوب على تقدير عدم الإتيان بشيء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الانحصار و عدمه فانّهما غير داخلين في ماهية العلّة، فانّ تأثير العلّة المنحصرة مثل تأثير غير المنحصرة من دون تفاوت بينهما ثبوتاً في نحو التأثير، بل الانحصار و عدمه من المشخصات الصنفية حيث يكون الفرق بين العلّة المنحصرة و غيرها كالفرق بين الإنسان الأبيض و الأسود</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يترتّب على ذلك الفرق هو انّ بيان الجامع كاف لبيان الفرد من الواجب التعييني، و ليس كذلك في مورد العلة المنحصرة، و وجهه هو انّ الاختلاف في القسم الأوّل يعود إلى مقام الثبوت، لما عرفت من أنّ نسبة الوجوب التعييني و </w:t>
      </w:r>
    </w:p>
    <w:p>
      <w:pPr>
        <w:pStyle w:val="BookText"/>
        <w:rPr/>
      </w:pPr>
      <w:r>
        <w:rPr>
          <w:rFonts w:ascii="Amiri" w:hAnsi="Amiri" w:eastAsia="Amiri" w:cs="Amiri"/>
          <w:color w:val="111111"/>
          <w:sz w:val="28"/>
          <w:sz w:val="28"/>
          <w:szCs w:val="28"/>
          <w:rtl w:val="true"/>
          <w:lang w:bidi="ar-SA"/>
        </w:rPr>
        <w:t>التخييري كنسبة نوع إلى نوع كالإنسان بالنسبة إلى الفرس، فإذا أطلق و لم يذكر عدلاً يحمل على بيان خصوص الوجوب التعييني، و إلاّ يلزم أن لا يكون في مقام البيان، بل في مقام الإهمال و الإجمال و هذا خلاف المفروض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العلّة المنحصرة و غير المنحصرة، لأنّهما لمّا كانا في مقام الثبوت محددين جوهراً و إنّما الاختلاف في مقام الإثبات إذا أُطلق و لم يقيد بشيء يكون الكلام مجملاً لا محمولاً على الفرد المنحصر، و إلى ما ذكرنا أخيراً يشير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احتياج ما إذا كان الشرط متعدداً إلى ذلك إنّما يكون لبيان التعدّد لا لبيان نحو الشرطية فنسبة إطلاق الشرط إليه لا تختلف كان هناك شرط آخر أم لا، حيث كان مسوقاً لبيان شرطيته بلا إهمال و لا إجمال بخلاف إطلاق الأمر فانّه لو لم يكن لبيان خصوص الوجوب التعييني فلا محالة يكون في مقام الإهمال و الإجمال</w:t>
      </w:r>
      <w:r>
        <w:rPr>
          <w:rFonts w:eastAsia="Amiri" w:cs="Amiri" w:ascii="Amiri" w:hAnsi="Amiri"/>
          <w:color w:val="111111"/>
          <w:sz w:val="28"/>
          <w:szCs w:val="28"/>
          <w:rtl w:val="true"/>
          <w:lang w:bidi="ar-SA"/>
        </w:rPr>
        <w:t>.</w:t>
      </w:r>
      <w:r>
        <w:rPr>
          <w:rStyle w:val="FootnoteAnchor"/>
          <w:rtl w:val="true"/>
        </w:rPr>
        <w:footnoteReference w:id="193"/>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البيان مع طوله غير واف في التفريق، لأنّه إذا افترضنا انّ نسبة التعيين و التخيير إلى الوجوب نسبة الفصلين المنوعين إلى الجنس، و نسبة الانحصار و غير الانحصار إلى العلّة نسبة المصنّفات، و مع ذلك فكلّ من المشبه و المشبه به يشتركان بوجود الاختلاف في الثبوت و الإثبات و إلاّ لأصبح القسم مقسماً، و ذلك لأنّ الواجب التعييني ثبوتاً يختلف مع التخييري، فالأوّل هو الواجب مطلقاً سواء أتى بشيء أو لا، و الثاني واجب فيما إذا لم يأت بشيء، فكما أنّ هذه القيود معتبرة في مقام الثبوت ليجعلها نوعين من الوجوب، فهكذا معتبرة في مقام الإثبات، لأنّ الإثبات هو المعبر عن الثبوت بالتمام، فإذا كان القيد مأخوذاً في الثبوت يكون مأخوذاً في مقام الإثبات، و عندئذ لا معنى للقول بأنّ بيان الجامع </w:t>
      </w:r>
      <w:bookmarkStart w:id="757" w:name="pg14356_186947"/>
    </w:p>
    <w:p>
      <w:pPr>
        <w:pStyle w:val="BookText"/>
        <w:rPr/>
      </w:pPr>
      <w:bookmarkEnd w:id="757"/>
      <w:r>
        <w:rPr>
          <w:rFonts w:ascii="Amiri" w:hAnsi="Amiri" w:eastAsia="Amiri" w:cs="Amiri"/>
          <w:color w:val="111111"/>
          <w:sz w:val="28"/>
          <w:sz w:val="28"/>
          <w:szCs w:val="28"/>
          <w:rtl w:val="true"/>
          <w:lang w:bidi="ar-SA"/>
        </w:rPr>
        <w:t>كاف في إثبات أحد النوعين دون النوع الآخر، لما عرفت من أنّ النوعين يتميزان ثبوتاً و إثباتاً بقيدين، فلا يكون بيان الجامع بياناً لأحد من النوعين لا ثبوتاً و لا إثباتاً، و كون المتكلّم في مقام البيان لا يُلزمنا بالأخذ بالوجوب التعييني، بل يمكن أن يكشف ذلك عن عدم كون المتكلّم في مقام البيان، بل هو في مقام الإهمال و الإجمال، بحجة انّ المتكلّم لم يشر إلى أحد القيدين المتنوعين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حال العلّة المنحصرة و غير المنحصرة فهما متميزان في مقام الثبوت بقيدين كما أنّهما متميزان في مقام الإثبات بقيدين أيضاً، فلا يكون بيان الجامع بياناً لأحد الفردين لا في مقام الثبوت و لا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الجزء الأوّل في مبحث دوران أمر الصيغة بين النفسي و الغيري و التعييني و التخييري، و الكفائي و العيني انّه يحمل على النفسي و التعييني و العيني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هناك مبني على بيان آخر مذكور في محله، لا على هذا الأصل الذي بنى عليه حمل الأمر على التعييني</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إلى هنا تمّت الوجوه الخمسة التي ذكرها المحقّق الخراساني و هناك وجه آخر، و هو</w:t>
      </w:r>
    </w:p>
    <w:p>
      <w:pPr>
        <w:pStyle w:val="Heading5"/>
        <w:numPr>
          <w:ilvl w:val="4"/>
          <w:numId w:val="1"/>
        </w:numPr>
        <w:rPr/>
      </w:pPr>
      <w:bookmarkStart w:id="758" w:name="__RefHeading___Toc7305132_3381743652"/>
      <w:bookmarkStart w:id="759" w:name="_Toc287"/>
      <w:bookmarkEnd w:id="758"/>
      <w:r>
        <w:rPr>
          <w:rtl w:val="true"/>
        </w:rPr>
        <w:t>الوجه السادس</w:t>
      </w:r>
      <w:r>
        <w:rPr>
          <w:rtl w:val="true"/>
        </w:rPr>
        <w:t>:</w:t>
      </w:r>
      <w:bookmarkEnd w:id="759"/>
    </w:p>
    <w:p>
      <w:pPr>
        <w:pStyle w:val="BookText"/>
        <w:rPr/>
      </w:pPr>
      <w:r>
        <w:rPr>
          <w:rFonts w:ascii="Amiri" w:hAnsi="Amiri" w:eastAsia="Amiri" w:cs="Amiri"/>
          <w:color w:val="111111"/>
          <w:sz w:val="28"/>
          <w:sz w:val="28"/>
          <w:szCs w:val="28"/>
          <w:rtl w:val="true"/>
          <w:lang w:bidi="ar-SA"/>
        </w:rPr>
        <w:t>الذي سمعناه من السيد المحقّق البروجردي</w:t>
      </w:r>
    </w:p>
    <w:p>
      <w:pPr>
        <w:pStyle w:val="BookText"/>
        <w:rPr/>
      </w:pPr>
      <w:r>
        <w:rPr>
          <w:rFonts w:ascii="Amiri" w:hAnsi="Amiri" w:eastAsia="Amiri" w:cs="Amiri"/>
          <w:color w:val="111111"/>
          <w:sz w:val="28"/>
          <w:sz w:val="28"/>
          <w:szCs w:val="28"/>
          <w:rtl w:val="true"/>
          <w:lang w:bidi="ar-SA"/>
        </w:rPr>
        <w:t xml:space="preserve">في درسه الشريف عام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حاصله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مقتضى الترتّب العلّي على المقدّم، أن يكون المقدّم بعنوانه الخاص علّة، و هو محفوظ عند ما كانت العلّة منحصرة و لو لم يكن كذلك لزم استناد الثاني إلى الجامع بينهما لامتناع استناد الواحد إلى الكثير، و هو خلاف ظاهر الترتّب على المقدّم بعنوانه</w:t>
      </w:r>
      <w:r>
        <w:rPr>
          <w:rFonts w:eastAsia="Amiri" w:cs="Amiri" w:ascii="Amiri" w:hAnsi="Amiri"/>
          <w:color w:val="111111"/>
          <w:sz w:val="28"/>
          <w:szCs w:val="28"/>
          <w:rtl w:val="true"/>
          <w:lang w:bidi="ar-SA"/>
        </w:rPr>
        <w:t>.</w:t>
      </w:r>
      <w:r>
        <w:rPr>
          <w:rStyle w:val="FootnoteAnchor"/>
          <w:rtl w:val="true"/>
        </w:rPr>
        <w:footnoteReference w:id="195"/>
      </w:r>
      <w:bookmarkStart w:id="760" w:name="pg14356_186948"/>
    </w:p>
    <w:p>
      <w:pPr>
        <w:pStyle w:val="BookText"/>
        <w:rPr/>
      </w:pPr>
      <w:bookmarkEnd w:id="760"/>
      <w:r>
        <w:rPr>
          <w:rFonts w:ascii="Amiri" w:hAnsi="Amiri" w:eastAsia="Amiri" w:cs="Amiri"/>
          <w:color w:val="111111"/>
          <w:sz w:val="28"/>
          <w:sz w:val="28"/>
          <w:szCs w:val="28"/>
          <w:rtl w:val="true"/>
          <w:lang w:bidi="ar-SA"/>
        </w:rPr>
        <w:t>ثمّ إنّا وقفنا على ذلك التقريب في تعليقة المحقّق الاصفهاني، و لعلّ البيانين من قبيل توارد الخاطرين أو انّ المحقّق المحشّي أخذه من السيد المحقّق البروجردي، و ذلك لأنّ السيد البروجردي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عرضت ذلك التقريب على المحقّق الخراساني، فأجاب عنه بالنحو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المفهوم رهن الظهور العرفي، و الظهور العرفي لا يثبت بهذه المسائل الفلسفية البعيدة عن الأذهان العرفية، و أنّى للعرف دراسة هذا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لو كان للجزاء علل مختلفة يجب أن يستند إلى الجامع و حيث إنّه خلاف ظاهر القضية فهو مستند إلى شخص الشرط و تصير نتيجته انّه علة منحصرة </w:t>
      </w:r>
      <w:r>
        <w:rPr>
          <w:rFonts w:eastAsia="Amiri" w:cs="Amiri" w:ascii="Amiri" w:hAnsi="Amiri"/>
          <w:color w:val="111111"/>
          <w:sz w:val="28"/>
          <w:szCs w:val="28"/>
          <w:rtl w:val="true"/>
          <w:lang w:bidi="ar-SA"/>
        </w:rPr>
        <w:t>«.</w:t>
      </w:r>
    </w:p>
    <w:p>
      <w:pPr>
        <w:pStyle w:val="Heading5"/>
        <w:numPr>
          <w:ilvl w:val="4"/>
          <w:numId w:val="1"/>
        </w:numPr>
        <w:rPr/>
      </w:pPr>
      <w:bookmarkStart w:id="761" w:name="__RefHeading___Toc7305134_3381743652"/>
      <w:bookmarkStart w:id="762" w:name="_Toc288"/>
      <w:bookmarkEnd w:id="761"/>
      <w:r>
        <w:rPr>
          <w:rtl w:val="true"/>
        </w:rPr>
        <w:t>السابع</w:t>
      </w:r>
      <w:r>
        <w:rPr>
          <w:rtl w:val="true"/>
        </w:rPr>
        <w:t xml:space="preserve">: </w:t>
      </w:r>
      <w:r>
        <w:rPr>
          <w:rtl w:val="true"/>
        </w:rPr>
        <w:t>ما ذكره المحقّق النائيني على ما في تقريراته،</w:t>
      </w:r>
      <w:bookmarkEnd w:id="762"/>
    </w:p>
    <w:p>
      <w:p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الشرط المذكور في القضية الشرطية إمّا أن يكون في حدّ ذاته ممّا يتوقف عليه عقلاً، وجود ما هو متعلّق الحكم في الجزاء، و إمّا أن لا يكون كذلك، و على الأوّل لا يكون للقضية مفهوم لا محالة، كما في 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رزقت ولداً فاختنه، و بما انّ كلّ قضية حملية تنحل إلى قضية شرطية يكون مقدّمها وجود الموضوع، و تاليها ثبوت المحمول له و يكون التعليق عقلياً لا يكون هناك مفهوم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الآخر في أنّ الحكم الثابت في الجزاء ليس بمتوقّف على وجود الشرط عقلاً، فلا يخلو إمّا أن يكون مطلقاً بالإضافة إلى وجود الشرط، أو يكون مقيّداً به، و بما انّه رتب في ظاهر القضية على وجود الشرط، يمتنع الإطلاق فيكون مقيّداً بوجود الشرط و بما انّ المتكلّم في مقام البيان قد أتى بقيد واحد و لم يقيده بشيء آخر، سواء أ كان التقييد بذكر عدل له في الكلام أم كان بمثل العطف بالواو ليكون قيد الحكم في الحقيقة مركباً من أمرين،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جاءك زيد و أكرمك فأكرمه، يستكشف من ذلك، انحصار القيد بخصوص ما ذكر في القضية </w:t>
      </w:r>
      <w:bookmarkStart w:id="763" w:name="pg14356_186949"/>
    </w:p>
    <w:p>
      <w:pPr>
        <w:pStyle w:val="BookText"/>
        <w:rPr/>
      </w:pPr>
      <w:bookmarkEnd w:id="763"/>
      <w:r>
        <w:rPr>
          <w:rFonts w:ascii="Amiri" w:hAnsi="Amiri" w:eastAsia="Amiri" w:cs="Amiri"/>
          <w:color w:val="111111"/>
          <w:sz w:val="28"/>
          <w:sz w:val="28"/>
          <w:szCs w:val="28"/>
          <w:rtl w:val="true"/>
          <w:lang w:bidi="ar-SA"/>
        </w:rPr>
        <w:t>الشرطية، و بالجملة فكما أنّ إطلاق الشرط و عدم تقييده بمثل العطف بالواو، يدلّ على عدم كون الشرط مركباً، كذلك إطلاقه و عدم تقييده بشيء مثل العطف، يدلّ على انحصار الشرط بما هو مذكور في القضية</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ليس تقريباً جديداً، بل هو نفس التقريب الثالث للمحقّق الخراساني للإطلاق وجود الفرق الواضح بين كون الشرط ذا جزء و بين كونه ذا عدل، فلو تعلق الشكّ بالأوّل لكان مقتضى الإطلاق هو كونه تاماً في السببية و الشرطية لا ناقصاً، و أمّا إذا تعلّق الشكّ بأنّ له عدلاً أو لا فلا يكفي الإطلاق، و قد عرفت فيما سبق انّ الإطلاق عبارة عن كون ما وقع تحت دائرة الطلب تمام الموضوع لا انّه لا موضوع له بغير ما ورد في متعلّق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شككنا في أنّ للكرّيّة شرطاً أو لا، يتمسّك بإطلاق الدليل، و امّا أنّ له عدلاً أو لا، كجريان الماء و إن لم يكن كرّاً فلا يدلّ على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تمت أدلّة القائلين بالمفهوم، و قد عرفت أنّ الأدلّة غير وافية</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7305136_3381743652"/>
      <w:bookmarkStart w:id="765" w:name="_Toc289"/>
      <w:bookmarkEnd w:id="764"/>
      <w:r>
        <w:rPr>
          <w:rtl w:val="true"/>
        </w:rPr>
        <w:t>نظرية المحقّق البروجردي</w:t>
      </w:r>
      <w:bookmarkEnd w:id="765"/>
    </w:p>
    <w:p>
      <w:pPr>
        <w:pStyle w:val="BookText"/>
        <w:rPr/>
      </w:pPr>
      <w:r>
        <w:rPr>
          <w:rFonts w:ascii="Amiri" w:hAnsi="Amiri" w:eastAsia="Amiri" w:cs="Amiri"/>
          <w:color w:val="111111"/>
          <w:sz w:val="28"/>
          <w:sz w:val="28"/>
          <w:szCs w:val="28"/>
          <w:rtl w:val="true"/>
          <w:lang w:bidi="ar-SA"/>
        </w:rPr>
        <w:t>ثمّ إنّ المحقّق البروجردي فصل في القضايا المشروطة بين كون سوقها لأجل إفادة كون المشروط علّة للجزاء، و سوقها لأجل إفادة انّ الجزاء ثابت للمشروط بهذا الشرط، فالأوّل كقول الطبيب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شربت السقمونيا فيسهل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الماء قدر كرّ لا ينجّسه شيء</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سيقت لإفادة العلّية فلا مفهوم لها، لأنّ المتكلّم لم يأت في كلامه بقيد زائد، بل أفاد انّ السقمونيا مثلاً علّة لإسهال الصفراء</w:t>
      </w:r>
      <w:r>
        <w:rPr>
          <w:rFonts w:eastAsia="Amiri" w:cs="Amiri" w:ascii="Amiri" w:hAnsi="Amiri"/>
          <w:color w:val="111111"/>
          <w:sz w:val="28"/>
          <w:szCs w:val="28"/>
          <w:rtl w:val="true"/>
          <w:lang w:bidi="ar-SA"/>
        </w:rPr>
        <w:t xml:space="preserve">. </w:t>
      </w:r>
      <w:bookmarkStart w:id="766" w:name="pg14356_186950"/>
    </w:p>
    <w:p>
      <w:pPr>
        <w:pStyle w:val="BookText"/>
        <w:rPr/>
      </w:pPr>
      <w:bookmarkEnd w:id="766"/>
      <w:r>
        <w:rPr>
          <w:rFonts w:ascii="Amiri" w:hAnsi="Amiri" w:eastAsia="Amiri" w:cs="Amiri"/>
          <w:color w:val="111111"/>
          <w:sz w:val="28"/>
          <w:sz w:val="28"/>
          <w:szCs w:val="28"/>
          <w:rtl w:val="true"/>
          <w:lang w:bidi="ar-SA"/>
        </w:rPr>
        <w:t>و بالجملة كلّما كان إتيان الشرط لإفادة علّيته للجزاء، و لا يكون فيه قيد زائد لا يكون له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سيقت على النحو الثاني، يكون له مفهوم إن تم ما ذكر من أنّ القيود الزائدة في الكلام تفيد دخالتها على نحو ينتفي الحكم عند 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نقض لما أبرمه في السابق، و هو انّ غاية ما يدلّ عليه أخذ القيد في الكلام ان له دخلاً فإذا ارتفع ارتفع شخص الحكم، و أمّا أنّه لا ينوب هنا به شيء آخر فلا يدلّ عليه إلاّ أن يكون المتكلّم في مقام البيان لهذه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إذا كان التفصيل على مبنى القوم كما يعرب عنه قوله إن تمّ ما ذكر</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7305138_3381743652"/>
      <w:bookmarkStart w:id="768" w:name="_Toc290"/>
      <w:bookmarkEnd w:id="767"/>
      <w:r>
        <w:rPr>
          <w:rtl w:val="true"/>
        </w:rPr>
        <w:t>ما هو المختار في المقام؟</w:t>
      </w:r>
      <w:bookmarkEnd w:id="768"/>
    </w:p>
    <w:p>
      <w:pPr>
        <w:pStyle w:val="BookText"/>
        <w:rPr/>
      </w:pPr>
      <w:r>
        <w:rPr>
          <w:rFonts w:ascii="Amiri" w:hAnsi="Amiri" w:eastAsia="Amiri" w:cs="Amiri"/>
          <w:color w:val="111111"/>
          <w:sz w:val="28"/>
          <w:sz w:val="28"/>
          <w:szCs w:val="28"/>
          <w:rtl w:val="true"/>
          <w:lang w:bidi="ar-SA"/>
        </w:rPr>
        <w:t>قد عرفت عدم كفاية التقريبات السبعة لإثبات كون الشرط سبباً منحصراً للجزاء و مع ذلك يمكن القول بدلالة القضية الشرطية على المفهوم في 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الشرط من الأضداد التي لا ثالث لها، و بالتالي لا يكون للموضوع إلاّ حالتين لا غير، و إليك بعض الأمثلة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السفر و الحضر فيها من الأوصاف التي تعرض الإنسان و لا ثالث لهما، إذ الإنسان الذي هو الموضوع إمّا حاضر أو مسافر،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سافرت فقصِّر أو إذا سافرتَ فأفطر، يفهم منه انّ التقصير و الإفطار، من أحكام المسافر دون الحاضر، فهو يتم و يصوم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الحاضر، هو المتواجد في الوطن بما هو هو مع قطع النظر عن العوارض ككونه مريضاً، أو شيخاً مطيقاً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الاستطاعة و العجز من الأضداد التي لا ثالث لها، و الإنسان الذي هو الموضوع، إمّا مستطيع أو غير مستطيع،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استطعت فحجّ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بمفهومه على سلب الوجوب عن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الحكم ثابتاً عند وجود الشرط و عدمه، يكون التعليق لغواً، و لا يتصور فيه قيام سبب آخر مكان الشرط المنتفي، إذ المفروض انّهما من الأضداد التي لا ثالث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الظلم و العدل من الأضداد التي لا ثالث لهما،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لعرق ظالم حق </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فالوصف يدلّ على أنّ عرق غير الظالم له حقّ، فلو كان الحكم عاماً، للظالم و العادل يلزم اللغوية، و لذلك فرّع الفقهاء على القول بالمفهوم في الحديث فروعاً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لو زرع أو غرس المفلس في الأرض التي اشتراها و لم يدفع ثمنها، و أراد بائعها أخذها، فإنّه لا يقلع زرعه و غرسه مجاناً و لا بأرش، بل عليه إبقاؤه إلى أوان جذاذ الزرع، و في الغرس يباع و يكون للمفلس بنسبة غرسه من الثمن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انقضت مدّة المزارعة، و الزرع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يعلما تأخّره عن المدّة المشروطة وقت العقد، فإنّ الزرع حينئذ لا يقلع أيضاً، لأنّه ليس بظالم، نعم يجمع بين الحقّين بالأُجرة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الفرق أنّ المشتري دخل على أن تكون المنفعة له مباحة بغير عوض، بخلاف العامل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أخذ الشفيع الأرض بالشفعة بعد زرع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نظائر ذلك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ادّعى بعضهم الإجماع أيضاً على العمل بمفهوم الحديث هنا، و إن منع من العمل بمفهوم الوصف</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المتكلّم بصدد بيان حكم الموضوع بعامة صوره، كما إذا سئل السائل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الماء الذي لا ينجس، حيث تعلّق السؤال بعاصمية مطلق الماء، سواء أ كان ماء غدير، أو بئر، أو جار، أو غير ذلك فإذا أُجيب بأنّ الماء إذا بلغ قدر كرّ لا ينجسه شيء، بقيد انّ السبب المنحصر للعاصمية، هو الكرية على نحو لو دلّ الدليل على عاصمية ماء المطر أو الجاري المتصل بالنبع، أو الماء الواقع تحت المطر عند إصابة النجاسة، لوقع التعارض بين المفهوم و الدليل الدالّ على عاصمية غير الكرّ بخلاف ما إذا سئل عن عاصمية ماء خاص، كما إذا سئل عن ماء الغدير الذي تلغ فيه الكلاب، فأجيب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إذا بلغ قدر كرّ لا ينجسه شيء، فانّ السؤال و الجواب قرينة على أنّ السؤال تعلّق ببيان ما هو العاصم للماء الخاص و هو ماء الغدير، فيكون الجواب مشيراً إلى الموضوع الذي جاء في سؤال السائل، فعاصمية ماء الغدير و عدمها تدور مدار الكرّيّة و عدمها، من دون نظر إلى عاصمية مطلق الماء الذي يعم ماء البئر و الجاري و ما يقع عليه 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الضابطة و مع ذلك فاستنباط المفهوم و عدمه من القضية رهن قرائن أُخرى أيضاً ربما تؤيد اشتمالها عليه، هذا و انّ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استدلّ على حرمة لحم الشاة التي ذبحت و لم تتحرك و أُريق منها دم عبيط بمفهوم كلام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صحيحة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الشاة تذبح فلا تتحرك و يهراق منها دم كثير عبيط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انّ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ركضت الرِّجْلُ أو طرفت العين فكُلْ</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فكلام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يدلّ على الحرمة بمفهومه لا بمنطوقه و لو لا كون المفهوم حجّة، كيف استدلّ الإمام به على حرمة </w:t>
      </w:r>
    </w:p>
    <w:p>
      <w:pPr>
        <w:pStyle w:val="BookText"/>
        <w:rPr/>
      </w:pPr>
      <w:r>
        <w:rPr>
          <w:rFonts w:ascii="Amiri" w:hAnsi="Amiri" w:eastAsia="Amiri" w:cs="Amiri"/>
          <w:color w:val="111111"/>
          <w:sz w:val="28"/>
          <w:sz w:val="28"/>
          <w:szCs w:val="28"/>
          <w:rtl w:val="true"/>
          <w:lang w:bidi="ar-SA"/>
        </w:rPr>
        <w:t>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المستنبط أن يتحرى في القرائن الحافّة حتى يعرف موقف المتكلم من الكلام</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نفاة المفهوم استدلوا بوجوه ذكرها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 غنى عن دراستها، إذ لم نقل بدلالة القضايا الشرطيّة على المفهوم مطلقاً، حتّى ندرس أدلّة المخالف، بل ألمعنا إلى مواضع خاصّة لا أظن انّ المخالف ينفي وجود المفهوم فيها فلنرجع إلى البحث في تنبيهات الفصل التي عقدها المحقّق الخراساني</w:t>
      </w:r>
      <w:r>
        <w:rPr>
          <w:rFonts w:eastAsia="Amiri" w:cs="Amiri" w:ascii="Amiri" w:hAnsi="Amiri"/>
          <w:color w:val="111111"/>
          <w:sz w:val="28"/>
          <w:szCs w:val="28"/>
          <w:rtl w:val="true"/>
          <w:lang w:bidi="ar-SA"/>
        </w:rPr>
        <w:t xml:space="preserve">. </w:t>
      </w:r>
      <w:bookmarkStart w:id="769" w:name="pg14356_186954"/>
    </w:p>
    <w:p>
      <w:pPr>
        <w:pStyle w:val="Heading4"/>
        <w:numPr>
          <w:ilvl w:val="3"/>
          <w:numId w:val="1"/>
        </w:numPr>
        <w:rPr/>
      </w:pPr>
      <w:bookmarkStart w:id="770" w:name="__RefHeading___Toc7305140_3381743652"/>
      <w:bookmarkStart w:id="771" w:name="_Toc291"/>
      <w:bookmarkEnd w:id="769"/>
      <w:bookmarkEnd w:id="770"/>
      <w:r>
        <w:rPr>
          <w:rtl w:val="true"/>
        </w:rPr>
        <w:t>تنبيهات</w:t>
      </w:r>
      <w:bookmarkEnd w:id="771"/>
    </w:p>
    <w:p>
      <w:pPr>
        <w:pStyle w:val="Heading5"/>
        <w:numPr>
          <w:ilvl w:val="4"/>
          <w:numId w:val="1"/>
        </w:numPr>
        <w:rPr/>
      </w:pPr>
      <w:bookmarkStart w:id="772" w:name="__RefHeading___Toc7305142_3381743652"/>
      <w:bookmarkStart w:id="773" w:name="_Toc292"/>
      <w:bookmarkEnd w:id="772"/>
      <w:r>
        <w:rPr>
          <w:rtl w:val="true"/>
        </w:rPr>
        <w:t>التنبيه الأوّل المفهوم هو انتفاء سنخ الحكم لا شخصه</w:t>
      </w:r>
      <w:bookmarkEnd w:id="773"/>
    </w:p>
    <w:p>
      <w:pPr>
        <w:pStyle w:val="Heading6"/>
        <w:numPr>
          <w:ilvl w:val="5"/>
          <w:numId w:val="1"/>
        </w:numPr>
        <w:rPr/>
      </w:pPr>
      <w:bookmarkStart w:id="774" w:name="__RefHeading___Toc7305144_3381743652"/>
      <w:bookmarkStart w:id="775" w:name="_Toc293"/>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إنّ نزاع المثبت و النافي للمفهوم إنّما هو في انتفاء سنخ الحكم المعلّق على الشرط و عدم انتفائه، لا انتفاء شخصه ضرورة انتفائه بانتفاء موضوعه و لو ببعض قيوده، و النزاع في اشتمال القضية على المفهوم فرع ثبوت مرحلتين للحكم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شخص الحكم الذي ينتفي قطعاً بانتفاء شرطه باتفاق من المثبت و النافي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سنخ الحكم و نوعه الذي يحتمل الانتفاء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للجزاء مرحلة واحدة من الحكم و هو شخص الحكم لما يبقى وجه للنزاع، لأنّه منتف على كلّ حال، سواء قلنا باشتمال القضية على المفهوم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المقام رهن بيان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الفرق بين سنخ الحكم و شخصه؟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لا يجري النزاع إذا لم يكن للجزاء إلاّ مرحلة واحدة و هو شخص الحكم؟ أمّا الأوّل فبيانه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إن سلّم أكرمه، فهناك حكمان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الجزئي المتعلّق بإكرام زيد بقيد تسليمه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الكلّي المتعلّق بإكرام زيد، غير مقيّد بتسليمه، بل يعمّ تلك الحالات و سائر حالاته، كما إذا لم يسلم، و لكنّه أطعم اليتيم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إذا بلغ قدر كرّ لا ينجّسه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فهناك مثل السابق، حكمان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العاصمية للماء بقيد كونه 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العاصمية له غير مقيد بالكرية بل يعمّ تلك الحالة و سائر الحالات الطارئة له، ككونه جارياً، نابعاً من الأرض، أو ماء بئر فالحكم الجزئي المقيّد بالشرط ينتفي بانتفاء شرطه عقلاً، لأنّ المعلّق ينتفي بانتفاء المعلّق عليه، فلو لم يسلِّم أو لم يكن كرّاً، فالإنشاء المقيّد بهما، بكونه منتفياً بالاتّفاق، سواء قلنا بالمفهوم أو لا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يصلح للنزاع هو البحث في انتفاء سنخ الحكم و نوعه، أي وجوب الإكرام غير المقيد بالتسليم، أو إنشاء العاصمية غير المحدد بالكرّيّة، فهل يحكم بانتفائه كانتفاء شخص الحكم كما عليه القائل بالمفهوم أو لا يحكم عليه بل يحتمله الانتفاء و عدمه؟ ثمّ إنّ المحقّق البروجردي أنكر وجوب سنخ الحكم و نوعه، وراء شخص الحكم و انّه لا يعقل لسنخ الحكم وراء شخصه مفهوم معقول، فقال 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نتعقّل وجهاً معقولاً لسنخ الحكم لوضوح أنّ المعلّق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جاءك زيد فأكرمه هو الوجوب المحمول على إكرامه، و التعليق يدلّ على انتفاء نفس المعلّق عند انتفاء المعلّق عليه فما فرضته سنخاً إن كان متّحداً مع هذا المعلّق، موضوعاً و محمولاً فهو شخصه لا سنخه، إذ لا تكرّر في وجوب إكرام زيد </w:t>
      </w:r>
    </w:p>
    <w:p>
      <w:pPr>
        <w:pStyle w:val="BookText"/>
        <w:rPr/>
      </w:pPr>
      <w:r>
        <w:rPr>
          <w:rFonts w:ascii="Amiri" w:hAnsi="Amiri" w:eastAsia="Amiri" w:cs="Amiri"/>
          <w:color w:val="111111"/>
          <w:sz w:val="28"/>
          <w:sz w:val="28"/>
          <w:szCs w:val="28"/>
          <w:rtl w:val="true"/>
          <w:lang w:bidi="ar-SA"/>
        </w:rPr>
        <w:t>بما هو هو و إن كان مختلفاً معه في الموضوع كإكرام عمرو أو محمولاً كاستحباب إكرام زيد، فلا معنى للنزاع في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فأكرمه يدلُّ على انتفائه أو لا يدلّ</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سنخ الحكم متّحد مع شخصه موضوعاً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محمولاً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يختلف في الشرط فهو شرط لشخص الحكم دون سنخه لكن اتحادهما ليس بمعنى كونهما متساويين كالإنسان، و الحيوان الناطق بل اتحادهما كاتحاد الكلي و مصداقه، و الطبيعي و فرده، فالوجوب المنشأ بقيد التسليم وجوب جزئي، و الوجوب المنتزع عنه غير المقيد بالشرط، كلي يعم الفرد المنشأ،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الأمر الأوّل</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الأمر الثاني و هو انّ مدار النزاع هو إمكان اشتمال القضية وراء شخص الحكم على سنخه، حتّى يحكم على السنخ أيضاً بالانتفاء كالشخص كما عليه القائل بالمفهوم أو لا يحكم عليه، بل يكون الانتفاء و البقاء احتمالين متساويين و أمّا لو اشتملت القضية على الحكم الجزئي، و لم يكن فيها صلاحية للحكم الكلي و سنخه، فارتفاع الحكم و عدم ثبوته، عند انتفاء القيد ليس من باب المفهوم، بل لأجل عدم القابلية في المحل، و ذلك فيما إذا وقف داره للفقراء أو أوصى بتمليك ماله لهم، أو نذر كونها لهم إذا قضيت حاجته الشرعية أو حلف بالتمليك لهم فانّ سلب الملكية عن الأولاد الأغنياء، ليس من باب المفهوم، بل من باب عدم وجود المرحلتين للملكيّة الشخصية و السنخيّة سنخ الحكم، 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المال الخارجي إذا صار وقفاً أو نذراً أو وصية فقد صار ملكاً أو وقفاً لهؤلاء، </w:t>
      </w:r>
      <w:bookmarkStart w:id="776" w:name="pg14356_186957"/>
    </w:p>
    <w:p>
      <w:pPr>
        <w:pStyle w:val="BookText"/>
        <w:rPr/>
      </w:pPr>
      <w:bookmarkEnd w:id="776"/>
      <w:r>
        <w:rPr>
          <w:rFonts w:ascii="Amiri" w:hAnsi="Amiri" w:eastAsia="Amiri" w:cs="Amiri"/>
          <w:color w:val="111111"/>
          <w:sz w:val="28"/>
          <w:sz w:val="28"/>
          <w:szCs w:val="28"/>
          <w:rtl w:val="true"/>
          <w:lang w:bidi="ar-SA"/>
        </w:rPr>
        <w:t>و لا يتصور عندئذ ملكية كلية، للمال، حتّى يبحث عن ارتفاعها عند ارتفاع الفقر و عدمه، لأنّ المال الواحد، لا يصلح أن يكون وقفاً أو ملكاً إلاّ لواحد، و عندئذ يكون الارتفاع عن غير مورده عقلياً لا من باب المفهوم، ففرق بين إنشاء وجوب الإكرام و انشاء الملكية، إذ يصحّ إنشاء وجوبين طوليين أحدهما في ظرف التسليم و ثانيهما في ظرف آخر، و هذا بخلاف إنشاء الملكية للعين فلا يمكن نقلها مرّتين تارة للأولاد الفقراء، و أُخرى لأولاده الأغنياء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ما في كلام الشهيد الثاني في تمهيد القواعد حيث زعم انّ انتفاء الحكم في هذه الموارد من باب المفهوم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دلالة الشرط و الرهن في مثل الوقف و الوصايا و النذور و الأيمان،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هذا على أولادي الفقراء، أو إن كانوا فقراء، و نحو ذلك</w:t>
      </w:r>
      <w:r>
        <w:rPr>
          <w:rFonts w:eastAsia="Amiri" w:cs="Amiri" w:ascii="Amiri" w:hAnsi="Amiri"/>
          <w:color w:val="111111"/>
          <w:sz w:val="28"/>
          <w:szCs w:val="28"/>
          <w:rtl w:val="true"/>
          <w:lang w:bidi="ar-SA"/>
        </w:rPr>
        <w:t>.</w:t>
      </w:r>
      <w:r>
        <w:rPr>
          <w:rStyle w:val="FootnoteAnchor"/>
          <w:rtl w:val="true"/>
        </w:rPr>
        <w:footnoteReference w:id="201"/>
      </w:r>
    </w:p>
    <w:p>
      <w:pPr>
        <w:pStyle w:val="Heading6"/>
        <w:numPr>
          <w:ilvl w:val="5"/>
          <w:numId w:val="1"/>
        </w:numPr>
        <w:rPr/>
      </w:pPr>
      <w:bookmarkStart w:id="777" w:name="__RefHeading___Toc7305146_3381743652"/>
      <w:bookmarkStart w:id="778" w:name="_Toc294"/>
      <w:bookmarkEnd w:id="777"/>
      <w:r>
        <w:rPr>
          <w:rtl w:val="true"/>
        </w:rPr>
        <w:t>إشكال و إجابة</w:t>
      </w:r>
      <w:bookmarkEnd w:id="77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الإشكال فقد حكاه الشيخ الأنصاري في تقريراته عن بعضهم،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يستشكل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 القضايا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إلى أنّ الشرط المذكور إنّما وقع شرطاً بالنسبة إلى الإنشاء الخاص، الحاصل بذلك الكلام دون غيره فأقصى ما تفيده الشرطية انتفاء ذلك و أين ذلك، من دلالته على نوع الوجوب؟</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و إلى هذا الإشكال يشير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في المفهوم هو سنخ الحكم لا نفس شخص الحكم في القضية، و كان الشرط في الشرطية إنّما وقع شرطاً بالنسبة إلى الحكم الحاصل بإنشائه دون غيره فغاية قضيتها انتفاء ذاك </w:t>
      </w:r>
    </w:p>
    <w:p>
      <w:pPr>
        <w:pStyle w:val="BookText"/>
        <w:rPr/>
      </w:pPr>
      <w:r>
        <w:rPr>
          <w:rFonts w:ascii="Amiri" w:hAnsi="Amiri" w:eastAsia="Amiri" w:cs="Amiri"/>
          <w:color w:val="111111"/>
          <w:sz w:val="28"/>
          <w:sz w:val="28"/>
          <w:szCs w:val="28"/>
          <w:rtl w:val="true"/>
          <w:lang w:bidi="ar-SA"/>
        </w:rPr>
        <w:t>الحكم بانتفاء شرطه لا انتفاء سنخه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ثمّ إنّه أجاب بأنّ الخصوصية غير مأخوذة في المستعمل فيه و ذلك 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الخصوصية الإنشائية كالخصوصية الاخبارية غير مأخوذة في المعنى، مثلاً كلمة بعت وقعت لنسبة البيع إلى المتكلم، و أمّا كونه موجداً للبيع أو حاكياً عنه في الخارج فهو يستفاد من القرائن و يعد من طوارئ الاستعمال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اللحاظ الآلي في الحروف و الاستقلالية في الأسماء ليس جزءاً للمعنى الموضوع له و المستعمل فيه، و إنّما تعرضه الآلية عند الاستعمال كما يعرضه الاستقلال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الإشكال هو ما يتبادر من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الجزاء مقيّد بالشرط حيث إنّ الظاهر انّ الشرط، شرط للحكم الحاصل بإنشائه دون غيره فبانتفاء الشرط ينتفي شخص الحكم دون سنخه، فيصح الذب عنه بما اختاره المحقّق الخراساني من أنّ الخصوصيات غير مأخوذة لا في الإخبار و لا في الإنشاء، لا في الأسماء و لا في الحروف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قرر الإشكال حسب ما قرره السيد المحقّق البروجردي في درسه الشريف، و يستفاد من بعض مواضع المطارح أيضاً، و هو انّ شأن صيغة الأمر في جانب الجزاء هو إيجاد البعث و الوجوب، فإذاً المنشأ أمر جزئي، لا نوعي فليس هنا دال على سنخ الوجوب، فعندئذ لا يصلح 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بالمفهوم فرع تصوّر وجود حكمين في جانب الجزاء</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 الحكم و نوعه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الحكم و جزئيّه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إنّما يتصوّر فيما إذا كان الجزاء جملة خبرية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فيجب إكرامه،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فإكرامه واجب، فالجزاء يمكن أن يكون حكاية عن حكم جزئي مقيّد بالمجيء و عن حكم غير مقيّد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الجزاء جملة إنشائية من شأنها إيجاد المعاني في عالم الاعتبار فليس هناك وراء شخص الحكم حكم آخر، لأنّ المفروض انّ شأن الجملة الإنشائية إيجاد المعنى لا حكايته عن الخارج و الإيجاد نفس الوجود و هو نفس التشخص، فيكون الجزاء غير مشتمل على وجوب وراء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الجمل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 عن الخارج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إكرامه أو إكرامه واجب بشرط أن يكون جملة خبرية غير مستعملة في الإنشاء موجد للمعنى على نحو ليس وراء عالم الإنشاء شيء يحكي عنه اللفظ فالمعنى الذي هذا شأنه يكون جزئياً شخصياً لا غير و لا يتصوّر فيه نوع المعنى وراء الشخص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الإشكال و الأولى أن يجاب عن كلا التقريرين بجواب واحد، و هو</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الوجوب و إن كان مقيّداً بالشرط، أو انّ الشرط وقع شرطاً للحكم المذكور في الجزاء حسب تقرير العلمين أو انّ مفاد الجزاء معنى إيجادي و جزئي حقيقي حسب تقرير السيد البروجردي لكن تعلّق الوجوب بمادة الجزاء عند وجود الشرط تحكي عن مناسبة بين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تمت دلالة القضية على انحصار العلّة، دلّت على فقدان المقتضي للإكرام عند فقدان الشرط، و هو نفس القول بالمفهوم، لأنّ عدم المقتضي له، يلازم عدم كونه مطلوباً، لا بهذا الطلب المختص أو الجزئي و لا بطلب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الهيئة و إن كانت جزئية لكن تناسب الحكم و الموضوع يوجب إلغاء الخصوصية، و جعل الشرط علّة منحصرة لنفس الوجوب و طبيعيّه، فبانتفائه ينتفي طبيعي الوجوب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الحكم الشخصي و إن كان جزئياً حسب أفراده، و لكنّه حسب حالاته أمر قابل للتقييد،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أكرم زيداً، فالبعث و إن كان جزئياً لكنّه حسب حالاته قابل للتقييد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إذا كان عادلاً لا فاسقاً، عالماً لا جاهلاً بإرجاع القيود إلى مفاد الهيئة و سوف يوافيك انّه لا يشترط في جريان مقدّمات الحكمة كون الموضوع كلياً ذا أفراد، بل يكفي كونه جزئياً ذا 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فالبعث الجزئي و إن كان متشخّصاً لكنّه قابل للتقييد بالتسليم كما يمكن أن يكون مطلقاً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فالبعث المقيد بالتسليم شخص الحكم فينتفي بانتفاء التسليم و لحاظه غير مقيد به هو سنخ الحكم، فعندئذ انتفاء الحكم الشخصي لا يكون دليلاً على انتفاء سنخ الحكم، بل يمكن أن يكون نفس الشخص باقياً ضمن شرط آخر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وصف البعث الجزئي باعتبار شخص الحكم، و باعتبار آخر سنخ الحكم لأجل تقريب المطلب إلى الذهن، و إلاّ فالأمر الجزئي، بهما معاً</w:t>
      </w:r>
      <w:r>
        <w:rPr>
          <w:rFonts w:eastAsia="Amiri" w:cs="Amiri" w:ascii="Amiri" w:hAnsi="Amiri"/>
          <w:color w:val="111111"/>
          <w:sz w:val="28"/>
          <w:szCs w:val="28"/>
          <w:rtl w:val="true"/>
          <w:lang w:bidi="ar-SA"/>
        </w:rPr>
        <w:t xml:space="preserve">. </w:t>
      </w:r>
      <w:bookmarkStart w:id="779" w:name="pg14356_186961"/>
    </w:p>
    <w:p>
      <w:pPr>
        <w:pStyle w:val="Heading5"/>
        <w:numPr>
          <w:ilvl w:val="4"/>
          <w:numId w:val="1"/>
        </w:numPr>
        <w:rPr/>
      </w:pPr>
      <w:bookmarkStart w:id="780" w:name="__RefHeading___Toc7305148_3381743652"/>
      <w:bookmarkStart w:id="781" w:name="_Toc295"/>
      <w:bookmarkEnd w:id="779"/>
      <w:bookmarkEnd w:id="780"/>
      <w:r>
        <w:rPr>
          <w:rtl w:val="true"/>
        </w:rPr>
        <w:t>التنبيه الثاني إذا تعدّد الشرط و اتّحد الجزاء</w:t>
      </w:r>
      <w:bookmarkEnd w:id="781"/>
    </w:p>
    <w:p>
      <w:pPr>
        <w:pStyle w:val="Heading6"/>
        <w:numPr>
          <w:ilvl w:val="5"/>
          <w:numId w:val="1"/>
        </w:numPr>
        <w:rPr/>
      </w:pPr>
      <w:bookmarkStart w:id="782" w:name="__RefHeading___Toc7305150_3381743652"/>
      <w:bookmarkStart w:id="783" w:name="_Toc296"/>
      <w:bookmarkEnd w:id="782"/>
      <w:r>
        <w:rPr>
          <w:rtl w:val="true"/>
        </w:rPr>
        <w:t>اشارة</w:t>
      </w:r>
      <w:bookmarkEnd w:id="783"/>
    </w:p>
    <w:p>
      <w:pPr>
        <w:pStyle w:val="BookText"/>
        <w:rPr/>
      </w:pPr>
      <w:r>
        <w:rPr>
          <w:rFonts w:ascii="Amiri" w:hAnsi="Amiri" w:eastAsia="Amiri" w:cs="Amiri"/>
          <w:color w:val="111111"/>
          <w:sz w:val="28"/>
          <w:sz w:val="28"/>
          <w:szCs w:val="28"/>
          <w:rtl w:val="true"/>
          <w:lang w:bidi="ar-SA"/>
        </w:rPr>
        <w:t>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الأذان فقصّر، و ورد أيضاً إذا خفيت الجدران فقصّر، فلو قلنا بخلوّ الجملة الشرطية عن المفهوم فلا تعارض بين الدليلين و يؤخذ بظهورهما في انّ كلّ واحد سبب تام، و ليس سبباً ناقصاً فيكفي خفاء واحد منهما في وجوب التقصير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بظهور الجملة الشرطية في المفهوم يقع التعارض بين مفهوم كلّ مع منطوق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مفهوم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الأذان فقصّر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لم يخف الأذان لا تقصّر الصلاة، سواء أخفيت الجدران أم لا، فهذا المفهوم يعارض منطوق القضية الثانية التي تحكم بوجوب القصر عند خفاء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القضية الأُولى القضية الثانية فانّ مفهومها انّه إذا لم تخف الجدران فلا تقصّر، سواء أ خفي الأذان أم لا، فيعارض مفهومُها منطوق القضية الأُولى التي مفادها انّه إذا خفي الأذان، فقصّر، فلا بدّ من علاج التعارض بين القضيتين</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7305152_3381743652"/>
      <w:bookmarkStart w:id="785" w:name="_Toc297"/>
      <w:bookmarkEnd w:id="784"/>
      <w:r>
        <w:rPr>
          <w:rtl w:val="true"/>
        </w:rPr>
        <w:t>وجوه لرفع التعارض بين مفهوم إحدى القضيتين مع منطوق الأخرى</w:t>
      </w:r>
      <w:bookmarkEnd w:id="78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المحقّق الخراساني في رفع التعارض وجوهاً خمسة، و المقبول منها هو الأوّل و الثالث و البعيد هو الثاني، و المردود هو الرابع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نذكر </w:t>
      </w:r>
      <w:bookmarkStart w:id="786" w:name="pg14356_186962"/>
    </w:p>
    <w:p>
      <w:pPr>
        <w:pStyle w:val="BookText"/>
        <w:rPr/>
      </w:pPr>
      <w:bookmarkEnd w:id="786"/>
      <w:r>
        <w:rPr>
          <w:rFonts w:ascii="Amiri" w:hAnsi="Amiri" w:eastAsia="Amiri" w:cs="Amiri"/>
          <w:color w:val="111111"/>
          <w:sz w:val="28"/>
          <w:sz w:val="28"/>
          <w:szCs w:val="28"/>
          <w:rtl w:val="true"/>
          <w:lang w:bidi="ar-SA"/>
        </w:rPr>
        <w:t>المقبول أوّلاً، ثمّ نذكر البعيد، ثمّ المردود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المقبول فوجهان</w:t>
      </w:r>
      <w:r>
        <w:rPr>
          <w:rFonts w:eastAsia="IRNazanin" w:cs="IRNazanin"/>
          <w:color w:val="111111"/>
          <w:sz w:val="28"/>
          <w:szCs w:val="28"/>
          <w:rtl w:val="true"/>
          <w:lang w:bidi="fa-IR"/>
        </w:rPr>
        <w:t>:</w:t>
      </w:r>
    </w:p>
    <w:p>
      <w:pPr>
        <w:pStyle w:val="Heading6"/>
        <w:numPr>
          <w:ilvl w:val="5"/>
          <w:numId w:val="1"/>
        </w:numPr>
        <w:rPr/>
      </w:pPr>
      <w:bookmarkStart w:id="787" w:name="__RefHeading___Toc7305154_3381743652"/>
      <w:bookmarkStart w:id="788" w:name="_Toc298"/>
      <w:bookmarkEnd w:id="787"/>
      <w:r>
        <w:rPr/>
        <w:t>1</w:t>
      </w:r>
      <w:r>
        <w:rPr>
          <w:rtl w:val="true"/>
        </w:rPr>
        <w:t xml:space="preserve">. </w:t>
      </w:r>
      <w:r>
        <w:rPr>
          <w:rtl w:val="true"/>
        </w:rPr>
        <w:t>تخصيص مفهوم كلّ بمنطوق الآخر</w:t>
      </w:r>
      <w:bookmarkEnd w:id="788"/>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يخصص مفهوم كلّ بمنطوق الآخر، فإذا كان مفهوم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الأذان فقصّر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إذا لم يخف الأذان فلا تقصر، فيُخصّص النهي عن التقصير عند عدم خفاء الأذان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الجدران فقصّر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تخف و مثلها، القضية الثانية فمفهوم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خفيت الجدران فقصّر، انّه إذا لم تخف الجدران لا تقصر، فيُخصص النهي عن التقصير عند عدم خفاء الجدران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خفي 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فتكون النتيجة كفاية خفاء واحد من الأمرين،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الجدران أو الأذان فقصر، فما في 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انتفاء الشرطين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كفاية انتفاء واحد من الشرطين و حاصل هذا الجمع، هو عطف الجملة الثانية على الأُولى 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العاطفة</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7305156_3381743652"/>
      <w:bookmarkStart w:id="790" w:name="_Toc299"/>
      <w:bookmarkEnd w:id="789"/>
      <w:r>
        <w:rPr/>
        <w:t>2</w:t>
      </w:r>
      <w:r>
        <w:rPr>
          <w:rtl w:val="true"/>
        </w:rPr>
        <w:t xml:space="preserve">. </w:t>
      </w:r>
      <w:r>
        <w:rPr>
          <w:rtl w:val="true"/>
        </w:rPr>
        <w:t>تقييد منطوق كلّ بالآخر</w:t>
      </w:r>
      <w:bookmarkEnd w:id="790"/>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يقيد إطلاق الشرط في كلّ من القضيتين بمنطوق الآخر، فيكون الشرط عندئذ هو خفاء الأمرين معاً، فتكون النتيجة بعد التقييد هو انّه إذا خفيت الجدران و الأذان فقصّر، خلافاً للتصرف الأوّل فانّ النتيجة تكون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الأذان أو الجدران فقصّر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القضية الشرطية على القول بالمفهوم انّ للشرط وصفين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سبب تام لا ناقص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سبب منحصر ليس له 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فالتصرف في مفهوم كلّ بمنطوق الآخر بمعنى سلب الانحصار عن كلّ مع حفظ سببية كلّ، للقصر، كما أنّ التصرف في منطوق كلّ هو التصرف في تمامية السبب، و انّ كلّ واحد ليس سبباً تاماً، بل سبب ناقص لا يتمّ إلاّ بضمّ جزء آخر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هذان الوجهان معقولان، و أمّا انّ الترجيح بأي واحد منهما فهو رهن قرينة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المحقّق النائيني إلى عدم الترجيح و بالتالي صيرورة القضيتين مجملتين، فتصل النوبة إلى الأُصول العملية،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 من القضيتين ظاهر في العلّة المنحصرة و لكن تعدّدها ينافي ذلك، فلا بدّ إمّا من رفع اليد عن كونه علّة تامة و جعله جزء العلة فيكون المجموع من الشرطين علة تامة منحصرة ينتفي الجزاء عند انتفائهما معاً، فتكون القضيتان قضية واحدة، مثلاً 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الأذان فقصّر و إذا خفي الجدران فقصّر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الأذان و الجدران فقصّر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من رفع اليد عن كونه علّة منحصرة مع بقائه على كونه علّة تامّة فيكون الشرط أحدهما تخييراً و تكون القضيتان بمنزلة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خفي الأذان أو خفي الجدران فقصّر، و يكفي حينئذ أحدهما في ترتب الجزاء، و حينئذٍ لا بدّ من رفع اليد عن أحد الظهورين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ظهور الشرط في كونه علة تامة و إمّا ظهوره في كونه علّة منحصرة</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لم يكن أحد الظهورين أقوى من ظهور الآخر و لا أحدهما حاكماً على الآخر لمكان انّ كلا من الظهورين إنّما يكون بالإطلاق و مقدّمات الحكمة كان </w:t>
      </w:r>
    </w:p>
    <w:p>
      <w:pPr>
        <w:pStyle w:val="BookText"/>
        <w:rPr/>
      </w:pPr>
      <w:r>
        <w:rPr>
          <w:rFonts w:ascii="Amiri" w:hAnsi="Amiri" w:eastAsia="Amiri" w:cs="Amiri"/>
          <w:color w:val="111111"/>
          <w:sz w:val="28"/>
          <w:sz w:val="28"/>
          <w:szCs w:val="28"/>
          <w:rtl w:val="true"/>
          <w:lang w:bidi="ar-SA"/>
        </w:rPr>
        <w:t>اللازم الجري على ما يقتضيه العلم الإجمالي من ورود التقييد على أحد الإطلاقين</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أحد الظهورين أقوى من الظهور الثاني فيؤخذ بالأقوى و يتصرف في الأضعف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الضابطة و أمّا تطبيقها على المقام، فبيانه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دلالة القضية الشرطية على السببية التامة أظهر من دلالتها على السببية المنحصرة، و الدلالة الأُولى مورد اتفاق إذا كان المتكلّم في مقام البيان، بخلاف الدلالة الثانية فقد عرفت إنكار جمع المحقّقين لها، و التصرف في مفهوم كلّ من القضيتين بمنطوق الآخر تصرف في الدلالة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دلالتها على انحصار العلّية و السببية في واحد من الشرطين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التصرف في منطوق كلّ بالآخر فانّه تصرف في سببية كلّ للجزاء و دلالة القضية الشرطية للسببية التامة أقوى و أظهر من دلالتها على الانحصار، و مع دوران الأمر بين أحد التقييدين يتصرف في الأضعف دون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انّا نعلم علماً وجدانياً بزوال الانحصار إمّا بزواله وحده أو في ضمن زوال الاستقلال، فعند ذلك ينحل العلم الإجمالي إلى علم تفصيلي، و هو زوال الانحصار و شك بدوي و هو الشك في زوال الاستقلال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يؤيّد ما ذكرنا من أنّ اللازم رفع اليد عن الانحصار دون السببيّة بأنّ مصب التعارض و إن كان هو المفهوم من جانب و المنطوق من جانب آخر إلاّ أنّه يستحيل التصرف في المفهوم نفسه، لأنّه مدلول تبعي و لازم عقلي للمنطوق، فلا بدّ من رفع اليد عن ملزوم المفهوم بمقدار يرتفع به التعارض، و لا يكون ذلك إلاّ </w:t>
      </w:r>
      <w:bookmarkStart w:id="791" w:name="pg14356_186965"/>
    </w:p>
    <w:p>
      <w:pPr>
        <w:pStyle w:val="BookText"/>
        <w:rPr/>
      </w:pPr>
      <w:bookmarkEnd w:id="791"/>
      <w:r>
        <w:rPr>
          <w:rFonts w:ascii="Amiri" w:hAnsi="Amiri" w:eastAsia="Amiri" w:cs="Amiri"/>
          <w:color w:val="111111"/>
          <w:sz w:val="28"/>
          <w:sz w:val="28"/>
          <w:szCs w:val="28"/>
          <w:rtl w:val="true"/>
          <w:lang w:bidi="ar-SA"/>
        </w:rPr>
        <w:t>بتقييد المنطوق و رفع اليد عن انحصاره، دون كونه علة تامة، لعدم الحاجة إلى التصرف في تمامية كل واحد من الشرطين بعد إلغاء الانحصار</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 باستحالة التصرف في المفهوم بحجّة انّه مدلول تبعي و لازم عقلي للمنطوق، لأنّه إذا صار حجة فيكون كالمنطوق في قابلية كلّ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صار المنطوق واسطة في الثبوت في ظهور هذه الحجة، و عندئذ لا مانع بعد ظهورها أن يكون طرفاً للمعارضة بينه و بين المنطوق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الوجهين الأوّلين المقبولين، و قد عرفت أنّ الجمع الأوّل أظهر من الجمع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كلّ واحد سبب مستقل أظهر من القول بأنّهما معاً سبب مستقل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الوجوه الثلاثة</w:t>
      </w:r>
      <w:r>
        <w:rPr>
          <w:rFonts w:eastAsia="Amiri" w:cs="Amiri" w:ascii="Amiri" w:hAnsi="Amiri"/>
          <w:color w:val="111111"/>
          <w:sz w:val="28"/>
          <w:szCs w:val="28"/>
          <w:rtl w:val="true"/>
          <w:lang w:bidi="ar-SA"/>
        </w:rPr>
        <w:t>.</w:t>
      </w:r>
    </w:p>
    <w:p>
      <w:pPr>
        <w:pStyle w:val="Heading6"/>
        <w:numPr>
          <w:ilvl w:val="5"/>
          <w:numId w:val="1"/>
        </w:numPr>
        <w:rPr/>
      </w:pPr>
      <w:bookmarkStart w:id="792" w:name="__RefHeading___Toc7305158_3381743652"/>
      <w:bookmarkStart w:id="793" w:name="_Toc300"/>
      <w:bookmarkEnd w:id="792"/>
      <w:r>
        <w:rPr>
          <w:rtl w:val="true"/>
        </w:rPr>
        <w:t>الثالث</w:t>
      </w:r>
      <w:r>
        <w:rPr>
          <w:rtl w:val="true"/>
        </w:rPr>
        <w:t xml:space="preserve">: </w:t>
      </w:r>
      <w:r>
        <w:rPr>
          <w:rtl w:val="true"/>
        </w:rPr>
        <w:t>رفع اليد عن المفهوم منهما</w:t>
      </w:r>
      <w:bookmarkEnd w:id="793"/>
    </w:p>
    <w:p>
      <w:pPr>
        <w:pStyle w:val="BookText"/>
        <w:rPr/>
      </w:pPr>
      <w:r>
        <w:rPr>
          <w:rFonts w:ascii="Amiri" w:hAnsi="Amiri" w:eastAsia="Amiri" w:cs="Amiri"/>
          <w:color w:val="111111"/>
          <w:sz w:val="28"/>
          <w:sz w:val="28"/>
          <w:szCs w:val="28"/>
          <w:rtl w:val="true"/>
          <w:lang w:bidi="ar-SA"/>
        </w:rPr>
        <w:t>و حاصل هذا الوجه هو سلب المفهوم عن القضيتين و انّهما لا تدلاّن وراء المنطوق على شيء آخر حتّى يخصص منطوق كلّ بمفهوم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إنكار الموضوع ليس علاجاً للمشكلة فانّ المفروض في البحث اشتمال القضيتين على المفهوم و لو لا الاشتمال لما كان للبحث ملاك</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ليس وجهاً مستقلاً، بل يتحد نتيجة مع الوجه الأوّل، غاية الأمر انّ القائل بالجمع الأول يقول بدلالته كلّ على المفهوم غاية الأمر </w:t>
      </w:r>
      <w:bookmarkStart w:id="794" w:name="pg14356_186966"/>
    </w:p>
    <w:p>
      <w:pPr>
        <w:pStyle w:val="BookText"/>
        <w:rPr/>
      </w:pPr>
      <w:bookmarkEnd w:id="794"/>
      <w:r>
        <w:rPr>
          <w:rFonts w:ascii="Amiri" w:hAnsi="Amiri" w:eastAsia="Amiri" w:cs="Amiri"/>
          <w:color w:val="111111"/>
          <w:sz w:val="28"/>
          <w:sz w:val="28"/>
          <w:szCs w:val="28"/>
          <w:rtl w:val="true"/>
          <w:lang w:bidi="ar-SA"/>
        </w:rPr>
        <w:t>يخصص مفهوم كلّ بمنطوق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القائل بهذا الوجه فهو ينفي أساس التعارض، و هو الاشتمال على المفهوم و يأخذ بظهور كلّ قضية في استقلال سببها</w:t>
      </w:r>
      <w:r>
        <w:rPr>
          <w:rFonts w:eastAsia="Amiri" w:cs="Amiri" w:ascii="Amiri" w:hAnsi="Amiri"/>
          <w:color w:val="111111"/>
          <w:sz w:val="28"/>
          <w:szCs w:val="28"/>
          <w:rtl w:val="true"/>
          <w:lang w:bidi="ar-SA"/>
        </w:rPr>
        <w:t>.</w:t>
      </w:r>
    </w:p>
    <w:p>
      <w:pPr>
        <w:pStyle w:val="Heading6"/>
        <w:numPr>
          <w:ilvl w:val="5"/>
          <w:numId w:val="1"/>
        </w:numPr>
        <w:rPr/>
      </w:pPr>
      <w:bookmarkStart w:id="795" w:name="__RefHeading___Toc7305160_3381743652"/>
      <w:bookmarkStart w:id="796" w:name="_Toc301"/>
      <w:bookmarkEnd w:id="795"/>
      <w:r>
        <w:rPr>
          <w:rtl w:val="true"/>
        </w:rPr>
        <w:t>الرابع</w:t>
      </w:r>
      <w:r>
        <w:rPr>
          <w:rtl w:val="true"/>
        </w:rPr>
        <w:t xml:space="preserve">: </w:t>
      </w:r>
      <w:r>
        <w:rPr>
          <w:rtl w:val="true"/>
        </w:rPr>
        <w:t>جعل الشرط هو القدر المشترك</w:t>
      </w:r>
      <w:bookmarkEnd w:id="796"/>
    </w:p>
    <w:p>
      <w:pPr>
        <w:pStyle w:val="BookText"/>
        <w:rPr/>
      </w:pPr>
      <w:r>
        <w:rPr>
          <w:rFonts w:ascii="Amiri" w:hAnsi="Amiri" w:eastAsia="Amiri" w:cs="Amiri"/>
          <w:color w:val="111111"/>
          <w:sz w:val="28"/>
          <w:sz w:val="28"/>
          <w:szCs w:val="28"/>
          <w:rtl w:val="true"/>
          <w:lang w:bidi="ar-SA"/>
        </w:rPr>
        <w:t>و حاصل هذا الوجه، هو جعل الشرط القدر الجامع المشترك بين الخفاءين، فليس الميزان خفاء الأذان بما هو هو و لا خفاء الجدران كذلك، بل الميزان في وجوب القصر، هو البعد عن الوطن أو محل الإقامة بمقدار خاص يلازمه خفاء الأذان و الجدران، فخفاؤهما أمارتان للموضوع أي الابتعاد بمقدار خاص و طريقان إليه، و ليس لهما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على ذلك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وحدة المعلول أي وجوب القصر كاشف عن وحدة العلّة لامتناع صدور الواحد عن الكثير بما هو كثير من دون جامع بينهما، فهذه القاعدة تجرّ الباحث إلى القول بأنّ هنا علّة واحدة و هي البعد عن الوطن أو محل الإقامة للمعلول الواحد أي وجوب القصر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مصب القاعدة على فرض الصحة هو الأُمور التكوينية لا الاعتبارية و في التكوين، الواحد البسيط الذي لا كثرة فيه، كالعقل الأوّل بناء على كونه وجوداً بلا ماهية فهو لا يصدر إلاّ عن البحث البسيط و هو اللّه سبحانه، و أين هذه الضابطة من الوجوب الاعتباري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يتكثر بتكثر أفراده؟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الشارع لمّا لم يجوز بالإفطار و التقصير في البلد حفظاً لكرامة الصيام </w:t>
      </w:r>
      <w:bookmarkStart w:id="797" w:name="pg14356_186967"/>
    </w:p>
    <w:p>
      <w:pPr>
        <w:pStyle w:val="BookText"/>
        <w:rPr/>
      </w:pPr>
      <w:bookmarkEnd w:id="797"/>
      <w:r>
        <w:rPr>
          <w:rFonts w:ascii="Amiri" w:hAnsi="Amiri" w:eastAsia="Amiri" w:cs="Amiri"/>
          <w:color w:val="111111"/>
          <w:sz w:val="28"/>
          <w:sz w:val="28"/>
          <w:szCs w:val="28"/>
          <w:rtl w:val="true"/>
          <w:lang w:bidi="ar-SA"/>
        </w:rPr>
        <w:t>بين الحاضرين، و كرامة الصلاة الرباعية بين الأهل و العيال و إنّما جوز إذا ابتعد المسافر عن البلد على قدر يلازمه خفاء الأذان و الجدران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الوجه لا بأس به غير أنّه يثير إشكالاً، و هو كيف يكون خفاء الأذان و الجدران أمارة على البعد المعين مع أنّ الأذان يخفى بكثير قبل خفاء الجدران، فانّ خفاء الثاني يتوقّف على قطع طريق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دفعه بأنّ الأمارة هي تواري المسافر عن البيوت لا تواريها عن المسافر كما في الحديث</w:t>
      </w:r>
      <w:r>
        <w:rPr>
          <w:rStyle w:val="FootnoteAnchor"/>
          <w:rtl w:val="true"/>
        </w:rPr>
        <w:footnoteReference w:id="206"/>
      </w:r>
      <w:r>
        <w:rPr>
          <w:rFonts w:ascii="Amiri" w:hAnsi="Amiri" w:eastAsia="Amiri" w:cs="Amiri"/>
          <w:color w:val="111111"/>
          <w:sz w:val="28"/>
          <w:sz w:val="28"/>
          <w:szCs w:val="28"/>
          <w:rtl w:val="true"/>
          <w:lang w:bidi="ar-SA"/>
        </w:rPr>
        <w:t xml:space="preserve">، و لمّا كان تواري المسافر عن البيوت غير معلوم للمسافر جعل تواري البيوت عن المسافر طريقاً إلى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تواري المسافر عن البيوت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الأمارتان الواقعيتان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خفاء الجدران، و تواري المسافر عن أهل البيوت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متقاربتان جداً</w:t>
      </w:r>
      <w:r>
        <w:rPr>
          <w:rFonts w:eastAsia="Amiri" w:cs="Amiri" w:ascii="Amiri" w:hAnsi="Amiri"/>
          <w:color w:val="111111"/>
          <w:sz w:val="28"/>
          <w:szCs w:val="28"/>
          <w:rtl w:val="true"/>
          <w:lang w:bidi="ar-SA"/>
        </w:rPr>
        <w:t>.</w:t>
      </w:r>
    </w:p>
    <w:p>
      <w:pPr>
        <w:pStyle w:val="Heading6"/>
        <w:numPr>
          <w:ilvl w:val="5"/>
          <w:numId w:val="1"/>
        </w:numPr>
        <w:rPr/>
      </w:pPr>
      <w:bookmarkStart w:id="798" w:name="__RefHeading___Toc7305162_3381743652"/>
      <w:bookmarkStart w:id="799" w:name="_Toc302"/>
      <w:bookmarkEnd w:id="798"/>
      <w:r>
        <w:rPr>
          <w:rtl w:val="true"/>
        </w:rPr>
        <w:t>الخامس</w:t>
      </w:r>
      <w:r>
        <w:rPr>
          <w:rtl w:val="true"/>
        </w:rPr>
        <w:t xml:space="preserve">: </w:t>
      </w:r>
      <w:r>
        <w:rPr>
          <w:rtl w:val="true"/>
        </w:rPr>
        <w:t>رفع اليد عن مفهوم إحدى القضيتين</w:t>
      </w:r>
      <w:bookmarkEnd w:id="799"/>
    </w:p>
    <w:p>
      <w:pPr>
        <w:pStyle w:val="BookText"/>
        <w:rPr/>
      </w:pPr>
      <w:r>
        <w:rPr>
          <w:rFonts w:ascii="Amiri" w:hAnsi="Amiri" w:eastAsia="Amiri" w:cs="Amiri"/>
          <w:color w:val="111111"/>
          <w:sz w:val="28"/>
          <w:sz w:val="28"/>
          <w:szCs w:val="28"/>
          <w:rtl w:val="true"/>
          <w:lang w:bidi="ar-SA"/>
        </w:rPr>
        <w:t>و حاصل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يرفع اليد عن خصوص إحدى القضيتين و يؤخذ بمفهوم القضية الأُخرى، و هذا هو المنقول عن ابن إدريس الحلي فزعم انّه يُلغى مفهوم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 الأذان فقصّر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يؤخذ بمفهوم القضية الأُخرى، فعندئذ يرتفع التعارض</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ترجيح بلا مرجح، انّ التعارض باق على حاله أيضاً و لم يقلع من الأساس، و ذلك لأنّ القول بعدم اشتمال القضية الأُولى على المفهوم و إن كان يعالج التعارض في جانب مفهوم تلك القضية، و لكنّه باق على حاله في الجانب الآخر، فإذا كان مفهوم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خفيت الجدران فقصّر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انّه إذا لم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تخف الجدران فلا تقصر، و عندئذ يقع التعارض بين هذا المفهوم و منطوق القضية الأُولى، فعلى المفهوم لا يجوز القصر، و على منطوق القضية الأُولى يجب القصر و بذلك ظهر انّ الطريق منحصر في الأوّلين، أي إمّا تقييد مفهوم كل بمنطوق الآخر، أو تقييد منطوق كلّ بالآخر، فمقتضى الصناعة هو الأوّل كما عرفت، غير أنّ الفتاوى على الثاني</w:t>
      </w:r>
      <w:r>
        <w:rPr>
          <w:rFonts w:eastAsia="Amiri" w:cs="Amiri" w:ascii="Amiri" w:hAnsi="Amiri"/>
          <w:color w:val="111111"/>
          <w:sz w:val="28"/>
          <w:szCs w:val="28"/>
          <w:rtl w:val="true"/>
          <w:lang w:bidi="ar-SA"/>
        </w:rPr>
        <w:t xml:space="preserve">. </w:t>
      </w:r>
      <w:bookmarkStart w:id="800" w:name="pg14356_186969"/>
    </w:p>
    <w:p>
      <w:pPr>
        <w:pStyle w:val="Heading5"/>
        <w:numPr>
          <w:ilvl w:val="4"/>
          <w:numId w:val="1"/>
        </w:numPr>
        <w:rPr/>
      </w:pPr>
      <w:bookmarkStart w:id="801" w:name="__RefHeading___Toc7305164_3381743652"/>
      <w:bookmarkStart w:id="802" w:name="_Toc303"/>
      <w:bookmarkEnd w:id="800"/>
      <w:bookmarkEnd w:id="801"/>
      <w:r>
        <w:rPr>
          <w:rtl w:val="true"/>
        </w:rPr>
        <w:t>التنبيه الثالث تداخل الأسباب و المسببات</w:t>
      </w:r>
      <w:bookmarkEnd w:id="802"/>
    </w:p>
    <w:p>
      <w:pPr>
        <w:pStyle w:val="Heading6"/>
        <w:numPr>
          <w:ilvl w:val="5"/>
          <w:numId w:val="1"/>
        </w:numPr>
        <w:rPr/>
      </w:pPr>
      <w:bookmarkStart w:id="803" w:name="__RefHeading___Toc7305166_3381743652"/>
      <w:bookmarkStart w:id="804" w:name="_Toc304"/>
      <w:bookmarkEnd w:id="803"/>
      <w:r>
        <w:rPr>
          <w:rtl w:val="true"/>
        </w:rPr>
        <w:t>اشارة</w:t>
      </w:r>
      <w:bookmarkEnd w:id="804"/>
    </w:p>
    <w:p>
      <w:pPr>
        <w:pStyle w:val="BookText"/>
        <w:rPr/>
      </w:pPr>
      <w:r>
        <w:rPr>
          <w:rFonts w:ascii="Amiri" w:hAnsi="Amiri" w:eastAsia="Amiri" w:cs="Amiri"/>
          <w:color w:val="111111"/>
          <w:sz w:val="28"/>
          <w:sz w:val="28"/>
          <w:szCs w:val="28"/>
          <w:rtl w:val="true"/>
          <w:lang w:bidi="ar-SA"/>
        </w:rPr>
        <w:t>و قبل الدخول في صلب الموضوع نقدّم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المحقّق الخراساني عنوان البحث في التنبيهين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 الثالث أمراً واحداً،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الشرط و اتحد الجزاء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 وجه التمايز بينهما الغرض و الجهة المبحوثة عنها، فكأنّ الغاية من عقد التنبيه الثاني معالجة التعارض الواقع بين مفهوم كلّ قضية مع منطوق القضية الأُخرى، و لكن الغرض من عقد التنبيه الثالث البحث عن تداخل الأسباب في مقام التأثير و عدمه، و على فرض عدم التداخل، البحث عن تداخل المسببات في مقام الامتثال و عدمه، و على ذلك فالبحث في التنبيه الثاني لفظي و في الثالث عقلي حيث يقع البحث تارة في أنّ كلّ سبب هل يقتضي مسبباً مستقلاً أو لا؟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فتوضأ، و إذا نمت فتوضأ، فهل يقتضي كلّ من البول و النوم مسبباً مستقلاً، أي إيجاباً متعدّداً أو لا؟ و على فرض اقتضائه وجوباً متعدداً، يقع الكلام في كفاية الوضوء الواحد لامتثال الوجوبين أو لا، فيعبر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كلّ سبب وجوباً مستقلاً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التداخل في الأسباب و تداخله كما يعبر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وضوء واحد عن امتثال وجوبين أو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بالتداخل في المسببات و عدمه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الأولى تغيير العنوان، و لذلك جعلنا العنوان عند تعدّد الشرط تداخل </w:t>
      </w:r>
    </w:p>
    <w:p>
      <w:pPr>
        <w:pStyle w:val="BookText"/>
        <w:rPr/>
      </w:pPr>
      <w:r>
        <w:rPr>
          <w:rFonts w:ascii="Amiri" w:hAnsi="Amiri" w:eastAsia="Amiri" w:cs="Amiri"/>
          <w:color w:val="111111"/>
          <w:sz w:val="28"/>
          <w:sz w:val="28"/>
          <w:szCs w:val="28"/>
          <w:rtl w:val="true"/>
          <w:lang w:bidi="ar-SA"/>
        </w:rPr>
        <w:t>الأسباب و المسببات لأنّ المسألتين متمايزتان جوهراً و ذاتاً، و مع هذا لا تصل النوبة إلى التمايز بالأغراض و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ممّا ذكرنا المراد من تداخل الأسباب و المسببات فمرجع التداخل في الأسباب و عدمه إلى اقتضاء السببين وجوباً واحداً أو اقتضائهما وجوبين مختلفين، فالأوّل هو التداخل في الأسباب و الثاني هو عدم التداخل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التداخل في المسببات و عدمه بعد القول بعدم تداخل الأسباب و انّ كلّ سبب يقتضي إيجاباً مستقلاً إلى لزوم تعدّد الامتثال و عدمه و يعبر عن الأوّل بعدم تداخل المسببات و عن الثاني بتداخلها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مرجع التداخل السببي و عدمه إلى دعوى عدم اشتغال الذمة إلاّ بوجوب واحد أو بوجوبين، كما أنّ مرجع التداخل المسببي و عدمه بعد القول بعدم التداخل في الأسباب إلى دعوى صدق الامتثال بالإتيان بفرد واحد عند تعدّد التكاليف و الاشتغالات و عدمه، فالتداخل في المسببات لا يعني تداخل الوجوبين، بل المراد تداخلهما في مقام الامتثال، و بذلك اتّضح انّ البحث في مورد الأسباب تداخلاً و عدمه يرجع إلى مقام الدلالة و ظهور القضية في تعدد الوجوب و عدمه، كما أنّ البحث في مورد المسببات تداخلاً و عدمه يرجع إلى مقام الامتثال و انّه هل يكفي الإتيان بفرد واحد في امتثال الوجوبين أو لا؟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التداخل و عدمه فيما إذا كان الجزاء أمراً قابلاً للتكرار كالوضوء و الغسل، و أمّا لو كان غير قابل له كالقتل فيما إذا ارتد وزنى بالإحصان، فهو خارج عن محطّ البحث</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الشرط للجزاء وجوب الوضوء تارة يختلف نوعاً كالنوم و البول بالنسبة إلى وجوب الوضوء، و مسّ الميت و الجنابة بالنسبة إلى الاغتسال، و أُخرى </w:t>
      </w:r>
    </w:p>
    <w:p>
      <w:pPr>
        <w:pStyle w:val="BookText"/>
        <w:rPr/>
      </w:pPr>
      <w:r>
        <w:rPr>
          <w:rFonts w:ascii="Amiri" w:hAnsi="Amiri" w:eastAsia="Amiri" w:cs="Amiri"/>
          <w:color w:val="111111"/>
          <w:sz w:val="28"/>
          <w:sz w:val="28"/>
          <w:szCs w:val="28"/>
          <w:rtl w:val="true"/>
          <w:lang w:bidi="ar-SA"/>
        </w:rPr>
        <w:t>يتحد نوعاً و يتعدد مصداقاً، كما إذا بال مرتين أو نام أو وطأ الحائض كذلك فيقع الكلام تارة في مقام الدلالة، و أُخرى في مقام الامتثال، فلو كان الكلام في الأُولى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ظاهر القضية الشرطية انّ كلّ شرط يطلب جزاء وجوباً خاصاً أو لا؟ و لو كان الكلام في مقام الامتثال فيقال على القول بعدم التداخل 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الإتيان بمصداق واحد، في امتثال الوجوبين أو لا؟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كما يجري في القضايا الشرطية، يجري في القضايا الخبرية، كما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الحائض تغتسل، و الجنب يغتسل، نعم يمكن إرجاع القضايا الخبرية إلى الشرطية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تغتسل كما يمكن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الأقوال في المسألة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التداخل مطلقاً، و هو المشهور و إليه ذهب الشيخ الأعظم و المحقّق الخراساني، إلاّ ما خرج بالدليل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التداخل مطلقاً، و هو خيرة المحقّق الخونساري و السيد البروجردي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اختلاف الشرطين ماهية أو اتحادهما كذلك و تعدّدهما مصداقاً، فالأوّل كما مرّ كالنوم و البول، و الجنابة و مس الميت و الزيادة و النقيصة في الصلاة فانّ زيادة الركوع، غير زيادة السجود، و كذلك نقيصتهما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ابن إدريس إلى عدم التداخل في الأوّل، و التداخل في الثاني، و لذلك أفتى بعدم تكرر الكفّارة، لو تكرر وطء الحائض</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الخراساني قد خلط بين البحثين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التداخل و عدمه في الأسباب، و التداخل و عدمه في المسبّبات و لم يفصّل بينهما بالعنوان، و قد أوجب </w:t>
      </w:r>
      <w:bookmarkStart w:id="805" w:name="pg14356_186972"/>
    </w:p>
    <w:p>
      <w:pPr>
        <w:pStyle w:val="BookText"/>
        <w:rPr/>
      </w:pPr>
      <w:bookmarkEnd w:id="805"/>
      <w:r>
        <w:rPr>
          <w:rFonts w:ascii="Amiri" w:hAnsi="Amiri" w:eastAsia="Amiri" w:cs="Amiri"/>
          <w:color w:val="111111"/>
          <w:sz w:val="28"/>
          <w:sz w:val="28"/>
          <w:szCs w:val="28"/>
          <w:rtl w:val="true"/>
          <w:lang w:bidi="ar-SA"/>
        </w:rPr>
        <w:t>ذلك إغلاقا في فهم عبارات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فلندخل في صلب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التنبيه الثالث يقع في موضعين</w:t>
      </w:r>
      <w:r>
        <w:rPr>
          <w:rFonts w:eastAsia="Amiri" w:cs="Amiri" w:ascii="Amiri" w:hAnsi="Amiri"/>
          <w:color w:val="111111"/>
          <w:sz w:val="28"/>
          <w:szCs w:val="28"/>
          <w:rtl w:val="true"/>
          <w:lang w:bidi="ar-SA"/>
        </w:rPr>
        <w:t>:</w:t>
      </w:r>
    </w:p>
    <w:p>
      <w:pPr>
        <w:pStyle w:val="Heading6"/>
        <w:numPr>
          <w:ilvl w:val="5"/>
          <w:numId w:val="1"/>
        </w:numPr>
        <w:rPr/>
      </w:pPr>
      <w:bookmarkStart w:id="806" w:name="__RefHeading___Toc7305168_3381743652"/>
      <w:bookmarkStart w:id="807" w:name="_Toc305"/>
      <w:bookmarkEnd w:id="806"/>
      <w:r>
        <w:rPr>
          <w:rtl w:val="true"/>
        </w:rPr>
        <w:t>الموضع الأوّل حكم الأسباب من حيث التداخل و عدمه</w:t>
      </w:r>
      <w:bookmarkEnd w:id="807"/>
    </w:p>
    <w:p>
      <w:pPr>
        <w:pStyle w:val="BookText"/>
        <w:rPr/>
      </w:pPr>
      <w:r>
        <w:rPr>
          <w:rFonts w:ascii="Amiri" w:hAnsi="Amiri" w:eastAsia="Amiri" w:cs="Amiri"/>
          <w:color w:val="111111"/>
          <w:sz w:val="28"/>
          <w:sz w:val="28"/>
          <w:szCs w:val="28"/>
          <w:rtl w:val="true"/>
          <w:lang w:bidi="ar-SA"/>
        </w:rPr>
        <w:t>قد عرفت أنّ المقصود من تداخل الأسباب و عدمه، هو اقتضاء كلّ سبب وجوباً مستقلاً،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كلّ شرط في حدوث وجوب خاص، غير تأثير الشرط الآخر فيه، و لا ملازمة بين عدم التداخل 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حدوث وجوبين مستقلين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بين عدم التداخل في المسببات، أي عدم كفاية مصداق واحد في امتثال الوجوبين، بل ربّما يمكن القول بعدم التداخل في الأسباب، و مع ذلك يكتفى في امتثال السببين، بالإتيان بمصداق واحد، فلو مسّ الميت أو أجنب، يكفي الاغتسال الواحد لامتثال وجوبين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القول بعدم التداخل في المسببات فرع القول بعدم التداخل في الأسباب، أي فرع القول بتعدّد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فلنذكر دليل القائل بعدم التداخل</w:t>
      </w:r>
      <w:r>
        <w:rPr>
          <w:rFonts w:eastAsia="Amiri" w:cs="Amiri" w:ascii="Amiri" w:hAnsi="Amiri"/>
          <w:color w:val="111111"/>
          <w:sz w:val="28"/>
          <w:szCs w:val="28"/>
          <w:rtl w:val="true"/>
          <w:lang w:bidi="ar-SA"/>
        </w:rPr>
        <w:t>:</w:t>
      </w:r>
    </w:p>
    <w:p>
      <w:pPr>
        <w:pStyle w:val="Heading6"/>
        <w:numPr>
          <w:ilvl w:val="5"/>
          <w:numId w:val="1"/>
        </w:numPr>
        <w:rPr/>
      </w:pPr>
      <w:bookmarkStart w:id="808" w:name="__RefHeading___Toc7305170_3381743652"/>
      <w:bookmarkStart w:id="809" w:name="_Toc306"/>
      <w:bookmarkEnd w:id="808"/>
      <w:r>
        <w:rPr>
          <w:rtl w:val="true"/>
        </w:rPr>
        <w:t>إطلاق الشرط يقتضي عدم التداخل</w:t>
      </w:r>
      <w:bookmarkEnd w:id="80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استدلّ القائل بعدم التداخل في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كلّ شرط وجوباً مستقلاً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بظهور القضية الشرطية في حدوث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حدوث الشرط، سواء أقلنا إنّه هو السبب أو كاشف عن السبب الواقعي و لازم ذلك تعدّد </w:t>
      </w:r>
      <w:bookmarkStart w:id="810" w:name="pg14356_186973"/>
    </w:p>
    <w:p>
      <w:pPr>
        <w:pStyle w:val="BookText"/>
        <w:rPr/>
      </w:pPr>
      <w:bookmarkEnd w:id="810"/>
      <w:r>
        <w:rPr>
          <w:rFonts w:ascii="Amiri" w:hAnsi="Amiri" w:eastAsia="Amiri" w:cs="Amiri"/>
          <w:color w:val="111111"/>
          <w:sz w:val="28"/>
          <w:sz w:val="28"/>
          <w:szCs w:val="28"/>
          <w:rtl w:val="true"/>
          <w:lang w:bidi="ar-SA"/>
        </w:rPr>
        <w:t>الوجوبين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كلّ قضية شرطية أنّه علّة تامة لحدوث الجزاء، سواء أوجد الشرط الآخر أم لا، و على فرض الوجود، سواء وجد معه أو قبله،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دليل القائل بعدم التداخل فيها</w:t>
      </w:r>
      <w:r>
        <w:rPr>
          <w:rFonts w:eastAsia="Amiri" w:cs="Amiri" w:ascii="Amiri" w:hAnsi="Amiri"/>
          <w:color w:val="111111"/>
          <w:sz w:val="28"/>
          <w:szCs w:val="28"/>
          <w:rtl w:val="true"/>
          <w:lang w:bidi="ar-SA"/>
        </w:rPr>
        <w:t>.</w:t>
      </w:r>
    </w:p>
    <w:p>
      <w:pPr>
        <w:pStyle w:val="Heading6"/>
        <w:numPr>
          <w:ilvl w:val="5"/>
          <w:numId w:val="1"/>
        </w:numPr>
        <w:rPr/>
      </w:pPr>
      <w:bookmarkStart w:id="811" w:name="__RefHeading___Toc7305172_3381743652"/>
      <w:bookmarkStart w:id="812" w:name="_Toc307"/>
      <w:bookmarkEnd w:id="811"/>
      <w:r>
        <w:rPr>
          <w:rtl w:val="true"/>
        </w:rPr>
        <w:t>دليل القائل بالتداخل إطلاق الجزاء</w:t>
      </w:r>
      <w:bookmarkEnd w:id="812"/>
    </w:p>
    <w:p>
      <w:pPr>
        <w:pStyle w:val="BookText"/>
        <w:rPr/>
      </w:pPr>
      <w:r>
        <w:rPr>
          <w:rFonts w:ascii="Amiri" w:hAnsi="Amiri" w:eastAsia="Amiri" w:cs="Amiri"/>
          <w:color w:val="111111"/>
          <w:sz w:val="28"/>
          <w:sz w:val="28"/>
          <w:szCs w:val="28"/>
          <w:rtl w:val="true"/>
          <w:lang w:bidi="ar-SA"/>
        </w:rPr>
        <w:t>فإذا كان ظهور كلّ من الشرطين في كلّ من القضيتين في الحدوث عند الحدوث دليل القائل بعدم التداخل، فإطلاق متعلّق الوجوب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الاغتسال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القائل بالتداخل، لأنّ ظاهر إطلاق الجزاء، انّ الوضوء مثلاً هو الموضوع التام، و من المعلوم أنّ الطبيعة الواحدة لا يمكن أن تقع متعلّقاً، لوجوبين، لاستلزامه اجتماع المثلين، و هو محال كاجتماع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انّ إطلاق الشرط و تأثيره في الحدوث عند الحدوث مطلقاً، دليل القائل بعدم التداخل، كما أنّ إطلاق الجزاء و انّ الموضوع لكلا الوجوبين، هو الوضوء لا غير دليل القائل بالتداخل و لا يمكن الأخذ بكلا الظهورين و لا بد من التصرف في أحدهما</w:t>
      </w:r>
      <w:r>
        <w:rPr>
          <w:rFonts w:eastAsia="Amiri" w:cs="Amiri" w:ascii="Amiri" w:hAnsi="Amiri"/>
          <w:color w:val="111111"/>
          <w:sz w:val="28"/>
          <w:szCs w:val="28"/>
          <w:rtl w:val="true"/>
          <w:lang w:bidi="ar-SA"/>
        </w:rPr>
        <w:t>.</w:t>
      </w:r>
    </w:p>
    <w:p>
      <w:pPr>
        <w:pStyle w:val="Heading6"/>
        <w:numPr>
          <w:ilvl w:val="5"/>
          <w:numId w:val="1"/>
        </w:numPr>
        <w:rPr/>
      </w:pPr>
      <w:bookmarkStart w:id="813" w:name="__RefHeading___Toc7305174_3381743652"/>
      <w:bookmarkStart w:id="814" w:name="_Toc308"/>
      <w:bookmarkEnd w:id="813"/>
      <w:r>
        <w:rPr>
          <w:rtl w:val="true"/>
        </w:rPr>
        <w:t>تخلّص القائل بالتداخل عن الإشكال</w:t>
      </w:r>
      <w:bookmarkEnd w:id="814"/>
    </w:p>
    <w:p>
      <w:pPr>
        <w:pStyle w:val="BookText"/>
        <w:rPr/>
      </w:pPr>
      <w:r>
        <w:rPr>
          <w:rFonts w:ascii="Amiri" w:hAnsi="Amiri" w:eastAsia="Amiri" w:cs="Amiri"/>
          <w:color w:val="111111"/>
          <w:sz w:val="28"/>
          <w:sz w:val="28"/>
          <w:szCs w:val="28"/>
          <w:rtl w:val="true"/>
          <w:lang w:bidi="ar-SA"/>
        </w:rPr>
        <w:t>ثمّ إنّ القائل بالتداخل يتصرف في ظهور الشرط في الحدوث عند الحدوث، بأحد الوجهين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منع دلالة القضية الشرطية على الحدوث عند الحدوث، بل على الثبوت</w:t>
      </w:r>
      <w:bookmarkStart w:id="815" w:name="pg14356_186974"/>
    </w:p>
    <w:p>
      <w:pPr>
        <w:pStyle w:val="BookText"/>
        <w:rPr/>
      </w:pPr>
      <w:bookmarkEnd w:id="815"/>
      <w:r>
        <w:rPr>
          <w:rFonts w:ascii="Amiri" w:hAnsi="Amiri" w:eastAsia="Amiri" w:cs="Amiri"/>
          <w:color w:val="111111"/>
          <w:sz w:val="28"/>
          <w:sz w:val="28"/>
          <w:szCs w:val="28"/>
          <w:rtl w:val="true"/>
          <w:lang w:bidi="ar-SA"/>
        </w:rPr>
        <w:t>عند الحدوث، أي ثبوت الوجوب، أعمّ من كونه نفس الوجوب السابق أو الوجوب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تصرف في ناحية الشرط، و منع دلالته على الحدوث عند الحدوث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الالتزام بحدوث الأثر عند وجود كلّ شرط إلاّ أنّ الأثر وجوب الوضوء في المثال عند الشرط الأوّل، و تأكّده عند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تصرف في ناحية الجزاء و انّ الهيئة الجزائية لا تدلّ على الوجوب التأسيسي، بل إذا سبقه شرط آخر، يدل على الوجوب التأكيدي</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هذان الوجهان ممّا اعتمد عليه القائل بالتداخل و تخلّص عن التعارض اللازم من الأخذ بالإطلاقين، و إليك ما تخلّص به القائل بعدم التداخل في الأسباب</w:t>
      </w:r>
      <w:r>
        <w:rPr>
          <w:rFonts w:eastAsia="Amiri" w:cs="Amiri" w:ascii="Amiri" w:hAnsi="Amiri"/>
          <w:color w:val="111111"/>
          <w:sz w:val="28"/>
          <w:szCs w:val="28"/>
          <w:rtl w:val="true"/>
          <w:lang w:bidi="ar-SA"/>
        </w:rPr>
        <w:t>.</w:t>
      </w:r>
    </w:p>
    <w:p>
      <w:pPr>
        <w:pStyle w:val="Heading6"/>
        <w:numPr>
          <w:ilvl w:val="5"/>
          <w:numId w:val="1"/>
        </w:numPr>
        <w:rPr/>
      </w:pPr>
      <w:bookmarkStart w:id="816" w:name="__RefHeading___Toc7305176_3381743652"/>
      <w:bookmarkStart w:id="817" w:name="_Toc309"/>
      <w:bookmarkEnd w:id="816"/>
      <w:r>
        <w:rPr>
          <w:rtl w:val="true"/>
        </w:rPr>
        <w:t>تخلّص القائل بعدم التداخل عن الإشكال</w:t>
      </w:r>
      <w:bookmarkEnd w:id="817"/>
    </w:p>
    <w:p>
      <w:pPr>
        <w:pStyle w:val="BookText"/>
        <w:rPr/>
      </w:pPr>
      <w:r>
        <w:rPr>
          <w:rFonts w:ascii="Amiri" w:hAnsi="Amiri" w:eastAsia="Amiri" w:cs="Amiri"/>
          <w:color w:val="111111"/>
          <w:sz w:val="28"/>
          <w:sz w:val="28"/>
          <w:szCs w:val="28"/>
          <w:rtl w:val="true"/>
          <w:lang w:bidi="ar-SA"/>
        </w:rPr>
        <w:t>و قد تخلّص القائل بعدم التداخل بوجهين آخرين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الالتزام بأنّ متعلّق الجزاء و إن كان واحداً صورة، إلاّ أنّه حقائق متعدّدة حسب تعدّد الشرط، كصلاة الفجر و نافلته فهما واحدتان صورة و مختلفتان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نقول الوضوء لأجل النوم غير الوضوء لأجل البول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تصرّف في الجزاء</w:t>
      </w:r>
      <w:r>
        <w:rPr>
          <w:rFonts w:eastAsia="Amiri" w:cs="Amiri" w:ascii="Amiri" w:hAnsi="Amiri"/>
          <w:color w:val="111111"/>
          <w:sz w:val="28"/>
          <w:szCs w:val="28"/>
          <w:rtl w:val="true"/>
          <w:lang w:bidi="ar-SA"/>
        </w:rPr>
        <w:t>.</w:t>
      </w:r>
      <w:bookmarkStart w:id="818" w:name="pg14356_186975"/>
    </w:p>
    <w:p>
      <w:pPr>
        <w:pStyle w:val="BookText"/>
        <w:rPr/>
      </w:pPr>
      <w:bookmarkEnd w:id="81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أشار إليه في ضمن النقض و الإبرام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نعم إذا لم يكن المراد بالجملة فيما إذا تعدد الشرط كما في المثال هو وجوب الوضوء مثلاً لكلّ شرط غير ما وجب بالآخر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يقيّد إطلاق الجزاء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نِمت فتوضّأ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بُلت فتوضّأ مرّة أُخرى، و يكون الموضوع للوجوب الأوّل هو الطبيعة و للوجوب الثاني، هو الفرد الثاني، و يرتفع محذور اجتماع المثلين، و هذا أيضاً تصرّف في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انّ كلاً من القائل بالتداخل و عدمه قد لمس الإشكال و صار بصدد دفعه، إمّا بالتصرف في جانب الشرط كما في الوجه الأوّل، أو في جانب الجزاء هيئة أو مادة كما في الوجوه الثلاثة المتأخّرة، إنّما الكلام في ترجيح أحد التأويلين بكلا شقيه على التأويل الآخر كذلك، فنقول</w:t>
      </w:r>
      <w:r>
        <w:rPr>
          <w:rFonts w:eastAsia="Amiri" w:cs="Amiri" w:ascii="Amiri" w:hAnsi="Amiri"/>
          <w:color w:val="111111"/>
          <w:sz w:val="28"/>
          <w:szCs w:val="28"/>
          <w:rtl w:val="true"/>
          <w:lang w:bidi="ar-SA"/>
        </w:rPr>
        <w:t>:</w:t>
      </w:r>
    </w:p>
    <w:p>
      <w:pPr>
        <w:pStyle w:val="Heading6"/>
        <w:numPr>
          <w:ilvl w:val="5"/>
          <w:numId w:val="1"/>
        </w:numPr>
        <w:rPr/>
      </w:pPr>
      <w:bookmarkStart w:id="819" w:name="__RefHeading___Toc7305178_3381743652"/>
      <w:bookmarkStart w:id="820" w:name="_Toc310"/>
      <w:bookmarkEnd w:id="819"/>
      <w:r>
        <w:rPr>
          <w:rtl w:val="true"/>
        </w:rPr>
        <w:t>ترجيح ظهور القضية الشرطية على إطلاق الجزاء</w:t>
      </w:r>
      <w:bookmarkEnd w:id="820"/>
    </w:p>
    <w:p>
      <w:pPr>
        <w:pStyle w:val="Heading6"/>
        <w:numPr>
          <w:ilvl w:val="5"/>
          <w:numId w:val="1"/>
        </w:numPr>
        <w:rPr/>
      </w:pPr>
      <w:bookmarkStart w:id="821" w:name="__RefHeading___Toc7305180_3381743652"/>
      <w:bookmarkStart w:id="822" w:name="_Toc311"/>
      <w:bookmarkEnd w:id="821"/>
      <w:r>
        <w:rPr>
          <w:rtl w:val="true"/>
        </w:rPr>
        <w:t>وجوه لترجيح ظهور القضية الشرطية في الحدوث عند الحدوث، الذي هو الأساس لعدم التداخل في الأسباب</w:t>
      </w:r>
      <w:bookmarkEnd w:id="822"/>
    </w:p>
    <w:p>
      <w:pPr>
        <w:pStyle w:val="BookText"/>
        <w:rPr/>
      </w:pPr>
      <w:r>
        <w:rPr>
          <w:rFonts w:ascii="Amiri" w:hAnsi="Amiri" w:eastAsia="Amiri" w:cs="Amiri"/>
          <w:color w:val="111111"/>
          <w:sz w:val="28"/>
          <w:sz w:val="28"/>
          <w:szCs w:val="28"/>
          <w:rtl w:val="true"/>
          <w:lang w:bidi="ar-SA"/>
        </w:rPr>
        <w:t>ثمّ إنّ القائلين بعدم التداخل في الأسباب، ذكروا لترجيح ظهور القضية الشرطية في الحدوث عند الحدوث، الذي هو الأساس لعدم التداخل وجوهاً نذكرها تباعاً</w:t>
      </w:r>
      <w:r>
        <w:rPr>
          <w:rFonts w:eastAsia="Amiri" w:cs="Amiri" w:ascii="Amiri" w:hAnsi="Amiri"/>
          <w:color w:val="111111"/>
          <w:sz w:val="28"/>
          <w:szCs w:val="28"/>
          <w:rtl w:val="true"/>
          <w:lang w:bidi="ar-SA"/>
        </w:rPr>
        <w:t>.</w:t>
      </w:r>
    </w:p>
    <w:p>
      <w:pPr>
        <w:pStyle w:val="Heading6"/>
        <w:numPr>
          <w:ilvl w:val="5"/>
          <w:numId w:val="1"/>
        </w:numPr>
        <w:rPr/>
      </w:pPr>
      <w:bookmarkStart w:id="823" w:name="__RefHeading___Toc7305182_3381743652"/>
      <w:bookmarkStart w:id="824" w:name="_Toc312"/>
      <w:bookmarkEnd w:id="823"/>
      <w:r>
        <w:rPr>
          <w:rtl w:val="true"/>
        </w:rPr>
        <w:t>الأوّل</w:t>
      </w:r>
      <w:r>
        <w:rPr>
          <w:rtl w:val="true"/>
        </w:rPr>
        <w:t xml:space="preserve">: </w:t>
      </w:r>
      <w:r>
        <w:rPr>
          <w:rtl w:val="true"/>
        </w:rPr>
        <w:t>ما ذكره المحقّق الخراساني تبعاً للشيخ الأعظم</w:t>
      </w:r>
      <w:bookmarkEnd w:id="824"/>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دوران بين ظهور الجملة في حدوث الجزاء، و ظهور الإطلاق، ضرورة انّ ظهور الإطلاق، يكون معلّقاً على عدم البيان، و ظهورها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القضية الشرطية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لأن يكون بياناً فلا ظهور للجزاء مع ظهورها فلا يلزم على القول بعدم التداخل تصرف أصلاً، بخلاف القول بالتداخل</w:t>
      </w:r>
      <w:r>
        <w:rPr>
          <w:rFonts w:eastAsia="Amiri" w:cs="Amiri" w:ascii="Amiri" w:hAnsi="Amiri"/>
          <w:color w:val="111111"/>
          <w:sz w:val="28"/>
          <w:szCs w:val="28"/>
          <w:rtl w:val="true"/>
          <w:lang w:bidi="ar-SA"/>
        </w:rPr>
        <w:t>.</w:t>
      </w:r>
      <w:r>
        <w:rPr>
          <w:rStyle w:val="FootnoteAnchor"/>
          <w:rtl w:val="true"/>
        </w:rPr>
        <w:footnoteReference w:id="208"/>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القضية الشرطية على الحدوث عند الحدوث بالدلالة اللفظية الوضعية و دلالتها عليه، لا يتوقف على شيء آخر غير نفسها، بخلاف دلالة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وحدة متعلّق الوجوبين فانّه بالإطلاق و سكوت المتكلّم عن القيد مع كونه في مقام البيان، فدلالته على وحدة الجزاء متعلّق على عدم البيان الدالّ على القيد، و ظهور القضية الشرطية، في الحدوث عند الحدوث كاف، لأن يكون بياناً و انّ متعلّق الوجوب في كلّ من القضيتين شيء غير الآخر، و انّ المحكوم في كلّ فرد غير الآخر، فعندئذ لا ينعقد الإطلاق في جانب الجزاء لوجود البيان فلا يُعدّ تقديم ظهور الشرط على الجزاء تصرّفاً فيه، لعدم انعقاد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القضية الشرطية على الحدوث عند الحدوث و إن كانت لفظية لكن دلالتها على أنّ الشرط في عامة الأحوال كذلك، سواء سبقه الشرط الآخر أم قارنه أو تأخّر عنه، إنّما هو بالإطلاق و سكوت المتكلّم مع كونه في مقام البيان، فالمقام من قبيل تعارض الإطلاقين، لا من قبيل تعارض الدلالة اللفظية مع الدلالة الإطلاقية، فكما أنّ إطلاق الشرط يصلح لأن يكون قرينة على تقييد متعلّق الجزاء، أي الوجوب، و انّ المحكوم بالوجوب في الشرط الثاني غير الأوّل، كذلك إطلاق الجزاء يصلح لأن يكون قرينة على أنّ الحدوث عند الحدوث فيما إذا تفرّد الشرط، لا ما إذا سبقه الآخر أو قارنه، فعندئذ يكون الوجوب مؤكّداً لا مؤسّساً لحكم جديد</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دلالة القضية الشرطيّة على أنّ كلّ سبب تامّ للجزاء و تعلّق الوجوب، و إن كان بالوضع، لكن كونه كذلك في عامة الحالات سواء كان قبله أو معه شيء أو لا، إنّما هو بالإطلاق ببيان انّه لو كان المؤثر هو الشرط، بشرط أن لا يسبقه شيء أو يقارنه شيء، لكان عليه البيان و رفع الجهل، و حيث لم يبين </w:t>
      </w:r>
      <w:bookmarkStart w:id="825" w:name="pg14356_186977"/>
    </w:p>
    <w:p>
      <w:pPr>
        <w:pStyle w:val="BookText"/>
        <w:rPr/>
      </w:pPr>
      <w:bookmarkEnd w:id="825"/>
      <w:r>
        <w:rPr>
          <w:rFonts w:ascii="Amiri" w:hAnsi="Amiri" w:eastAsia="Amiri" w:cs="Amiri"/>
          <w:color w:val="111111"/>
          <w:sz w:val="28"/>
          <w:sz w:val="28"/>
          <w:szCs w:val="28"/>
          <w:rtl w:val="true"/>
          <w:lang w:bidi="ar-SA"/>
        </w:rPr>
        <w:t>يؤخذ بالإطلاق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مؤثر في عامة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النوع من الإطلاق موجود في جانب الجزاء ببيان انّ الموضوع هو الطبيعة، فلو كان الموضوع الطبيعة الموجودة في ضمن فرد آخر، لكان عليه البيان و حيث لم يبين نستكشف انّ الموضوع هو الطبيعة، و يستحيل تعلّق إرادتين مستقلتين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إطلاق القضية الشرطية صالح للتصرّف في جانب الجزاء بإضافة قيد عليه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فهكذا إطلاق الجزاء صالح للتصرّف في جانب القضية الشرطية بأحد الوجهين الماضيين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الثبوت عند الحدوث، أو الوجوب المؤكّد</w:t>
      </w:r>
      <w:r>
        <w:rPr>
          <w:rFonts w:eastAsia="Amiri" w:cs="Amiri" w:ascii="Amiri" w:hAnsi="Amiri"/>
          <w:color w:val="111111"/>
          <w:sz w:val="28"/>
          <w:szCs w:val="28"/>
          <w:rtl w:val="true"/>
          <w:lang w:bidi="ar-SA"/>
        </w:rPr>
        <w:t>.</w:t>
      </w:r>
    </w:p>
    <w:p>
      <w:pPr>
        <w:pStyle w:val="Heading6"/>
        <w:numPr>
          <w:ilvl w:val="5"/>
          <w:numId w:val="1"/>
        </w:numPr>
        <w:rPr/>
      </w:pPr>
      <w:bookmarkStart w:id="826" w:name="__RefHeading___Toc7305184_3381743652"/>
      <w:bookmarkStart w:id="827" w:name="_Toc313"/>
      <w:bookmarkEnd w:id="826"/>
      <w:r>
        <w:rPr>
          <w:rtl w:val="true"/>
        </w:rPr>
        <w:t>الثاني ما أفاده المحقّق الاصفهاني</w:t>
      </w:r>
      <w:r>
        <w:rPr>
          <w:rtl w:val="true"/>
        </w:rPr>
        <w:t>:</w:t>
      </w:r>
      <w:bookmarkEnd w:id="827"/>
    </w:p>
    <w:p>
      <w:pPr>
        <w:pStyle w:val="BookText"/>
        <w:rPr/>
      </w:pPr>
      <w:r>
        <w:rPr>
          <w:rFonts w:ascii="Amiri" w:hAnsi="Amiri" w:eastAsia="Amiri" w:cs="Amiri"/>
          <w:color w:val="111111"/>
          <w:sz w:val="28"/>
          <w:sz w:val="28"/>
          <w:szCs w:val="28"/>
          <w:rtl w:val="true"/>
          <w:lang w:bidi="ar-SA"/>
        </w:rPr>
        <w:t>انّ نسبة الصدر إلى الذيل نسبة ذات الاقتضاء إلى فاقد الاقتضاء حيث إنّ متعلّق الجزاء نفس الماهية المهملة، و الوحدة و التعدّد، خارجان عنها، بخلاف أداة الشرط فانّها ظاهرة في السببية المطلقة و لا تعارض بين المقتضي و الاقتضاء</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خروج الوحدة و التعدّد من مدلول الجزاء و إن كان صحيحاً لكن دلالة القضية الشرطية على السببية المطلقة ليس إلاّ كونه سبباً لحدوث الجزاء عند حدوث الشرط و هذا المقدار من الدلالة لا يكفي، لأنّ كونه سبباً مطلقاً في جميع الأحوال ليس مدلول الدلالة اللفظية، بل مدلول الدلالة الإطلاقية حيث إنّ المتكلّم لم يخص السببية بحال دون حال و عند ذاك تصبح السببية في عامة الأحوال مدلول الإطلاق، فكيف يقدّم على إطلاق الجزاء؟</w:t>
      </w:r>
    </w:p>
    <w:p>
      <w:pPr>
        <w:pStyle w:val="Heading6"/>
        <w:numPr>
          <w:ilvl w:val="5"/>
          <w:numId w:val="1"/>
        </w:numPr>
        <w:rPr/>
      </w:pPr>
      <w:bookmarkStart w:id="828" w:name="__RefHeading___Toc7305186_3381743652"/>
      <w:bookmarkStart w:id="829" w:name="_Toc314"/>
      <w:bookmarkEnd w:id="828"/>
      <w:r>
        <w:rPr>
          <w:rtl w:val="true"/>
        </w:rPr>
        <w:t>الثالث</w:t>
      </w:r>
      <w:r>
        <w:rPr>
          <w:rtl w:val="true"/>
        </w:rPr>
        <w:t xml:space="preserve">: </w:t>
      </w:r>
      <w:r>
        <w:rPr>
          <w:rtl w:val="true"/>
        </w:rPr>
        <w:t>ما أفاده المحقّق النائيني</w:t>
      </w:r>
      <w:bookmarkEnd w:id="829"/>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القضية الشرطية في كونها انحلالية أظهر من اتحاد الجزاء في القضيتين، و ذلك لأنّه لا شبهة في أنّ القضية الشرطية، كالقضية الحقيقية، فكما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المستطيع يحجّ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لمن استطاع في كلّ وقت، فكذلك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استطعت فحجّ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لمن استطاع في وقت و لازم الانحلال ان يترتّب على كلّ شرط جزاء غير ما رتب على الآخر، فيكون هذا قرينة للجزاء و يصير بمنزلة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فتوضأ و إذا نِمْت ثانياً فتوضأ وضوءاً آخر</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و قد وصفه تلميذه في محاضراته بأنّه في غاية الصحة و الجودة و انّه يتمّ ببيان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القضية الشرطية ظاهرة في الانحلال و تعدد الطلب، لأنّها ترجع إلى القضية الحقيقية، و لا إشكال انّ الحكم في القضية الحقيقية ينحلّ بانحلال موضوعه إلى أحكام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مقتضى تعدّد القضية الشرطية في نفسها، تعدّد الطلب أيضاً، فإذا فرض تعلّق طلبين بماهية واحدة كان مقتضى كلّ، إيجادَ تلك الماهية، فيكون المطلوب في الحقيقة هو إيجادها مرّتين فإذا فرض ظهور القضية الشرطية في الانحلالية و تعدّد الطلب، كان ظهور القضية في تعدّد الحكم لكونه لفظياً مقدماً على ظهور الجزاء في وحدة الطلب لو سلمنا ظهوره فيها، و يكون مقتضى القاعدة عدم التداخل</w:t>
      </w:r>
      <w:r>
        <w:rPr>
          <w:rFonts w:eastAsia="Amiri" w:cs="Amiri" w:ascii="Amiri" w:hAnsi="Amiri"/>
          <w:color w:val="111111"/>
          <w:sz w:val="28"/>
          <w:szCs w:val="28"/>
          <w:rtl w:val="true"/>
          <w:lang w:bidi="ar-SA"/>
        </w:rPr>
        <w:t>.</w:t>
      </w:r>
      <w:r>
        <w:rPr>
          <w:rStyle w:val="FootnoteAnchor"/>
          <w:rtl w:val="true"/>
        </w:rPr>
        <w:footnoteReference w:id="211"/>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أُريد من الانحلال، انحلالُ قضيّة واحدة إلى قضايا كثيرة حسب عدد الموضوعات، على نحو، لو افترضنا انّ عبر القرون ملايين من </w:t>
      </w:r>
      <w:bookmarkStart w:id="830" w:name="pg14356_186979"/>
    </w:p>
    <w:p>
      <w:pPr>
        <w:pStyle w:val="BookText"/>
        <w:rPr/>
      </w:pPr>
      <w:bookmarkEnd w:id="830"/>
      <w:r>
        <w:rPr>
          <w:rFonts w:ascii="Amiri" w:hAnsi="Amiri" w:eastAsia="Amiri" w:cs="Amiri"/>
          <w:color w:val="111111"/>
          <w:sz w:val="28"/>
          <w:sz w:val="28"/>
          <w:szCs w:val="28"/>
          <w:rtl w:val="true"/>
          <w:lang w:bidi="ar-SA"/>
        </w:rPr>
        <w:t>المسلمين لهم القدرة و الاستطاعة لحجِّ البيت لتعلّق بكلّ إرادة و إنشاء و حكم مستقل، و بالتحليل، فلو أُريد من الانحلال هذا، فنحن نمنعه لشهادة الوجدان على أنّ المولى إذا أنشأ إلزاميّاً على عبيده، أو على من تحت يده فليس هنا إلاّ إرادة واحدة متعلّقة بالعنوان الكلي يتلقّاه كلّ منهم حجّة على نفسه دون أن يكون هنا انشاءات و إرادات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من الانحلال كون الحكم المتعلّق بالعنوان حجّة على كلّ منهم، أو حجّة على ثبوت الحكم، للموضوع كالقوم مهما وجد، فهو صحيح، لكن دلالته على ثبوت الحكم له، في عامة الأحوال، متقدماً، أو متأخراً أو لاحقاً إنّما هو بالإطلاق و سكوت المولى عن القيد، فعندئذ يكون ذلك الإطلاق نظير الإطلاق الموجود في الذيل</w:t>
      </w:r>
      <w:r>
        <w:rPr>
          <w:rFonts w:eastAsia="Amiri" w:cs="Amiri" w:ascii="Amiri" w:hAnsi="Amiri"/>
          <w:color w:val="111111"/>
          <w:sz w:val="28"/>
          <w:szCs w:val="28"/>
          <w:rtl w:val="true"/>
          <w:lang w:bidi="ar-SA"/>
        </w:rPr>
        <w:t>.</w:t>
      </w:r>
    </w:p>
    <w:p>
      <w:pPr>
        <w:pStyle w:val="Heading6"/>
        <w:numPr>
          <w:ilvl w:val="5"/>
          <w:numId w:val="1"/>
        </w:numPr>
        <w:rPr/>
      </w:pPr>
      <w:bookmarkStart w:id="831" w:name="__RefHeading___Toc7305188_3381743652"/>
      <w:bookmarkStart w:id="832" w:name="_Toc315"/>
      <w:bookmarkEnd w:id="831"/>
      <w:r>
        <w:rPr>
          <w:rtl w:val="true"/>
        </w:rPr>
        <w:t>الرابع</w:t>
      </w:r>
      <w:r>
        <w:rPr>
          <w:rtl w:val="true"/>
        </w:rPr>
        <w:t xml:space="preserve">: </w:t>
      </w:r>
      <w:r>
        <w:rPr>
          <w:rtl w:val="true"/>
        </w:rPr>
        <w:t>ما اعتمد عليه السيد الأُستاذ</w:t>
      </w:r>
      <w:bookmarkEnd w:id="832"/>
    </w:p>
    <w:p>
      <w:pPr>
        <w:pStyle w:val="BookText"/>
        <w:rPr/>
      </w:pPr>
      <w:r>
        <w:rPr>
          <w:rFonts w:ascii="Amiri" w:hAnsi="Amiri" w:eastAsia="Amiri" w:cs="Amiri"/>
          <w:color w:val="111111"/>
          <w:sz w:val="28"/>
          <w:sz w:val="28"/>
          <w:szCs w:val="28"/>
          <w:rtl w:val="true"/>
          <w:lang w:bidi="ar-SA"/>
        </w:rPr>
        <w:t>إنّ العلل الشرعية في نظر العرف كالعلل التكوينية، فكما أنّ كلّ علّة تكوينية تُؤثّر في معلول مستقل، دون المعلول المشترك بينها و بين غيرها، فهكذا العلل الشرعية يؤثر كلّ منها في معلول خاص</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انّ كلاً من النار و الشمس، تُولّد حرارة خاصة، لا حرارة مشتركة، سواء أ كانت النار متقدّمة على الشمس، أو متأخّرة و هذا هو المرتكز في أذهان العرف، فإذا سمع العرف الذي ارتكز في ذهنه ما لمسه و شاهده في العلل التكوينية،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بُلْت فتوضأ، و إذا نمت فتوضأ، ينتقل حسب الارتكاز السابق انّ لكلّ من البول و النوم معلولاً مستقلاً، و انّ وجوب الوضوء الناشئ من البول، غير الوجوب الناشئ من النوم، و ظهور الصدر في هذا المعنى ليس </w:t>
      </w:r>
      <w:bookmarkStart w:id="833" w:name="pg14356_186980"/>
    </w:p>
    <w:p>
      <w:pPr>
        <w:pStyle w:val="BookText"/>
        <w:rPr/>
      </w:pPr>
      <w:bookmarkEnd w:id="833"/>
      <w:r>
        <w:rPr>
          <w:rFonts w:ascii="Amiri" w:hAnsi="Amiri" w:eastAsia="Amiri" w:cs="Amiri"/>
          <w:color w:val="111111"/>
          <w:sz w:val="28"/>
          <w:sz w:val="28"/>
          <w:szCs w:val="28"/>
          <w:rtl w:val="true"/>
          <w:lang w:bidi="ar-SA"/>
        </w:rPr>
        <w:t>مستنداً إلى الإطلاق، بل إلى الارتكاز الحاصل من ممارسة الأُمور التكوينية، و يكون ظهوره أقوى من ظهور الجزاء في الإطلاق، بل يصير مثل ذاك سبباً للتصرف في ذيل الجزاء على نحو يلتحم مع تعدّد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مرّ منّا انّ قياس التشريع بالتكوين، أو الاعتبار بالحقيقة ممنوع و انّ هذا سبب لأكثر المغالطات، و لكن ما ذكرناه لا ينافي ذلك، لأنّ كلامنا في المقام في فهم العرف، الذي لا يدرك هذه الأُمور الدقيقة، فارتكازه في الأُمور التكوينية و تلقّيه العلل الشرعية أسباباً و عللاً للأحكام كالتكوين، يصير سبباً لانعقاد ظهور أقوى في جانب القضية الشرطية على نحو يقدم على ظهور الجزاء في الوحدة</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و لعلّه إلى ما ذكرنا يرجع قول المحقّق الأصفهاني في بيان وجه عدم التداخل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العرف إذا أُلقي إليه القضيتان، فكأنّه يرى مقام الإثبات مقروناً بمقام الثبوت ويحكم بمقتضى تعدّد السبب بتعدّد الجزاء من غير التفات إلى أنّ مقتضى إطلاق المتعلّق خلافه، و هذا المقدار من الظهور كاف في المقام </w:t>
      </w:r>
      <w:r>
        <w:rPr>
          <w:rFonts w:eastAsia="Amiri" w:cs="Amiri" w:ascii="Amiri" w:hAnsi="Amiri"/>
          <w:color w:val="111111"/>
          <w:sz w:val="28"/>
          <w:szCs w:val="28"/>
          <w:rtl w:val="true"/>
          <w:lang w:bidi="ar-SA"/>
        </w:rPr>
        <w:t>«.</w:t>
      </w:r>
      <w:r>
        <w:rPr>
          <w:rStyle w:val="FootnoteAnchor"/>
          <w:rtl w:val="true"/>
        </w:rPr>
        <w:footnoteReference w:id="213"/>
      </w:r>
    </w:p>
    <w:p>
      <w:pPr>
        <w:pStyle w:val="Heading6"/>
        <w:numPr>
          <w:ilvl w:val="5"/>
          <w:numId w:val="1"/>
        </w:numPr>
        <w:rPr/>
      </w:pPr>
      <w:bookmarkStart w:id="834" w:name="__RefHeading___Toc7305190_3381743652"/>
      <w:bookmarkStart w:id="835" w:name="_Toc316"/>
      <w:bookmarkEnd w:id="834"/>
      <w:r>
        <w:rPr>
          <w:rtl w:val="true"/>
        </w:rPr>
        <w:t>ترجيح إطلاق الجزاء على الشرط</w:t>
      </w:r>
      <w:bookmarkEnd w:id="835"/>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السيد المحقّق البروجردي ذهب إلى ترجيح ظهور الجزاء في الوحدة على ظهور الشرط في تعدّد الوجوب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فتوضأ،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نمت فتوضأ، فإمّا أن يكون متعلّق الوجوب نفس الحيثية المطلقة،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طبيعة الوضوء، أو شيء وراء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الأوّل لا يصحّ تعلّق وجوبين على أمر واحد، </w:t>
      </w:r>
      <w:bookmarkStart w:id="836" w:name="pg14356_186981"/>
    </w:p>
    <w:p>
      <w:pPr>
        <w:pStyle w:val="BookText"/>
        <w:rPr/>
      </w:pPr>
      <w:bookmarkEnd w:id="836"/>
      <w:r>
        <w:rPr>
          <w:rFonts w:ascii="Amiri" w:hAnsi="Amiri" w:eastAsia="Amiri" w:cs="Amiri"/>
          <w:color w:val="111111"/>
          <w:sz w:val="28"/>
          <w:sz w:val="28"/>
          <w:szCs w:val="28"/>
          <w:rtl w:val="true"/>
          <w:lang w:bidi="ar-SA"/>
        </w:rPr>
        <w:t>و على الثاني فلا بدّ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نمت فتوضّأ و إذا بلت فتوضأ وضوءاً آخر، و هذا لا يصحّ من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ربما يكون البول متقدّماً، فعندئذ 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فتوضأ وضوءاً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هذا النوع من التقييد إنّما يصحّ إذا كان أحد الخطابين ناظراً إلى الآخر، لا فيما إذا لم يكن كذلك كما في المقام</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لا ينحصر 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يمكن أن يُقيّد الطبيعة بقيد آخر، كأن يقال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بلت فتوضّأ لأجل البول، و إذا نمت فتوضّأ وضوءاً لأجل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المتفرقات في كلام إمام واحد بل الأئمة كحكم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هذا البحث الضافي، تقدّم ظهور القضية الشرطية الدالة على تعدّد الوجوب على ظهور الجزاء في وحدة المتعلّق، و تكون النتيجة هو عدم تداخل الأسباب و انّ لكلّ سبب تأثيراً</w:t>
      </w:r>
      <w:r>
        <w:rPr>
          <w:rFonts w:eastAsia="Amiri" w:cs="Amiri" w:ascii="Amiri" w:hAnsi="Amiri"/>
          <w:color w:val="111111"/>
          <w:sz w:val="28"/>
          <w:szCs w:val="28"/>
          <w:rtl w:val="true"/>
          <w:lang w:bidi="ar-SA"/>
        </w:rPr>
        <w:t>.</w:t>
      </w:r>
    </w:p>
    <w:p>
      <w:pPr>
        <w:pStyle w:val="Heading6"/>
        <w:numPr>
          <w:ilvl w:val="5"/>
          <w:numId w:val="1"/>
        </w:numPr>
        <w:rPr/>
      </w:pPr>
      <w:bookmarkStart w:id="837" w:name="__RefHeading___Toc7305192_3381743652"/>
      <w:bookmarkStart w:id="838" w:name="_Toc317"/>
      <w:bookmarkEnd w:id="837"/>
      <w:r>
        <w:rPr>
          <w:rtl w:val="true"/>
        </w:rPr>
        <w:t>بقيت هنا أُمور</w:t>
      </w:r>
      <w:r>
        <w:rPr>
          <w:rtl w:val="true"/>
        </w:rPr>
        <w:t>:</w:t>
      </w:r>
      <w:bookmarkEnd w:id="838"/>
    </w:p>
    <w:p>
      <w:pPr>
        <w:pStyle w:val="Heading6"/>
        <w:numPr>
          <w:ilvl w:val="5"/>
          <w:numId w:val="1"/>
        </w:numPr>
        <w:rPr/>
      </w:pPr>
      <w:bookmarkStart w:id="839" w:name="__RefHeading___Toc7305194_3381743652"/>
      <w:bookmarkStart w:id="840" w:name="_Toc318"/>
      <w:bookmarkEnd w:id="839"/>
      <w:r>
        <w:rPr>
          <w:rtl w:val="true"/>
        </w:rPr>
        <w:t>الأوّل</w:t>
      </w:r>
      <w:r>
        <w:rPr>
          <w:rtl w:val="true"/>
        </w:rPr>
        <w:t xml:space="preserve">: </w:t>
      </w:r>
      <w:r>
        <w:rPr>
          <w:rtl w:val="true"/>
        </w:rPr>
        <w:t>التفصيل بين كون الأسباب معرفات أو مؤثّرات</w:t>
      </w:r>
      <w:bookmarkEnd w:id="84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بنى فخر المحقّقين المسألة على أنّ الأسباب الشرعية هل هي معرفات و كواشف، أو مؤثرات؟ و على الأوّل الأصل التداخل بخلافه على الثاني، و حكاه الشيخ الأنصاريّ عن المحقّق النراقي في عوائده</w:t>
      </w:r>
      <w:r>
        <w:rPr>
          <w:rFonts w:eastAsia="Amiri" w:cs="Amiri" w:ascii="Amiri" w:hAnsi="Amiri"/>
          <w:color w:val="111111"/>
          <w:sz w:val="28"/>
          <w:szCs w:val="28"/>
          <w:rtl w:val="true"/>
          <w:lang w:bidi="ar-SA"/>
        </w:rPr>
        <w:t>.</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قال العلاّمة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تداخل في السهو و إن اتّفق السبب، على 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فخر المحقّقين في 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الشيخ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التداخل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 ابن إدريس إلى التداخل في المتّفق لا المختلف، و التحقيق انّ هذا الخلاف يرجع إلى أنّ الأسباب الشرعية، هل هي مؤثرات أو علامات</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و قال أيضاً في باب غسل الجنابة و الأسباب الشرعية علامات فلا يستحيل تعدّدها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إنّ الفرق بين تداخل الأسباب و تداخل المسببات غير منقّح في كلمات القدماء، بل عند بعض المتأخّرين كالمحقّق الخراساني فقد خلط بينهما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نقّحه ببيان رائق هو الشيخ الأنصاري</w:t>
      </w:r>
      <w:r>
        <w:rPr>
          <w:rStyle w:val="FootnoteAnchor"/>
          <w:rtl w:val="true"/>
        </w:rPr>
        <w:footnoteReference w:id="218"/>
      </w:r>
      <w:r>
        <w:rPr>
          <w:rFonts w:ascii="Amiri" w:hAnsi="Amiri" w:eastAsia="Amiri" w:cs="Amiri"/>
          <w:color w:val="111111"/>
          <w:sz w:val="28"/>
          <w:sz w:val="28"/>
          <w:szCs w:val="28"/>
          <w:rtl w:val="true"/>
          <w:lang w:bidi="ar-SA"/>
        </w:rPr>
        <w:t>و الظاهر انّ كلام الفخر ناظر إلى التداخل في الأسباب و هذا هو الذي استظهره الشيخ أيضاً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ينافي ذلك استدلالهم بأنّ العلل الشرعية معرفات فلا يمتنع اجتماعها في شيء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في دعوى تداخل الأسباب</w:t>
      </w:r>
      <w:r>
        <w:rPr>
          <w:rFonts w:eastAsia="Amiri" w:cs="Amiri" w:ascii="Amiri" w:hAnsi="Amiri"/>
          <w:color w:val="111111"/>
          <w:sz w:val="28"/>
          <w:szCs w:val="28"/>
          <w:rtl w:val="true"/>
          <w:lang w:bidi="ar-SA"/>
        </w:rPr>
        <w:t>.</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و حاصل كلام فخر المحقّقين انّه لو كان كلّ من البول و النوم موضوعاً للحكم، و علّة و سبباً له فيطلب كلّ، حكماً و معلولاً وجوباً غير ما يطلبه الآخر، لامتناع توارد العلّتين المستقلّتين على معلول واحد</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لو كان كلّ منها معرفاً لما هو الموضوع واقعاً، فلا مانع من تعدد المعرّف لموضوع واحد، و ذلك كمبطلات الوضوء فانّ الظاهر انّ الجميع حتى الريح كاشفة عن ظلمة نفسية يُذهبها الوضوء</w:t>
      </w:r>
      <w:r>
        <w:rPr>
          <w:rFonts w:eastAsia="Amiri" w:cs="Amiri" w:ascii="Amiri" w:hAnsi="Amiri"/>
          <w:color w:val="111111"/>
          <w:sz w:val="28"/>
          <w:szCs w:val="28"/>
          <w:rtl w:val="true"/>
          <w:lang w:bidi="ar-SA"/>
        </w:rPr>
        <w:t xml:space="preserve">. </w:t>
      </w:r>
      <w:bookmarkStart w:id="841" w:name="pg14356_186983"/>
    </w:p>
    <w:p>
      <w:pPr>
        <w:pStyle w:val="BookText"/>
        <w:rPr/>
      </w:pPr>
      <w:bookmarkEnd w:id="841"/>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الملازمة بين كون الأسباب الشرعية معرّفات و بين كونها معرّفات لشيء واحد، إذ من المحتمل أن يكون كلّ كاشفاً عن سبب مستقل، فيكون حكم المعرِّف، حكم كونه موضوعاً و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الأسباب الشرعية كما أفاده المحقّق الخراساني، ليس إلاّ كالأسباب العرفية في كونها معرفات تارة، و مؤثرات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السبب الشرعي فتارة يكون علّة للحكم الشرعي و دخيلاً في ترتّب الحكم الشرعي، كما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لِدُلُوكِ الشَّمْسِ إِلى غَسَقِ اللَّيْلِ وَ قُرْآنَ الْفَجْرِ إِنَّ قُرْآنَ الْفَجْرِ كانَ مَشْهُوداً </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شككت فابن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كاشفاً عن السبب، كعبور الحمرة إلى جانب المغرب، الكاشف عن استتار القرص كاملاً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الأسباب العرفية فهي أيضاً على قسمين فتارة تكون علّة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طلعت الشمس كان النهار موجوداً و أُخرى يكون أمارة على حدوث الموضوع و كاشفاً كما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النهار موجوداً كانت الشمس طالعة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الأسباب الشرعية، معرفات مطلقاً، و لا الأسباب العرفية عللاً مطلقاً بل ينقسمان إلى قسمين</w:t>
      </w:r>
      <w:r>
        <w:rPr>
          <w:rFonts w:eastAsia="Amiri" w:cs="Amiri" w:ascii="Amiri" w:hAnsi="Amiri"/>
          <w:color w:val="111111"/>
          <w:sz w:val="28"/>
          <w:szCs w:val="28"/>
          <w:rtl w:val="true"/>
          <w:lang w:bidi="ar-SA"/>
        </w:rPr>
        <w:t>.</w:t>
      </w:r>
      <w:r>
        <w:rPr>
          <w:rStyle w:val="FootnoteAnchor"/>
          <w:rtl w:val="true"/>
        </w:rPr>
        <w:footnoteReference w:id="221"/>
      </w:r>
    </w:p>
    <w:p>
      <w:pPr>
        <w:pStyle w:val="Heading6"/>
        <w:numPr>
          <w:ilvl w:val="5"/>
          <w:numId w:val="1"/>
        </w:numPr>
        <w:rPr/>
      </w:pPr>
      <w:bookmarkStart w:id="842" w:name="__RefHeading___Toc7305196_3381743652"/>
      <w:bookmarkStart w:id="843" w:name="_Toc319"/>
      <w:bookmarkEnd w:id="842"/>
      <w:r>
        <w:rPr>
          <w:rtl w:val="true"/>
        </w:rPr>
        <w:t>الثاني</w:t>
      </w:r>
      <w:r>
        <w:rPr>
          <w:rtl w:val="true"/>
        </w:rPr>
        <w:t xml:space="preserve">: </w:t>
      </w:r>
      <w:r>
        <w:rPr>
          <w:rtl w:val="true"/>
        </w:rPr>
        <w:t>التفصيل بين وحدة الأسباب جنساً و عدمها</w:t>
      </w:r>
      <w:bookmarkEnd w:id="843"/>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تفصيل آخر لابن إدريس و هو التفصيل بين ما كان السبب من جنس واحد كتكرر وطء الحائض، أو من أجناس متعددة كزيادة العمل و الذكر في الصلاة، فاختار في الأوّل التداخل دون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 ذلك التفصيل في ضمن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سها فلم يدر أربعاً صلّى أم خمساً و تساوت ظنونه في ذلك فعليه سجدتا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سها المصلّي في صلاته بما يوجب سجدتي السهو مرّات كثيرة، في صلاة واحدة، أ يجب عليه بكلّ مرّة سجدتا السهو، أو سجدتا السهو عن الجميع؟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المرّات من جنس واحد، فمرّة واحدة تجب سجدتا السهو، مثلاً تكلّم ساهياً في الركعة الأُولى، و كذلك في باقي الركعات، فانّه لا يجب عليه تكرار السجدات، بل يجب عليه سجدتا السهو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دليل عليه، 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 في صلاته ساهياً يجب عليه سجدتا السهو</w:t>
      </w:r>
      <w:r>
        <w:rPr>
          <w:rStyle w:val="FootnoteAnchor"/>
          <w:rtl w:val="true"/>
        </w:rPr>
        <w:footnoteReference w:id="222"/>
      </w:r>
      <w:r>
        <w:rPr>
          <w:rFonts w:ascii="Amiri" w:hAnsi="Amiri" w:eastAsia="Amiri" w:cs="Amiri"/>
          <w:color w:val="111111"/>
          <w:sz w:val="28"/>
          <w:sz w:val="28"/>
          <w:szCs w:val="28"/>
          <w:rtl w:val="true"/>
          <w:lang w:bidi="ar-SA"/>
        </w:rPr>
        <w:t>، و ما قالوا دفعة واحدة أو دفعات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اختلف الجنس، فالأولى عندي بل الواجب، الإتيان عن كلّ جنس بسجدتي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دليل على تداخل الأجناس، بل الواجب إعطاء كلّ جنس ما تناوله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قد تكلّم مثلاً، و قام في حال قعود، و أخلّ بإحدى السجدتين، و شكّ بين الأربع و الخمس، و أخلّ بالتشهد الأوّل، و لم يذكره إلاّ بعد الركوع في الثالثة،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كذا، يجب عليه سجدتا السهو، و من فعل كذا في صلاته ساهياً يجب عليه سجدتا السهو، و هذا قد فعل الفعلين فيجب عليه امتثال الأمر، و لا دليل على تداخلهما، لأنّ الفرضين لا يتداخلان بلا خلاف من محقّق</w:t>
      </w:r>
      <w:r>
        <w:rPr>
          <w:rFonts w:eastAsia="Amiri" w:cs="Amiri" w:ascii="Amiri" w:hAnsi="Amiri"/>
          <w:color w:val="111111"/>
          <w:sz w:val="28"/>
          <w:szCs w:val="28"/>
          <w:rtl w:val="true"/>
          <w:lang w:bidi="ar-SA"/>
        </w:rPr>
        <w:t>.</w:t>
      </w:r>
      <w:r>
        <w:rPr>
          <w:rStyle w:val="FootnoteAnchor"/>
          <w:rtl w:val="true"/>
        </w:rPr>
        <w:footnoteReference w:id="223"/>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كانت الأسباب الشرعية من نوع واحد يمكن التمسّك بإطلاق الجزاء و هو وجوب سجدتا السهو من دون تقييد بالمرّات، و أمّا </w:t>
      </w:r>
    </w:p>
    <w:p>
      <w:pPr>
        <w:pStyle w:val="BookText"/>
        <w:rPr/>
      </w:pPr>
      <w:r>
        <w:rPr>
          <w:rFonts w:ascii="Amiri" w:hAnsi="Amiri" w:eastAsia="Amiri" w:cs="Amiri"/>
          <w:color w:val="111111"/>
          <w:sz w:val="28"/>
          <w:sz w:val="28"/>
          <w:szCs w:val="28"/>
          <w:rtl w:val="true"/>
          <w:lang w:bidi="ar-SA"/>
        </w:rPr>
        <w:t>إذا كانت الأسباب الشرعية من جنسين فليس هناك ما يمكن التمسّك بإطلاقه، بل يجب امتثال كلّ على حدة، لأنّ الفرضين لا يتداخلان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لقائل أن يقول انّ مقتضى الإطلاق في القسم الثاني هو عدم التداخل، لأنّ مقتضى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تكلمت في الصلاة فاسجد سجدتي السهو، هو وجوبها، سواء وجبتا لأجل فعل أو لا، كما أنّ مقتضى إطلاق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قمت مكان القعود فاسجد سجدتي السهو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وجوبها مطلقاً، سواء وجبتا لأجل التكلّم أو لا، فصارت النتيجة هي اجتماع وجوبين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هنا يعلم أنّ ما أورد عليه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تبعاً لما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مطارح الأنظار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صلة له بكلامه و قد نشأ من عدم الرجوع إلى نفس الكتاب، فالأولى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سيوافيك في الموضع الثاني أنّ الضابطة فيما إذا كانت النسبة هو العموم و الخصوص من وجه هو التداخل إلاّ إذا قامت القرينة على عدمه، و من هذا الباب باب الديات و الحدود و الغرامات و الخسارات و التأديبات، لأنّ إيجاب سجدة السهو يعد تأديباً للمصلّي فمن كثر عليه الخطأ يكثر تأديبه، فلأجل ذلك لا فرق بين كون الفعلين من جنس واحد أو غير جنس</w:t>
      </w:r>
      <w:r>
        <w:rPr>
          <w:rFonts w:eastAsia="Amiri" w:cs="Amiri" w:ascii="Amiri" w:hAnsi="Amiri"/>
          <w:color w:val="111111"/>
          <w:sz w:val="28"/>
          <w:szCs w:val="28"/>
          <w:rtl w:val="true"/>
          <w:lang w:bidi="ar-SA"/>
        </w:rPr>
        <w:t>.</w:t>
      </w:r>
      <w:r>
        <w:rPr>
          <w:rStyle w:val="FootnoteAnchor"/>
          <w:rtl w:val="true"/>
        </w:rPr>
        <w:footnoteReference w:id="224"/>
      </w:r>
      <w:bookmarkStart w:id="844" w:name="pg14356_186986"/>
    </w:p>
    <w:p>
      <w:pPr>
        <w:pStyle w:val="Heading6"/>
        <w:numPr>
          <w:ilvl w:val="5"/>
          <w:numId w:val="1"/>
        </w:numPr>
        <w:rPr/>
      </w:pPr>
      <w:bookmarkStart w:id="845" w:name="__RefHeading___Toc7305198_3381743652"/>
      <w:bookmarkStart w:id="846" w:name="_Toc320"/>
      <w:bookmarkEnd w:id="844"/>
      <w:bookmarkEnd w:id="845"/>
      <w:r>
        <w:rPr>
          <w:rtl w:val="true"/>
        </w:rPr>
        <w:t>الثالث</w:t>
      </w:r>
      <w:r>
        <w:rPr>
          <w:rtl w:val="true"/>
        </w:rPr>
        <w:t xml:space="preserve">: </w:t>
      </w:r>
      <w:r>
        <w:rPr>
          <w:rtl w:val="true"/>
        </w:rPr>
        <w:t>إذا شكّ في مقتضى الأدلّة الاجتهادية</w:t>
      </w:r>
      <w:bookmarkEnd w:id="846"/>
    </w:p>
    <w:p>
      <w:pPr>
        <w:pStyle w:val="BookText"/>
        <w:rPr/>
      </w:pPr>
      <w:r>
        <w:rPr>
          <w:rFonts w:ascii="Amiri" w:hAnsi="Amiri" w:eastAsia="Amiri" w:cs="Amiri"/>
          <w:color w:val="111111"/>
          <w:sz w:val="28"/>
          <w:sz w:val="28"/>
          <w:szCs w:val="28"/>
          <w:rtl w:val="true"/>
          <w:lang w:bidi="ar-SA"/>
        </w:rPr>
        <w:t>إذا شكّ في مقتضى الأدلّة و انّ مقتضاها تداخل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تعدّده، فالأصل هو البراءة عن الوجوب الواحد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مقتضى الأصل في 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اجزاء الامتثال الواحد عن وجوبين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هو الاشتغال للشك في سقوط الوجوب بالامتثال الواحد</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تكرر الجزاء من دون ذكر السبب إنّ محط البحث فيما إذا ذكر سببان لجزاء واحد كالنوم و البول للتوضّؤ، و أمّا إذا تكرّر حكم واحد من دون ذكر السبب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ثمّ قال بعد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 فهو خارج عن حريم النزاع، و عندئذ يكون البحث مركّزاً على أنّ الأصل هو في الأمرين المتكررين هو التأسيس أو التأكيد، و قد تقدّم في أواخر الأوامر</w:t>
      </w:r>
      <w:r>
        <w:rPr>
          <w:rStyle w:val="FootnoteAnchor"/>
          <w:rtl w:val="true"/>
        </w:rPr>
        <w:footnoteReference w:id="225"/>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 xml:space="preserve">. </w:t>
      </w:r>
      <w:bookmarkStart w:id="847" w:name="pg14356_186987"/>
    </w:p>
    <w:p>
      <w:pPr>
        <w:pStyle w:val="Heading6"/>
        <w:numPr>
          <w:ilvl w:val="5"/>
          <w:numId w:val="1"/>
        </w:numPr>
        <w:rPr/>
      </w:pPr>
      <w:bookmarkStart w:id="848" w:name="__RefHeading___Toc7305200_3381743652"/>
      <w:bookmarkStart w:id="849" w:name="_Toc321"/>
      <w:bookmarkEnd w:id="847"/>
      <w:bookmarkEnd w:id="848"/>
      <w:r>
        <w:rPr>
          <w:rtl w:val="true"/>
        </w:rPr>
        <w:t>الموضع الثاني في تداخل المسببات و عدمه</w:t>
      </w:r>
      <w:bookmarkEnd w:id="849"/>
    </w:p>
    <w:p>
      <w:pPr>
        <w:pStyle w:val="BookText"/>
        <w:rPr/>
      </w:pPr>
      <w:r>
        <w:rPr>
          <w:rFonts w:ascii="Amiri" w:hAnsi="Amiri" w:eastAsia="Amiri" w:cs="Amiri"/>
          <w:color w:val="111111"/>
          <w:sz w:val="28"/>
          <w:sz w:val="28"/>
          <w:szCs w:val="28"/>
          <w:rtl w:val="true"/>
          <w:lang w:bidi="ar-SA"/>
        </w:rPr>
        <w:t>قد عرفت أنّ البحث في التنبيه الثالث يقع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تداخل الأسباب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تداخل المسبّبات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النزاع الأوّل يرجع إلى اقتضاء كلا الشرطين وجوباً واحداً، أو اقتضاء كلّ، وجوباً خاصاً له، فلو قلنا بأنّ مدلول القضية الشرطية هو الأعم من حدوث الجزاء، أو ثبوته، عند ثبوت الشرط، فلازمه القول بالتداخل في الأسباب، و أمّا لو قلنا بالحدوث لدى الحدوث، فلازمه القول بعدم التداخل فيها، و قد مرّ انّ الثاني هو المتعيّن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النزاع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تداخل المسببات و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فيرجع إلى دعوى صدق الامتثال بالإتيان بفرد واحد عند تعدّد التكليف و الاشتغال، و عدم صدقه</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يكفي الإتيان بفرد واحد مع تعدّد التكليف فلازمه تداخل المسببات، أو لا يكفي فلازمه عدم تداخلها؟ و من هنا يظهر انّ البحث في تداخل المسببات و عدمه، فرع القول بعدم تداخل الأسباب، و تعدد الوجوب و التكليف، و إلاّ فعلى القول بتداخل الأسباب، </w:t>
      </w:r>
      <w:bookmarkStart w:id="850" w:name="pg14356_186988"/>
    </w:p>
    <w:p>
      <w:pPr>
        <w:pStyle w:val="BookText"/>
        <w:rPr/>
      </w:pPr>
      <w:bookmarkEnd w:id="850"/>
      <w:r>
        <w:rPr>
          <w:rFonts w:ascii="Amiri" w:hAnsi="Amiri" w:eastAsia="Amiri" w:cs="Amiri"/>
          <w:color w:val="111111"/>
          <w:sz w:val="28"/>
          <w:sz w:val="28"/>
          <w:szCs w:val="28"/>
          <w:rtl w:val="true"/>
          <w:lang w:bidi="ar-SA"/>
        </w:rPr>
        <w:t>و انّه ليس في المقام إلاّ وجوب واحد فلا موضوع للبحث عن تداخل المسببات و عدمه، لوضوح انّ التكليف الواحد، لا يقتضي إلاّ امتثالاً واحداً، و يكون الإتيان بفرد من أفراد الطبيعة، مسقطاً قطعاً، فالبحث في الموضع الثاني مبنيّ على ظهور القضية الشرطية في استقلال تأثير كلّ شرط، و انّ أثر كلّ غير أثر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الكلام يقع تارة في مقام الثبوت، أي إمكان تداخل المسببات و عدم إمكانه، و أُخرى في مقام الإثبات، و ما هو مقتضى الأدلّة</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7305202_3381743652"/>
      <w:bookmarkStart w:id="852" w:name="_Toc322"/>
      <w:bookmarkEnd w:id="851"/>
      <w:r>
        <w:rPr/>
        <w:t>1</w:t>
      </w:r>
      <w:r>
        <w:rPr>
          <w:rtl w:val="true"/>
        </w:rPr>
        <w:t xml:space="preserve">. </w:t>
      </w:r>
      <w:r>
        <w:rPr>
          <w:rtl w:val="true"/>
        </w:rPr>
        <w:t>إمكان التداخل ثبوتاً و عدمه</w:t>
      </w:r>
      <w:bookmarkEnd w:id="852"/>
    </w:p>
    <w:p>
      <w:pPr>
        <w:pStyle w:val="BookText"/>
        <w:rPr/>
      </w:pPr>
      <w:r>
        <w:rPr>
          <w:rFonts w:ascii="Amiri" w:hAnsi="Amiri" w:eastAsia="Amiri" w:cs="Amiri"/>
          <w:color w:val="111111"/>
          <w:sz w:val="28"/>
          <w:sz w:val="28"/>
          <w:szCs w:val="28"/>
          <w:rtl w:val="true"/>
          <w:lang w:bidi="ar-SA"/>
        </w:rPr>
        <w:t>ذهب الشيخ الأعظم إلى امتناع التداخل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قرّرنا فيما تقدّم انّ متعلّق التكاليف هو الفرد المغاير للفرد الواجب بالسبب الأوّل و لا يعقل تداخل فردين من ماهية واحدة، بل و لا يعقل ورود دليل على التداخل أيضاً على ذلك التقدير إلاّ أن يكون ناسخاً لحكم السببية</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سبق في المقام الأوّل و هو انّ إيجاد التكثّر في جانب الجزاء، لتصحيح تعلّق وجوبين بطبيعة واحدة، رهن التصرّف في جانب الجزاء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متعلّق الوجوب في إحدى القضيتين الشرطيتين 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وزانُ القضيتين وزانَ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نمت فتوضأ و إذا بلت فتوضأ وضوءاً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كلّ من 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فتوضّأ وضوءاً مسبباً من النوم، أو البول</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ذكره الشيخ إنّما يتمّ على الوجه الأوّل و تكون النسبة بين الموضوعين، هو </w:t>
      </w:r>
      <w:bookmarkStart w:id="853" w:name="pg14356_186989"/>
    </w:p>
    <w:p>
      <w:pPr>
        <w:pStyle w:val="BookText"/>
        <w:rPr/>
      </w:pPr>
      <w:bookmarkEnd w:id="853"/>
      <w:r>
        <w:rPr>
          <w:rFonts w:ascii="Amiri" w:hAnsi="Amiri" w:eastAsia="Amiri" w:cs="Amiri"/>
          <w:color w:val="111111"/>
          <w:sz w:val="28"/>
          <w:sz w:val="28"/>
          <w:szCs w:val="28"/>
          <w:rtl w:val="true"/>
          <w:lang w:bidi="ar-SA"/>
        </w:rPr>
        <w:t>التباين مثل 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الإنسان الأبيض، و أكرم الإنسان الأسود، فعندئذ يمتنع تداخل المسببين، بل لا بد من إكرام انسانين بلونين 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قلنا بأنّ المصحّح لتعلّق الوجوبين، هو تقييد كلّ وجوب بسببه، فتنقلب النسبة من التباين إلى العموم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يعلم أنّ النزاع في تداخل المسببات و عدمه يختصّ بما إذا كان بين متعلّقي الوجوبين، من النسب الأربع، هو العموم و الخصوص من وجه أو المطلق دون التباين لعدم إمكان التداخل، عندئذ و لا التساوي، إذ لا موضوع للتداخل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أحسن المحقّق الخراساني في المقام حيث استدلّ على إمكان التداخل بما إذا كان بين المتعلّقين عموم من وجه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الذمة و إن اشتغلت بتكاليف متعدّدة، حسب تعدّد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التداخل في الأسباب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الاجتزاء بواحد، لكونه مجمعاً لها كما في أكرم هاشمياً، و أضف عالماً، فأكرم العالم الهاشمي بالضيافة ضرورة انّه بضيافته بداعي الأمرين يصدق انّه امتثلهما و لا محالة يسقط بامتثاله و موافقته، و إن كان له امتثال كل منهما على حدة،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الهاشمي بغير الضيافة، و أضاف العالم غير الهاشمي</w:t>
      </w:r>
      <w:r>
        <w:rPr>
          <w:rFonts w:eastAsia="Amiri" w:cs="Amiri" w:ascii="Amiri" w:hAnsi="Amiri"/>
          <w:color w:val="111111"/>
          <w:sz w:val="28"/>
          <w:szCs w:val="28"/>
          <w:rtl w:val="true"/>
          <w:lang w:bidi="ar-SA"/>
        </w:rPr>
        <w:t>.</w:t>
      </w:r>
    </w:p>
    <w:p>
      <w:pPr>
        <w:pStyle w:val="Heading6"/>
        <w:numPr>
          <w:ilvl w:val="5"/>
          <w:numId w:val="1"/>
        </w:numPr>
        <w:rPr/>
      </w:pPr>
      <w:bookmarkStart w:id="854" w:name="__RefHeading___Toc7305204_3381743652"/>
      <w:bookmarkStart w:id="855" w:name="_Toc323"/>
      <w:bookmarkEnd w:id="854"/>
      <w:r>
        <w:rPr/>
        <w:t>2</w:t>
      </w:r>
      <w:r>
        <w:rPr>
          <w:rtl w:val="true"/>
        </w:rPr>
        <w:t xml:space="preserve">. </w:t>
      </w:r>
      <w:r>
        <w:rPr>
          <w:rtl w:val="true"/>
        </w:rPr>
        <w:t>ما هو مقتضى الأدلة إثباتاً؟</w:t>
      </w:r>
      <w:bookmarkEnd w:id="855"/>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ثبت إمكان التداخل ثبوتاً، يقع الكلام فيما هو مقتضى الأدلّة الاجتهادية إثباتاً، فقد استدل القائل بعدم التداخل و لزوم تعدّد الامتثال بوجهين</w:t>
      </w:r>
      <w:r>
        <w:rPr>
          <w:rFonts w:eastAsia="Amiri" w:cs="Amiri" w:ascii="Amiri" w:hAnsi="Amiri"/>
          <w:color w:val="111111"/>
          <w:sz w:val="28"/>
          <w:szCs w:val="28"/>
          <w:rtl w:val="true"/>
          <w:lang w:bidi="ar-SA"/>
        </w:rPr>
        <w:t xml:space="preserve">: </w:t>
      </w:r>
      <w:bookmarkStart w:id="856" w:name="pg14356_186990"/>
    </w:p>
    <w:p>
      <w:pPr>
        <w:pStyle w:val="Heading6"/>
        <w:numPr>
          <w:ilvl w:val="5"/>
          <w:numId w:val="1"/>
        </w:numPr>
        <w:rPr/>
      </w:pPr>
      <w:bookmarkStart w:id="857" w:name="__RefHeading___Toc7305206_3381743652"/>
      <w:bookmarkStart w:id="858" w:name="_Toc324"/>
      <w:bookmarkEnd w:id="856"/>
      <w:bookmarkEnd w:id="857"/>
      <w:r>
        <w:rPr>
          <w:rtl w:val="true"/>
        </w:rPr>
        <w:t>حجّة القائل بعدم التداخل</w:t>
      </w:r>
      <w:bookmarkEnd w:id="85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العلاّمة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 السيد الصدر في شرح الوافية عن العلاّمة على ما حكاه الشيخ الأعظم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تعاقب السببان أو اقترنا فإمّا أن يقتضيان مسبّبين، أو مسبّباً واحداً، أو لا يقتضيان شيئاً، أو يقتضي أحدهما شيئاً دون الآخر، و الثلاثة الأخيرة باطلة، فتعيّن الأوّل و هو المطلوب، أمّا الملازمة فلانحصار الصور في المذكورات، و أمّا بطلان التوالي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الثلاثة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عرفت سابقاً من أنّ النزاع المذكور مبني على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المختار في الموضع الأوّل هو عدم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خلاف ما فرضناه من سببيّة كلّ واحد منهما على ما يقتضيه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استناده إلى واحد معيّن من السببين يوجب الترجيح بلا مرجّح مع أنّه خلاف المفروض من دليل السببيّة، و إلى غير المعيّن يوجب الخلف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بطوله، إنّما يناسب المقام الأوّل، أي عدم تداخل الأسباب، و انّ كلّ سبب يقتضي وجوباً مستقلاً، و لا صلة له بالمقام أي تداخل المسببات و عدمه، أي لزوم تعدّد الامتثال و عدمه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إلاّ إذا ضُمّ إليه أمر آخر، و هو إن تعدّد الأثر يوجب تعدّد الفعل الثاني، و لذلك قام الشيخ بتهذيب الدليل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محصل هذا الوجه ينحل إلى مقدمات ثلاث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تأثير السبب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أثره غير أثر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الأثر يوجب تعدّد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فالقائل بالتداخل لا بدّ له من منع إحدى المقدّمات المفروضة على سبيل منع الخلو</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هذا و للقائل بالتداخل أن يمنع كلّية المقدّمة الثالثة و يفصِّل بين كون النسبة بين المتعلّقين هي التباين أو العموم و الخصوص من وجه أو المطلق، فعلى الأوّل تعدّد الأثر يقتضي تعدّد الفعل كما مثلنا، بخلاف الثاني فيكفي في امتثال الأثرين، امتثال واحد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المحقّق النائيني و هو انّ الأصل عدم سقوط الواجبات المتعدّدة بفعل واحد، و لو كان ذلك بقصد امتثال الجميع في غير ما دلّ الدليل على سقوطها به، كما هو الحال في سقوط أغسال متعدّدة بغسل الجنابة، أو بغسل واحد نوى به سقوط الجميع و كما في ارتفاع أفراد الحدث الأصغر بوضوء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الأصل العملي يقتضي عدم سقوط الواجبات المتعدّدة ما لم يدلّ على سقوطها دليل بالخصوص</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يستثنى من ذلك مورد واحد، و هو ما إذا كانت النسبة بين الواجبين عموماً و خصوصاً من وجه كما في قضية أكرم عالماً و أكرم هاشمياً، فإنّ إكرام العالم الهاشمي يكون مسقطاً لكلا الخطابين، و لا يعتبر في تحقّق الامتثال إلاّ الإتيان بما ينطبق عليه متعلّق الأمر</w:t>
      </w:r>
      <w:r>
        <w:rPr>
          <w:rFonts w:eastAsia="Amiri" w:cs="Amiri" w:ascii="Amiri" w:hAnsi="Amiri"/>
          <w:color w:val="111111"/>
          <w:sz w:val="28"/>
          <w:szCs w:val="28"/>
          <w:rtl w:val="true"/>
          <w:lang w:bidi="ar-SA"/>
        </w:rPr>
        <w:t>.</w:t>
      </w:r>
      <w:r>
        <w:rPr>
          <w:rStyle w:val="FootnoteAnchor"/>
          <w:rtl w:val="true"/>
        </w:rPr>
        <w:footnoteReference w:id="228"/>
      </w:r>
      <w:bookmarkStart w:id="859" w:name="pg14356_186992"/>
    </w:p>
    <w:p>
      <w:pPr>
        <w:pStyle w:val="BookText"/>
        <w:rPr/>
      </w:pPr>
      <w:bookmarkEnd w:id="859"/>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المقام من التداخل و عدمه حول مقتضى الأدلّة الاجتهادية و ليس الكلام في مقتضى الأُصول العملية، فالاستدلال بالأصل مع إمكان الاستدلال بالدليل الاجتهادي،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يعلم الفرق بين المقام و مسألة العموم و الخصوص من وجه الذي استثناه من الضابطة، إذ لو كان المعتبر عند العقل في تحقّق الامتثال، الإتيان بما ينطبق عليه متعلّق الأمر خارجاً، فيجب القول بالتداخل في المقام، لأنّه ينطبق على الوضوء الواحد عنوان التوضّؤ المأخوذ في كلا الجزاءين، إذ المفروض أنّ الجزاء عبارة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عليك الوضوء الناشئ من جانب البول أو 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فالتداخل عندئذ يكون مقتضى القاعدة من دون حاجة إلى دليل خارجيّ كما هو ظاهر كلامه</w:t>
      </w:r>
      <w:r>
        <w:rPr>
          <w:rFonts w:eastAsia="Amiri" w:cs="Amiri" w:ascii="Amiri" w:hAnsi="Amiri"/>
          <w:color w:val="111111"/>
          <w:sz w:val="28"/>
          <w:szCs w:val="28"/>
          <w:rtl w:val="true"/>
          <w:lang w:bidi="ar-SA"/>
        </w:rPr>
        <w:t>.</w:t>
      </w:r>
    </w:p>
    <w:p>
      <w:pPr>
        <w:pStyle w:val="Heading6"/>
        <w:numPr>
          <w:ilvl w:val="5"/>
          <w:numId w:val="1"/>
        </w:numPr>
        <w:rPr/>
      </w:pPr>
      <w:bookmarkStart w:id="860" w:name="__RefHeading___Toc7305208_3381743652"/>
      <w:bookmarkStart w:id="861" w:name="_Toc325"/>
      <w:bookmarkEnd w:id="860"/>
      <w:r>
        <w:rPr>
          <w:rtl w:val="true"/>
        </w:rPr>
        <w:t>حجّة القائل بالتداخل</w:t>
      </w:r>
      <w:bookmarkEnd w:id="861"/>
    </w:p>
    <w:p>
      <w:pPr>
        <w:pStyle w:val="BookText"/>
        <w:rPr/>
      </w:pPr>
      <w:r>
        <w:rPr>
          <w:rFonts w:ascii="Amiri" w:hAnsi="Amiri" w:eastAsia="Amiri" w:cs="Amiri"/>
          <w:color w:val="111111"/>
          <w:sz w:val="28"/>
          <w:sz w:val="28"/>
          <w:szCs w:val="28"/>
          <w:rtl w:val="true"/>
          <w:lang w:bidi="ar-SA"/>
        </w:rPr>
        <w:t>احتجّ القائل بالتداخل بأنّه إذا كان ما به الامتثال مصداقاً لكلا العنوانين، كالإكرام و الضيافة، يتلقّاه العرف امتثالاً بكلا الأمرين، نظير ما إذا أمر الطبيب رجلاً سميناً بأكل الفاكهة مكان الطعام حتّى يخفّ وزنه ثمّ أمره بأكل فاكهة خاصة لتداوي مرض خاص فيه، فإذا أكل تلك الفاكهة بدل الطعام أيضاً، فقد امتثل كلا الأمرين الإرشاديين، و نظيره الأمران المولويان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الضابطة في المقام إلاّ إذا قامت قرينة على تعدّد الامتثال، كما في الأمثلة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ورد النص على نزح سبع دلاء عند وقوع كلّ من الفأرة في البئر، و بول الصبي الذي لم يبلغ فوقع كلّ بعد الآخر، فلا يكفي نزح سبع دلاء مرّة</w:t>
      </w:r>
      <w:bookmarkStart w:id="862" w:name="pg14356_186993"/>
    </w:p>
    <w:p>
      <w:pPr>
        <w:pStyle w:val="BookText"/>
        <w:rPr/>
      </w:pPr>
      <w:bookmarkEnd w:id="862"/>
      <w:r>
        <w:rPr>
          <w:rFonts w:ascii="Amiri" w:hAnsi="Amiri" w:eastAsia="Amiri" w:cs="Amiri"/>
          <w:color w:val="111111"/>
          <w:sz w:val="28"/>
          <w:sz w:val="28"/>
          <w:szCs w:val="28"/>
          <w:rtl w:val="true"/>
          <w:lang w:bidi="ar-SA"/>
        </w:rPr>
        <w:t>واحدة، بل يلزم نزح سبع دلاء أُخرى أيضاً، و ذلك لأنّ لوقوع كلّ منهما بعد الآخر تأثيراً خاصّاً في قذارة الماء، فلا يكفي نزح سبع دلاء مرّة واحدة، بل يجب التكرار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ظاهر و أفطر في شهر رمضان، فلا يكفي تحرير رقبة واحدة في مقام التكفير، و ذلك لأنّ الغاية من إيجاب التكفير هو تأديب العاصي، و هو لا يحصل إلاّ بالتعدّد، و منه يعلم حكم سائر الكفّارات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أتلف ثوبين من صنف واحد، فلا يجوز الاقتصار على دفع ثوب واحد، لأنّ الغاية من الضمان هو جبر الخسارة الواردة على الطرف، و هو رهن دفع ثوبين، و منه يعلم حكم الغرامات و الخسارات و الديات عامة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نذر ذبح شاة لقضاء حاجة خاصة، ثمّ نذر شاة أيضاً لقضاء حاجة ثانية فقُضيت له الحاجتان، فلا يكفي ذبح شاة واحدة، لأنّ لقضاء كلّ من النذرين شكراً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حال الحدود و التعزيرات، فالأصل فيهما التعدد و إن كانت متماثلة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أُمور</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7305210_3381743652"/>
      <w:bookmarkStart w:id="864" w:name="_Toc326"/>
      <w:bookmarkEnd w:id="863"/>
      <w:r>
        <w:rPr>
          <w:rtl w:val="true"/>
        </w:rPr>
        <w:t>بعض الفروع المترتّبة على مسألة التداخل و عدمه</w:t>
      </w:r>
      <w:bookmarkEnd w:id="864"/>
    </w:p>
    <w:p>
      <w:pPr>
        <w:pStyle w:val="BookText"/>
        <w:rPr/>
      </w:pPr>
      <w:r>
        <w:rPr>
          <w:rFonts w:ascii="Amiri" w:hAnsi="Amiri" w:eastAsia="Amiri" w:cs="Amiri"/>
          <w:color w:val="111111"/>
          <w:sz w:val="28"/>
          <w:sz w:val="28"/>
          <w:szCs w:val="28"/>
          <w:rtl w:val="true"/>
          <w:lang w:bidi="ar-SA"/>
        </w:rPr>
        <w:t>نذكر في المقام بعض الفروع المترتبة على هذه المسألة و هي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وجبت عليه الزكاة فهل يجوز دفعها إلى واجب النفقة إذا كان فقيراً من جهة الإنفاق؟ 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لكونه ليس إيتاءً للزكاة، لأصالة عدم تداخل الأسباب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اجتمع للمستحق سببان أو ما زاد، يستحقّ بها الزكاة، كالفقر،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الغزو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 أن يعطى بحسب كل سبب نصيباً، لاندراجه حينئذ في الصنفين مثلاً فيستحقّ بكلّ منها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اجتمع سببان للخيار كالمجلس و العيب و خيار الحيوان، فلا يتداخل السببان و فائدته بقاء أحدهما مع سقوط الآخر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تكرر منه وطء الحائض في وقت واحد كالثلث الأوّل، أو في وقتين، كما إذا كان الثاني في الثلث الثاني يقع الكلام في تكرر الكفّارة و عدمه</w:t>
      </w:r>
      <w:r>
        <w:rPr>
          <w:rFonts w:eastAsia="Amiri" w:cs="Amiri" w:ascii="Amiri" w:hAnsi="Amiri"/>
          <w:color w:val="111111"/>
          <w:sz w:val="28"/>
          <w:szCs w:val="28"/>
          <w:rtl w:val="true"/>
          <w:lang w:bidi="ar-SA"/>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وقعت نجاسات مختلفة في البئر لكلّ تقدير خاص، فهل يجب نزح كلّ ما قدر أو لا؟ مبنيّ على التداخل و عدمه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تغير أحد أوصاف ماء البئر و مع ذلك وقع فيه من النجاسات ما له مقدّر، فهل يكفي نزح الجميع أو يجب معه نزح ما هو المقدّر؟ مبني على مسألة التداخل و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مات و هو جنب، فهل يكفي غسل واحد أو يجب الغسلان؟ </w:t>
      </w:r>
      <w:bookmarkStart w:id="865" w:name="pg14356_186995"/>
    </w:p>
    <w:p>
      <w:pPr>
        <w:pStyle w:val="Heading6"/>
        <w:numPr>
          <w:ilvl w:val="5"/>
          <w:numId w:val="1"/>
        </w:numPr>
        <w:rPr/>
      </w:pPr>
      <w:bookmarkStart w:id="866" w:name="__RefHeading___Toc7305212_3381743652"/>
      <w:bookmarkStart w:id="867" w:name="_Toc327"/>
      <w:bookmarkEnd w:id="865"/>
      <w:bookmarkEnd w:id="866"/>
      <w:r>
        <w:rPr>
          <w:rtl w:val="true"/>
        </w:rPr>
        <w:t>السالبة الكلية و مفهومها</w:t>
      </w:r>
      <w:bookmarkEnd w:id="867"/>
    </w:p>
    <w:p>
      <w:pPr>
        <w:pStyle w:val="BookText"/>
        <w:rPr/>
      </w:pPr>
      <w:r>
        <w:rPr>
          <w:rFonts w:ascii="Amiri" w:hAnsi="Amiri" w:eastAsia="Amiri" w:cs="Amiri"/>
          <w:color w:val="111111"/>
          <w:sz w:val="28"/>
          <w:sz w:val="28"/>
          <w:szCs w:val="28"/>
          <w:rtl w:val="true"/>
          <w:lang w:bidi="ar-SA"/>
        </w:rPr>
        <w:t>قد عرفت أنّ المفهوم عبارة عن انتفاء الجزاء عند انتفاء الشرط فيعتبر في مفهوم القضية الشرطية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اختلاف القضيتين في الإيجاب و السلب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القضيتين موضوعاً و محمولاً و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جاء زيد يوم الجمعة راكباً فأكرمه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 مفهومه إن لم يجئ زيد يوم الجمعة راكباً فلا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فتجد انّ القضيتين تشتركان في الموضوع و المحمول و عامة القيود، و تختلفان في السلب و الإيجاب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الضابطة في أخذ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ينبغي إمعان النظر في مفهوم السالبة الكلية،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الماء قدر كرّ لا ينجّسه شيء </w:t>
      </w:r>
      <w:r>
        <w:rPr>
          <w:rFonts w:eastAsia="Amiri" w:cs="Amiri" w:ascii="Amiri" w:hAnsi="Amiri"/>
          <w:color w:val="111111"/>
          <w:sz w:val="28"/>
          <w:szCs w:val="28"/>
          <w:rtl w:val="true"/>
          <w:lang w:bidi="ar-SA"/>
        </w:rPr>
        <w:t>«.</w:t>
      </w:r>
      <w:r>
        <w:rPr>
          <w:rStyle w:val="FootnoteAnchor"/>
          <w:rtl w:val="true"/>
        </w:rPr>
        <w:footnoteReference w:id="232"/>
      </w:r>
    </w:p>
    <w:p>
      <w:pPr>
        <w:pStyle w:val="BookText"/>
        <w:rPr/>
      </w:pPr>
      <w:r>
        <w:rPr>
          <w:rFonts w:ascii="Amiri" w:hAnsi="Amiri" w:eastAsia="Amiri" w:cs="Amiri"/>
          <w:color w:val="111111"/>
          <w:sz w:val="28"/>
          <w:sz w:val="28"/>
          <w:szCs w:val="28"/>
          <w:rtl w:val="true"/>
          <w:lang w:bidi="ar-SA"/>
        </w:rPr>
        <w:t>فهل مفهومه هو الموجبة الجزئية بمعنى إذا لم يبلغ الماء قدر كرّ فينجّسه شيء، أي بعض النجاسات على سبيل الإهمال، فلا يكون المفهوم عندئذ دليلاً على انفعال الماء القليل بكلّ نجس</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جرى الشيخ محمد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الحاشية على </w:t>
      </w:r>
    </w:p>
    <w:p>
      <w:pPr>
        <w:pStyle w:val="BookText"/>
        <w:rPr/>
      </w:pP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Amiri" w:hAnsi="Amiri" w:eastAsia="Amiri" w:cs="Amiri"/>
          <w:color w:val="111111"/>
          <w:sz w:val="28"/>
          <w:sz w:val="28"/>
          <w:szCs w:val="28"/>
          <w:rtl w:val="true"/>
          <w:lang w:bidi="ar-SA"/>
        </w:rPr>
        <w:t>أو أنّ مفهومه هو الموجبة الكلية بمعنى انّه إذا لم يبلغ الماء قدر كرّ ينجسه كلّ شيء، أي عامّة النجاسات، فيكون المفهوم دليلاً على انفعال الماء القليل بكلّ نجس، وعليه الشيخ الأنصاري على ما في تقريراته</w:t>
      </w:r>
      <w:r>
        <w:rPr>
          <w:rFonts w:eastAsia="Amiri" w:cs="Amiri" w:ascii="Amiri" w:hAnsi="Amiri"/>
          <w:color w:val="111111"/>
          <w:sz w:val="28"/>
          <w:szCs w:val="28"/>
          <w:rtl w:val="true"/>
          <w:lang w:bidi="ar-SA"/>
        </w:rPr>
        <w:t>.</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استدلّ صاحب الحاشية بما اشتهر بين المنطقيّين بأنّ نقيض السالبة الكلية هو الموجبة الجزئية، و ليس للمفهوم دور إلاّ أنّه نقيض المنطوق، فإذا كان المنطوق سالباً كلّياً يكون مفهومه، أي نقيضه موجباً جزئياً، و تبعه سيد مشايخنا المحقّق البروجردي على ما في تقريراته</w:t>
      </w:r>
      <w:r>
        <w:rPr>
          <w:rStyle w:val="FootnoteAnchor"/>
          <w:rtl w:val="true"/>
        </w:rPr>
        <w:footnoteReference w:id="235"/>
      </w:r>
      <w:r>
        <w:rPr>
          <w:rFonts w:ascii="Amiri" w:hAnsi="Amiri" w:eastAsia="Amiri" w:cs="Amiri"/>
          <w:color w:val="111111"/>
          <w:sz w:val="28"/>
          <w:sz w:val="28"/>
          <w:szCs w:val="28"/>
          <w:rtl w:val="true"/>
          <w:lang w:bidi="ar-SA"/>
        </w:rPr>
        <w:t>و سيدنا الأُستاذ الخميني</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و 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المنطوق يحتمل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المراد منه هو معناه العام المتوغل في الإبهام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المراد منه هو العناوين التي أُخذت في لسان الأدلّة موضوعة للحكم عليها بالنجاسة،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الدم 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البول نجس</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قلنا بالأوّل يكون مفهومه قضية موجبة جزئية، لوضوح انّ رفع السلب الكلي إنّما هو بالايجاب الجزئي،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هناك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يكفي في رفعه وجود شيء ما في المحل، و أمّا لو قلنا بأنّ لفظة شيء أخذت مرآة إلى العناوين العشرة التي هي موضوعات للحكم عليها بالنجاسة،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ينجسه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بمنزلة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ينجسه الدم و لا البول و لا الكلب و لا الخنزير و لا الميتة و لا</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فعند ذلك يكون مفهومها موجبة كلية، أي إذا لم يبلغ الماء قدر كرّ ينجسه الدم و البول و الكلب و الخنزير و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مبنى القولين و من المعلوم أنّ الحقّ هو الأوّل، فانّ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 متوغّل في الإبهام، فنفيه كما في المنطوق رهن نفي كلّ ما يصدق عليه شيء و إيجابه كما هو الحال في المفهوم بوضع شيء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دعا الشيخ الأعظم إلى اختيار القول الثاني مع أنّه مخالف لما عليه المنطقيّون في باب التناقض و مخالف لما هو المتفاهم العرفي في هذه المواضع هو ما سبق منّا من أنّه يجب الاحتفاظ بعامة القيود الواردة في المنطوق، و بما انّ الكليّة من إحدى القيود في المنطوق فيجب أن يحتفظ بها في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المبنى تكون الكلية قيداً محفوظاً في جانبي المنطوق و المفهوم و يصبح المفهوم موجبة 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ما ذكرنا يشير الشيخ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حفظ القيود بتمامها في المنطوق و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صحّة ما أفاده بعض الأساطين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الماء قدر كرّ لم ينجسه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مفهومه انّه إذا لم يكن قدر كرّ ينجسه كلّ شيء من النجاسات، كما يعلم فساد ما قيل من أنّ لازم القضية المذكورة نجاسة الماء غير الكرّ بشيء من النجاسات، و هو مجمل لا يفيد و لا يلزم منه النجاسة، بكلّ شيء من النجاسات</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رتّب الشيخ على مختاره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دلّ على عدم نجاسة الماء المستعمل في الاستنجاء يعارض عموم المفهوم، مثل ما دلّ على نجاسته إذا كان غالباً</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الاحتفاظ بكلّ القيود الموجودة في 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 بالقيود المذكورة في الكلام، كالقيود المذكورة في المثال السابق يوم الجمعة راكباً، دون القيود المستفادة من سياق الكلام كالاستغراق المستفاد من وقوع النكرة في سياق النفي،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ينجسه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مثله لا يؤخذ القيد في جانب المفهوم،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لا تكرم أحداً، يصير مفهومه إذا لم يجئ زيد فأكرم أحداً، لا أكرم كلّ أحد، و ذلك لأنّ العموم كان مستفاداً من سياق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النكرة في سياق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المفروض انقلابه إلى سياق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يمكن التحفّظ بهذا القيد في جانب المفهوم؟ 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القيود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قيد مذكور في الكلام فلا بدّ من أخذه في جانب المفهوم طابق النعل بالنعل</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قيد مفهوم من سياق الكلام، أي وقوع النكرة في سياق النفي و النهي، فهذا النوع من القيد رهن حفظ السياق و المفروض انّ السياق يتغير في المفهوم، و معه كيف يمكن الاحتفاظ بهذا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إنّما يتم إذا كان القيد، المفهوم منه العموم، مجموعياً كان أو استغراقياً قابلاً للانتقال إلى المفهوم حتّى يكون الاستغراق الموجود في المنطوق مأخوذاً في المفهوم،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زيد أكرم كلّ واحد ممّن معه، فيكون مفهومه استغراقياً أيضاً، و أمّا إذا كان العموم مستفاداً من سياق النفي، فيكون قائماً بالسياق فإذا تبدل سياق النفي إلى الإيجاب ينتفي ما يدلّ على العموم فلا يمكن أخذه في المفهوم حتّى يكون إيجاباً استغراقياً و يكون مفهومه موجبة كلية، بل يتعيّن أن يكون موجبة جزئية</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اقتصر على هذا القدر في دورتنا الرابعة، و قد أفاض الكلام في ذلك في الدورات السابقة، و بما انّ ما أفاده فيها طويل الذيل طوينا الكلام عنه، فمن أراد فليرجع إلى تقريرات زميلنا السيد الجلالي</w:t>
      </w:r>
      <w:r>
        <w:rPr>
          <w:rFonts w:eastAsia="Amiri" w:cs="Amiri" w:ascii="Amiri" w:hAnsi="Amiri"/>
          <w:color w:val="111111"/>
          <w:sz w:val="28"/>
          <w:szCs w:val="28"/>
          <w:rtl w:val="true"/>
          <w:lang w:bidi="ar-SA"/>
        </w:rPr>
        <w:t>.</w:t>
      </w:r>
      <w:r>
        <w:rPr>
          <w:rStyle w:val="FootnoteAnchor"/>
          <w:rtl w:val="true"/>
        </w:rPr>
        <w:footnoteReference w:id="238"/>
      </w:r>
      <w:bookmarkStart w:id="868" w:name="pg14356_187000"/>
    </w:p>
    <w:p>
      <w:pPr>
        <w:pStyle w:val="Heading3"/>
        <w:numPr>
          <w:ilvl w:val="2"/>
          <w:numId w:val="1"/>
        </w:numPr>
        <w:rPr/>
      </w:pPr>
      <w:bookmarkStart w:id="869" w:name="__RefHeading___Toc7305214_3381743652"/>
      <w:bookmarkStart w:id="870" w:name="_Toc328"/>
      <w:bookmarkEnd w:id="868"/>
      <w:bookmarkEnd w:id="869"/>
      <w:r>
        <w:rPr>
          <w:rtl w:val="true"/>
        </w:rPr>
        <w:t>الفصل الثاني مفهوم الوصف</w:t>
      </w:r>
      <w:bookmarkEnd w:id="870"/>
    </w:p>
    <w:p>
      <w:pPr>
        <w:pStyle w:val="Heading4"/>
        <w:numPr>
          <w:ilvl w:val="3"/>
          <w:numId w:val="1"/>
        </w:numPr>
        <w:rPr/>
      </w:pPr>
      <w:bookmarkStart w:id="871" w:name="__RefHeading___Toc7305216_3381743652"/>
      <w:bookmarkStart w:id="872" w:name="_Toc329"/>
      <w:bookmarkEnd w:id="871"/>
      <w:r>
        <w:rPr>
          <w:rtl w:val="true"/>
        </w:rPr>
        <w:t>و قبل الدخول في صلب الموضوع نقدّم أُموراً</w:t>
      </w:r>
      <w:r>
        <w:rPr>
          <w:rtl w:val="true"/>
        </w:rPr>
        <w:t>:</w:t>
      </w:r>
      <w:bookmarkEnd w:id="872"/>
    </w:p>
    <w:p>
      <w:pPr>
        <w:pStyle w:val="Heading5"/>
        <w:numPr>
          <w:ilvl w:val="4"/>
          <w:numId w:val="1"/>
        </w:numPr>
        <w:rPr/>
      </w:pPr>
      <w:bookmarkStart w:id="873" w:name="__RefHeading___Toc7305218_3381743652"/>
      <w:bookmarkStart w:id="874" w:name="_Toc330"/>
      <w:bookmarkEnd w:id="873"/>
      <w:r>
        <w:rPr>
          <w:rtl w:val="true"/>
        </w:rPr>
        <w:t>الأوّل</w:t>
      </w:r>
      <w:r>
        <w:rPr>
          <w:rtl w:val="true"/>
        </w:rPr>
        <w:t xml:space="preserve">: </w:t>
      </w:r>
      <w:r>
        <w:rPr>
          <w:rtl w:val="true"/>
        </w:rPr>
        <w:t>في تعريف مفهوم الوصف</w:t>
      </w:r>
      <w:bookmarkEnd w:id="874"/>
    </w:p>
    <w:p>
      <w:pPr>
        <w:pStyle w:val="BookText"/>
        <w:rPr/>
      </w:pPr>
      <w:r>
        <w:rPr>
          <w:rFonts w:ascii="Amiri" w:hAnsi="Amiri" w:eastAsia="Amiri" w:cs="Amiri"/>
          <w:color w:val="111111"/>
          <w:sz w:val="28"/>
          <w:sz w:val="28"/>
          <w:szCs w:val="28"/>
          <w:rtl w:val="true"/>
          <w:lang w:bidi="ar-SA"/>
        </w:rPr>
        <w:t>قد عُرِّف مفهوم الوصف بتعاريف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الخطاب الدالّ على حكم مرتبط باسم عام مقيّد بصفة خاصة، و هو خيرة الآمدي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الشيخ الأعظم بأنّه لا يشمل الوصف غيرَ المعتمد على موصوفه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فيه إلاّ شيء واحد لا اسم انضم إليه وصفه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تعليق الحكم بالصفة حتّى يدلّ على انتفائه لدى 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الشيخ الأعظم بأنّ التعليق يناسب مفهوم الشرط لا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تأمّل واضح، لأنّ التعليق من العلقة و هي الرابطة، فهي موجودة في القضايا الشرطية و الحملية في كلّ بنحو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إثبات الحكم لذات مأخوذة مع بعض صفاتها يدلّ على انتفاء ذلك</w:t>
      </w:r>
      <w:bookmarkStart w:id="875" w:name="pg14356_187001"/>
    </w:p>
    <w:p>
      <w:pPr>
        <w:pStyle w:val="BookText"/>
        <w:rPr/>
      </w:pPr>
      <w:bookmarkEnd w:id="875"/>
      <w:r>
        <w:rPr>
          <w:rFonts w:ascii="Amiri" w:hAnsi="Amiri" w:eastAsia="Amiri" w:cs="Amiri"/>
          <w:color w:val="111111"/>
          <w:sz w:val="28"/>
          <w:sz w:val="28"/>
          <w:szCs w:val="28"/>
          <w:rtl w:val="true"/>
          <w:lang w:bidi="ar-SA"/>
        </w:rPr>
        <w:t>الحكم عند انتفاء الصفة</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يرد عليه ما أورده الشيخ على تعريف الآمدي من عدم شموله للوصف غير المعتمد على موصوفه،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عالماً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بين القول ببساطة المشتق و تركّبه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الأوّل فلا ذات مأخوذة مع بعض صفاتها، و أمّا على الثاني فالذات غير مذكورة و ظاهر التعريف كونها 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يريد الشيخ من أخذ الذات، الأعم من الأخذ لفظاً أو تقديراً لدى 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فحصيلة التعاريف عبارة عن دلالة الوصف على انتفاء الحكم عن موضوعه عند انتفائه</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7305220_3381743652"/>
      <w:bookmarkStart w:id="877" w:name="_Toc331"/>
      <w:bookmarkEnd w:id="876"/>
      <w:r>
        <w:rPr>
          <w:rtl w:val="true"/>
        </w:rPr>
        <w:t>الثاني</w:t>
      </w:r>
      <w:r>
        <w:rPr>
          <w:rtl w:val="true"/>
        </w:rPr>
        <w:t xml:space="preserve">: </w:t>
      </w:r>
      <w:r>
        <w:rPr>
          <w:rtl w:val="true"/>
        </w:rPr>
        <w:t>تحديد محلّ النزاع</w:t>
      </w:r>
      <w:bookmarkEnd w:id="877"/>
    </w:p>
    <w:p>
      <w:pPr>
        <w:pStyle w:val="BookText"/>
        <w:rPr/>
      </w:pPr>
      <w:r>
        <w:rPr>
          <w:rFonts w:ascii="Amiri" w:hAnsi="Amiri" w:eastAsia="Amiri" w:cs="Amiri"/>
          <w:color w:val="111111"/>
          <w:sz w:val="28"/>
          <w:sz w:val="28"/>
          <w:szCs w:val="28"/>
          <w:rtl w:val="true"/>
          <w:lang w:bidi="ar-SA"/>
        </w:rPr>
        <w:t>خصّ المحقّق النائيني محلّ النزاع بالوصف المعتمد على الموصوف، و استدلّ على ذلك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 غيره داخلاً في محلّ النزاع لدخلت الجوامد فيه أيضاً بداهة انّه لا فرق بين الجامد و غير المعتمد من الوصف، إلاّ في أنّ المبدأ في الجامد جعلي و في غير المعتمد غير جعلي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لا يكون فارقاً بينهما في الدلالة على المفهوم و عدمها</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ذكر الموضوع بصورة الوصف غير المعتمد كالعالم لا يحتاج إلى نكتة غير إثبات الحكم له، لا إثباته له و انتفاؤه عن غيره</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شجرة، 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عالماً، فانّ الأوّل لا ينحل إلى ذات و وصف، بخلاف الثاني فانّه ينحل إلى ذات و علم، فارتفاع الوصف و المبدأ الجعلي في الأوّل مساوق لارتفاع الذات، فانّ رفع الشجرية رفع لتمام الموضوع، و هذا بخلاف الثاني حيث تبقى الذات مع ارتفاع الوصف كالإنسان غير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استدلال الفقهاء بآية النبأ على حجّية خبر الواحد تمسّكاً بمفهوم الوصف غير المعتمد على الموصوف، و بعضهم بفهم أبي عبيدة</w:t>
      </w:r>
      <w:r>
        <w:rPr>
          <w:rStyle w:val="FootnoteAnchor"/>
          <w:rtl w:val="true"/>
        </w:rPr>
        <w:footnoteReference w:id="242"/>
      </w:r>
      <w:r>
        <w:rPr>
          <w:rFonts w:ascii="Amiri" w:hAnsi="Amiri" w:eastAsia="Amiri" w:cs="Amiri"/>
          <w:color w:val="111111"/>
          <w:sz w:val="28"/>
          <w:sz w:val="28"/>
          <w:szCs w:val="28"/>
          <w:rtl w:val="true"/>
          <w:lang w:bidi="ar-SA"/>
        </w:rPr>
        <w:t>من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الواجد بالدين يحل عرضه و عقوبته </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انّ ليّ غير الواجد لا يبيح، و هو أيضاً من قبيل الوصف غير المعتمد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الثاني بأنّ التعبير عن الموضوع بالوصف العنواني مع إمكان التعبير عنه بغيره يشعر بمدخلية الوصف في ثبوت الحكم عند ثبوته و ارتفاعه عند ارتفاعه،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جاءكم إنسان بخبر يفيد، انّ للفسق مدخلية في عدم القبول، و عندئذ يكون الإنسان تمام الموضوع، و الفسق قيداً زائداً أتى به لنكتة</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المفهوم يدور حول وجود قيد زائد في الكلام، و القيد الزائد في المقام هو أخذ الفسق أو العلم في الموضوع مع إمكان أخذ الإنسان موضوعاً، لا الفاسق كما في الآية و لا العالم كما في المثال</w:t>
      </w:r>
      <w:r>
        <w:rPr>
          <w:rFonts w:eastAsia="Amiri" w:cs="Amiri" w:ascii="Amiri" w:hAnsi="Amiri"/>
          <w:color w:val="111111"/>
          <w:sz w:val="28"/>
          <w:szCs w:val="28"/>
          <w:rtl w:val="true"/>
          <w:lang w:bidi="ar-SA"/>
        </w:rPr>
        <w:t xml:space="preserve">. </w:t>
      </w:r>
      <w:bookmarkStart w:id="878" w:name="pg14356_187003"/>
    </w:p>
    <w:p>
      <w:pPr>
        <w:pStyle w:val="Heading5"/>
        <w:numPr>
          <w:ilvl w:val="4"/>
          <w:numId w:val="1"/>
        </w:numPr>
        <w:rPr/>
      </w:pPr>
      <w:bookmarkStart w:id="879" w:name="__RefHeading___Toc7305222_3381743652"/>
      <w:bookmarkStart w:id="880" w:name="_Toc332"/>
      <w:bookmarkEnd w:id="878"/>
      <w:bookmarkEnd w:id="879"/>
      <w:r>
        <w:rPr>
          <w:rtl w:val="true"/>
        </w:rPr>
        <w:t>الثالث</w:t>
      </w:r>
      <w:r>
        <w:rPr>
          <w:rtl w:val="true"/>
        </w:rPr>
        <w:t xml:space="preserve">: </w:t>
      </w:r>
      <w:r>
        <w:rPr>
          <w:rtl w:val="true"/>
        </w:rPr>
        <w:t>أقسام الوصف</w:t>
      </w:r>
      <w:bookmarkEnd w:id="880"/>
    </w:p>
    <w:p>
      <w:pPr>
        <w:pStyle w:val="BookText"/>
        <w:rPr/>
      </w:pPr>
      <w:r>
        <w:rPr>
          <w:rFonts w:ascii="Amiri" w:hAnsi="Amiri" w:eastAsia="Amiri" w:cs="Amiri"/>
          <w:color w:val="111111"/>
          <w:sz w:val="28"/>
          <w:sz w:val="28"/>
          <w:szCs w:val="28"/>
          <w:rtl w:val="true"/>
          <w:lang w:bidi="ar-SA"/>
        </w:rPr>
        <w:t>إنّ النسبة بين الوصف و الموصوف لا تخلو عن وجوه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النسبة بينهما هو التساوي،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المتعجّب أكرمه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الوصف أعمّ مطلقاً من الموضوع، كالإنسان الماشي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الوصف أخصّ مطلقاً من الموضوع،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النسبة بينهما أعمّ من وجه،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الغنم السائمة زكاة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القسمين الأوّلين خارجان عن محط البحث، لأنّ الميزان في حجّية مفهوم الوصف، هو بقاء الموضوع و ارتفاع الوصف، ففيما إذا كانت النسبة بينها هو التساوي أو كان الوصف هو الأعم، ينتفي الموضوع بانتفاء الوصف أمّا لأجل التساوي لأجل كون الوصف أعمّ و انتفاؤه يستلزم انتفاء الأخصّ، فلا يبقى بحث في انتفاء الحكم عن الموضوع عند انتفاء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القسم الثالث داخل في محلّ النزاع قطعاً،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إنساناً كريماً، فعلى القول بالمفهوم يكون مفهومه انّه لا تكرم إنساناً لئيماً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القسم الرابع فله صورتان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الافتراق من جانب الوصف مع بقاء الموضوع،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سائمة الغنم زكاة، فيكون مفهومه في معلوفة الغنم ليست زكاة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الافتراق من جانب الموضوع بأن يرتفع الغنم و يحلّ مكانه الإبل، و عندئذ يقع الكلام في أنّه هل يحتج بمفهوم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الغنم السائمة 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عدم الزكاة في الإبل المعلوفة أو لا؟ </w:t>
      </w:r>
      <w:bookmarkStart w:id="881" w:name="pg14356_187004"/>
    </w:p>
    <w:p>
      <w:pPr>
        <w:pStyle w:val="BookText"/>
        <w:rPr/>
      </w:pPr>
      <w:bookmarkEnd w:id="881"/>
      <w:r>
        <w:rPr>
          <w:rFonts w:ascii="Amiri" w:hAnsi="Amiri" w:eastAsia="Amiri" w:cs="Amiri"/>
          <w:color w:val="111111"/>
          <w:sz w:val="28"/>
          <w:sz w:val="28"/>
          <w:szCs w:val="28"/>
          <w:rtl w:val="true"/>
          <w:lang w:bidi="ar-SA"/>
        </w:rPr>
        <w:t>فقد نسب إلى بعض الشافعية صحّةُ الاحتجاج و هو كما ترى، لأنّه يشترط في صحّة الاحتجاج وحدة الموضوع في جانبي المنطوق و المفهوم، و الاختلاف في وجود الوصف و عدمه، و أمّا إذا كان الموضوع مرتفعاً كالإبل، فسائمتها و معلوفتها خارجتان عن موضوع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الخطاب نقيض المنطوق، فلمّا تناول المنطوق سائمة الغنم كان نقيضه مقتضياً لمعلوفة الغنم دون غيرها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نعم نقل عن بعض الشافعية انّه استدلّ بمفهوم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الغنم السائمة زكاة على عدم الزكاة في معلوفة الإبل، و لعلّ وجهه هو إحراز انّ السوم يجري مجرى العلة المنحصرة فيثبت الحكم بثبوتها و ينتفي بانتفائها، غير أنّ الكلام في فهم العلّية المنحصرة و لعلّها إحدى العلل</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7305224_3381743652"/>
      <w:bookmarkStart w:id="883" w:name="_Toc333"/>
      <w:bookmarkEnd w:id="882"/>
      <w:r>
        <w:rPr>
          <w:rtl w:val="true"/>
        </w:rPr>
        <w:t>الرابع</w:t>
      </w:r>
      <w:r>
        <w:rPr>
          <w:rtl w:val="true"/>
        </w:rPr>
        <w:t xml:space="preserve">: </w:t>
      </w:r>
      <w:r>
        <w:rPr>
          <w:rtl w:val="true"/>
        </w:rPr>
        <w:t>ما هو المراد من الوصف؟</w:t>
      </w:r>
      <w:bookmarkEnd w:id="883"/>
    </w:p>
    <w:p>
      <w:pPr>
        <w:pStyle w:val="BookText"/>
        <w:rPr/>
      </w:pPr>
      <w:r>
        <w:rPr>
          <w:rFonts w:ascii="Amiri" w:hAnsi="Amiri" w:eastAsia="Amiri" w:cs="Amiri"/>
          <w:color w:val="111111"/>
          <w:sz w:val="28"/>
          <w:sz w:val="28"/>
          <w:szCs w:val="28"/>
          <w:rtl w:val="true"/>
          <w:lang w:bidi="ar-SA"/>
        </w:rPr>
        <w:t>المراد بالوصف مطلق القيد الوارد في الكلام الأعم من الوصف الأُصولي أي المشتق أو الوصف النحوي التابع لموصوفه، و لذلك يعمّ القيود الزمانية و المكانية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هذه الأُمور فلندخل في أدلّة القائلين في حجّية مفهوم الوصف</w:t>
      </w:r>
      <w:r>
        <w:rPr>
          <w:rFonts w:eastAsia="Amiri" w:cs="Amiri" w:ascii="Amiri" w:hAnsi="Amiri"/>
          <w:color w:val="111111"/>
          <w:sz w:val="28"/>
          <w:szCs w:val="28"/>
          <w:rtl w:val="true"/>
          <w:lang w:bidi="ar-SA"/>
        </w:rPr>
        <w:t xml:space="preserve">. </w:t>
      </w:r>
      <w:bookmarkStart w:id="884" w:name="pg14356_187005"/>
    </w:p>
    <w:p>
      <w:pPr>
        <w:pStyle w:val="Heading4"/>
        <w:numPr>
          <w:ilvl w:val="3"/>
          <w:numId w:val="1"/>
        </w:numPr>
        <w:rPr/>
      </w:pPr>
      <w:bookmarkStart w:id="885" w:name="__RefHeading___Toc7305226_3381743652"/>
      <w:bookmarkStart w:id="886" w:name="_Toc334"/>
      <w:bookmarkEnd w:id="884"/>
      <w:bookmarkEnd w:id="885"/>
      <w:r>
        <w:rPr>
          <w:rtl w:val="true"/>
        </w:rPr>
        <w:t>أدلّة القائلين بحجّية مفهوم الوصف</w:t>
      </w:r>
      <w:bookmarkEnd w:id="886"/>
    </w:p>
    <w:p>
      <w:pPr>
        <w:pStyle w:val="Heading5"/>
        <w:numPr>
          <w:ilvl w:val="4"/>
          <w:numId w:val="1"/>
        </w:numPr>
        <w:rPr/>
      </w:pPr>
      <w:bookmarkStart w:id="887" w:name="__RefHeading___Toc7305228_3381743652"/>
      <w:bookmarkStart w:id="888" w:name="_Toc335"/>
      <w:bookmarkEnd w:id="887"/>
      <w:r>
        <w:rPr>
          <w:rtl w:val="true"/>
        </w:rPr>
        <w:t>اشارة</w:t>
      </w:r>
      <w:bookmarkEnd w:id="888"/>
    </w:p>
    <w:p>
      <w:pPr>
        <w:pStyle w:val="BookText"/>
        <w:rPr/>
      </w:pPr>
      <w:r>
        <w:rPr>
          <w:rFonts w:ascii="Amiri" w:hAnsi="Amiri" w:eastAsia="Amiri" w:cs="Amiri"/>
          <w:color w:val="111111"/>
          <w:sz w:val="28"/>
          <w:sz w:val="28"/>
          <w:szCs w:val="28"/>
          <w:rtl w:val="true"/>
          <w:lang w:bidi="ar-SA"/>
        </w:rPr>
        <w:t>ذكر المحقّق الخراساني تبعاً للمحقّق القمي و غيره وجوهاً لإثبات حجّية مفهوم الوصف مع نقدها، فنحن نقتفي أثر صاحب الكفاية</w:t>
      </w:r>
      <w:r>
        <w:rPr>
          <w:rFonts w:eastAsia="Amiri" w:cs="Amiri" w:ascii="Amiri" w:hAnsi="Amiri"/>
          <w:color w:val="111111"/>
          <w:sz w:val="28"/>
          <w:szCs w:val="28"/>
          <w:rtl w:val="true"/>
          <w:lang w:bidi="ar-SA"/>
        </w:rPr>
        <w:t>.</w:t>
      </w:r>
    </w:p>
    <w:p>
      <w:pPr>
        <w:pStyle w:val="Heading5"/>
        <w:numPr>
          <w:ilvl w:val="4"/>
          <w:numId w:val="1"/>
        </w:numPr>
        <w:rPr/>
      </w:pPr>
      <w:bookmarkStart w:id="889" w:name="__RefHeading___Toc7305230_3381743652"/>
      <w:bookmarkStart w:id="890" w:name="_Toc336"/>
      <w:bookmarkEnd w:id="889"/>
      <w:r>
        <w:rPr/>
        <w:t>1</w:t>
      </w:r>
      <w:r>
        <w:rPr>
          <w:rtl w:val="true"/>
        </w:rPr>
        <w:t xml:space="preserve">. </w:t>
      </w:r>
      <w:r>
        <w:rPr>
          <w:rtl w:val="true"/>
        </w:rPr>
        <w:t>التبادر</w:t>
      </w:r>
      <w:bookmarkEnd w:id="890"/>
    </w:p>
    <w:p>
      <w:pPr>
        <w:pStyle w:val="BookText"/>
        <w:rPr/>
      </w:pPr>
      <w:r>
        <w:rPr>
          <w:rFonts w:ascii="Amiri" w:hAnsi="Amiri" w:eastAsia="Amiri" w:cs="Amiri"/>
          <w:color w:val="111111"/>
          <w:sz w:val="28"/>
          <w:sz w:val="28"/>
          <w:szCs w:val="28"/>
          <w:rtl w:val="true"/>
          <w:lang w:bidi="ar-SA"/>
        </w:rPr>
        <w:t>يتبادر من الهيئة الوصفية، الانتفاءُ عند الانتفاء و هو آية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يتبادر رفع الحكم الشخصي عند رفع الوصف، و أمّا انتفاء أصل الحكم و سنخه بأن لا يخلفه شيء آخر فهو ممنوع، و سيوافيك بأنّ القول بالمدخلية لا يلازم كونه دخيلاً منحصراً</w:t>
      </w:r>
      <w:r>
        <w:rPr>
          <w:rFonts w:eastAsia="Amiri" w:cs="Amiri" w:ascii="Amiri" w:hAnsi="Amiri"/>
          <w:color w:val="111111"/>
          <w:sz w:val="28"/>
          <w:szCs w:val="28"/>
          <w:rtl w:val="true"/>
          <w:lang w:bidi="ar-SA"/>
        </w:rPr>
        <w:t>.</w:t>
      </w:r>
    </w:p>
    <w:p>
      <w:pPr>
        <w:pStyle w:val="Heading5"/>
        <w:numPr>
          <w:ilvl w:val="4"/>
          <w:numId w:val="1"/>
        </w:numPr>
        <w:rPr/>
      </w:pPr>
      <w:bookmarkStart w:id="891" w:name="__RefHeading___Toc7305232_3381743652"/>
      <w:bookmarkStart w:id="892" w:name="_Toc337"/>
      <w:bookmarkEnd w:id="891"/>
      <w:r>
        <w:rPr/>
        <w:t>2</w:t>
      </w:r>
      <w:r>
        <w:rPr>
          <w:rtl w:val="true"/>
        </w:rPr>
        <w:t xml:space="preserve">. </w:t>
      </w:r>
      <w:r>
        <w:rPr>
          <w:rtl w:val="true"/>
        </w:rPr>
        <w:t>لزوم اللغوية</w:t>
      </w:r>
      <w:bookmarkEnd w:id="892"/>
    </w:p>
    <w:p>
      <w:pPr>
        <w:pStyle w:val="BookText"/>
        <w:rPr/>
      </w:pPr>
      <w:r>
        <w:rPr>
          <w:rFonts w:ascii="Amiri" w:hAnsi="Amiri" w:eastAsia="Amiri" w:cs="Amiri"/>
          <w:color w:val="111111"/>
          <w:sz w:val="28"/>
          <w:sz w:val="28"/>
          <w:szCs w:val="28"/>
          <w:rtl w:val="true"/>
          <w:lang w:bidi="ar-SA"/>
        </w:rPr>
        <w:t>لو لم يكن للوصف مفهوم يلزم اللغو في كلام الحكيم فلو لم يفد انتفاء الحكم عند انتفائه لعرى الوصف عندئذ عن الفائدة و لعدّه العقلاء مستهجناً،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الأبيض لا يعلم الغيب مع أنّ مطلق الإنسان لا يعلمه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يلزم لو لم يكن له دخل في الحكم أبداً، و أمّا إذا كان له دخل و لو بنحو العلّة التامّة و إن كان يخلفه وصف آخر أحياناً فلا تلزم اللغوية و تخصيص ذاك الوصف بالذكر دون غيره لكونه مورد السؤال أو الابتلاء للمخاطب أو التأكيد،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و ظلم الطفل اليتيم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 أنّ الظلم قبيح </w:t>
      </w:r>
      <w:bookmarkStart w:id="893" w:name="pg14356_187006"/>
    </w:p>
    <w:p>
      <w:pPr>
        <w:pStyle w:val="BookText"/>
        <w:rPr/>
      </w:pPr>
      <w:bookmarkEnd w:id="893"/>
      <w:r>
        <w:rPr>
          <w:rFonts w:ascii="Amiri" w:hAnsi="Amiri" w:eastAsia="Amiri" w:cs="Amiri"/>
          <w:color w:val="111111"/>
          <w:sz w:val="28"/>
          <w:sz w:val="28"/>
          <w:szCs w:val="28"/>
          <w:rtl w:val="true"/>
          <w:lang w:bidi="ar-SA"/>
        </w:rPr>
        <w:t>على اليتيم و غيره، لكن لمّا كان المخاطب مبتلى به خاطبه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ظلم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الوجه هو دفع توهم عدم الحرمة في مورد الوصف،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تَقْتُلُوا أَوْلادَكُمْ مِنْ إِمْلاقٍ </w:t>
      </w:r>
      <w:r>
        <w:rPr>
          <w:rFonts w:eastAsia="Amiri" w:cs="Amiri" w:ascii="Amiri" w:hAnsi="Amiri"/>
          <w:color w:val="111111"/>
          <w:sz w:val="28"/>
          <w:szCs w:val="28"/>
          <w:rtl w:val="true"/>
          <w:lang w:bidi="ar-SA"/>
        </w:rPr>
        <w:t xml:space="preserve">) </w:t>
      </w:r>
      <w:r>
        <w:rPr>
          <w:rStyle w:val="FootnoteAnchor"/>
          <w:rtl w:val="true"/>
        </w:rPr>
        <w:footnoteReference w:id="245"/>
      </w:r>
      <w:r>
        <w:rPr>
          <w:rFonts w:ascii="Amiri" w:hAnsi="Amiri" w:eastAsia="Amiri" w:cs="Amiri"/>
          <w:color w:val="111111"/>
          <w:sz w:val="28"/>
          <w:sz w:val="28"/>
          <w:szCs w:val="28"/>
          <w:rtl w:val="true"/>
          <w:lang w:bidi="ar-SA"/>
        </w:rPr>
        <w:t>مع أنّ قتل الأولاد حرام، سواء أ كان لغاية الإطلاق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مثّل به المستدلّ فوجه الاستهجان فيه، عدم مدخلية البياض في الحكم، لا بنحو العلّة الناقصة، و لا التامّة و لا المنحصرة، بخلاف سائر الأمثلة</w:t>
      </w:r>
      <w:r>
        <w:rPr>
          <w:rFonts w:eastAsia="Amiri" w:cs="Amiri" w:ascii="Amiri" w:hAnsi="Amiri"/>
          <w:color w:val="111111"/>
          <w:sz w:val="28"/>
          <w:szCs w:val="28"/>
          <w:rtl w:val="true"/>
          <w:lang w:bidi="ar-SA"/>
        </w:rPr>
        <w:t>.</w:t>
      </w:r>
    </w:p>
    <w:p>
      <w:pPr>
        <w:pStyle w:val="Heading5"/>
        <w:numPr>
          <w:ilvl w:val="4"/>
          <w:numId w:val="1"/>
        </w:numPr>
        <w:rPr/>
      </w:pPr>
      <w:bookmarkStart w:id="894" w:name="__RefHeading___Toc7305234_3381743652"/>
      <w:bookmarkStart w:id="895" w:name="_Toc338"/>
      <w:bookmarkEnd w:id="894"/>
      <w:r>
        <w:rPr/>
        <w:t>3</w:t>
      </w:r>
      <w:r>
        <w:rPr>
          <w:rtl w:val="true"/>
        </w:rPr>
        <w:t xml:space="preserve">. </w:t>
      </w:r>
      <w:r>
        <w:rPr>
          <w:rtl w:val="true"/>
        </w:rPr>
        <w:t>الأصل في القيد أن يكون احترازياً</w:t>
      </w:r>
      <w:bookmarkEnd w:id="895"/>
    </w:p>
    <w:p>
      <w:pPr>
        <w:pStyle w:val="BookText"/>
        <w:rPr/>
      </w:pPr>
      <w:r>
        <w:rPr>
          <w:rFonts w:ascii="Amiri" w:hAnsi="Amiri" w:eastAsia="Amiri" w:cs="Amiri"/>
          <w:color w:val="111111"/>
          <w:sz w:val="28"/>
          <w:sz w:val="28"/>
          <w:szCs w:val="28"/>
          <w:rtl w:val="true"/>
          <w:lang w:bidi="ar-SA"/>
        </w:rPr>
        <w:t>احتجّ القائل بالمفهوم بما اشتهر في الألسن من أنّ الأصل في القيد أن يكون احترازياً، و لعلّ هذا الدليل من أتقن أدلّة القائل بالمفهوم، غير أنّه خلط بين القيد الاحترازي و القيد المفهومي، و القيد الاحترازي عبارة عن مدخلية القيد في الحكم في مقابل القيد الغالبي، و أمّا كونه دخيلاً على وجه الانحصار و لا يقوم مقامه شيء فهو ممّا لا يفهم من كون القيد احترازياً، و لأجل إيضاح حال القيود في الكلام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القيود الواردة في الكلام على أقسام 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القيد الزائد،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الضاحك ناطق، فانّ الإنسان ناطق، سواء كان ضاحكاً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 المثال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الأبيض لا يعلم 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القيد التوضيحي و هو القيد الذي يدلّ عليه الكلام و إن لم يذكر،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تُكْرِهُوا فَتَياتِكُمْ عَلَى الْبِغاءِ إِنْ أَرَدْنَ تَحَصُّناً </w:t>
      </w:r>
      <w:r>
        <w:rPr>
          <w:rFonts w:eastAsia="Amiri" w:cs="Amiri" w:ascii="Amiri" w:hAnsi="Amiri"/>
          <w:color w:val="111111"/>
          <w:sz w:val="28"/>
          <w:szCs w:val="28"/>
          <w:rtl w:val="true"/>
          <w:lang w:bidi="ar-SA"/>
        </w:rPr>
        <w:t>)</w:t>
      </w:r>
      <w:r>
        <w:rPr>
          <w:rStyle w:val="FootnoteAnchor"/>
          <w:rtl w:val="true"/>
        </w:rPr>
        <w:footnoteReference w:id="246"/>
      </w:r>
      <w:r>
        <w:rPr>
          <w:rFonts w:ascii="Amiri" w:hAnsi="Amiri" w:eastAsia="Amiri" w:cs="Amiri"/>
          <w:color w:val="111111"/>
          <w:sz w:val="28"/>
          <w:sz w:val="28"/>
          <w:szCs w:val="28"/>
          <w:rtl w:val="true"/>
          <w:lang w:bidi="ar-SA"/>
        </w:rPr>
        <w:t>،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أَرَدْنَ تَحَصُّناً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توضيحي، إذ لا يصدق الإكراه إلاّ معه و يغني عن ذكره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 xml:space="preserve">تُكْرِهُوا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جيء به لنكتة خاصة، كما هو الحال في كلّ قيد توضيحي في كلام البلغاء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القيد الغالبي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القيد الوارد مورد الغالب، و مع ذلك لا مدخلية له في الحكم، كقوله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رَبائِبُكُمُ اللاّتِي فِي حُجُورِكُمْ مِنْ نِسائِكُمُ اللاّتِي دَخَلْتُمْ بِهِنَّ </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فكونهن في حجور الأزواج قيد غالبي، لأنّ المرأة التي توفّي عنها زوجها إذا تزوجت مرّة أُخرى تأتي مع أطفالها إلى بيت زوجها الثاني، فلذلك تكون الربائب غالباً في حجر الزوج الثاني، و لكن الربيبة محرمة سواء أ كانت في حجره أم 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القيد المحقّق للموضوع،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القيد الاحترازي، و هو القيد الذي له مدخلية في الحكم و لا يحكم على الموضوع بحكم إلاّ معه كالدخول في الآية المتقدّمة فانّ الدخول بالأُمّ شرط لحرمة الربيبة فلو لم يدخل بها و طلقها يتوقّف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يحكم عليه لا بجواز التزويج و لا بعدمه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القيد المفهومي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القيد ذات المفهوم، و هو ما يدلّ على ثبوت الحكم عند وجوده و عدمه عند انتفائه، و هذا النوع من القيد يُثبت أكثر ممّا يثبته القيد الاحترازي، فانّ الثاني يثبت الحكم في مورد القيد و يسكت عن وجوده و عدمه في غير مورده، و لكن القيد المفهومي يثبت الحكم في مورده و ينفيه عن غيره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وقفت على أقسام القيد و آثاره المختلفة، فاعلم أنّ أقصى ما يدلّ عليه القيد هو كونه قيداً احترازياً بالمعنى الذي مرّ عليك، و أمّا الزائد عليه أي الانتفاء لدى الانتفاء فلا دليل عليه، و إلى ما ذكرنا أخيراً يشير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896" w:name="pg14356_187008"/>
    </w:p>
    <w:p>
      <w:pPr>
        <w:pStyle w:val="BookText"/>
        <w:rPr/>
      </w:pPr>
      <w:bookmarkEnd w:id="896"/>
      <w:r>
        <w:rPr>
          <w:rFonts w:ascii="Amiri" w:hAnsi="Amiri" w:eastAsia="Amiri" w:cs="Amiri"/>
          <w:color w:val="111111"/>
          <w:sz w:val="28"/>
          <w:sz w:val="28"/>
          <w:szCs w:val="28"/>
          <w:rtl w:val="true"/>
          <w:lang w:bidi="ar-SA"/>
        </w:rPr>
        <w:t>الاحترازية لا توجب إلاّ تضييق دائرة الحكم في القضية مثل ما إذا كان بهذا الضيق بلفظ واحد فلا فرق بين أن يقال جئني بإنسان أو بحيوان ناطق</w:t>
      </w:r>
      <w:r>
        <w:rPr>
          <w:rFonts w:eastAsia="Amiri" w:cs="Amiri" w:ascii="Amiri" w:hAnsi="Amiri"/>
          <w:color w:val="111111"/>
          <w:sz w:val="28"/>
          <w:szCs w:val="28"/>
          <w:rtl w:val="true"/>
          <w:lang w:bidi="ar-SA"/>
        </w:rPr>
        <w:t>.</w:t>
      </w:r>
    </w:p>
    <w:p>
      <w:pPr>
        <w:pStyle w:val="Heading5"/>
        <w:numPr>
          <w:ilvl w:val="4"/>
          <w:numId w:val="1"/>
        </w:numPr>
        <w:rPr/>
      </w:pPr>
      <w:bookmarkStart w:id="897" w:name="__RefHeading___Toc7305236_3381743652"/>
      <w:bookmarkStart w:id="898" w:name="_Toc339"/>
      <w:bookmarkEnd w:id="897"/>
      <w:r>
        <w:rPr/>
        <w:t>4</w:t>
      </w:r>
      <w:r>
        <w:rPr>
          <w:rtl w:val="true"/>
        </w:rPr>
        <w:t xml:space="preserve">. </w:t>
      </w:r>
      <w:r>
        <w:rPr>
          <w:rtl w:val="true"/>
        </w:rPr>
        <w:t>فهم أبي عبيدة و هو من أهل اللسان</w:t>
      </w:r>
      <w:bookmarkEnd w:id="898"/>
    </w:p>
    <w:p>
      <w:pPr>
        <w:pStyle w:val="BookText"/>
        <w:rPr/>
      </w:pPr>
      <w:r>
        <w:rPr>
          <w:rFonts w:ascii="Amiri" w:hAnsi="Amiri" w:eastAsia="Amiri" w:cs="Amiri"/>
          <w:color w:val="111111"/>
          <w:sz w:val="28"/>
          <w:sz w:val="28"/>
          <w:szCs w:val="28"/>
          <w:rtl w:val="true"/>
          <w:lang w:bidi="ar-SA"/>
        </w:rPr>
        <w:t>إنّ أبا عبيدة البصري فهم من قول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الواجد يحل عقوبته و عرضه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 ليّ غير الواجد لا يحل عرضه، و فهم أهل اللسان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بالمفهوم في الحديث لا يخلو من إشكال، لأنّ الليّ فرع الوجدان، فإذا لم يكن واجداً فلا يطلق عليه الليّ،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 و مثله التعبير عن اللي بالمطل، 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 و الليّ و التسويف، التعلّل في أداء الحقّ و تأخيره من وقت إلى وقت، و على هذا فليس للحديث مفهوم حتّى يبحث عن حجّيته و عدمه</w:t>
      </w:r>
      <w:r>
        <w:rPr>
          <w:rFonts w:eastAsia="Amiri" w:cs="Amiri" w:ascii="Amiri" w:hAnsi="Amiri"/>
          <w:color w:val="111111"/>
          <w:sz w:val="28"/>
          <w:szCs w:val="28"/>
          <w:rtl w:val="true"/>
          <w:lang w:bidi="ar-SA"/>
        </w:rPr>
        <w:t>.</w:t>
      </w:r>
    </w:p>
    <w:p>
      <w:pPr>
        <w:pStyle w:val="Heading5"/>
        <w:numPr>
          <w:ilvl w:val="4"/>
          <w:numId w:val="1"/>
        </w:numPr>
        <w:rPr/>
      </w:pPr>
      <w:bookmarkStart w:id="899" w:name="__RefHeading___Toc7305238_3381743652"/>
      <w:bookmarkStart w:id="900" w:name="_Toc340"/>
      <w:bookmarkEnd w:id="899"/>
      <w:r>
        <w:rPr/>
        <w:t>5</w:t>
      </w:r>
      <w:r>
        <w:rPr>
          <w:rtl w:val="true"/>
        </w:rPr>
        <w:t xml:space="preserve">. </w:t>
      </w:r>
      <w:r>
        <w:rPr>
          <w:rtl w:val="true"/>
        </w:rPr>
        <w:t>لو لم يكن للوصف مفهوم لما صحّ حمل المطلق على المقيّد</w:t>
      </w:r>
      <w:bookmarkEnd w:id="900"/>
    </w:p>
    <w:p>
      <w:pPr>
        <w:pStyle w:val="BookText"/>
        <w:rPr/>
      </w:pPr>
      <w:r>
        <w:rPr>
          <w:rFonts w:ascii="Amiri" w:hAnsi="Amiri" w:eastAsia="Amiri" w:cs="Amiri"/>
          <w:color w:val="111111"/>
          <w:sz w:val="28"/>
          <w:sz w:val="28"/>
          <w:szCs w:val="28"/>
          <w:rtl w:val="true"/>
          <w:lang w:bidi="ar-SA"/>
        </w:rPr>
        <w:t>لو لم يكن للوصف مفهوم لما صحّ حمل المطلق على المقيّد، إذ لا تنافي بينهما إلاّ من جهة دلالة القيد على سلب الحكم عن غيره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ما فسرنا به كون القيد احترازياً، فانّ معنى حمل المطلق على المقيد في المورد الذي يجب الحمل، هو تخصيص الحكم بالموضوع المقيّد، و قصره عليه، فكأنّ الحكم ورد على المقيد من أوّل الأمر، و أمّا دلالته على ارتفاع الحكم عن مورد انتفاء القيد، فلا و هذا بخلاف القول بالمفهوم فانّ معناه دلالة الوصف على انتفاء سنخ الحكم عن غير مورد الوصف، و شتّان بين قصر الحكم على موضوع مقيد و السكوت عن انتفائه عن غير مورده، و بين دلالة الشيء على </w:t>
      </w:r>
      <w:bookmarkStart w:id="901" w:name="pg14356_187009"/>
    </w:p>
    <w:p>
      <w:pPr>
        <w:pStyle w:val="BookText"/>
        <w:rPr/>
      </w:pPr>
      <w:bookmarkEnd w:id="901"/>
      <w:r>
        <w:rPr>
          <w:rFonts w:ascii="Amiri" w:hAnsi="Amiri" w:eastAsia="Amiri" w:cs="Amiri"/>
          <w:color w:val="111111"/>
          <w:sz w:val="28"/>
          <w:sz w:val="28"/>
          <w:szCs w:val="28"/>
          <w:rtl w:val="true"/>
          <w:lang w:bidi="ar-SA"/>
        </w:rPr>
        <w:t>قصر الحكم على المقيد و دلالته على انتفائه عن غير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حال التخصيص فانّه كالتقييد في لزوم حمل العام على الخاص، و دخالته في الحكم دون أن يدخل على أنّه يخلفه غيره</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7305240_3381743652"/>
      <w:bookmarkStart w:id="903" w:name="_Toc341"/>
      <w:bookmarkEnd w:id="902"/>
      <w:r>
        <w:rPr/>
        <w:t>6</w:t>
      </w:r>
      <w:r>
        <w:rPr>
          <w:rtl w:val="true"/>
        </w:rPr>
        <w:t xml:space="preserve">. </w:t>
      </w:r>
      <w:r>
        <w:rPr>
          <w:rtl w:val="true"/>
        </w:rPr>
        <w:t>ظهور الجملة في مدخلية الوصف بما هو هو لا بجامعه</w:t>
      </w:r>
      <w:bookmarkEnd w:id="903"/>
    </w:p>
    <w:p>
      <w:pPr>
        <w:pStyle w:val="BookText"/>
        <w:rPr/>
      </w:pPr>
      <w:r>
        <w:rPr>
          <w:rFonts w:ascii="Amiri" w:hAnsi="Amiri" w:eastAsia="Amiri" w:cs="Amiri"/>
          <w:color w:val="111111"/>
          <w:sz w:val="28"/>
          <w:sz w:val="28"/>
          <w:szCs w:val="28"/>
          <w:rtl w:val="true"/>
          <w:lang w:bidi="ar-SA"/>
        </w:rPr>
        <w:t>قد استند المحقّق الأصفهاني إلى الدليل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انّ ظاهر القضية الوصفية يقتضي كون الحكم مستنداً إلى نفس العنوان الوصفي دون غيره،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فلو فرض كونه علّة منحصرة، لزم الأخذ بالظهور، و إلاّ لزم استناد الحكم إلى الجامع بين ذلك الوصف و الوصف الآخر، و هو خلاف الظاهر</w:t>
      </w:r>
      <w:r>
        <w:rPr>
          <w:rFonts w:eastAsia="Amiri" w:cs="Amiri" w:ascii="Amiri" w:hAnsi="Amiri"/>
          <w:color w:val="111111"/>
          <w:sz w:val="28"/>
          <w:szCs w:val="28"/>
          <w:rtl w:val="true"/>
          <w:lang w:bidi="ar-SA"/>
        </w:rPr>
        <w:t>.</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لزوم كون الحكم مستنداً إلى الجامع عند تعدد العلّة 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يصدر الواحد إلاّ عن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في غير محلّه، لأنّ موردها هو المعلول التكويني لا المعلول الاعتباري،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بل لا مطلق التكوين، بل المعلول البحت البسيط الذي ليست فيه كثرة أبداً، و أين ذلك ممّا نحن فيه؟ و على هذا فظهور القضية محفوظ و إن كانت العلّة غير منحصرة، فالوجوب معلول لكلّ سبب بشخصه بلا حاجة إلى إرجاع السببين إلى الجامع، لأنّ الأُمور الاعتبارية لا تخضع للقانون الفلسفي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يصدر الواحد عن الكثير بل هنا يصدر الواحد عن الكثير</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المقام في الاستظهارات العرفية و هو غير مبنيّ على هذه التدقيقات الصناعية التي لا يلتفت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نظيره في مبحث المفهوم</w:t>
      </w:r>
      <w:r>
        <w:rPr>
          <w:rFonts w:eastAsia="Amiri" w:cs="Amiri" w:ascii="Amiri" w:hAnsi="Amiri"/>
          <w:color w:val="111111"/>
          <w:sz w:val="28"/>
          <w:szCs w:val="28"/>
          <w:rtl w:val="true"/>
          <w:lang w:bidi="ar-SA"/>
        </w:rPr>
        <w:t xml:space="preserve">. </w:t>
      </w:r>
      <w:bookmarkStart w:id="904" w:name="pg14356_187010"/>
    </w:p>
    <w:p>
      <w:pPr>
        <w:pStyle w:val="Heading4"/>
        <w:numPr>
          <w:ilvl w:val="3"/>
          <w:numId w:val="1"/>
        </w:numPr>
        <w:rPr/>
      </w:pPr>
      <w:bookmarkStart w:id="905" w:name="__RefHeading___Toc7305242_3381743652"/>
      <w:bookmarkStart w:id="906" w:name="_Toc342"/>
      <w:bookmarkEnd w:id="904"/>
      <w:bookmarkEnd w:id="905"/>
      <w:r>
        <w:rPr>
          <w:rtl w:val="true"/>
        </w:rPr>
        <w:t>تفصيل المحقّق النائيني</w:t>
      </w:r>
      <w:bookmarkEnd w:id="906"/>
    </w:p>
    <w:p>
      <w:pPr>
        <w:pStyle w:val="BookText"/>
        <w:rPr/>
      </w:pPr>
      <w:r>
        <w:rPr>
          <w:rFonts w:ascii="Amiri" w:hAnsi="Amiri" w:eastAsia="Amiri" w:cs="Amiri"/>
          <w:color w:val="111111"/>
          <w:sz w:val="28"/>
          <w:sz w:val="28"/>
          <w:szCs w:val="28"/>
          <w:rtl w:val="true"/>
          <w:lang w:bidi="ar-SA"/>
        </w:rPr>
        <w:t>ثمّ إنّ المحقّق النائيني فصّل بين رجوع القيد إلى الحكم و رجوعه إلى متعلّقه و موضوعه، فاختار الدلالة على المفهوم في الصورة الأُولى دون الصورة الثانية،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التقييد إذا رجع إلى نفس الحكم كان لازم ذلك هو ارتفاعه بارتفاعه، إذ لو كان الحكم ثابتاً عند عدم القيد أيضاً لما كان الحكم مقيّداً به بالضرورة، ففرض تقييد الحكم بشيء يستلزم فرض انتفائه بانتفائه، و أمّا إذا كان القيد راجعاً إلى الموضوع فغاية ما يترتّب على التقييد هو ثبوت الحكم على المقيّد، و من الضروري انّ ثبوت شيء بشيء لا يستلزم نفيه عن غيره، و إلاّ لكان كلّ قضية مشتملة على ثبوت حكم على شيء دالاً على المفهوم، و ذلك واضح البطلان</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و سوف يوافيك نفس هذا التفصيل من المحقّق الخراساني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الغاية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ما عرفت من أدلّة القائل بالمفهوم و نقدها، بقي هنا دراسة أدلّة النافي</w:t>
      </w:r>
      <w:r>
        <w:rPr>
          <w:rFonts w:eastAsia="Amiri" w:cs="Amiri" w:ascii="Amiri" w:hAnsi="Amiri"/>
          <w:color w:val="111111"/>
          <w:sz w:val="28"/>
          <w:szCs w:val="28"/>
          <w:rtl w:val="true"/>
          <w:lang w:bidi="ar-SA"/>
        </w:rPr>
        <w:t>.</w:t>
      </w:r>
    </w:p>
    <w:p>
      <w:pPr>
        <w:pStyle w:val="Heading4"/>
        <w:numPr>
          <w:ilvl w:val="3"/>
          <w:numId w:val="1"/>
        </w:numPr>
        <w:rPr/>
      </w:pPr>
      <w:bookmarkStart w:id="907" w:name="__RefHeading___Toc7305244_3381743652"/>
      <w:bookmarkStart w:id="908" w:name="_Toc343"/>
      <w:bookmarkEnd w:id="907"/>
      <w:r>
        <w:rPr>
          <w:rtl w:val="true"/>
        </w:rPr>
        <w:t>دراسة أدلّة النافي للمفهوم</w:t>
      </w:r>
      <w:bookmarkEnd w:id="908"/>
    </w:p>
    <w:p>
      <w:pPr>
        <w:pStyle w:val="Heading5"/>
        <w:numPr>
          <w:ilvl w:val="4"/>
          <w:numId w:val="1"/>
        </w:numPr>
        <w:rPr/>
      </w:pPr>
      <w:bookmarkStart w:id="909" w:name="__RefHeading___Toc7305246_3381743652"/>
      <w:bookmarkStart w:id="910" w:name="_Toc344"/>
      <w:bookmarkEnd w:id="909"/>
      <w:r>
        <w:rPr>
          <w:rtl w:val="true"/>
        </w:rPr>
        <w:t>اشارة</w:t>
      </w:r>
      <w:bookmarkEnd w:id="910"/>
    </w:p>
    <w:p>
      <w:pPr>
        <w:pStyle w:val="BookText"/>
        <w:rPr/>
      </w:pPr>
      <w:r>
        <w:rPr>
          <w:rFonts w:ascii="Amiri" w:hAnsi="Amiri" w:eastAsia="Amiri" w:cs="Amiri"/>
          <w:color w:val="111111"/>
          <w:sz w:val="28"/>
          <w:sz w:val="28"/>
          <w:szCs w:val="28"/>
          <w:rtl w:val="true"/>
          <w:lang w:bidi="ar-SA"/>
        </w:rPr>
        <w:t>استدلّ نفاة المفهوم للجملة الوصفية بوجهين</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7305248_3381743652"/>
      <w:bookmarkStart w:id="912" w:name="_Toc345"/>
      <w:bookmarkEnd w:id="911"/>
      <w:r>
        <w:rPr>
          <w:rtl w:val="true"/>
        </w:rPr>
        <w:t>الأوّل</w:t>
      </w:r>
      <w:r>
        <w:rPr>
          <w:rtl w:val="true"/>
        </w:rPr>
        <w:t xml:space="preserve">: </w:t>
      </w:r>
      <w:r>
        <w:rPr>
          <w:rtl w:val="true"/>
        </w:rPr>
        <w:t>ما نقله المحقّق القمي من قولهم</w:t>
      </w:r>
      <w:r>
        <w:rPr>
          <w:rtl w:val="true"/>
        </w:rPr>
        <w:t xml:space="preserve">: </w:t>
      </w:r>
      <w:r>
        <w:rPr>
          <w:rtl w:val="true"/>
        </w:rPr>
        <w:t>إنّه لو دل لدلّ بإحدى الدلالات الثلاث و كلّها منتفية</w:t>
      </w:r>
      <w:r>
        <w:rPr>
          <w:rtl w:val="true"/>
        </w:rPr>
        <w:t>.</w:t>
      </w:r>
      <w:bookmarkEnd w:id="912"/>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عدم الدلالة بالمطابقة أو التضمّن فظاهر و إلاّ لكان منطوقاً، و أمّا </w:t>
      </w:r>
      <w:bookmarkStart w:id="913" w:name="pg14356_187011"/>
    </w:p>
    <w:p>
      <w:pPr>
        <w:pStyle w:val="BookText"/>
        <w:rPr/>
      </w:pPr>
      <w:bookmarkEnd w:id="913"/>
      <w:r>
        <w:rPr>
          <w:rFonts w:ascii="Amiri" w:hAnsi="Amiri" w:eastAsia="Amiri" w:cs="Amiri"/>
          <w:color w:val="111111"/>
          <w:sz w:val="28"/>
          <w:sz w:val="28"/>
          <w:szCs w:val="28"/>
          <w:rtl w:val="true"/>
          <w:lang w:bidi="ar-SA"/>
        </w:rPr>
        <w:t>الالتزام فلعدم اللزوم الذهني لا عقلاً و لا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توقّف المحقّق القمي في المسألة و استظهر انّه لا يخلو من إشعار و ذلك لأنّ التعليق بالوصف مشعر بالعلّيّة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يخلو عن إشكال، لأنّ المتبادر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مشعر بالعلّية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المدخلية، و أمّا الانحصار فلا، و قد أوضحه السيّد المرتضى في ذريعته بأنّ نيابة علّة مكان علّة أُخرى شائع في الشريعة الإسلامية حيث إنّ الشاهد الواحد و المرأتين يقومان مقام الشاهدين، كما أنّ الشاهد الواحد مع اليمين يقوم مقام الشاهدين و أمثاله يصدنا عن القول بالملازمة الذهنية</w:t>
      </w:r>
      <w:r>
        <w:rPr>
          <w:rFonts w:eastAsia="Amiri" w:cs="Amiri" w:ascii="Amiri" w:hAnsi="Amiri"/>
          <w:color w:val="111111"/>
          <w:sz w:val="28"/>
          <w:szCs w:val="28"/>
          <w:rtl w:val="true"/>
          <w:lang w:bidi="ar-SA"/>
        </w:rPr>
        <w:t>.</w:t>
      </w:r>
    </w:p>
    <w:p>
      <w:pPr>
        <w:pStyle w:val="Heading5"/>
        <w:numPr>
          <w:ilvl w:val="4"/>
          <w:numId w:val="1"/>
        </w:numPr>
        <w:rPr/>
      </w:pPr>
      <w:bookmarkStart w:id="914" w:name="__RefHeading___Toc7305250_3381743652"/>
      <w:bookmarkStart w:id="915" w:name="_Toc346"/>
      <w:bookmarkEnd w:id="914"/>
      <w:r>
        <w:rPr>
          <w:rtl w:val="true"/>
        </w:rPr>
        <w:t>الثاني</w:t>
      </w:r>
      <w:r>
        <w:rPr>
          <w:rtl w:val="true"/>
        </w:rPr>
        <w:t xml:space="preserve">: </w:t>
      </w:r>
      <w:r>
        <w:rPr>
          <w:rtl w:val="true"/>
        </w:rPr>
        <w:t>الاستدلال بقوله سبحانه</w:t>
      </w:r>
      <w:r>
        <w:rPr>
          <w:rtl w:val="true"/>
        </w:rPr>
        <w:t>: (</w:t>
      </w:r>
      <w:r>
        <w:rPr>
          <w:rtl w:val="true"/>
        </w:rPr>
        <w:t xml:space="preserve">وَ رَبائِبُكُمُ اللاّتِي فِي حُجُورِكُمْ مِنْ نِسائِكُمُ اللاّتِي دَخَلْتُمْ بِهِنَّ </w:t>
      </w:r>
      <w:r>
        <w:rPr>
          <w:rtl w:val="true"/>
        </w:rPr>
        <w:t>)</w:t>
      </w:r>
      <w:bookmarkEnd w:id="915"/>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القائلين بحجّية مفهوم الشرط و الوصف خصّوا وجود المفهوم بما إذا لم يكن القيد وارداً على طبق الغالب، ففي مثله يسقط الاستدلال بالآية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ضَرَبْتُمْ فِي الْأَرْضِ فَلَيْسَ عَلَيْكُمْ جُناحٌ أَنْ تَقْصُرُوا مِنَ الصَّلاةِ إِنْ خِفْتُمْ أَنْ يَفْتِنَكُمُ الَّذِينَ كَفَرُوا </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فالتقصير في الآية قيّد بالخوف من فتنة الكفّار، و قد كان الضرب في الأرض يوم نزول الآية مقروناً بالخوف غالباً، و لذلك كان القيد غالبياً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فالضابطة هو عدم الاشتمال على المفهوم إلاّ إذا دلّت القرائن على كونه علّة منحصرة</w:t>
      </w:r>
      <w:r>
        <w:rPr>
          <w:rFonts w:eastAsia="Amiri" w:cs="Amiri" w:ascii="Amiri" w:hAnsi="Amiri"/>
          <w:color w:val="111111"/>
          <w:sz w:val="28"/>
          <w:szCs w:val="28"/>
          <w:rtl w:val="true"/>
          <w:lang w:bidi="ar-SA"/>
        </w:rPr>
        <w:t xml:space="preserve">. </w:t>
      </w:r>
      <w:bookmarkStart w:id="916" w:name="pg14356_187012"/>
    </w:p>
    <w:p>
      <w:pPr>
        <w:pStyle w:val="Heading3"/>
        <w:numPr>
          <w:ilvl w:val="2"/>
          <w:numId w:val="1"/>
        </w:numPr>
        <w:rPr/>
      </w:pPr>
      <w:bookmarkStart w:id="917" w:name="__RefHeading___Toc7305252_3381743652"/>
      <w:bookmarkStart w:id="918" w:name="_Toc347"/>
      <w:bookmarkEnd w:id="916"/>
      <w:bookmarkEnd w:id="917"/>
      <w:r>
        <w:rPr>
          <w:rtl w:val="true"/>
        </w:rPr>
        <w:t>الفصل الثالث في مفهوم الغاية</w:t>
      </w:r>
      <w:bookmarkEnd w:id="918"/>
    </w:p>
    <w:p>
      <w:pPr>
        <w:pStyle w:val="Heading4"/>
        <w:numPr>
          <w:ilvl w:val="3"/>
          <w:numId w:val="1"/>
        </w:numPr>
        <w:rPr/>
      </w:pPr>
      <w:bookmarkStart w:id="919" w:name="__RefHeading___Toc7305254_3381743652"/>
      <w:bookmarkStart w:id="920" w:name="_Toc348"/>
      <w:bookmarkEnd w:id="919"/>
      <w:r>
        <w:rPr>
          <w:rtl w:val="true"/>
        </w:rPr>
        <w:t>اشارة</w:t>
      </w:r>
      <w:bookmarkEnd w:id="920"/>
    </w:p>
    <w:p>
      <w:pPr>
        <w:pStyle w:val="BookText"/>
        <w:rPr/>
      </w:pPr>
      <w:r>
        <w:rPr>
          <w:rFonts w:ascii="Amiri" w:hAnsi="Amiri" w:eastAsia="Amiri" w:cs="Amiri"/>
          <w:color w:val="111111"/>
          <w:sz w:val="28"/>
          <w:sz w:val="28"/>
          <w:szCs w:val="28"/>
          <w:rtl w:val="true"/>
          <w:lang w:bidi="ar-SA"/>
        </w:rPr>
        <w:t>البحث في دلالة الغاية يقع في موردين</w:t>
      </w:r>
      <w:r>
        <w:rPr>
          <w:rFonts w:eastAsia="Amiri" w:cs="Amiri" w:ascii="Amiri" w:hAnsi="Amiri"/>
          <w:color w:val="111111"/>
          <w:sz w:val="28"/>
          <w:szCs w:val="28"/>
          <w:rtl w:val="true"/>
          <w:lang w:bidi="ar-SA"/>
        </w:rPr>
        <w:t>:</w:t>
      </w:r>
    </w:p>
    <w:p>
      <w:pPr>
        <w:pStyle w:val="Heading4"/>
        <w:numPr>
          <w:ilvl w:val="3"/>
          <w:numId w:val="1"/>
        </w:numPr>
        <w:rPr/>
      </w:pPr>
      <w:bookmarkStart w:id="921" w:name="__RefHeading___Toc7305256_3381743652"/>
      <w:bookmarkStart w:id="922" w:name="_Toc349"/>
      <w:bookmarkEnd w:id="921"/>
      <w:r>
        <w:rPr>
          <w:rtl w:val="true"/>
        </w:rPr>
        <w:t>المقام الأوّل</w:t>
      </w:r>
      <w:r>
        <w:rPr>
          <w:rtl w:val="true"/>
        </w:rPr>
        <w:t xml:space="preserve">: </w:t>
      </w:r>
      <w:r>
        <w:rPr>
          <w:rtl w:val="true"/>
        </w:rPr>
        <w:t>هل الغاية تدلّ على ارتفاع الحكم عمّا بعد الغاية بناء على دخول الغاية في المغيّى؟ أو عنها و عن ما بعدها بناء على خروجها؟</w:t>
      </w:r>
      <w:bookmarkEnd w:id="922"/>
    </w:p>
    <w:p>
      <w:pPr>
        <w:pStyle w:val="Heading5"/>
        <w:numPr>
          <w:ilvl w:val="4"/>
          <w:numId w:val="1"/>
        </w:numPr>
        <w:rPr/>
      </w:pPr>
      <w:bookmarkStart w:id="923" w:name="__RefHeading___Toc7305258_3381743652"/>
      <w:bookmarkStart w:id="924" w:name="_Toc350"/>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فهذا النوع من البحث، بحث في وجود الدلالة المفهومية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أمر المولى عبده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البصرة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يدلّ على ارتفاع وجوب السير عن الكوفة و ما بعدها بناء على خروج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حكم المغيّى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 ما بعد الكوفة فقط بناء على دخولها فيه؟ أو لا يدلّ فهذا النوع من البحث بحث في وجود المفهوم للقضية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الغاية محكومة بحكم المغيّى أو لا؟ بمعنى أنّ السير في نفس الكوفة أيضاً متعلّق للوجوب، أو خارج عنه، و هذا بحث في سعة الدلالة المنطوقية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الكلام في مقامين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للقضية المغيّاة دلالة على المفهوم و ارتفاع الحكم عن الغاية و ما بعدها، أو عن ما بعدها فقط، أو لا؟ هنا أقوال 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المشهور إلى الدلالة و انّ دلالة القضية المغيّاة على المفهوم أوضح من دلالة القضية الشرطية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ذهب السيد المرتضى في الذريعة</w:t>
      </w:r>
      <w:r>
        <w:rPr>
          <w:rStyle w:val="FootnoteAnchor"/>
          <w:rtl w:val="true"/>
        </w:rPr>
        <w:footnoteReference w:id="252"/>
      </w:r>
      <w:r>
        <w:rPr>
          <w:rFonts w:ascii="Amiri" w:hAnsi="Amiri" w:eastAsia="Amiri" w:cs="Amiri"/>
          <w:color w:val="111111"/>
          <w:sz w:val="28"/>
          <w:sz w:val="28"/>
          <w:szCs w:val="28"/>
          <w:rtl w:val="true"/>
          <w:lang w:bidi="ar-SA"/>
        </w:rPr>
        <w:t>و الشيخ في العدّة</w:t>
      </w:r>
      <w:r>
        <w:rPr>
          <w:rStyle w:val="FootnoteAnchor"/>
          <w:rtl w:val="true"/>
        </w:rPr>
        <w:footnoteReference w:id="253"/>
      </w:r>
      <w:r>
        <w:rPr>
          <w:rFonts w:ascii="Amiri" w:hAnsi="Amiri" w:eastAsia="Amiri" w:cs="Amiri"/>
          <w:color w:val="111111"/>
          <w:sz w:val="28"/>
          <w:sz w:val="28"/>
          <w:szCs w:val="28"/>
          <w:rtl w:val="true"/>
          <w:lang w:bidi="ar-SA"/>
        </w:rPr>
        <w:t>إلى عدم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فصّل المحقّق الخراساني بين كون الغاية قيداً للحكم و كونها قيداً للموضوع فتدل القضية على الارتفاع في الأوّل دون الثاني، و إليك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حتّى تعرف أنّه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حتّى تعلم أنّه 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تعرف حتّى تعلم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القواعد العربية قيد، للحكم، أي كونه حلالاً أو طاهراً، فيدلّ على ارتفاع الحكم عند حصول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العرفان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حلّية و لا طهارة بعد انكشاف الواقع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وراء عبادان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انسباق ذلك من القضية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مقتضى تقييد الحكم بالغاية، هو ذلك، أي ارتفاعه عند حصول الغاية و إلاّ لما كان ما جعل غاية له، بغاية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حال ما إذا كانت الغاية، غاية للحكم</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كانت الغاية غاية للموضوع و محدّدة له،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البصرة إلى الكوفة، حيث إنّ الابتداء و الانتهاء من خصوصيات السير،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المقيّد من البصرة إلى الكوفة واجب، و عندئذ حال الغاية حال الوصف في عدم الدلالة، حيث إنّ إثبات الحكم لموضوع محدد، لا يدلّ على انتفاء ذلك عن موضوع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السير المحدّد بالابتداء من البصرة، و الانتهاء إلى الكوفة تعلّق به الطلب و لا دلالة له إلاّ على ثبوت الحكم على المحدّد، و أمّا نفيه عن غيره فلا دلالة له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ثبوت الوضع لذلك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قرينة ملازمة للقضية دلّت على اختصاص الحكم بالمغيّى و عدم ثبوته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الحكم ثابتاً لغير المغيّى، فما فائدة التقييد بالغاية؟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الفائدة غير منحصرة بدلالتها على ارتفاع الحكم، بل لها فوائد كسائر أنحاء التقييد على ما مرّ في مفهوم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اختاره المحقّق النائيني</w:t>
      </w:r>
      <w:r>
        <w:rPr>
          <w:rStyle w:val="FootnoteAnchor"/>
          <w:rtl w:val="true"/>
        </w:rPr>
        <w:footnoteReference w:id="254"/>
      </w:r>
      <w:r>
        <w:rPr>
          <w:rFonts w:ascii="Amiri" w:hAnsi="Amiri" w:eastAsia="Amiri" w:cs="Amiri"/>
          <w:color w:val="111111"/>
          <w:sz w:val="28"/>
          <w:sz w:val="28"/>
          <w:szCs w:val="28"/>
          <w:rtl w:val="true"/>
          <w:lang w:bidi="ar-SA"/>
        </w:rPr>
        <w:t>و المحقّق العراقي</w:t>
      </w:r>
      <w:r>
        <w:rPr>
          <w:rStyle w:val="FootnoteAnchor"/>
          <w:rtl w:val="true"/>
        </w:rPr>
        <w:footnoteReference w:id="255"/>
      </w:r>
      <w:r>
        <w:rPr>
          <w:rFonts w:ascii="Amiri" w:hAnsi="Amiri" w:eastAsia="Amiri" w:cs="Amiri"/>
          <w:color w:val="111111"/>
          <w:sz w:val="28"/>
          <w:sz w:val="28"/>
          <w:szCs w:val="28"/>
          <w:rtl w:val="true"/>
          <w:lang w:bidi="ar-SA"/>
        </w:rPr>
        <w:t>و السيّد المحقّق الخوئي</w:t>
      </w:r>
      <w:r>
        <w:rPr>
          <w:rStyle w:val="FootnoteAnchor"/>
          <w:rtl w:val="true"/>
        </w:rPr>
        <w:footnoteReference w:id="256"/>
      </w:r>
      <w:r>
        <w:rPr>
          <w:rFonts w:ascii="Amiri" w:hAnsi="Amiri" w:eastAsia="Amiri" w:cs="Amiri"/>
          <w:color w:val="111111"/>
          <w:sz w:val="28"/>
          <w:sz w:val="28"/>
          <w:szCs w:val="28"/>
          <w:rtl w:val="true"/>
          <w:lang w:bidi="ar-SA"/>
        </w:rPr>
        <w:t>كلّ بتعابير متقاربة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إنّ تردد رجوع القيد إلى الحكم أو الموضوع أمر ذائع في الفقه، مثلاً كون السفر سائغاً لا حراماً، فهل هو قيد لوجوب القصر؟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المسافة الشرعية موجب للقصر إذا كان السفر سائغاً، أو قيد للموضوع،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المسافة الشرعية إذا كان سائغاً موجب للقصر؟ فالسيد الطباطبائي في عروته على الأوّل، و الشيخ الأنصاري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أثر شرعي خاص مذكور في محلّه</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أفاده المحقّق الخراساني و إن كان صحيحاً إلاّ أنّ الكلام في </w:t>
      </w:r>
    </w:p>
    <w:p>
      <w:pPr>
        <w:pStyle w:val="BookText"/>
        <w:rPr/>
      </w:pPr>
      <w:r>
        <w:rPr>
          <w:rFonts w:ascii="Amiri" w:hAnsi="Amiri" w:eastAsia="Amiri" w:cs="Amiri"/>
          <w:color w:val="111111"/>
          <w:sz w:val="28"/>
          <w:sz w:val="28"/>
          <w:szCs w:val="28"/>
          <w:rtl w:val="true"/>
          <w:lang w:bidi="ar-SA"/>
        </w:rPr>
        <w:t>تمييز أحد الأمرين و ليس هنا ضابطة تعيّن أحد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حاول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 ضابطة لتمييز ما يرجع إلى الحكم، عمّا يرجع إلى غيره، و حاصل ما أفاده في المقام و ما أوضحه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المحاضرات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الحكم، أي الوجوب، لو كان مستفاداً من الهيئة فالغاية تارة ترجع إلى المتعلّق و أُخرى إلى الموضوع و لا ترجع إلى مفاد الهيئة أي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فانّ المتبادر أنّ الصيام محدد بالليل،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إلى اللّيل، يجب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فَاغْسِلُوا وُجُوهَكُمْ وَ أَيْدِيَكُمْ إِلَى الْمَرافِقِ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ففيه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الوجوب الذي هو مفاد الهيئة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الغسل، و هو متعلّق الوجوب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الموضوع و هو اليد، فالمتبادر من الآية كون الغاية قيداً للثالث،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المحدّدة بالمرافق، يجب غسلها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اكنس المسجد من الباب إلى المحراب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المتبادر من الكلام كون الغاية قيداً للموضوع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للوجوب، و لا للكنس الذي يعبّر عنه بالمتعلّق</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وَ أَرْجُلَكُمْ إِلَى الْكَعْبَيْنِ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المتبادر أنّ الغاية قيد للأرجل، لا للوجوب و لا للغسل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هذه الموارد يكون حكمها حكم الوصف فانّ التقييد بالغاية من إحدى صغريات التقييد بالوصف، و قد عرفت أنّ التقييد بالوصف ساكت عن وجود الحكم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كان الوجوب مستفاداً من غير الهيئة كالجملة الفعلية فهي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يكون متعلّق الحرمة محذوفاً،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الخمر إلى أن يضطرّ المكلف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متعلّق الحرمة محذوف و هو شربه أو بيعه أو غير ذلك، فالغاية فيها باعتبار حذف المتعلّق، قيد للحكم، فالحكم مرفوع عند طروء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يكون مذكوراً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الصيام إلى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وجهان فيحتمل أن تكون الغاية قيداً للوجوب،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يجب إلى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يحتمله أن تكون قيداً للصيام،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إلى الليل يجب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الأوّل تشتمل القضية على المفهوم دون الآخر</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انتزاع ضابطة كلّية من مورد أو موردين، غير صحيح، و ذلك لوجود القرينة على رجوع الغاية إلى الموضوع في بعض الأمثلة، و إلى الحكم في البعض الآخر</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فَاغْسِلُوا وُجُوهَكُمْ وَ أَيْدِيَكُمْ إِلَى الْمَرافِقِ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رجوع الغاية في الآية إلى الموضوع لأجل انّها بصدد بيان حد المغسول، لا حد الوجوب، و ذلك لأنّ اليد ربّما تطلق و يراد بها أُصول الأصابع، و أُخرى هي إلى الزند، و ثالثة إلى المرفق، و رابعة إلى المنكب، فصارت الآية بصدد بيان ما هو المغسول في الآية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المرافق، أي المقصود بها هو العضو إلى نهاية المرافق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مثله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امْسَحُوا بِرُؤُسِكُمْ وَ أَرْجُلَكُمْ إِلَى الْكَعْبَيْنِ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الغاية لحد الممسوح، و الزمان الذي يمسك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رجوع القيد إلى الحكم ليس لأجل حذف المتعلّق، بل لوجود قرينة خارجية على أنّ الأحكام الشرعية محددة بالضرر، و الحرج و الاضطرار، فكلّ ما اضطرّ إليه ابن آدم فهو مرفوع عنه أي مرفوع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المثال الثالث فالاحتمالان كما أفاد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التفريق بين رجوع القيد إلى الحكم أو الموضوع و المتعلّق، بارتفاع الحكم في الأوّل، دون الثاني كلام متين، لكن الإشكال في الضابطة التي يتميّز على ضوئها ما يرجع إلى الحكم عمّا يرجع إلى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يتصوّر انّ مقتضى القاعدة رجوع الغاية إلى الحكم، لأنّ أداة الغاية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 حتّى من أدوات الجر و الجار و المجرور يتعلّقان بالفعل، و بهذا اللحاظ تكون الغاية قيداً للحكم بلا واسطة في جميع الموارد</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تعلّق الجار و المجرور بالفعل لا يكون دليلاً على رجوع الغاية إلى الحكم الوارد في القضية، بل الفعل المتعلّق به الجار أعم من الحكم المستفاد من الهيئة، و ذلك لأنّ الظرف على قسمين مستقر و لغو، ففي الأوّل يتعلّق بالمعنى الحدثي المقدر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الثاني يتعلّق بالفعل، لا مفاد الهيئة ففي سر من البصرة إلى الكوفة، فالظرف متعلّق بالسير، لا الوجوب، فلا ملازمة بين تعلّق الظرف بالفعل، و كونه قيداً للوجوب كما لا يخفى</w:t>
      </w:r>
      <w:r>
        <w:rPr>
          <w:rFonts w:eastAsia="Amiri" w:cs="Amiri" w:ascii="Amiri" w:hAnsi="Amiri"/>
          <w:color w:val="111111"/>
          <w:sz w:val="28"/>
          <w:szCs w:val="28"/>
          <w:rtl w:val="true"/>
          <w:lang w:bidi="ar-SA"/>
        </w:rPr>
        <w:t xml:space="preserve">. </w:t>
      </w:r>
      <w:bookmarkStart w:id="925" w:name="pg14356_187018"/>
    </w:p>
    <w:p>
      <w:pPr>
        <w:pStyle w:val="Heading5"/>
        <w:numPr>
          <w:ilvl w:val="4"/>
          <w:numId w:val="1"/>
        </w:numPr>
        <w:rPr/>
      </w:pPr>
      <w:bookmarkStart w:id="926" w:name="__RefHeading___Toc7305260_3381743652"/>
      <w:bookmarkStart w:id="927" w:name="_Toc351"/>
      <w:bookmarkEnd w:id="925"/>
      <w:bookmarkEnd w:id="926"/>
      <w:r>
        <w:rPr>
          <w:rtl w:val="true"/>
        </w:rPr>
        <w:t>نظريتنا في الموضوع</w:t>
      </w:r>
      <w:bookmarkEnd w:id="927"/>
    </w:p>
    <w:p>
      <w:pPr>
        <w:pStyle w:val="BookText"/>
        <w:rPr/>
      </w:pPr>
      <w:r>
        <w:rPr>
          <w:rFonts w:ascii="Amiri" w:hAnsi="Amiri" w:eastAsia="Amiri" w:cs="Amiri"/>
          <w:color w:val="111111"/>
          <w:sz w:val="28"/>
          <w:sz w:val="28"/>
          <w:szCs w:val="28"/>
          <w:rtl w:val="true"/>
          <w:lang w:bidi="ar-SA"/>
        </w:rPr>
        <w:t>فلو خرج الباحث عن حيطة الاصطلاحات، و رجع إلى ما هو المتبادر من التقييد بالغاية لوقف على أنّ المتفاهم العرفي منه هو ارتفاع الحكم عند ارتفاع الغاية، على نحو لو صرّح بعد ذلك ببقاء الحكم بعدها لعد كلامه 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 إلى هذا الخط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ينتقل العرف إلى تحديد الوجوب بالحد الخاص، من غير فرق بين كون الغاية قيداً للوجوب المستفاد من الهيئة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لمتعلّق الوجوب أي الحفر، و إن كان ظهور القضية في المفهوم في الصورة الأُولى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 ملاحظة الآيات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تَقْرَبُوهُنَّ حَتّى يَطْهُرْنَ </w:t>
      </w:r>
      <w:r>
        <w:rPr>
          <w:rFonts w:eastAsia="Amiri" w:cs="Amiri" w:ascii="Amiri" w:hAnsi="Amiri"/>
          <w:color w:val="111111"/>
          <w:sz w:val="28"/>
          <w:szCs w:val="28"/>
          <w:rtl w:val="true"/>
          <w:lang w:bidi="ar-SA"/>
        </w:rPr>
        <w:t>).</w:t>
      </w:r>
      <w:r>
        <w:rPr>
          <w:rStyle w:val="FootnoteAnchor"/>
          <w:rtl w:val="true"/>
        </w:rPr>
        <w:footnoteReference w:id="2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كُلُوا وَ اشْرَبُوا حَتّى يَتَبَيَّنَ لَكُمُ الْخَيْطُ الْأَبْيَضُ مِنَ الْخَيْطِ الْأَسْوَدِ </w:t>
      </w:r>
      <w:r>
        <w:rPr>
          <w:rFonts w:eastAsia="Amiri" w:cs="Amiri" w:ascii="Amiri" w:hAnsi="Amiri"/>
          <w:color w:val="111111"/>
          <w:sz w:val="28"/>
          <w:szCs w:val="28"/>
          <w:rtl w:val="true"/>
          <w:lang w:bidi="ar-SA"/>
        </w:rPr>
        <w:t>).</w:t>
      </w:r>
      <w:r>
        <w:rPr>
          <w:rStyle w:val="FootnoteAnchor"/>
          <w:rtl w:val="true"/>
        </w:rPr>
        <w:footnoteReference w:id="26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قاتِلُوهُمْ حَتّى لا تَكُونَ فِتْنَةٌ </w:t>
      </w:r>
      <w:r>
        <w:rPr>
          <w:rFonts w:eastAsia="Amiri" w:cs="Amiri" w:ascii="Amiri" w:hAnsi="Amiri"/>
          <w:color w:val="111111"/>
          <w:sz w:val="28"/>
          <w:szCs w:val="28"/>
          <w:rtl w:val="true"/>
          <w:lang w:bidi="ar-SA"/>
        </w:rPr>
        <w:t>).</w:t>
      </w:r>
      <w:r>
        <w:rPr>
          <w:rStyle w:val="FootnoteAnchor"/>
          <w:rtl w:val="true"/>
        </w:rPr>
        <w:footnoteReference w:id="262"/>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الآية جارة تحدد الوظيفة بأنّها بين هذا و هذا لا أزيد و لا أنقص</w:t>
      </w:r>
      <w:r>
        <w:rPr>
          <w:rFonts w:eastAsia="Amiri" w:cs="Amiri" w:ascii="Amiri" w:hAnsi="Amiri"/>
          <w:color w:val="111111"/>
          <w:sz w:val="28"/>
          <w:szCs w:val="28"/>
          <w:rtl w:val="true"/>
          <w:lang w:bidi="ar-SA"/>
        </w:rPr>
        <w:t xml:space="preserve">. </w:t>
      </w:r>
      <w:bookmarkStart w:id="928" w:name="pg14356_187019"/>
    </w:p>
    <w:p>
      <w:pPr>
        <w:pStyle w:val="Heading4"/>
        <w:numPr>
          <w:ilvl w:val="3"/>
          <w:numId w:val="1"/>
        </w:numPr>
        <w:rPr/>
      </w:pPr>
      <w:bookmarkStart w:id="929" w:name="__RefHeading___Toc7305262_3381743652"/>
      <w:bookmarkStart w:id="930" w:name="_Toc352"/>
      <w:bookmarkEnd w:id="928"/>
      <w:bookmarkEnd w:id="929"/>
      <w:r>
        <w:rPr>
          <w:rtl w:val="true"/>
        </w:rPr>
        <w:t>المقام الثاني في دخول الغاية في حكم المغيّى و عدمه</w:t>
      </w:r>
      <w:bookmarkEnd w:id="930"/>
    </w:p>
    <w:p>
      <w:pPr>
        <w:pStyle w:val="BookText"/>
        <w:rPr/>
      </w:pPr>
      <w:r>
        <w:rPr>
          <w:rFonts w:ascii="Amiri" w:hAnsi="Amiri" w:eastAsia="Amiri" w:cs="Amiri"/>
          <w:color w:val="111111"/>
          <w:sz w:val="28"/>
          <w:sz w:val="28"/>
          <w:szCs w:val="28"/>
          <w:rtl w:val="true"/>
          <w:lang w:bidi="ar-SA"/>
        </w:rPr>
        <w:t>قد عرفت أنّ البحث في أنّ الغاية داخلة في المغيّى أو لا، بحث منطوقي مثلاً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اغسل يدك إلى المرفق، فهل المرفق الذي هو عبارة عن مكان رفق العظمين، داخل في حكم اليد فيجب غسله أو لا؟ أو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البصرة إلى الكوفة، فهل نفس الدخول في الكوفة و لو بجزء منها واجب حتّى يكون حكم الغاية نفس حكم المغيّى أو لا؟ اختلفت كلمة القوم على أقوال، و قبل أن نذكر الأقوال نركّز على أمر أدبي، و هو انّ بيان الغاية يتحقّق غالباً بأحد اللفظين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كانت اللفظة الثانية تستعمل في معان مختلفة يجب تعيين ما يستعمل في بيان الغاية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انّ كلمة حتّى تستعمل على ثلاثة أوجه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جر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عطف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 ابتداء</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الجارّة فهي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العاطفة فهي بمنزلة الواو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أكلتُ السمكة حتّى رأسها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الابتدائية فهي حرف يبتدأ بها الجمل مثل قول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فوا عجبا حتّى كليب يسبني كأنّ أباها نهشل أو مجاشع</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إذا علمت هذا فاعلم أنّ حتّى الغائية هي حتّى الجارّة لا العاطفة و لا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تعرف ضعف بعض الأقوال التي نشير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عن دخول الغاية في حكم المغيّى و عدمه، إنّما يتصوّر إذا كان هناك قدر مشترك أمكن تصويره داخلاً في حكم المغيّى تارة و في حكم ما بعد الغاية أُخرى كالمرفق، و أمّا إذا لم يكن كذلك فلا موضوع للبحث،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اضربه إلى خمس ضربات، فالضربة السادسة، من أفراد بعد الغاية، و الضربة الخامسة داخلة في أجزاء المغيّى حسب التبادر، فليس هنا شيء آخر يبحث عن دخوله في حكم المغيّى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محلّ البحث ما إذا كانت الغاية ذات أجزاء، كسورة الإسراء في المثال، أو الكوفة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من البصرة إلى الكوفة، دون ما لم يكن كذلك، كما في الضربة الخامسة في المثال المذكور، أو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سورة يس إلى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فنسرد الأقوال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الخروج مطلقاً، و هو خيرة المحقّق الخراساني و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الدخول مطلقاً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ما إذا كان ما قبل الغاية و ما بعدها متّحدين بالجنس فتدخل و إلاّ فتخرج،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فَاغْسِلُوا وُجُوهَكُمْ وَ أَيْدِيَكُمْ إِلَى الْمَرافِقِ </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بخلاف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أَتِمُّوا الصِّيامَ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فتدخل في الأوّل دون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فالدخول في الأوّل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الحجاج حتّى المشاة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الناس حتّى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الدخول في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الدلالة على الدخول و الخروج و إنّما يُتبع في الحكم القرائن الدالة على واحد منهما</w:t>
      </w:r>
      <w:r>
        <w:rPr>
          <w:rFonts w:eastAsia="Amiri" w:cs="Amiri" w:ascii="Amiri" w:hAnsi="Amiri"/>
          <w:color w:val="111111"/>
          <w:sz w:val="28"/>
          <w:szCs w:val="28"/>
          <w:rtl w:val="true"/>
          <w:lang w:bidi="ar-SA"/>
        </w:rPr>
        <w:t>.</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 إليك دراسة سائر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نجم الأئمة على القول الأوّل بأنّ حدود الشيء خارجة عن الشيء و ما يتراءى من الدخول في بعض الموارد كالمرافق في الوضوء فلقرينة خارجية، و تبعه المحقّق الخراساني في البرهنة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للقول الثاني بأنّ الغاية بمعنى النهاية و هي الأمر المنتزع من الجزء الأخير للشيء المفروض امتداده، كما أنّ الابتداء ينتزع من الجزء الأوّل للشيء، فإن كانت الغاية نهاية الشيء فتكون داخلة في الشيء و تشاركه في الحكم</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الاستدلالين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الظهور لا يثبت بالدليل العقلي، و المرجع في هذه المباحث هو التبادر، و أمّا القول بأنّ حدّ الشيء خارج عنه كما في الدليل الأوّل، أو انّ نهاية الشيء داخلة فيه كما في الدليل الثاني، إثبات للظهور بأمر عقلي فلا يعتد 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نقله المحقّق القمي،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المغيّى و الغاية من جنس واحد كقولك بعتك هذا الثوب من هذا الطرف إلى هذا الطرف فتدخل، و إلاّ فلا كقول القائل صوموا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انّ الظاهر انّ دليلهم في ذلك عدم التمايز فيجب إدخاله من باب المقدمة كما في إدخال المرفق في الغَسل، بخلاف ما لو اختلفا في الماهية و تميّزا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فمبناه الخلط بين حتّى العاطفة و الخافضة، فانّ البحث في الثانية دون الأُولى، و ما مثله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الحجاج حتّى المشاة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فاللفظ فيه عاطفة لا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القائل لما وقف على كلا الاستعمالين و لم يرجّح أحدهما على الآخر توقّف في الحكم و قال بأنّه إنّما تتبع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شيخ مشايخنا العلاّمة الحائري و هو التفصيل بين كون الغاية قيداً للفعل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من البصرة إلى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كونها غاية للحكم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من الفجر إلى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فيدخل في الأوّل، لأنّ الظاهر دخول جزء من السير المتخصص بالكوفة، كما أنّ الظاهر منه دخول السير المتخصص بالبصرة أيضاً في المطلوب، دون الثاني فانّ المفروض أنّها موجبة لرفع الحكم فلا يمكن بعثه إلى الفعل المتخصص بها</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فيما إذا كان هناك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المغيّى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عندئذ يقع الكلام في كون الغاية جزءاً من المغيّى أو لا، فعلى الأوّل يشمله حكمه دون الثاني، و هذا يقتضي أن تكون الغاية قيداً للموضوع لا غاية للحكم، و إلاّ يكون الحكم و المغيّا أمراً واحداً كما في 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حلال، حتّى تعلم انّه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فالتفصيل بين كون الغاية قيداً للفعل أو للحكم خارج عن مصبّ البحث، بل البحث مركّز على ما إذا كانت الغاية قيداً للفعل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عدم الدخول مطلقاً، إلاّ إذا دلّ الدليل على الدخول، أخذاً بالمتبادر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سرت من البصرة إلى الكوفة، فهو صادق في إخباره إذا انتهى في سيره إلى باب الكوفة و سورها، و إن لم يدخل 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القرآن من أوّله إلى سورة الإسراء، فهو أيضاً صادق في إخباره إذا لم يقرأ شيئاً من سورة الإسراء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عليه نظائره، و الظاهر انّ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أن تكون جارّة لا عاطفة،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نمت البارحة حتى الصباح بالجر يصدق إذا نمت إلى مطلع الفجر نظير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هِيَ حَتّى مَطْلَعِ الْفَجْرِ </w:t>
      </w:r>
      <w:r>
        <w:rPr>
          <w:rFonts w:eastAsia="Amiri" w:cs="Amiri" w:ascii="Amiri" w:hAnsi="Amiri"/>
          <w:color w:val="111111"/>
          <w:sz w:val="28"/>
          <w:szCs w:val="28"/>
          <w:rtl w:val="true"/>
          <w:lang w:bidi="ar-SA"/>
        </w:rPr>
        <w:t>).</w:t>
      </w:r>
      <w:r>
        <w:rPr>
          <w:rStyle w:val="FootnoteAnchor"/>
          <w:rtl w:val="true"/>
        </w:rPr>
        <w:footnoteReference w:id="267"/>
      </w:r>
    </w:p>
    <w:p>
      <w:pPr>
        <w:pStyle w:val="BookText"/>
        <w:rPr/>
      </w:pPr>
      <w:r>
        <w:rPr>
          <w:rFonts w:ascii="Amiri" w:hAnsi="Amiri" w:eastAsia="Amiri" w:cs="Amiri"/>
          <w:color w:val="111111"/>
          <w:sz w:val="28"/>
          <w:sz w:val="28"/>
          <w:szCs w:val="28"/>
          <w:rtl w:val="true"/>
          <w:lang w:bidi="ar-SA"/>
        </w:rPr>
        <w:t>و من غرائب الكلام الإشكال على هذا النوع من الاستدلال بأنّه لا يثبت بذلك حكم العرف، و لعلّ الصدق لأجل جريان أصل البراءة عن الأكثر</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إنّما يتوجّه لو كان مصب الاستدلال الأمر بالسير أو القراءة إلى الكوفة و الاسراء و شك الساري و القارئ في مقدار الواجب، كان عليه </w:t>
      </w:r>
    </w:p>
    <w:p>
      <w:pPr>
        <w:pStyle w:val="BookText"/>
        <w:rPr/>
      </w:pPr>
      <w:r>
        <w:rPr>
          <w:rFonts w:ascii="Amiri" w:hAnsi="Amiri" w:eastAsia="Amiri" w:cs="Amiri"/>
          <w:color w:val="111111"/>
          <w:sz w:val="28"/>
          <w:sz w:val="28"/>
          <w:szCs w:val="28"/>
          <w:rtl w:val="true"/>
          <w:lang w:bidi="ar-SA"/>
        </w:rPr>
        <w:t>التمسّك بالبراءة، و لكن محلّه هو الجملة الإخبارية، و المتكلّم هو الذي يخبر بأنّه سار و قرأ كذلك و العرف يصدقه في كلامه، و لا يكون لهذا التصديق منشأ عندهم إلاّ عدم دلالتها على إدخال الغاية في حكم المغيّى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لو قلنا بأحد الأقوال في دخول الغاية في حكم المغيّى فهو، و إلاّ فيصير الكلام مجملاً فينتهي الأمر إلى الأُصول العملية، فهل المقام من مجاري الاستصحاب أو البراءة؟ فيه خلاف، فإذا غسل اليد دون المرفق فهل يمكن التمسّك باستصحاب بقاء الوجوب؟ الظاهر لا، لأنّ استصحاب الوجوب لا يثبت وجوب غسل المرفق إلاّ على القول بالأصل المثبت، لأنّ بقاء الوجوب مع غسل ما سوى المرفق من اليد يلازم عقلاً وجوب غسل المرفق، و إلاّ لما كان وجه لبقائه لعدم وجوب ما فوق المرفق إجماعاً</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المورد مجرى البراءة لكونه من قبيل الشكّ في الأقل و الأكثر الارتباطيين</w:t>
      </w:r>
      <w:r>
        <w:rPr>
          <w:rFonts w:eastAsia="Amiri" w:cs="Amiri" w:ascii="Amiri" w:hAnsi="Amiri"/>
          <w:color w:val="111111"/>
          <w:sz w:val="28"/>
          <w:szCs w:val="28"/>
          <w:rtl w:val="true"/>
          <w:lang w:bidi="ar-SA"/>
        </w:rPr>
        <w:t xml:space="preserve">. </w:t>
      </w:r>
      <w:bookmarkStart w:id="931" w:name="pg14356_187025"/>
    </w:p>
    <w:p>
      <w:pPr>
        <w:pStyle w:val="Heading3"/>
        <w:numPr>
          <w:ilvl w:val="2"/>
          <w:numId w:val="1"/>
        </w:numPr>
        <w:rPr/>
      </w:pPr>
      <w:bookmarkStart w:id="932" w:name="__RefHeading___Toc7305264_3381743652"/>
      <w:bookmarkStart w:id="933" w:name="_Toc353"/>
      <w:bookmarkEnd w:id="931"/>
      <w:bookmarkEnd w:id="932"/>
      <w:r>
        <w:rPr>
          <w:rtl w:val="true"/>
        </w:rPr>
        <w:t>الفصل الرابع مفهوم الحصر</w:t>
      </w:r>
      <w:bookmarkEnd w:id="933"/>
    </w:p>
    <w:p>
      <w:pPr>
        <w:pStyle w:val="Heading4"/>
        <w:numPr>
          <w:ilvl w:val="3"/>
          <w:numId w:val="1"/>
        </w:numPr>
        <w:rPr/>
      </w:pPr>
      <w:bookmarkStart w:id="934" w:name="__RefHeading___Toc7305266_3381743652"/>
      <w:bookmarkStart w:id="935" w:name="_Toc354"/>
      <w:bookmarkEnd w:id="934"/>
      <w:r>
        <w:rPr>
          <w:rtl w:val="true"/>
        </w:rPr>
        <w:t>المشهور انّ الأُمور التالية تفيد الحصر</w:t>
      </w:r>
      <w:r>
        <w:rPr>
          <w:rtl w:val="true"/>
        </w:rPr>
        <w:t>:</w:t>
      </w:r>
      <w:bookmarkEnd w:id="935"/>
    </w:p>
    <w:p>
      <w:pPr>
        <w:pStyle w:val="Heading5"/>
        <w:numPr>
          <w:ilvl w:val="4"/>
          <w:numId w:val="1"/>
        </w:numPr>
        <w:rPr/>
      </w:pPr>
      <w:bookmarkStart w:id="936" w:name="__RefHeading___Toc7305268_3381743652"/>
      <w:bookmarkStart w:id="937" w:name="_Toc355"/>
      <w:bookmarkEnd w:id="936"/>
      <w:r>
        <w:rPr>
          <w:rtl w:val="true"/>
        </w:rPr>
        <w:t>اشارة</w:t>
      </w:r>
      <w:bookmarkEnd w:id="9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الاستثنائية،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الاضرابية،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ما حقّه التأخر،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المسند إليه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دراسة الكلّ واحداً بعد الآخر</w:t>
      </w:r>
      <w:r>
        <w:rPr>
          <w:rFonts w:eastAsia="Amiri" w:cs="Amiri" w:ascii="Amiri" w:hAnsi="Amiri"/>
          <w:color w:val="111111"/>
          <w:sz w:val="28"/>
          <w:szCs w:val="28"/>
          <w:rtl w:val="true"/>
          <w:lang w:bidi="ar-SA"/>
        </w:rPr>
        <w:t>.</w:t>
      </w:r>
    </w:p>
    <w:p>
      <w:pPr>
        <w:pStyle w:val="Heading5"/>
        <w:numPr>
          <w:ilvl w:val="4"/>
          <w:numId w:val="1"/>
        </w:numPr>
        <w:rPr/>
      </w:pPr>
      <w:bookmarkStart w:id="938" w:name="__RefHeading___Toc7305270_3381743652"/>
      <w:bookmarkStart w:id="939" w:name="_Toc356"/>
      <w:bookmarkEnd w:id="938"/>
      <w:r>
        <w:rPr/>
        <w:t>1</w:t>
      </w:r>
      <w:r>
        <w:rPr>
          <w:rtl w:val="true"/>
        </w:rPr>
        <w:t xml:space="preserve">. </w:t>
      </w:r>
      <w:r>
        <w:rPr>
          <w:rtl w:val="true"/>
        </w:rPr>
        <w:t xml:space="preserve">الكلام في </w:t>
      </w:r>
      <w:r>
        <w:rPr>
          <w:rtl w:val="true"/>
        </w:rPr>
        <w:t>«</w:t>
      </w:r>
      <w:r>
        <w:rPr>
          <w:rtl w:val="true"/>
        </w:rPr>
        <w:t>إلاّ</w:t>
      </w:r>
      <w:r>
        <w:rPr>
          <w:rtl w:val="true"/>
        </w:rPr>
        <w:t xml:space="preserve">» </w:t>
      </w:r>
      <w:r>
        <w:rPr>
          <w:rtl w:val="true"/>
        </w:rPr>
        <w:t>الاستثنائية</w:t>
      </w:r>
      <w:bookmarkEnd w:id="939"/>
    </w:p>
    <w:p>
      <w:pPr>
        <w:pStyle w:val="Heading6"/>
        <w:numPr>
          <w:ilvl w:val="5"/>
          <w:numId w:val="1"/>
        </w:numPr>
        <w:rPr/>
      </w:pPr>
      <w:bookmarkStart w:id="940" w:name="__RefHeading___Toc7305272_3381743652"/>
      <w:bookmarkStart w:id="941" w:name="_Toc357"/>
      <w:bookmarkEnd w:id="940"/>
      <w:r>
        <w:rPr>
          <w:rtl w:val="true"/>
        </w:rPr>
        <w:t>اشارة</w:t>
      </w:r>
      <w:bookmarkEnd w:id="9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الاستثناء من النفي إثبات، و من الإثبات نفي، أو لا هذا و لا ذاك؟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بالدلالة، فهل الجملة الاستثنائية أو خصوص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 على الحصر أو لا؟ و سيوافيك ما هو المراد من الحصر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هل دلالتها على الحصر، دلالة منطوقية أو مفهومية؟ و إليك دراسة تلك الأُمور</w:t>
      </w:r>
      <w:r>
        <w:rPr>
          <w:rFonts w:eastAsia="Amiri" w:cs="Amiri" w:ascii="Amiri" w:hAnsi="Amiri"/>
          <w:color w:val="111111"/>
          <w:sz w:val="28"/>
          <w:szCs w:val="28"/>
          <w:rtl w:val="true"/>
          <w:lang w:bidi="ar-SA"/>
        </w:rPr>
        <w:t>:</w:t>
      </w:r>
    </w:p>
    <w:p>
      <w:pPr>
        <w:pStyle w:val="Heading6"/>
        <w:numPr>
          <w:ilvl w:val="5"/>
          <w:numId w:val="1"/>
        </w:numPr>
        <w:rPr/>
      </w:pPr>
      <w:bookmarkStart w:id="942" w:name="__RefHeading___Toc7305274_3381743652"/>
      <w:bookmarkStart w:id="943" w:name="_Toc358"/>
      <w:bookmarkEnd w:id="942"/>
      <w:r>
        <w:rPr>
          <w:rtl w:val="true"/>
        </w:rPr>
        <w:t>أ</w:t>
      </w:r>
      <w:r>
        <w:rPr>
          <w:rtl w:val="true"/>
        </w:rPr>
        <w:t xml:space="preserve">. </w:t>
      </w:r>
      <w:r>
        <w:rPr>
          <w:rtl w:val="true"/>
        </w:rPr>
        <w:t>الاستثناء من النفي إثبات و من الإثبات نفي</w:t>
      </w:r>
      <w:bookmarkEnd w:id="943"/>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تستعمل على وجوه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للاستثناء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فَشَرِبُوا مِنْهُ إِلاّ قَلِيلاً </w:t>
      </w:r>
      <w:r>
        <w:rPr>
          <w:rFonts w:eastAsia="Amiri" w:cs="Amiri" w:ascii="Amiri" w:hAnsi="Amiri"/>
          <w:color w:val="111111"/>
          <w:sz w:val="28"/>
          <w:szCs w:val="28"/>
          <w:rtl w:val="true"/>
          <w:lang w:bidi="ar-SA"/>
        </w:rPr>
        <w:t>).</w:t>
      </w:r>
      <w:r>
        <w:rPr>
          <w:rStyle w:val="FootnoteAnchor"/>
          <w:rtl w:val="true"/>
        </w:rPr>
        <w:footnoteReference w:id="26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صفة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فيوصف بها و بتاليها جمع منكَّر أو شبهه،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فِيهِما آلِهَةٌ إِلاَّ اللّهُ لَفَسَدَتا </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عاطفة بمنزلة الواو في التشريك في اللفظ و المعنى،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يَخافُ لَدَيَّ الْمُرْسَلُونَ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ظَلَمَ ثُمَّ بَدَّلَ حُسْناً </w:t>
      </w:r>
      <w:r>
        <w:rPr>
          <w:rFonts w:eastAsia="Amiri" w:cs="Amiri" w:ascii="Amiri" w:hAnsi="Amiri"/>
          <w:color w:val="111111"/>
          <w:sz w:val="28"/>
          <w:szCs w:val="28"/>
          <w:rtl w:val="true"/>
          <w:lang w:bidi="ar-SA"/>
        </w:rPr>
        <w:t>).</w:t>
      </w:r>
      <w:r>
        <w:rPr>
          <w:rStyle w:val="FootnoteAnchor"/>
          <w:rtl w:val="true"/>
        </w:rPr>
        <w:footnoteReference w:id="27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تكون زائدة تختص بالشعر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انّ المفيد للحصر هو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خلاف في أنّ الاستثناء من النفي إثبات و من الإثبات نفي، و لم يخالف في ذلك إلاّ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أوضح الشيخ الأنصاري مقصود أبي حنيفة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يُستفاد من الاستثناء انّ المستثنى غير داخل في الحكم الذي نطق به المتكلّم به، و أمّا حكمه واقعاً فيحتمل أن يكون محكوماً بحكم المستثنى منه أيضاً، أو يكون محكوماً بخلافه، و بالجملة انّ المتكلّم يريد بالاستثناء أن لا يخبر عنه بالحكم المذكور</w:t>
      </w:r>
      <w:r>
        <w:rPr>
          <w:rStyle w:val="FootnoteAnchor"/>
          <w:rtl w:val="true"/>
        </w:rPr>
        <w:footnoteReference w:id="271"/>
      </w:r>
      <w:r>
        <w:rPr>
          <w:rFonts w:ascii="Amiri" w:hAnsi="Amiri" w:eastAsia="Amiri" w:cs="Amiri"/>
          <w:color w:val="111111"/>
          <w:sz w:val="28"/>
          <w:sz w:val="28"/>
          <w:szCs w:val="28"/>
          <w:rtl w:val="true"/>
          <w:lang w:bidi="ar-SA"/>
        </w:rPr>
        <w:t>، و عدم اخباره عنه بذاك الحكم لا يثبت عدم كونه محكوماً به بل يحتمل الأمرين</w:t>
      </w:r>
      <w:r>
        <w:rPr>
          <w:rFonts w:eastAsia="Amiri" w:cs="Amiri" w:ascii="Amiri" w:hAnsi="Amiri"/>
          <w:color w:val="111111"/>
          <w:sz w:val="28"/>
          <w:szCs w:val="28"/>
          <w:rtl w:val="true"/>
          <w:lang w:bidi="ar-SA"/>
        </w:rPr>
        <w:t>.</w:t>
      </w:r>
      <w:r>
        <w:rPr>
          <w:rStyle w:val="FootnoteAnchor"/>
          <w:rtl w:val="true"/>
        </w:rPr>
        <w:footnoteReference w:id="272"/>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احتجّ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لو كان الاستثناء من النفي إثباتاً يلزم أن تكون الصلاة نفس الطهور و إن لم تكن سائر الشرائط </w:t>
      </w:r>
      <w:bookmarkStart w:id="944" w:name="pg14356_187027"/>
    </w:p>
    <w:p>
      <w:pPr>
        <w:pStyle w:val="BookText"/>
        <w:rPr/>
      </w:pPr>
      <w:bookmarkEnd w:id="944"/>
      <w:r>
        <w:rPr>
          <w:rFonts w:ascii="Amiri" w:hAnsi="Amiri" w:eastAsia="Amiri" w:cs="Amiri"/>
          <w:color w:val="111111"/>
          <w:sz w:val="28"/>
          <w:sz w:val="28"/>
          <w:szCs w:val="28"/>
          <w:rtl w:val="true"/>
          <w:lang w:bidi="ar-SA"/>
        </w:rPr>
        <w:t>موجودة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يلاحظ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خلاف المتبادر منها في عامة الموارد، و خلاف ما يتبادر ممّا يعادله في بعض اللغات كلفظة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الفارسية فانّه يعادل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الاستثنائية، فلو وقع بعد النفي، يفيد الإثبات، كما لو وقع بعد الإثبات، يفيد النفي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استدلّ به ضعيف فانّ الحصر ناظر إلى صورة اجتماع عامّة الأجزاء و الشرائط غير الطهارة، و عندئذ تدلّ على لزوم تحصيل الطهارة أو قراءة فاتحة الكتاب، لأنّه لا تحصل الصلاة إلاّ إذا كانت الأجزاء و الشرائط الفعليّة المفروضة وجودها مقرونة بالطهارة، أو بقراءة الفاتحة، و عندئذ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نفس الطهارة، أي التوأمة مع سائر الأجزاء 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التعبير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بفاتحة الكتاب، دون أن يقول إلاّ طهوراً أو فاتحة الكتاب، ليفيد معنى الاقتران، أيْ اقتران سائر الأجزاء و الشرائط بهما</w:t>
      </w:r>
      <w:r>
        <w:rPr>
          <w:rFonts w:eastAsia="Amiri" w:cs="Amiri" w:ascii="Amiri" w:hAnsi="Amiri"/>
          <w:color w:val="111111"/>
          <w:sz w:val="28"/>
          <w:szCs w:val="28"/>
          <w:rtl w:val="true"/>
          <w:lang w:bidi="ar-SA"/>
        </w:rPr>
        <w:t>.</w:t>
      </w:r>
    </w:p>
    <w:p>
      <w:pPr>
        <w:pStyle w:val="Heading6"/>
        <w:numPr>
          <w:ilvl w:val="5"/>
          <w:numId w:val="1"/>
        </w:numPr>
        <w:rPr/>
      </w:pPr>
      <w:bookmarkStart w:id="945" w:name="__RefHeading___Toc7305276_3381743652"/>
      <w:bookmarkStart w:id="946" w:name="_Toc359"/>
      <w:bookmarkEnd w:id="945"/>
      <w:r>
        <w:rPr>
          <w:rtl w:val="true"/>
        </w:rPr>
        <w:t>ب</w:t>
      </w:r>
      <w:r>
        <w:rPr>
          <w:rtl w:val="true"/>
        </w:rPr>
        <w:t xml:space="preserve">. </w:t>
      </w:r>
      <w:r>
        <w:rPr>
          <w:rtl w:val="true"/>
        </w:rPr>
        <w:t>دلالته على الحصر</w:t>
      </w:r>
      <w:bookmarkEnd w:id="946"/>
    </w:p>
    <w:p>
      <w:pPr>
        <w:pStyle w:val="BookText"/>
        <w:rPr/>
      </w:pPr>
      <w:r>
        <w:rPr>
          <w:rFonts w:ascii="Amiri" w:hAnsi="Amiri" w:eastAsia="Amiri" w:cs="Amiri"/>
          <w:color w:val="111111"/>
          <w:sz w:val="28"/>
          <w:sz w:val="28"/>
          <w:szCs w:val="28"/>
          <w:rtl w:val="true"/>
          <w:lang w:bidi="ar-SA"/>
        </w:rPr>
        <w:t>هذا هو الموضع الثاني، أي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الاستثنائية على الحصر و هو مبنيّ على تسليم الأمر الأوّل أعني أنّ الاستثناء من النفي إثبات و من الإثبات نفي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من كلمات الأُصوليين انّ أداة الحصر هو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الظاهر من الخطيب القزويني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النفي و الاستثناء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أداة الحصر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و الاستثناء، كقولك في قصر الموصوف أفراداً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شاعر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قصرها أفراداً و قلبا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شاعر إلاّ زيد </w:t>
      </w:r>
      <w:r>
        <w:rPr>
          <w:rFonts w:eastAsia="Amiri" w:cs="Amiri" w:ascii="Amiri" w:hAnsi="Amiri"/>
          <w:color w:val="111111"/>
          <w:sz w:val="28"/>
          <w:szCs w:val="28"/>
          <w:rtl w:val="true"/>
          <w:lang w:bidi="ar-SA"/>
        </w:rPr>
        <w:t>«.</w:t>
      </w:r>
      <w:r>
        <w:rPr>
          <w:rStyle w:val="FootnoteAnchor"/>
          <w:rtl w:val="true"/>
        </w:rPr>
        <w:footnoteReference w:id="273"/>
      </w:r>
      <w:bookmarkStart w:id="947" w:name="pg14356_187028"/>
    </w:p>
    <w:p>
      <w:pPr>
        <w:pStyle w:val="BookText"/>
        <w:rPr/>
      </w:pPr>
      <w:bookmarkEnd w:id="947"/>
      <w:r>
        <w:rPr>
          <w:rFonts w:ascii="Amiri" w:hAnsi="Amiri" w:eastAsia="Amiri" w:cs="Amiri"/>
          <w:color w:val="111111"/>
          <w:sz w:val="28"/>
          <w:sz w:val="28"/>
          <w:szCs w:val="28"/>
          <w:rtl w:val="true"/>
          <w:lang w:bidi="ar-SA"/>
        </w:rPr>
        <w:t>و على أيّ تقدير فالظاهر أنّ المراد من الحصر، حصر الخارج عن حكم المستثنى منه، في المستثنى و انّه لم يخرج عنه سواه، و قد عبّر عن الحصر في الكفاية بقوله لا شبهة في دلالة الاستثناء على اختصاص الحكم سلباً أو إيجاباً بالمستثنى منه و لا يعمّ المستثنى</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و يدلّ على الحصر بالمعنى المختار أمران</w:t>
      </w:r>
      <w:r>
        <w:rPr>
          <w:rFonts w:eastAsia="Amiri" w:cs="Amiri" w:ascii="Amiri" w:hAnsi="Amiri"/>
          <w:color w:val="111111"/>
          <w:sz w:val="28"/>
          <w:szCs w:val="28"/>
          <w:rtl w:val="true"/>
          <w:lang w:bidi="ar-SA"/>
        </w:rPr>
        <w:t>:</w:t>
      </w:r>
    </w:p>
    <w:p>
      <w:pPr>
        <w:pStyle w:val="Heading6"/>
        <w:numPr>
          <w:ilvl w:val="5"/>
          <w:numId w:val="1"/>
        </w:numPr>
        <w:rPr/>
      </w:pPr>
      <w:bookmarkStart w:id="948" w:name="__RefHeading___Toc7305278_3381743652"/>
      <w:bookmarkStart w:id="949" w:name="_Toc360"/>
      <w:bookmarkEnd w:id="948"/>
      <w:r>
        <w:rPr/>
        <w:t>1</w:t>
      </w:r>
      <w:r>
        <w:rPr>
          <w:rtl w:val="true"/>
        </w:rPr>
        <w:t xml:space="preserve">. </w:t>
      </w:r>
      <w:r>
        <w:rPr>
          <w:rtl w:val="true"/>
        </w:rPr>
        <w:t>تبادر الحصر</w:t>
      </w:r>
      <w:bookmarkEnd w:id="949"/>
    </w:p>
    <w:p>
      <w:pPr>
        <w:pStyle w:val="BookText"/>
        <w:rPr/>
      </w:pPr>
      <w:r>
        <w:rPr>
          <w:rFonts w:ascii="Amiri" w:hAnsi="Amiri" w:eastAsia="Amiri" w:cs="Amiri"/>
          <w:color w:val="111111"/>
          <w:sz w:val="28"/>
          <w:sz w:val="28"/>
          <w:szCs w:val="28"/>
          <w:rtl w:val="true"/>
          <w:lang w:bidi="ar-SA"/>
        </w:rPr>
        <w:t>يتبادر الحصر من موارد استعمالاته في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w:t>
      </w:r>
      <w:r>
        <w:rPr>
          <w:rFonts w:eastAsia="Amiri" w:cs="Amiri" w:ascii="Amiri" w:hAnsi="Amiri"/>
          <w:color w:val="111111"/>
          <w:sz w:val="28"/>
          <w:szCs w:val="28"/>
          <w:rtl w:val="true"/>
          <w:lang w:bidi="ar-SA"/>
        </w:rPr>
        <w:t>...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إذ لو لم تدل على الحصر لما تمّ الاحتجاج على الطوائف الخارجة عن الطوائف الأربعة الواردة في نفس السورة، إذ هي بصدد التنديد بسائر الطوائف، فلو لم تدل على الحصر و احتمل خروج بعض الطوائف عن الحكم عليهم بالخسران، لما تمّ التنديد، لأنّ كلّ طائفة غير الأربع يتصوّر انّها الخارجة عن حكم الآية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السنّة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في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الطهور و الوقت و القبلة، و الركوع و السجود </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على نحو لو دل دليل على لزوم اعادتها بفوت القيام المتّصل بالركوع، لعدّ مخالفاً للمفهوم، و يلزم تخصيصه به، لأنّ المنطوق أخصّ من المفهوم</w:t>
      </w:r>
      <w:r>
        <w:rPr>
          <w:rFonts w:eastAsia="Amiri" w:cs="Amiri" w:ascii="Amiri" w:hAnsi="Amiri"/>
          <w:color w:val="111111"/>
          <w:sz w:val="28"/>
          <w:szCs w:val="28"/>
          <w:rtl w:val="true"/>
          <w:lang w:bidi="ar-SA"/>
        </w:rPr>
        <w:t xml:space="preserve">. </w:t>
      </w:r>
      <w:bookmarkStart w:id="950" w:name="pg14356_187029"/>
    </w:p>
    <w:p>
      <w:pPr>
        <w:pStyle w:val="Heading6"/>
        <w:numPr>
          <w:ilvl w:val="5"/>
          <w:numId w:val="1"/>
        </w:numPr>
        <w:rPr/>
      </w:pPr>
      <w:bookmarkStart w:id="951" w:name="__RefHeading___Toc7305280_3381743652"/>
      <w:bookmarkStart w:id="952" w:name="_Toc361"/>
      <w:bookmarkEnd w:id="950"/>
      <w:bookmarkEnd w:id="951"/>
      <w:r>
        <w:rPr/>
        <w:t>2</w:t>
      </w:r>
      <w:r>
        <w:rPr>
          <w:rtl w:val="true"/>
        </w:rPr>
        <w:t xml:space="preserve">. </w:t>
      </w:r>
      <w:r>
        <w:rPr>
          <w:rtl w:val="true"/>
        </w:rPr>
        <w:t>دلالة كلمة الإخلاص على الحصر</w:t>
      </w:r>
      <w:bookmarkEnd w:id="952"/>
    </w:p>
    <w:p>
      <w:pPr>
        <w:pStyle w:val="BookText"/>
        <w:rPr/>
      </w:pPr>
      <w:r>
        <w:rPr>
          <w:rFonts w:ascii="Amiri" w:hAnsi="Amiri" w:eastAsia="Amiri" w:cs="Amiri"/>
          <w:color w:val="111111"/>
          <w:sz w:val="28"/>
          <w:sz w:val="28"/>
          <w:szCs w:val="28"/>
          <w:rtl w:val="true"/>
          <w:lang w:bidi="ar-SA"/>
        </w:rPr>
        <w:t>قبول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فلو لم يكن مفيداً في حصر الالوهية في اللّه، لما شهد القائل بالتوحيد، و تصوّر انّ دلالته على التوحيد لأجل القرينة كما في الكفاية لا دليل عليه، و عدّه الشيخ في المطارح كلاماً سخيفاً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كلمة الإخلاص سؤالاً و جواباً سيوافيك الكلام فيه بعد إتمام دراسة المواضع الثلاثة التي أشرنا إليها في صدر البحث</w:t>
      </w:r>
      <w:r>
        <w:rPr>
          <w:rFonts w:eastAsia="Amiri" w:cs="Amiri" w:ascii="Amiri" w:hAnsi="Amiri"/>
          <w:color w:val="111111"/>
          <w:sz w:val="28"/>
          <w:szCs w:val="28"/>
          <w:rtl w:val="true"/>
          <w:lang w:bidi="ar-SA"/>
        </w:rPr>
        <w:t>.</w:t>
      </w:r>
    </w:p>
    <w:p>
      <w:pPr>
        <w:pStyle w:val="Heading6"/>
        <w:numPr>
          <w:ilvl w:val="5"/>
          <w:numId w:val="1"/>
        </w:numPr>
        <w:rPr/>
      </w:pPr>
      <w:bookmarkStart w:id="953" w:name="__RefHeading___Toc7305282_3381743652"/>
      <w:bookmarkStart w:id="954" w:name="_Toc362"/>
      <w:bookmarkEnd w:id="953"/>
      <w:r>
        <w:rPr>
          <w:rtl w:val="true"/>
        </w:rPr>
        <w:t>ج</w:t>
      </w:r>
      <w:r>
        <w:rPr>
          <w:rtl w:val="true"/>
        </w:rPr>
        <w:t xml:space="preserve">. </w:t>
      </w:r>
      <w:r>
        <w:rPr>
          <w:rtl w:val="true"/>
        </w:rPr>
        <w:t>هل الدلالة على الحصر دلالة مفهومية؟</w:t>
      </w:r>
      <w:bookmarkEnd w:id="954"/>
    </w:p>
    <w:p>
      <w:pPr>
        <w:pStyle w:val="BookText"/>
        <w:rPr/>
      </w:pPr>
      <w:r>
        <w:rPr>
          <w:rFonts w:ascii="Amiri" w:hAnsi="Amiri" w:eastAsia="Amiri" w:cs="Amiri"/>
          <w:color w:val="111111"/>
          <w:sz w:val="28"/>
          <w:sz w:val="28"/>
          <w:szCs w:val="28"/>
          <w:rtl w:val="true"/>
          <w:lang w:bidi="ar-SA"/>
        </w:rPr>
        <w:t>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إلاّ زيداً، فهنا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المستثنى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إكرام العلماء باستثناء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المستثنى، عدم وجوب إكرام 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حصر الخروج في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شكّ انّ دلالة الجملة عليه منطوقية، إنّما الكلام في الأمر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استفادة حكم المستثنى، فهل هو بالمنطوق أو بالمفهوم؟ فقد فصّل المحقّق الخراساني بين كون حكم المستثنى لازم خصوصية الحكم في جانب المستثنى منه فالدلالة مفهومية و بين كونه مستفاداً 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فمنطوقية، قال في هذا الصدد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الظاهر انّ دلالة الاستثناء على الحكم في طرف المستثنى بالمفهوم و انّه لازم خصوصية الحكم في جانب المستثنى منه التي دلّت عليها الجملة الاستثنائية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كانت الدلالة في طرفه بنفس الاستثناء لا بتلك الجملة كانت بالمنطوق كما </w:t>
      </w:r>
    </w:p>
    <w:p>
      <w:pPr>
        <w:pStyle w:val="BookText"/>
        <w:rPr/>
      </w:pPr>
      <w:r>
        <w:rPr>
          <w:rFonts w:ascii="Amiri" w:hAnsi="Amiri" w:eastAsia="Amiri" w:cs="Amiri"/>
          <w:color w:val="111111"/>
          <w:sz w:val="28"/>
          <w:sz w:val="28"/>
          <w:szCs w:val="28"/>
          <w:rtl w:val="true"/>
          <w:lang w:bidi="ar-SA"/>
        </w:rPr>
        <w:t>هو ليس ببعيد</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قلنا بأنّ حكم المستثنى مستفاد من الخصوصية الموجودة في الجملة الاستثنائية و انّ حكمه لازم الخصوصية، فالدلالة تكون مفهومية، و المراد من تلك الخصوصية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المجيء في قوم غير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فيفهم منه عدم مجيء زيد، فعدم مجيئه ليس مصرحاً به في الكلام و إنّما المصرّح به هو مجيء القوم، نعم قيد القوم بغير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 إلاّ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فاللفظ قائم مقام ذلك الفعل، فتكون الدلالة منطوقية لاستفادة حكم زيد 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انّ الدلالة منطوقية، و ذلك لأنّ هيئة الجملة الاستثنائية موضوعة لإفادة معنيين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ثبوت الحكم للمستثنى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نفيه عن المستثنى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سبق تمثيل الخطيب القزويني للحصر الافرادي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شاعراً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الحصر القلبي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زيد إلاّ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فاستفادة كلّ من الحكمين من المنطوق و دلالة الهيئة الاستثنائية على حكم كلّ من المستثنى منه و المستثنى دلالة لفظية تضمنية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يسقط الاحتمال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إلاّ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استثنى </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الجملة الاستثنائية على حصر الخروج في المستثنى فهو محتمل الأمرين، و بما انّه لا يترتب على تعيين ذلك ثمرة عملية فلا نخوض فيه</w:t>
      </w:r>
      <w:r>
        <w:rPr>
          <w:rFonts w:eastAsia="Amiri" w:cs="Amiri" w:ascii="Amiri" w:hAnsi="Amiri"/>
          <w:color w:val="111111"/>
          <w:sz w:val="28"/>
          <w:szCs w:val="28"/>
          <w:rtl w:val="true"/>
          <w:lang w:bidi="ar-SA"/>
        </w:rPr>
        <w:t xml:space="preserve">. </w:t>
      </w:r>
      <w:bookmarkStart w:id="955" w:name="pg14356_187031"/>
    </w:p>
    <w:p>
      <w:pPr>
        <w:pStyle w:val="BookText"/>
        <w:rPr/>
      </w:pPr>
      <w:bookmarkEnd w:id="955"/>
      <w:r>
        <w:rPr>
          <w:rFonts w:ascii="Amiri" w:hAnsi="Amiri" w:eastAsia="Amiri" w:cs="Amiri"/>
          <w:color w:val="111111"/>
          <w:sz w:val="28"/>
          <w:sz w:val="28"/>
          <w:szCs w:val="28"/>
          <w:rtl w:val="true"/>
          <w:lang w:bidi="ar-SA"/>
        </w:rPr>
        <w:t>و ربما يتصوّر وجود الثمرة، و هي انّ الدلالة المنطوقية أقوى من المفهومية، فتعيين إحدى الدلالتين غير خالي عن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تقديم الدلالة المنطوقية على المفهومية ليس لأجل كونها أقوى من المفهومية دائماً، بل ربما يكون المفهوم أقوى من المنطوق، بل الحكم في كلّ مورد يتبع أقوى الدلالتين</w:t>
      </w:r>
      <w:r>
        <w:rPr>
          <w:rFonts w:eastAsia="Amiri" w:cs="Amiri" w:ascii="Amiri" w:hAnsi="Amiri"/>
          <w:color w:val="111111"/>
          <w:sz w:val="28"/>
          <w:szCs w:val="28"/>
          <w:rtl w:val="true"/>
          <w:lang w:bidi="ar-SA"/>
        </w:rPr>
        <w:t>.</w:t>
      </w:r>
    </w:p>
    <w:p>
      <w:pPr>
        <w:pStyle w:val="Heading6"/>
        <w:numPr>
          <w:ilvl w:val="5"/>
          <w:numId w:val="1"/>
        </w:numPr>
        <w:rPr/>
      </w:pPr>
      <w:bookmarkStart w:id="956" w:name="__RefHeading___Toc7305284_3381743652"/>
      <w:bookmarkStart w:id="957" w:name="_Toc363"/>
      <w:bookmarkEnd w:id="956"/>
      <w:r>
        <w:rPr>
          <w:rtl w:val="true"/>
        </w:rPr>
        <w:t>بحث حول كلمة الإخلاص</w:t>
      </w:r>
      <w:bookmarkEnd w:id="957"/>
    </w:p>
    <w:p>
      <w:pPr>
        <w:pStyle w:val="Heading6"/>
        <w:numPr>
          <w:ilvl w:val="5"/>
          <w:numId w:val="1"/>
        </w:numPr>
        <w:rPr/>
      </w:pPr>
      <w:bookmarkStart w:id="958" w:name="__RefHeading___Toc7305286_3381743652"/>
      <w:bookmarkStart w:id="959" w:name="_Toc364"/>
      <w:bookmarkEnd w:id="958"/>
      <w:r>
        <w:rPr>
          <w:rtl w:val="true"/>
        </w:rPr>
        <w:t>الإشكال في تقدير خبر لا</w:t>
      </w:r>
      <w:bookmarkEnd w:id="959"/>
    </w:p>
    <w:p>
      <w:pPr>
        <w:pStyle w:val="BookText"/>
        <w:rPr/>
      </w:pPr>
      <w:r>
        <w:rPr>
          <w:rFonts w:ascii="Amiri" w:hAnsi="Amiri" w:eastAsia="Amiri" w:cs="Amiri"/>
          <w:color w:val="111111"/>
          <w:sz w:val="28"/>
          <w:sz w:val="28"/>
          <w:szCs w:val="28"/>
          <w:rtl w:val="true"/>
          <w:lang w:bidi="ar-SA"/>
        </w:rPr>
        <w:t>لا شكّ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النافية للجنس تعمل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يكثر حذف خبرها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لا ضَيْرَ إِنّا إِلى رَبِّنا مُنْقَلِبُونَ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تَرى إِذْ فَزِعُوا فَلا فَوْتَ وَ أُخِذُوا مِنْ مَكانٍ قَرِيبٍ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و عندئذ يقع الكلام في تعيين الخبر،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اعترافاً بإمكان المستثنى، لا لوجوده، و إن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اعترافاً بنفي وجود الآلهة، لا نفي إمكانه و كلا الأمرين خلاف المقصود، فانّ المطلوب من هذه الكلمة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الاعتراف بوجود المستثنى فعلاً هو رهن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إنكار إمكان الآلهة و امتناعها و هو رهن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من الخبرين صالح من جهة و غير صالح لجهة أُخرى</w:t>
      </w:r>
      <w:r>
        <w:rPr>
          <w:rFonts w:eastAsia="Amiri" w:cs="Amiri" w:ascii="Amiri" w:hAnsi="Amiri"/>
          <w:color w:val="111111"/>
          <w:sz w:val="28"/>
          <w:szCs w:val="28"/>
          <w:rtl w:val="true"/>
          <w:lang w:bidi="ar-SA"/>
        </w:rPr>
        <w:t>.</w:t>
      </w:r>
    </w:p>
    <w:p>
      <w:pPr>
        <w:pStyle w:val="Heading6"/>
        <w:numPr>
          <w:ilvl w:val="5"/>
          <w:numId w:val="1"/>
        </w:numPr>
        <w:rPr/>
      </w:pPr>
      <w:bookmarkStart w:id="960" w:name="__RefHeading___Toc7305288_3381743652"/>
      <w:bookmarkStart w:id="961" w:name="_Toc365"/>
      <w:bookmarkEnd w:id="960"/>
      <w:r>
        <w:rPr>
          <w:rtl w:val="true"/>
        </w:rPr>
        <w:t>و قد أُجيب بوجوه</w:t>
      </w:r>
      <w:r>
        <w:rPr>
          <w:rtl w:val="true"/>
        </w:rPr>
        <w:t>:</w:t>
      </w:r>
      <w:bookmarkEnd w:id="961"/>
    </w:p>
    <w:p>
      <w:pPr>
        <w:pStyle w:val="Heading6"/>
        <w:numPr>
          <w:ilvl w:val="5"/>
          <w:numId w:val="1"/>
        </w:numPr>
        <w:rPr/>
      </w:pPr>
      <w:bookmarkStart w:id="962" w:name="__RefHeading___Toc7305290_3381743652"/>
      <w:bookmarkStart w:id="963" w:name="_Toc366"/>
      <w:bookmarkEnd w:id="962"/>
      <w:r>
        <w:rPr/>
        <w:t>1</w:t>
      </w:r>
      <w:r>
        <w:rPr>
          <w:rtl w:val="true"/>
        </w:rPr>
        <w:t xml:space="preserve">. </w:t>
      </w:r>
      <w:r>
        <w:rPr>
          <w:rtl w:val="true"/>
        </w:rPr>
        <w:t>انّ لفظ</w:t>
      </w:r>
      <w:r>
        <w:rPr>
          <w:rtl w:val="true"/>
        </w:rPr>
        <w:t xml:space="preserve">» </w:t>
      </w:r>
      <w:r>
        <w:rPr>
          <w:rtl w:val="true"/>
        </w:rPr>
        <w:t xml:space="preserve">لا </w:t>
      </w:r>
      <w:r>
        <w:rPr>
          <w:rtl w:val="true"/>
        </w:rPr>
        <w:t>«</w:t>
      </w:r>
      <w:r>
        <w:rPr>
          <w:rtl w:val="true"/>
        </w:rPr>
        <w:t>اسميّة غنية عن الخبر</w:t>
      </w:r>
      <w:bookmarkEnd w:id="963"/>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النافية للجنس، اسمية غنية عن الخبر،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كلام تام غني عن الجواب، و هذا هو الذي نقله الشيخ الأنصاري عن بعضهم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العدم كالوجود، فكما أنّ الوجود منه رابط،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محمول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العدم، فمنه رابط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ليس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منه محمول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معدوم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يحتاج إلى الطرفين لامتناع تحقّق الرابط بدونهما بخلاف الثاني، فالعدم المستفاد من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طريقة التميميّين عدم محمول و لا يحتاج إلى تقدير خبر، و المعنى نفي عنوان الالهية مطلقاً إلاّ في اللّه 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معدوم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و لا أهل، و يراد منه نفي المال و الأهل</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و كان سيّد مشايخنا المحقّق البروجردي يرتضيه في درسه الشريف في مبحث العام و الخاص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لا بدّ لها من جهة و هي لا تخلو من الإمكان و الفعلية، و على كلّ تقدير يعود المحذور، فإن كانت الجهة هي الإمكان يكون الاستثناء اعترافاً بإمكان المستثنى، و 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هي مساوقة بالموجود، كان نفياً لوجود الآلهة لا لإمكانها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الجهة لا هذا و لا ذاك، بل الجهة عبارة عن الضرورة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معدوم إلاّ اللّه بالضرورة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نفي الإله بالضرورة يساوق امتناعه، كما أنّ إثباته بالضرورة يلازم وجوب وجوده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صحّة الجواب مبنية على 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الاسمية، و إلاّ يلزم تركيب الكلام من حرف و اسم، و نقل الشيخ في المطارح انّه لغة التميميّين لكن تفسير الجملة الذائعة بين العرب كلّهم بلغة طائفة خاصة ليس صحيحاً</w:t>
      </w:r>
      <w:r>
        <w:rPr>
          <w:rFonts w:eastAsia="Amiri" w:cs="Amiri" w:ascii="Amiri" w:hAnsi="Amiri"/>
          <w:color w:val="111111"/>
          <w:sz w:val="28"/>
          <w:szCs w:val="28"/>
          <w:rtl w:val="true"/>
          <w:lang w:bidi="ar-SA"/>
        </w:rPr>
        <w:t xml:space="preserve">. </w:t>
      </w:r>
      <w:bookmarkStart w:id="964" w:name="pg14356_187033"/>
    </w:p>
    <w:p>
      <w:pPr>
        <w:pStyle w:val="Heading6"/>
        <w:numPr>
          <w:ilvl w:val="5"/>
          <w:numId w:val="1"/>
        </w:numPr>
        <w:rPr/>
      </w:pPr>
      <w:bookmarkStart w:id="965" w:name="__RefHeading___Toc7305292_3381743652"/>
      <w:bookmarkStart w:id="966" w:name="_Toc367"/>
      <w:bookmarkEnd w:id="964"/>
      <w:bookmarkEnd w:id="965"/>
      <w:r>
        <w:rPr/>
        <w:t>2</w:t>
      </w:r>
      <w:r>
        <w:rPr>
          <w:rtl w:val="true"/>
        </w:rPr>
        <w:t xml:space="preserve">. </w:t>
      </w:r>
      <w:r>
        <w:rPr>
          <w:rtl w:val="true"/>
        </w:rPr>
        <w:t>الإله بمعنى واجب الوجود</w:t>
      </w:r>
      <w:bookmarkEnd w:id="966"/>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واجب الوجود، و نفي ثبوته و وجوده في الخارج و إثبات فرد منه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بالملازمة البيّنة على امتناع تحقّقه في ضمن غيره تبارك و تعالى ضرورة انّه لو لم يكن ممتنعاً لوجد، لكونه من أفراد الواجب</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على هذا فالمقدر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يدلّ بالدلالة المطابقية على فعلية وجوده سبحانه و لكن يدلّ بالملازمة على نفي إمكان غيره، إذ لو كان ممكناً بالإمكان العام لكان موجوداً بالضرورة لضرورة وجوده و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الإله إمّا بمعنى المعبود، كما هو المشهور أو يساوق مفهومه مفهوم لفظ الجلالة، غير أنّ الأوّل كلّي، و الآخر علم شخصي فما يتبادر من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المتبادر من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التشخّص، و أمّا كونه بمعنى واجب الوجود فلم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من لوازم وجود الإله الواقعي</w:t>
      </w:r>
      <w:r>
        <w:rPr>
          <w:rFonts w:eastAsia="Amiri" w:cs="Amiri" w:ascii="Amiri" w:hAnsi="Amiri"/>
          <w:color w:val="111111"/>
          <w:sz w:val="28"/>
          <w:szCs w:val="28"/>
          <w:rtl w:val="true"/>
          <w:lang w:bidi="ar-SA"/>
        </w:rPr>
        <w:t>.</w:t>
      </w:r>
    </w:p>
    <w:p>
      <w:pPr>
        <w:pStyle w:val="Heading6"/>
        <w:numPr>
          <w:ilvl w:val="5"/>
          <w:numId w:val="1"/>
        </w:numPr>
        <w:rPr/>
      </w:pPr>
      <w:bookmarkStart w:id="967" w:name="__RefHeading___Toc7305294_3381743652"/>
      <w:bookmarkStart w:id="968" w:name="_Toc368"/>
      <w:bookmarkEnd w:id="967"/>
      <w:r>
        <w:rPr/>
        <w:t>3</w:t>
      </w:r>
      <w:r>
        <w:rPr>
          <w:rtl w:val="true"/>
        </w:rPr>
        <w:t xml:space="preserve">. </w:t>
      </w:r>
      <w:r>
        <w:rPr>
          <w:rtl w:val="true"/>
        </w:rPr>
        <w:t>المقصود حصر العبادة في اللّه لا إثبات وجوده</w:t>
      </w:r>
      <w:bookmarkEnd w:id="968"/>
    </w:p>
    <w:p>
      <w:pPr>
        <w:pStyle w:val="BookText"/>
        <w:rPr/>
      </w:pPr>
      <w:r>
        <w:rPr>
          <w:rFonts w:ascii="Amiri" w:hAnsi="Amiri" w:eastAsia="Amiri" w:cs="Amiri"/>
          <w:color w:val="111111"/>
          <w:sz w:val="28"/>
          <w:sz w:val="28"/>
          <w:szCs w:val="28"/>
          <w:rtl w:val="true"/>
          <w:lang w:bidi="ar-SA"/>
        </w:rPr>
        <w:t>إنّ العرب الجاهليّين كانوا موحّدين في المراتب الثلاثة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الذاتي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لا ثاني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الخالقي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خالق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 الربوبي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مدبر في الكون سواه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كانوا مشركين في العبادة، و كانوا يعبدون الأصنام بذريعة انّهم عباد اللّه المكرمين حتّى يتقربوا بعبادتهم إلى اللّه زلفى، فجاء النبي لردّ هذه العقيدة و انّ </w:t>
      </w:r>
      <w:bookmarkStart w:id="969" w:name="pg14356_187034"/>
    </w:p>
    <w:p>
      <w:pPr>
        <w:pStyle w:val="BookText"/>
        <w:rPr/>
      </w:pPr>
      <w:bookmarkEnd w:id="969"/>
      <w:r>
        <w:rPr>
          <w:rFonts w:ascii="Amiri" w:hAnsi="Amiri" w:eastAsia="Amiri" w:cs="Amiri"/>
          <w:color w:val="111111"/>
          <w:sz w:val="28"/>
          <w:sz w:val="28"/>
          <w:szCs w:val="28"/>
          <w:rtl w:val="true"/>
          <w:lang w:bidi="ar-SA"/>
        </w:rPr>
        <w:t>العبادة كسائر مراحل التوحيد مختصة باللّه سبحانه، و انّه لا معبود إلاّ اللّه، فالكلمة سيقت لحصر العبادة فيه لا لإثبات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الإشكال باق بحاله لكن بصورة أُخرى، و هو انّ الخبر امّا ممكن أو موجود، فعلى الأوّل لم يعترف بكونه معبوداً بالفعل، و على الثاني لم ينف إمكان معبودية غيره</w:t>
      </w:r>
      <w:r>
        <w:rPr>
          <w:rFonts w:eastAsia="Amiri" w:cs="Amiri" w:ascii="Amiri" w:hAnsi="Amiri"/>
          <w:color w:val="111111"/>
          <w:sz w:val="28"/>
          <w:szCs w:val="28"/>
          <w:rtl w:val="true"/>
          <w:lang w:bidi="ar-SA"/>
        </w:rPr>
        <w:t>.</w:t>
      </w:r>
    </w:p>
    <w:p>
      <w:pPr>
        <w:pStyle w:val="Heading6"/>
        <w:numPr>
          <w:ilvl w:val="5"/>
          <w:numId w:val="1"/>
        </w:numPr>
        <w:rPr/>
      </w:pPr>
      <w:bookmarkStart w:id="970" w:name="__RefHeading___Toc7305296_3381743652"/>
      <w:bookmarkStart w:id="971" w:name="_Toc369"/>
      <w:bookmarkEnd w:id="970"/>
      <w:r>
        <w:rPr/>
        <w:t>4</w:t>
      </w:r>
      <w:r>
        <w:rPr>
          <w:rtl w:val="true"/>
        </w:rPr>
        <w:t xml:space="preserve">. </w:t>
      </w:r>
      <w:r>
        <w:rPr>
          <w:rtl w:val="true"/>
        </w:rPr>
        <w:t>الكلمة مشتملة على عقد واحد و هو عقد النفي</w:t>
      </w:r>
      <w:bookmarkEnd w:id="971"/>
    </w:p>
    <w:p>
      <w:pPr>
        <w:pStyle w:val="BookText"/>
        <w:rPr/>
      </w:pPr>
      <w:r>
        <w:rPr>
          <w:rFonts w:ascii="Amiri" w:hAnsi="Amiri" w:eastAsia="Amiri" w:cs="Amiri"/>
          <w:color w:val="111111"/>
          <w:sz w:val="28"/>
          <w:sz w:val="28"/>
          <w:szCs w:val="28"/>
          <w:rtl w:val="true"/>
          <w:lang w:bidi="ar-SA"/>
        </w:rPr>
        <w:t>إنّ الإشكال مبني على أنّ الكلمة الطيبة مشتملة على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النفي و عقد الإثبات بمعنى نفي ألوهية غيره، و إثبات أُلوهيّته، و عندئذ يتوجه الإشكال، لأنّ الغرض في العقد الأوّل نفي الإمكان، و في الثاني إثبات وجوده فعلاً و الخبر الواحد،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يفي بكلا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قلنا بأنّ الغرض الأقصى منها، هو العقد السلبي، أي سلب الأُلوهية عن كلّ ما يتصوّر سوى اللّه سبحانه، و امّا إثبات الأُلوهية للّه سبحانه، فليس بمقصود، لكونها كانت أمراً مسلّماً، فيسقط الإشكال، و يكون الخبر المقدر، هو الممكن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يكون مفاده نفي إمكان أُلوهيّة غيره و أمّا أُلوهيته سبحانه، إمكاناً أو فعلاً، فليس بمقصود، لكونها أمراً مسلماً إمكاناً و فعلية</w:t>
      </w:r>
      <w:r>
        <w:rPr>
          <w:rFonts w:eastAsia="Amiri" w:cs="Amiri" w:ascii="Amiri" w:hAnsi="Amiri"/>
          <w:color w:val="111111"/>
          <w:sz w:val="28"/>
          <w:szCs w:val="28"/>
          <w:rtl w:val="true"/>
          <w:lang w:bidi="ar-SA"/>
        </w:rPr>
        <w:t>.</w:t>
      </w:r>
      <w:r>
        <w:rPr>
          <w:rStyle w:val="FootnoteAnchor"/>
          <w:rtl w:val="true"/>
        </w:rPr>
        <w:footnoteReference w:id="282"/>
      </w:r>
    </w:p>
    <w:p>
      <w:pPr>
        <w:pStyle w:val="Heading6"/>
        <w:numPr>
          <w:ilvl w:val="5"/>
          <w:numId w:val="1"/>
        </w:numPr>
        <w:rPr/>
      </w:pPr>
      <w:bookmarkStart w:id="972" w:name="__RefHeading___Toc7305298_3381743652"/>
      <w:bookmarkStart w:id="973" w:name="_Toc370"/>
      <w:bookmarkEnd w:id="972"/>
      <w:r>
        <w:rPr/>
        <w:t>5</w:t>
      </w:r>
      <w:r>
        <w:rPr>
          <w:rtl w:val="true"/>
        </w:rPr>
        <w:t xml:space="preserve">. </w:t>
      </w:r>
      <w:r>
        <w:rPr>
          <w:rtl w:val="true"/>
        </w:rPr>
        <w:t>الهدف نفي الفعلية و إثباتها</w:t>
      </w:r>
      <w:bookmarkEnd w:id="97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الوجه ذكره الشيخ الأنصاري،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الغاية من كلمة </w:t>
      </w:r>
      <w:bookmarkStart w:id="974" w:name="pg14356_187035"/>
    </w:p>
    <w:p>
      <w:pPr>
        <w:pStyle w:val="BookText"/>
        <w:rPr/>
      </w:pPr>
      <w:bookmarkEnd w:id="974"/>
      <w:r>
        <w:rPr>
          <w:rFonts w:ascii="Amiri" w:hAnsi="Amiri" w:eastAsia="Amiri" w:cs="Amiri"/>
          <w:color w:val="111111"/>
          <w:sz w:val="28"/>
          <w:sz w:val="28"/>
          <w:szCs w:val="28"/>
          <w:rtl w:val="true"/>
          <w:lang w:bidi="ar-SA"/>
        </w:rPr>
        <w:t>الإخلاص في جانبي السلب و الإيجاب، هو نفي أُلوهية الآلهة الموجودة بين المشركين و حصر الأُلوهية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 نفي الفعلية عنها و إثباتها له، و أمّا نفي إمكان أُلوهيتها فليس بمطلوب في المقام و إنّما يطلب من الآيات الأُخرى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كانَ فِيهِما آلِهَةٌ إِلاَّ اللّهُ لَفَسَدَتا فَسُبْحانَ اللّهِ رَبِّ الْعَرْشِ عَمّا يَصِفُونَ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كانَ مَعَهُ مِنْ إِلهٍ إِذاً لَذَهَبَ كُلُّ إِلهٍ بِما خَلَقَ وَ لَعَلا بَعْضُهُمْ عَلى بَعْضٍ سُبْحانَ اللّهِ عَمّا يَصِفُونَ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هذه هي أجوبة القوم في المقام، و الأظهر هو الجواب الرابع و الخامس، فلاحظ</w:t>
      </w:r>
      <w:r>
        <w:rPr>
          <w:rFonts w:eastAsia="Amiri" w:cs="Amiri" w:ascii="Amiri" w:hAnsi="Amiri"/>
          <w:color w:val="111111"/>
          <w:sz w:val="28"/>
          <w:szCs w:val="28"/>
          <w:rtl w:val="true"/>
          <w:lang w:bidi="ar-SA"/>
        </w:rPr>
        <w:t>.</w:t>
      </w:r>
    </w:p>
    <w:p>
      <w:pPr>
        <w:pStyle w:val="Heading5"/>
        <w:numPr>
          <w:ilvl w:val="4"/>
          <w:numId w:val="1"/>
        </w:numPr>
        <w:rPr/>
      </w:pPr>
      <w:bookmarkStart w:id="975" w:name="__RefHeading___Toc7305300_3381743652"/>
      <w:bookmarkStart w:id="976" w:name="_Toc371"/>
      <w:bookmarkEnd w:id="975"/>
      <w:r>
        <w:rPr/>
        <w:t>2</w:t>
      </w:r>
      <w:r>
        <w:rPr>
          <w:rtl w:val="true"/>
        </w:rPr>
        <w:t xml:space="preserve">. </w:t>
      </w:r>
      <w:r>
        <w:rPr>
          <w:rtl w:val="true"/>
        </w:rPr>
        <w:t xml:space="preserve">من أدوات الحصر لفظة </w:t>
      </w:r>
      <w:r>
        <w:rPr>
          <w:rtl w:val="true"/>
        </w:rPr>
        <w:t>«</w:t>
      </w:r>
      <w:r>
        <w:rPr>
          <w:rtl w:val="true"/>
        </w:rPr>
        <w:t>إنّما</w:t>
      </w:r>
      <w:r>
        <w:rPr>
          <w:rtl w:val="true"/>
        </w:rPr>
        <w:t>»</w:t>
      </w:r>
      <w:bookmarkEnd w:id="976"/>
    </w:p>
    <w:p>
      <w:pPr>
        <w:pStyle w:val="Heading6"/>
        <w:numPr>
          <w:ilvl w:val="5"/>
          <w:numId w:val="1"/>
        </w:numPr>
        <w:rPr/>
      </w:pPr>
      <w:bookmarkStart w:id="977" w:name="__RefHeading___Toc7305302_3381743652"/>
      <w:bookmarkStart w:id="978" w:name="_Toc372"/>
      <w:bookmarkEnd w:id="977"/>
      <w:r>
        <w:rPr>
          <w:rtl w:val="true"/>
        </w:rPr>
        <w:t>اشارة</w:t>
      </w:r>
      <w:bookmarkEnd w:id="978"/>
    </w:p>
    <w:p>
      <w:pPr>
        <w:pStyle w:val="BookText"/>
        <w:rPr/>
      </w:pPr>
      <w:r>
        <w:rPr>
          <w:rFonts w:ascii="Amiri" w:hAnsi="Amiri" w:eastAsia="Amiri" w:cs="Amiri"/>
          <w:color w:val="111111"/>
          <w:sz w:val="28"/>
          <w:sz w:val="28"/>
          <w:szCs w:val="28"/>
          <w:rtl w:val="true"/>
          <w:lang w:bidi="ar-SA"/>
        </w:rPr>
        <w:t>من أدوات الحصر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الخطيب في تلخيص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كقولك في قصره أفراداً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 كاتب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زيد قائم </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فلو أُريد من الكلام قطع الشركة كما إذا زعم المخاطب انّ زيداً كاتب و شاعر معاً، فيكون القصر أفراداً، و إن أُريد قلب اعتقاد المتكلّم كما إذا اعتقد المخاطب انّ زيداً قاعد، يكون القصر قلباً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علماء المعاني على إفادتها للحصر بوجوه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تتضمن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بشهادة قول المفسّرين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p>
    <w:p>
      <w:pPr>
        <w:pStyle w:val="BookText"/>
        <w:rPr/>
      </w:pPr>
      <w:r>
        <w:rPr>
          <w:rFonts w:ascii="Amiri" w:hAnsi="Amiri" w:eastAsia="Amiri" w:cs="Amiri"/>
          <w:color w:val="111111"/>
          <w:sz w:val="28"/>
          <w:sz w:val="28"/>
          <w:szCs w:val="28"/>
          <w:rtl w:val="true"/>
          <w:lang w:bidi="ar-SA"/>
        </w:rPr>
        <w:t xml:space="preserve">حَرَّمَ عَلَيْكُمُ الْمَيْتَةَ وَ الدَّمَ وَ لَحْمَ الْخِنْزِيرِ وَ ما أُهِلَّ بِهِ لِغَيْرِ اللّهِ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أي ما حرم ربّكم إلا الميتة و ما تلاها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 النحاة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لإثبات ما يذكر بعدها و نفي ما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صحّة انفصال الضمير معه،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يقوم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وجه لظهور الضمير إلاّ إفادة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الذائد الحامي الذمار و إنّما يدافع عن أحسابهم أنا أو مثلي</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و استدل المحقّق الخراساني على إفادته الحصر بوجهين 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تبادر الحصر منها في استعمالاتها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تصريح أهل اللغة بذلك كالأزهري و غيره</w:t>
      </w:r>
      <w:r>
        <w:rPr>
          <w:rFonts w:eastAsia="Amiri" w:cs="Amiri" w:ascii="Amiri" w:hAnsi="Amiri"/>
          <w:color w:val="111111"/>
          <w:sz w:val="28"/>
          <w:szCs w:val="28"/>
          <w:rtl w:val="true"/>
          <w:lang w:bidi="ar-SA"/>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و أورد على الأوّل من الأخيرين بأنّ موارد استعمال هذه اللفظة مختلفة و لا يعلم بالدقة، لعدم وجود ما يرادفها في عرفنا حتّى يستكشف منه بمراجعة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يكفي التبادر عند أهل اللسان و إن لم يكن في عرفنا ما هو مرادف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منها بأنّ قول اللغوي ليست بحجّة إلاّ من باب الظن المطلق</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تضافر النقل من اللغويين و النحويين و علماء المعاني على أنّه يفيد الحصر، أفاد ذلك وثوقاً و هو علم عرفي و حجّة شرعية</w:t>
      </w:r>
      <w:r>
        <w:rPr>
          <w:rFonts w:eastAsia="Amiri" w:cs="Amiri" w:ascii="Amiri" w:hAnsi="Amiri"/>
          <w:color w:val="111111"/>
          <w:sz w:val="28"/>
          <w:szCs w:val="28"/>
          <w:rtl w:val="true"/>
          <w:lang w:bidi="ar-SA"/>
        </w:rPr>
        <w:t xml:space="preserve">. </w:t>
      </w:r>
      <w:bookmarkStart w:id="979" w:name="pg14356_187037"/>
    </w:p>
    <w:p>
      <w:pPr>
        <w:pStyle w:val="Heading6"/>
        <w:numPr>
          <w:ilvl w:val="5"/>
          <w:numId w:val="1"/>
        </w:numPr>
        <w:rPr/>
      </w:pPr>
      <w:bookmarkStart w:id="980" w:name="__RefHeading___Toc7305304_3381743652"/>
      <w:bookmarkStart w:id="981" w:name="_Toc373"/>
      <w:bookmarkEnd w:id="979"/>
      <w:bookmarkEnd w:id="980"/>
      <w:r>
        <w:rPr>
          <w:rtl w:val="true"/>
        </w:rPr>
        <w:t>دليل النافي لإفادة الحصر</w:t>
      </w:r>
      <w:bookmarkEnd w:id="981"/>
    </w:p>
    <w:p>
      <w:pPr>
        <w:pStyle w:val="BookText"/>
        <w:rPr/>
      </w:pPr>
      <w:r>
        <w:rPr>
          <w:rFonts w:ascii="Amiri" w:hAnsi="Amiri" w:eastAsia="Amiri" w:cs="Amiri"/>
          <w:color w:val="111111"/>
          <w:sz w:val="28"/>
          <w:sz w:val="28"/>
          <w:szCs w:val="28"/>
          <w:rtl w:val="true"/>
          <w:lang w:bidi="ar-SA"/>
        </w:rPr>
        <w:t>ذهب الرازي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إلى أنّ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تفيد الحصر ليبطل بذلك دلالة الآية على ولاية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استدلّ على مختاره بالآية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الْحَياةِ الدُّنْيا كَماءٍ أَنْزَلْناهُ مِنَ السَّماءِ فَاخْتَلَطَ بِهِ نَباتُ الْأَرْضِ مِمّا يَأْكُلُ النّاسُ وَ الْأَنْعامُ حَتّى إِذا أَخَذَتِ الْأَرْضُ زُخْرُفَها وَ ازَّيَّنَتْ وَ ظَنَّ أَهْلُها أَنَّهُمْ قادِرُونَ عَلَيْها أَتاها أَمْرُنا لَيْلاً أَوْ نَهاراً فَجَعَلْناها حَصِيداً كَأَنْ لَمْ تَغْنَ بِالْأَمْسِ كَذلِكَ نُفَصِّلُ الْآياتِ لِقَوْمٍ يَتَفَكَّرُونَ </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حال الدنيا ليس منحصراً بما جاء في هذا المثل، بل يمكن بيان حال الدنيا بتمثيلات أُخرى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الْحَياةُ الدُّنْيا لَعِبٌ وَ لَهْوٌ وَ إِنْ تُؤْمِنُوا وَ تَتَّقُوا يُؤْتِكُمْ أُجُورَكُمْ وَ لا يَسْئَلْكُمْ أَمْوالَكُمْ </w:t>
      </w:r>
      <w:r>
        <w:rPr>
          <w:rFonts w:eastAsia="Amiri" w:cs="Amiri" w:ascii="Amiri" w:hAnsi="Amiri"/>
          <w:color w:val="111111"/>
          <w:sz w:val="28"/>
          <w:szCs w:val="28"/>
          <w:rtl w:val="true"/>
          <w:lang w:bidi="ar-SA"/>
        </w:rPr>
        <w:t>).</w:t>
      </w:r>
      <w:r>
        <w:rPr>
          <w:rStyle w:val="FootnoteAnchor"/>
          <w:rtl w:val="true"/>
        </w:rPr>
        <w:footnoteReference w:id="2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الْحَياةُ الدُّنْيا إِلاّ مَتاعُ الْغُرُورِ </w:t>
      </w:r>
      <w:r>
        <w:rPr>
          <w:rFonts w:eastAsia="Amiri" w:cs="Amiri" w:ascii="Amiri" w:hAnsi="Amiri"/>
          <w:color w:val="111111"/>
          <w:sz w:val="28"/>
          <w:szCs w:val="28"/>
          <w:rtl w:val="true"/>
          <w:lang w:bidi="ar-SA"/>
        </w:rPr>
        <w:t>).</w:t>
      </w:r>
      <w:r>
        <w:rPr>
          <w:rStyle w:val="FootnoteAnchor"/>
          <w:rtl w:val="true"/>
        </w:rPr>
        <w:footnoteReference w:id="290"/>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الأمثال الواردة في الكتاب و السنّة و الأدب العربي بُغْية بيان حال الدنيا و هذا آية عدم الحصر</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الدنيا في التمثيلات المتقدّمة شبهت بأُمور متماثلة في الحقيقة و المعنى كما في تشبيهها بماء أنزل من السماء أو باللعب و اللهو أو ببيت عنكبوت، فالمشبه به و إن كان مختلفاً صورة، و لكنّه واحد معنى و هدفاً، فلو نظرنا إلى الدنيا من حيث سرعة الفناء و عدم الخلود فالدنيا أمر غير باق زائل، كزوال طراوة الورود و الأزهار و الأشجار الخضراء، أو زوال اللهو و اللعب بسرعة حيث يتمّ بعد ساعة أو ساعتين، و انخرام بيت العنكبوت بقطرة ماء أو شعلة نار أو بنسيم الصبا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واقع الدنيا لا ينحصر في الأوّل، إذ لا فرق بين الأوّل و الثاني و الثالث فالجميع إشارة إلى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الحصر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يُوحى إِلَيَّ أَنَّما إِلهُكُمْ إِلهٌ واحِدٌ فَهَلْ أَنْتُمْ مُسْلِمُونَ </w:t>
      </w:r>
      <w:r>
        <w:rPr>
          <w:rFonts w:eastAsia="Amiri" w:cs="Amiri" w:ascii="Amiri" w:hAnsi="Amiri"/>
          <w:color w:val="111111"/>
          <w:sz w:val="28"/>
          <w:szCs w:val="28"/>
          <w:rtl w:val="true"/>
          <w:lang w:bidi="ar-SA"/>
        </w:rPr>
        <w:t>)</w:t>
      </w:r>
      <w:r>
        <w:rPr>
          <w:rStyle w:val="FootnoteAnchor"/>
          <w:rtl w:val="true"/>
        </w:rPr>
        <w:footnoteReference w:id="292"/>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إِنَّما أَنَا بَشَرٌ مِثْلُكُمْ يُوحى إِلَيَّ أَنَّما إِلهُكُمْ إِلهٌ واحِدٌ فَمَنْ كانَ يَرْجُوا لِقاءَ رَبِّهِ فَلْيَعْمَلْ عَمَلاً صالِحاً وَ لا يُشْرِكْ بِعِبادَةِ رَبِّهِ أَحَداً </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حيث إنّه أوحى إلى النبي أشياء كثيرة وراء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واحد فلو قلنا بالحصر يجب أن يكون الموحى إليه أمراً واحداً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الحصر في الآية إضافي و ليس بحقيقي فليست الآية بصدد بيان انّه لم يوح إليه طول رسالته إلاّ أمر واحد، بل بصدد بيان أنّ الذي أُوحي إليه في مجال معرفة اللّه شيء واحد، و هو انّه إله واحد لا اثنان كما عليه الثنوية و لا ثلاثة كما عليه المسيحية، و لا أكثر كما عليه المشركون، ففي هذا المجال لم يوح إليه إلاّ شيء واحد</w:t>
      </w:r>
      <w:r>
        <w:rPr>
          <w:rFonts w:eastAsia="Amiri" w:cs="Amiri" w:ascii="Amiri" w:hAnsi="Amiri"/>
          <w:color w:val="111111"/>
          <w:sz w:val="28"/>
          <w:szCs w:val="28"/>
          <w:rtl w:val="true"/>
          <w:lang w:bidi="ar-SA"/>
        </w:rPr>
        <w:t xml:space="preserve">. </w:t>
      </w:r>
      <w:bookmarkStart w:id="982" w:name="pg14356_187039"/>
    </w:p>
    <w:p>
      <w:pPr>
        <w:pStyle w:val="BookText"/>
        <w:rPr/>
      </w:pPr>
      <w:bookmarkEnd w:id="982"/>
      <w:r>
        <w:rPr>
          <w:rFonts w:ascii="Amiri" w:hAnsi="Amiri" w:eastAsia="Amiri" w:cs="Amiri"/>
          <w:color w:val="111111"/>
          <w:sz w:val="28"/>
          <w:sz w:val="28"/>
          <w:szCs w:val="28"/>
          <w:rtl w:val="true"/>
          <w:lang w:bidi="ar-SA"/>
        </w:rPr>
        <w:t>و أظن انّ الرازي و من لفّ لفّه كان عالماً بعدم صحّة ما تمسّك به لكن عقيدته المسبقة بتربيع الإمامة و انّ علياً رابع الخلفاء لا أوّلهم، جرته إلى هذه المناقشات غير التامة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درس مورد الآيات المشتملة على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يقف على أنّه يفيد الحصر، و إليك بعض هذه الآيات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w:t>
      </w:r>
      <w:r>
        <w:rPr>
          <w:rFonts w:eastAsia="Amiri" w:cs="Amiri" w:ascii="Amiri" w:hAnsi="Amiri"/>
          <w:color w:val="111111"/>
          <w:sz w:val="28"/>
          <w:szCs w:val="28"/>
          <w:rtl w:val="true"/>
          <w:lang w:bidi="ar-SA"/>
        </w:rPr>
        <w:t>).</w:t>
      </w:r>
      <w:r>
        <w:rPr>
          <w:rStyle w:val="FootnoteAnchor"/>
          <w:rtl w:val="true"/>
        </w:rPr>
        <w:footnoteReference w:id="29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حَرَّمَ عَلَيْكُمُ الْمَيْتَةَ وَ الدَّمَ وَ لَحْمَ الْخِنْزِيرِ</w:t>
      </w:r>
      <w:r>
        <w:rPr>
          <w:rFonts w:eastAsia="Amiri" w:cs="Amiri" w:ascii="Amiri" w:hAnsi="Amiri"/>
          <w:color w:val="111111"/>
          <w:sz w:val="28"/>
          <w:szCs w:val="28"/>
          <w:rtl w:val="true"/>
          <w:lang w:bidi="ar-SA"/>
        </w:rPr>
        <w:t>...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 أَخْرَجُوكُمْ </w:t>
      </w:r>
      <w:r>
        <w:rPr>
          <w:rFonts w:eastAsia="Amiri" w:cs="Amiri" w:ascii="Amiri" w:hAnsi="Amiri"/>
          <w:color w:val="111111"/>
          <w:sz w:val="28"/>
          <w:szCs w:val="28"/>
          <w:rtl w:val="true"/>
          <w:lang w:bidi="ar-SA"/>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إلى غير ذلك من الآيات المشعرة بالحصر خصوصاً إذا كانت بعد السلب،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زيد قائماً إنّما هو قاعد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فلو دلت على الحصر فإنّما تدلّ بالمنطوق لا بالمفهوم و لا وجه لتسمية تلك الدلالة و ما تقدّمها مفهوماً</w:t>
      </w:r>
      <w:r>
        <w:rPr>
          <w:rFonts w:eastAsia="Amiri" w:cs="Amiri" w:ascii="Amiri" w:hAnsi="Amiri"/>
          <w:color w:val="111111"/>
          <w:sz w:val="28"/>
          <w:szCs w:val="28"/>
          <w:rtl w:val="true"/>
          <w:lang w:bidi="ar-SA"/>
        </w:rPr>
        <w:t>.</w:t>
      </w:r>
    </w:p>
    <w:p>
      <w:pPr>
        <w:pStyle w:val="Heading5"/>
        <w:numPr>
          <w:ilvl w:val="4"/>
          <w:numId w:val="1"/>
        </w:numPr>
        <w:rPr/>
      </w:pPr>
      <w:bookmarkStart w:id="983" w:name="__RefHeading___Toc7305306_3381743652"/>
      <w:bookmarkStart w:id="984" w:name="_Toc374"/>
      <w:bookmarkEnd w:id="983"/>
      <w:r>
        <w:rPr/>
        <w:t>3</w:t>
      </w:r>
      <w:r>
        <w:rPr>
          <w:rtl w:val="true"/>
        </w:rPr>
        <w:t xml:space="preserve">. </w:t>
      </w:r>
      <w:r>
        <w:rPr>
          <w:rtl w:val="true"/>
        </w:rPr>
        <w:t>بل الإضرابية</w:t>
      </w:r>
      <w:bookmarkEnd w:id="984"/>
    </w:p>
    <w:p>
      <w:pPr>
        <w:pStyle w:val="BookText"/>
        <w:rPr/>
      </w:pPr>
      <w:r>
        <w:rPr>
          <w:rFonts w:ascii="Amiri" w:hAnsi="Amiri" w:eastAsia="Amiri" w:cs="Amiri"/>
          <w:color w:val="111111"/>
          <w:sz w:val="28"/>
          <w:sz w:val="28"/>
          <w:szCs w:val="28"/>
          <w:rtl w:val="true"/>
          <w:lang w:bidi="ar-SA"/>
        </w:rPr>
        <w:t>ذكر النحاة و الأُدباء في كتبهم القواعد التالية للفظة 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لفظة بل وضعت للإضراب و الانتقال من معنى إلى معنى، أو من</w:t>
      </w:r>
    </w:p>
    <w:p>
      <w:pPr>
        <w:pStyle w:val="BookText"/>
        <w:rPr/>
      </w:pPr>
      <w:r>
        <w:rPr>
          <w:rFonts w:ascii="Amiri" w:hAnsi="Amiri" w:eastAsia="Amiri" w:cs="Amiri"/>
          <w:color w:val="111111"/>
          <w:sz w:val="28"/>
          <w:sz w:val="28"/>
          <w:szCs w:val="28"/>
          <w:rtl w:val="true"/>
          <w:lang w:bidi="ar-SA"/>
        </w:rPr>
        <w:t>غرض إلى غرض، و هذه الحقيقة لا تنفك عن لفظة بل،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اسْمَ رَبِّهِ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تلاها جملة فهي حرف ابتداء كما في الآية المتقدمة و ليست بعاطفة، و إن تلاها مفرد فهي عاطفة كما سيوافيك أمثلته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تارة تنقل حكم المعرض عنه إلى المدخول بعينه، و أُخرى تنقل ضدّه، و هذا ممّا لا بدّ للفقيه من معرفة موارده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تقدّمها جملة خبرية إيجابية أو جملة إنشائية، فعندئذ تنقل حكم الأوّل إلى الثاني و مع السكوت عن حكم المضرب عنه فلا يحكم عليه بشيء من النفي و الإثبات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زيداً بل عمراً، و قام زيد بل عمر، و إلى تلك الضابطة يشير ابن مالك في منظومته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انقل بها للثاني حكم الأوّل في الخبر المثبت و الأمر الجلي</w:t>
      </w:r>
    </w:p>
    <w:p>
      <w:pPr>
        <w:pStyle w:val="BookText"/>
        <w:rPr/>
      </w:pPr>
      <w:r>
        <w:rPr>
          <w:rFonts w:ascii="Amiri" w:hAnsi="Amiri" w:eastAsia="Amiri" w:cs="Amiri"/>
          <w:color w:val="111111"/>
          <w:sz w:val="28"/>
          <w:sz w:val="28"/>
          <w:szCs w:val="28"/>
          <w:rtl w:val="true"/>
          <w:lang w:bidi="ar-SA"/>
        </w:rPr>
        <w:t>و إن تقدمها نفي أو نهي فهي لتقرير ما قبلها على حالته مع جعل ضدّ ما سبق لما بعدها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قام زيد بل عمرو،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عمرو، و لا تضرب زيداً بل عمراً،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اضرب عمراً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Amiri" w:hAnsi="Amiri" w:eastAsia="Amiri" w:cs="Amiri"/>
          <w:color w:val="111111"/>
          <w:sz w:val="28"/>
          <w:sz w:val="28"/>
          <w:szCs w:val="28"/>
          <w:rtl w:val="true"/>
          <w:lang w:bidi="ar-SA"/>
        </w:rPr>
        <w:t>هذه هي القواعد الكلية في تلك اللفظة و عند ذاك تصل النوبة إلى البحث عن إفادتها الحصر فقد اختلفت الأقوال كالتالي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تفيد الحصر مطلقاً، و نسب إلى الحاجبي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تفيد الحصر مطلقاً، و نسب إلى الزمخشري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لنقل الحكم من المتبوع إلى التابع فقط مطلقاً كما عن بعضهم أو في الإثبات فقط كما عليه المشهور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مورد دون مورد، و هو خيرة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الاضراب على أقسام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لأجل انّ المضرب عنه إنّما أُوتي به غفلة أو سبقه به لسانه فيضرب بها عنه إلى ما قصد بيانه،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بل عمرو فيما إذا التفت إلى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غلط أُوتي به غفلة، ففي مثله لا دلالة لها على الحصر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لأجل التأكيد فيكون ذكر المضرب عنه كالتوطئة و التمهيد لذكر المضرب إليه فلا دلالة له على الحصر أيضاً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اسْمَ رَبِّهِ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لَدَيْنا كِتابٌ يَنْطِقُ بِالْحَقِّ وَ هُمْ لا يُظْلَمُونَ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قُلُوبُهُمْ فِي غَمْرَةٍ مِنْ هذا وَ لَهُمْ أَعْمالٌ مِنْ دُونِ ذلِكَ هُمْ لَها عامِلُونَ </w:t>
      </w:r>
      <w:r>
        <w:rPr>
          <w:rFonts w:eastAsia="Amiri" w:cs="Amiri" w:ascii="Amiri" w:hAnsi="Amiri"/>
          <w:color w:val="111111"/>
          <w:sz w:val="28"/>
          <w:szCs w:val="28"/>
          <w:rtl w:val="true"/>
          <w:lang w:bidi="ar-SA"/>
        </w:rPr>
        <w:t>).</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كان في مقام الردع و إبطال ما أثبت أوّلاً فيدلّ على الحصر،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اتَّخَذَ الرَّحْمنُ وَلَداً سُبْحانَهُ بَلْ عِبادٌ مُكْرَمُونَ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المعنى بل هم عباد و نحوه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يَقُولُونَ بِهِ جِنَّةٌ بَلْ جاءَهُمْ بِالْحَقِّ وَ أَكْثَرُهُمْ لِلْحَقِّ كارِهُونَ </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و هو يفيد الحصر</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يخفى انّها لو أفادت الحصر فالحصر إضافي، أي انّه ليس شأن لملائكة </w:t>
      </w:r>
      <w:bookmarkStart w:id="985" w:name="pg14356_187042"/>
    </w:p>
    <w:p>
      <w:pPr>
        <w:pStyle w:val="BookText"/>
        <w:rPr/>
      </w:pPr>
      <w:bookmarkEnd w:id="985"/>
      <w:r>
        <w:rPr>
          <w:rFonts w:ascii="Amiri" w:hAnsi="Amiri" w:eastAsia="Amiri" w:cs="Amiri"/>
          <w:color w:val="111111"/>
          <w:sz w:val="28"/>
          <w:sz w:val="28"/>
          <w:szCs w:val="28"/>
          <w:rtl w:val="true"/>
          <w:lang w:bidi="ar-SA"/>
        </w:rPr>
        <w:t>اللّه في مقابلة اتهامهم بالولدية إلاّ أنّهم عباد مكرمون، و مع ذلك لا ينافي أن يكون لهم شأن في غير ذلك المجال، فانّهم كتبة الأعمال و قبضة الأرواح إلى غير ذلك من الشئون</w:t>
      </w:r>
      <w:r>
        <w:rPr>
          <w:rFonts w:eastAsia="Amiri" w:cs="Amiri" w:ascii="Amiri" w:hAnsi="Amiri"/>
          <w:color w:val="111111"/>
          <w:sz w:val="28"/>
          <w:szCs w:val="28"/>
          <w:rtl w:val="true"/>
          <w:lang w:bidi="ar-SA"/>
        </w:rPr>
        <w:t>.</w:t>
      </w:r>
    </w:p>
    <w:p>
      <w:pPr>
        <w:pStyle w:val="Heading5"/>
        <w:numPr>
          <w:ilvl w:val="4"/>
          <w:numId w:val="1"/>
        </w:numPr>
        <w:rPr/>
      </w:pPr>
      <w:bookmarkStart w:id="986" w:name="__RefHeading___Toc7305308_3381743652"/>
      <w:bookmarkStart w:id="987" w:name="_Toc375"/>
      <w:bookmarkEnd w:id="986"/>
      <w:r>
        <w:rPr/>
        <w:t>4</w:t>
      </w:r>
      <w:r>
        <w:rPr>
          <w:rtl w:val="true"/>
        </w:rPr>
        <w:t xml:space="preserve">. </w:t>
      </w:r>
      <w:r>
        <w:rPr>
          <w:rtl w:val="true"/>
        </w:rPr>
        <w:t>من أدوات الحصر تقديم ما حقّه التأخير</w:t>
      </w:r>
      <w:bookmarkEnd w:id="987"/>
    </w:p>
    <w:p>
      <w:pPr>
        <w:pStyle w:val="BookText"/>
        <w:rPr/>
      </w:pPr>
      <w:r>
        <w:rPr>
          <w:rFonts w:ascii="Amiri" w:hAnsi="Amiri" w:eastAsia="Amiri" w:cs="Amiri"/>
          <w:color w:val="111111"/>
          <w:sz w:val="28"/>
          <w:sz w:val="28"/>
          <w:szCs w:val="28"/>
          <w:rtl w:val="true"/>
          <w:lang w:bidi="ar-SA"/>
        </w:rPr>
        <w:t>اتّفق النحاة على أنّ تقديم ما حقّه التأخير كالمفعول يفيد الحصر،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إِيّاكَ نَعْبُدُ وَ إِيّاكَ نَسْتَعِينُ </w:t>
      </w:r>
      <w:r>
        <w:rPr>
          <w:rFonts w:eastAsia="Amiri" w:cs="Amiri" w:ascii="Amiri" w:hAnsi="Amiri"/>
          <w:color w:val="111111"/>
          <w:sz w:val="28"/>
          <w:szCs w:val="28"/>
          <w:rtl w:val="true"/>
          <w:lang w:bidi="ar-SA"/>
        </w:rPr>
        <w:t>).</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نعم لا يصحّ أن يقال انّه يفيد الحصر دائماً، إذ ربما يكون للتقديم علل مختلفة كالأهمية و غيرها</w:t>
      </w:r>
      <w:r>
        <w:rPr>
          <w:rFonts w:eastAsia="Amiri" w:cs="Amiri" w:ascii="Amiri" w:hAnsi="Amiri"/>
          <w:color w:val="111111"/>
          <w:sz w:val="28"/>
          <w:szCs w:val="28"/>
          <w:rtl w:val="true"/>
          <w:lang w:bidi="ar-SA"/>
        </w:rPr>
        <w:t>.</w:t>
      </w:r>
    </w:p>
    <w:p>
      <w:pPr>
        <w:pStyle w:val="Heading5"/>
        <w:numPr>
          <w:ilvl w:val="4"/>
          <w:numId w:val="1"/>
        </w:numPr>
        <w:rPr/>
      </w:pPr>
      <w:bookmarkStart w:id="988" w:name="__RefHeading___Toc7305310_3381743652"/>
      <w:bookmarkStart w:id="989" w:name="_Toc376"/>
      <w:bookmarkEnd w:id="988"/>
      <w:r>
        <w:rPr/>
        <w:t>5</w:t>
      </w:r>
      <w:r>
        <w:rPr>
          <w:rtl w:val="true"/>
        </w:rPr>
        <w:t xml:space="preserve">. </w:t>
      </w:r>
      <w:r>
        <w:rPr>
          <w:rtl w:val="true"/>
        </w:rPr>
        <w:t>اشتمال المسند إليه على اللام</w:t>
      </w:r>
      <w:bookmarkEnd w:id="989"/>
    </w:p>
    <w:p>
      <w:pPr>
        <w:pStyle w:val="Heading6"/>
        <w:numPr>
          <w:ilvl w:val="5"/>
          <w:numId w:val="1"/>
        </w:numPr>
        <w:rPr/>
      </w:pPr>
      <w:bookmarkStart w:id="990" w:name="__RefHeading___Toc7305312_3381743652"/>
      <w:bookmarkStart w:id="991" w:name="_Toc377"/>
      <w:bookmarkEnd w:id="990"/>
      <w:r>
        <w:rPr>
          <w:rtl w:val="true"/>
        </w:rPr>
        <w:t>اشارة</w:t>
      </w:r>
      <w:bookmarkEnd w:id="991"/>
    </w:p>
    <w:p>
      <w:pPr>
        <w:pStyle w:val="BookText"/>
        <w:rPr/>
      </w:pPr>
      <w:r>
        <w:rPr>
          <w:rFonts w:ascii="Amiri" w:hAnsi="Amiri" w:eastAsia="Amiri" w:cs="Amiri"/>
          <w:color w:val="111111"/>
          <w:sz w:val="28"/>
          <w:sz w:val="28"/>
          <w:szCs w:val="28"/>
          <w:rtl w:val="true"/>
          <w:lang w:bidi="ar-SA"/>
        </w:rPr>
        <w:t>و قال المحقّق الخراساني ما هذا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المسند إليه محلّى بلام الجنس و كان الحمل شائعاً لما أفاد الحصر،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الضارب زيداً، فانّ غاية ما يفيده الحمل اتحادهما وجوداً و مصداقاً، و مثل ذلك لا يقتضي حصر المسند إليه في المسند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يفيد تعريف المسند إليه الحصر في موارد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اللام للاستغراق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أُخذ مدخول اللام بنحو الإرسال و الإطلاق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الحمل حملاً أوّلياً ذاتياً</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فلنرجع إلى إيضاح ما أفاده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 التعريف على أقسام</w:t>
      </w:r>
      <w:r>
        <w:rPr>
          <w:rFonts w:eastAsia="Amiri" w:cs="Amiri" w:ascii="Amiri" w:hAnsi="Amiri"/>
          <w:color w:val="111111"/>
          <w:sz w:val="28"/>
          <w:szCs w:val="28"/>
          <w:rtl w:val="true"/>
          <w:lang w:bidi="ar-SA"/>
        </w:rPr>
        <w:t xml:space="preserve">: </w:t>
      </w:r>
      <w:bookmarkStart w:id="992" w:name="pg14356_187043"/>
    </w:p>
    <w:p>
      <w:pPr>
        <w:pStyle w:val="Heading6"/>
        <w:numPr>
          <w:ilvl w:val="5"/>
          <w:numId w:val="1"/>
        </w:numPr>
        <w:rPr/>
      </w:pPr>
      <w:bookmarkStart w:id="993" w:name="__RefHeading___Toc7305314_3381743652"/>
      <w:bookmarkStart w:id="994" w:name="_Toc378"/>
      <w:bookmarkEnd w:id="992"/>
      <w:bookmarkEnd w:id="993"/>
      <w:r>
        <w:rPr/>
        <w:t>1</w:t>
      </w:r>
      <w:r>
        <w:rPr>
          <w:rtl w:val="true"/>
        </w:rPr>
        <w:t xml:space="preserve">. </w:t>
      </w:r>
      <w:r>
        <w:rPr>
          <w:rtl w:val="true"/>
        </w:rPr>
        <w:t>لام الجنس فيما إذا كان الحمل شائعاً</w:t>
      </w:r>
      <w:bookmarkEnd w:id="994"/>
    </w:p>
    <w:p>
      <w:pPr>
        <w:pStyle w:val="BookText"/>
        <w:rPr/>
      </w:pPr>
      <w:r>
        <w:rPr>
          <w:rFonts w:ascii="Amiri" w:hAnsi="Amiri" w:eastAsia="Amiri" w:cs="Amiri"/>
          <w:color w:val="111111"/>
          <w:sz w:val="28"/>
          <w:sz w:val="28"/>
          <w:szCs w:val="28"/>
          <w:rtl w:val="true"/>
          <w:lang w:bidi="ar-SA"/>
        </w:rPr>
        <w:t>يقع الكلام تارة فيما إذا كان الحمل شائعاً صناعياً و أُخرى حملاً أوّلياً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فله أقسام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النسبة بين المسند إليه و المسند التساوي نحو الإنسان ضاحك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المسند إليه أخصَّ مطلق من المحمول،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المسند إليه أعمّ مطلق من المسند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الأمير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النسبة بينهما عموماً و خصوصاً من وجه كما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الحمامة 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فالقسمان الأوّلان يفيدان الحصر لا لجهة اللام، بل لأجل كون النسبة هي التساوي أو كون المسند إليه أخصّ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استفيد الحصر فإنّما يستفاد من لحاظ النسبة، و أمّا وجود اللام فليس له دور في المقام، و أمّا الآخران فلا يدلاّن على الحصر لافتراض انّ المسند إليه أعمّ من المسند، أو كون النسبة بينهما عموم و خصوص من وجه فلا يعقل للحصر 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 يؤثر في الحصر و عدمه هو لحاظ واقع المسند إليه مع المسند من حيث النسبة، و لذلك يفيد الحصر في الأوّلين دون الآخرين</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أُريد من مدخول لام الجنس الإطلاق و الإرسال فهو يفيد الحصر،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حصر جنس الحمد للّه، لأجل انّ كلّ ما يصدق عليه الحمد فهو للّه حتّى الحمد الموجه إلى غيره، لانّه سبحانه مبدأ المحامد و أصلها، فكلّ ما للغير من جمال و كمال فهو منه سبحانه</w:t>
      </w:r>
      <w:r>
        <w:rPr>
          <w:rFonts w:eastAsia="Amiri" w:cs="Amiri" w:ascii="Amiri" w:hAnsi="Amiri"/>
          <w:color w:val="111111"/>
          <w:sz w:val="28"/>
          <w:szCs w:val="28"/>
          <w:rtl w:val="true"/>
          <w:lang w:bidi="ar-SA"/>
        </w:rPr>
        <w:t xml:space="preserve">. </w:t>
      </w:r>
      <w:bookmarkStart w:id="995" w:name="pg14356_187044"/>
    </w:p>
    <w:p>
      <w:pPr>
        <w:pStyle w:val="BookText"/>
        <w:rPr/>
      </w:pPr>
      <w:bookmarkEnd w:id="995"/>
      <w:r>
        <w:rPr>
          <w:rFonts w:ascii="Amiri" w:hAnsi="Amiri" w:eastAsia="Amiri" w:cs="Amiri"/>
          <w:color w:val="111111"/>
          <w:sz w:val="28"/>
          <w:sz w:val="28"/>
          <w:szCs w:val="28"/>
          <w:rtl w:val="true"/>
          <w:lang w:bidi="ar-SA"/>
        </w:rPr>
        <w:t>هذا كلّه إذا كان الحمل شائعاً صناعياً، و إليك الكلام في الثاني، أي فيما إذا كان الحمل أوّلياً</w:t>
      </w:r>
      <w:r>
        <w:rPr>
          <w:rFonts w:eastAsia="Amiri" w:cs="Amiri" w:ascii="Amiri" w:hAnsi="Amiri"/>
          <w:color w:val="111111"/>
          <w:sz w:val="28"/>
          <w:szCs w:val="28"/>
          <w:rtl w:val="true"/>
          <w:lang w:bidi="ar-SA"/>
        </w:rPr>
        <w:t>.</w:t>
      </w:r>
    </w:p>
    <w:p>
      <w:pPr>
        <w:pStyle w:val="Heading6"/>
        <w:numPr>
          <w:ilvl w:val="5"/>
          <w:numId w:val="1"/>
        </w:numPr>
        <w:rPr/>
      </w:pPr>
      <w:bookmarkStart w:id="996" w:name="__RefHeading___Toc7305316_3381743652"/>
      <w:bookmarkStart w:id="997" w:name="_Toc379"/>
      <w:bookmarkEnd w:id="996"/>
      <w:r>
        <w:rPr/>
        <w:t>2</w:t>
      </w:r>
      <w:r>
        <w:rPr>
          <w:rtl w:val="true"/>
        </w:rPr>
        <w:t xml:space="preserve">. </w:t>
      </w:r>
      <w:r>
        <w:rPr>
          <w:rtl w:val="true"/>
        </w:rPr>
        <w:t>لام الجنس إذا كان الحمل أوّلياً</w:t>
      </w:r>
      <w:bookmarkEnd w:id="997"/>
    </w:p>
    <w:p>
      <w:pPr>
        <w:pStyle w:val="BookText"/>
        <w:rPr/>
      </w:pPr>
      <w:r>
        <w:rPr>
          <w:rFonts w:ascii="Amiri" w:hAnsi="Amiri" w:eastAsia="Amiri" w:cs="Amiri"/>
          <w:color w:val="111111"/>
          <w:sz w:val="28"/>
          <w:sz w:val="28"/>
          <w:szCs w:val="28"/>
          <w:rtl w:val="true"/>
          <w:lang w:bidi="ar-SA"/>
        </w:rPr>
        <w:t>إذا كانت النسبة بين المسند إليه المحلّى باللام و المسند هو التساوي في المفهوم لا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الحمل أوّلياً فهو يفيد الحصر بلا إشكال،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حيوان ناطق غير أنّ الحصر مدلول وحدة الموضوع و المحمول مفهوماً و ليس للام هاهنا أيّ 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لام الجنس، و إليك الكلام في القسمين الآخرين للام</w:t>
      </w:r>
      <w:r>
        <w:rPr>
          <w:rFonts w:eastAsia="Amiri" w:cs="Amiri" w:ascii="Amiri" w:hAnsi="Amiri"/>
          <w:color w:val="111111"/>
          <w:sz w:val="28"/>
          <w:szCs w:val="28"/>
          <w:rtl w:val="true"/>
          <w:lang w:bidi="ar-SA"/>
        </w:rPr>
        <w:t>.</w:t>
      </w:r>
    </w:p>
    <w:p>
      <w:pPr>
        <w:pStyle w:val="Heading6"/>
        <w:numPr>
          <w:ilvl w:val="5"/>
          <w:numId w:val="1"/>
        </w:numPr>
        <w:rPr/>
      </w:pPr>
      <w:bookmarkStart w:id="998" w:name="__RefHeading___Toc7305318_3381743652"/>
      <w:bookmarkStart w:id="999" w:name="_Toc380"/>
      <w:bookmarkEnd w:id="998"/>
      <w:r>
        <w:rPr/>
        <w:t>3</w:t>
      </w:r>
      <w:r>
        <w:rPr>
          <w:rtl w:val="true"/>
        </w:rPr>
        <w:t xml:space="preserve">. </w:t>
      </w:r>
      <w:r>
        <w:rPr>
          <w:rtl w:val="true"/>
        </w:rPr>
        <w:t>لام العهد</w:t>
      </w:r>
      <w:bookmarkEnd w:id="999"/>
    </w:p>
    <w:p>
      <w:pPr>
        <w:pStyle w:val="BookText"/>
        <w:rPr/>
      </w:pPr>
      <w:r>
        <w:rPr>
          <w:rFonts w:ascii="Amiri" w:hAnsi="Amiri" w:eastAsia="Amiri" w:cs="Amiri"/>
          <w:color w:val="111111"/>
          <w:sz w:val="28"/>
          <w:sz w:val="28"/>
          <w:szCs w:val="28"/>
          <w:rtl w:val="true"/>
          <w:lang w:bidi="ar-SA"/>
        </w:rPr>
        <w:t>إنّ لام العهد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الغرض الإشارة إلى ما سبق ذكره،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كَما 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فَأَخَذْناهُ أَخْذاً وَبِيلاً </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و لا يدلّ على الحصر كما هو واضح</w:t>
      </w:r>
      <w:r>
        <w:rPr>
          <w:rFonts w:eastAsia="Amiri" w:cs="Amiri" w:ascii="Amiri" w:hAnsi="Amiri"/>
          <w:color w:val="111111"/>
          <w:sz w:val="28"/>
          <w:szCs w:val="28"/>
          <w:rtl w:val="true"/>
          <w:lang w:bidi="ar-SA"/>
        </w:rPr>
        <w:t>.</w:t>
      </w:r>
    </w:p>
    <w:p>
      <w:pPr>
        <w:pStyle w:val="Heading6"/>
        <w:numPr>
          <w:ilvl w:val="5"/>
          <w:numId w:val="1"/>
        </w:numPr>
        <w:rPr/>
      </w:pPr>
      <w:bookmarkStart w:id="1000" w:name="__RefHeading___Toc7305320_3381743652"/>
      <w:bookmarkStart w:id="1001" w:name="_Toc381"/>
      <w:bookmarkEnd w:id="1000"/>
      <w:r>
        <w:rPr/>
        <w:t>4</w:t>
      </w:r>
      <w:r>
        <w:rPr>
          <w:rtl w:val="true"/>
        </w:rPr>
        <w:t xml:space="preserve">. </w:t>
      </w:r>
      <w:r>
        <w:rPr>
          <w:rtl w:val="true"/>
        </w:rPr>
        <w:t>لام الاستغراق</w:t>
      </w:r>
      <w:bookmarkEnd w:id="1001"/>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من لام الاستغراق ما يدلّ على شمول المدخول لكلّ ما يصدق عليه،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و هو يفيد الحصر قطعاً، أي حصر الإنسان في الخسر على نحو لا يشذّ عنه فرد من أفراد المدخول، إلاّ إذا قام الدليل على الخروج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bookmarkStart w:id="1002" w:name="pg14356_187045"/>
    </w:p>
    <w:p>
      <w:pPr>
        <w:pStyle w:val="Heading4"/>
        <w:numPr>
          <w:ilvl w:val="3"/>
          <w:numId w:val="1"/>
        </w:numPr>
        <w:rPr/>
      </w:pPr>
      <w:bookmarkStart w:id="1003" w:name="__RefHeading___Toc7305322_3381743652"/>
      <w:bookmarkStart w:id="1004" w:name="_Toc382"/>
      <w:bookmarkEnd w:id="1002"/>
      <w:bookmarkEnd w:id="1003"/>
      <w:r>
        <w:rPr>
          <w:rtl w:val="true"/>
        </w:rPr>
        <w:t>بعض أدوات الحصر</w:t>
      </w:r>
      <w:bookmarkEnd w:id="1004"/>
    </w:p>
    <w:p>
      <w:pPr>
        <w:pStyle w:val="BookText"/>
        <w:rPr/>
      </w:pPr>
      <w:r>
        <w:rPr>
          <w:rFonts w:ascii="Amiri" w:hAnsi="Amiri" w:eastAsia="Amiri" w:cs="Amiri"/>
          <w:color w:val="111111"/>
          <w:sz w:val="28"/>
          <w:sz w:val="28"/>
          <w:szCs w:val="28"/>
          <w:rtl w:val="true"/>
          <w:lang w:bidi="ar-SA"/>
        </w:rPr>
        <w:t>من أدوات الحصر توسط الضمير بين المسند إليه و المسند،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هو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أدواته أيضاً تعريف المسند نحو زيد الأمير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ما ذكرناه في المقام ضابطة غالبية و ليست ضابطة عامة، و لذلك يجب على المحقّق الإمعان في القرائن التي يكتنف بها الكلام</w:t>
      </w:r>
      <w:r>
        <w:rPr>
          <w:rFonts w:eastAsia="Amiri" w:cs="Amiri" w:ascii="Amiri" w:hAnsi="Amiri"/>
          <w:color w:val="111111"/>
          <w:sz w:val="28"/>
          <w:szCs w:val="28"/>
          <w:rtl w:val="true"/>
          <w:lang w:bidi="ar-SA"/>
        </w:rPr>
        <w:t xml:space="preserve">. </w:t>
      </w:r>
      <w:bookmarkStart w:id="1005" w:name="pg14356_187046"/>
    </w:p>
    <w:p>
      <w:pPr>
        <w:pStyle w:val="Heading3"/>
        <w:numPr>
          <w:ilvl w:val="2"/>
          <w:numId w:val="1"/>
        </w:numPr>
        <w:rPr/>
      </w:pPr>
      <w:bookmarkStart w:id="1006" w:name="__RefHeading___Toc7305324_3381743652"/>
      <w:bookmarkStart w:id="1007" w:name="_Toc383"/>
      <w:bookmarkEnd w:id="1005"/>
      <w:bookmarkEnd w:id="1006"/>
      <w:r>
        <w:rPr>
          <w:rtl w:val="true"/>
        </w:rPr>
        <w:t>الفصل الخامس مفهوم اللقب</w:t>
      </w:r>
      <w:bookmarkEnd w:id="1007"/>
    </w:p>
    <w:p>
      <w:pPr>
        <w:pStyle w:val="BookText"/>
        <w:rPr/>
      </w:pPr>
      <w:r>
        <w:rPr>
          <w:rFonts w:ascii="Amiri" w:hAnsi="Amiri" w:eastAsia="Amiri" w:cs="Amiri"/>
          <w:color w:val="111111"/>
          <w:sz w:val="28"/>
          <w:sz w:val="28"/>
          <w:szCs w:val="28"/>
          <w:rtl w:val="true"/>
          <w:lang w:bidi="ar-SA"/>
        </w:rPr>
        <w:t>قسّم الأُدباء الاسم الذي يعيّن المسمّى إلى أقسام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يُعَيِّنُ الْمُسَمّى مُطلقاً عَلَمُهُ كَجَعْفَر وَ خِرْنَقاً</w:t>
      </w:r>
    </w:p>
    <w:p>
      <w:pPr>
        <w:pStyle w:val="BookText"/>
        <w:rPr/>
      </w:pPr>
      <w:r>
        <w:rPr>
          <w:rFonts w:ascii="Amiri" w:hAnsi="Amiri" w:eastAsia="Amiri" w:cs="Amiri"/>
          <w:color w:val="111111"/>
          <w:sz w:val="28"/>
          <w:sz w:val="28"/>
          <w:szCs w:val="28"/>
          <w:rtl w:val="true"/>
          <w:lang w:bidi="ar-SA"/>
        </w:rPr>
        <w:t>وَ قَرَن وَ عَدَن وَ لاحِق وَ شَذْقَم وَ هَيْلَة وَ واشِق</w:t>
      </w:r>
    </w:p>
    <w:p>
      <w:pPr>
        <w:pStyle w:val="BookText"/>
        <w:rPr/>
      </w:pPr>
      <w:r>
        <w:rPr>
          <w:rFonts w:ascii="Amiri" w:hAnsi="Amiri" w:eastAsia="Amiri" w:cs="Amiri"/>
          <w:color w:val="111111"/>
          <w:sz w:val="28"/>
          <w:sz w:val="28"/>
          <w:szCs w:val="28"/>
          <w:rtl w:val="true"/>
          <w:lang w:bidi="ar-SA"/>
        </w:rPr>
        <w:t>وَ اسْماً أتى وَ كُنْيَةً وَ لَقباً وَ أَخِّرَنْ ذا إِنْ سِواهُ صَحِبا</w:t>
      </w:r>
    </w:p>
    <w:p>
      <w:pPr>
        <w:pStyle w:val="BookText"/>
        <w:rPr/>
      </w:pPr>
      <w:r>
        <w:rPr>
          <w:rFonts w:ascii="Amiri" w:hAnsi="Amiri" w:eastAsia="Amiri" w:cs="Amiri"/>
          <w:color w:val="111111"/>
          <w:sz w:val="28"/>
          <w:sz w:val="28"/>
          <w:szCs w:val="28"/>
          <w:rtl w:val="true"/>
          <w:lang w:bidi="ar-SA"/>
        </w:rPr>
        <w:t>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سيّدنا أبي القاسم محمّد رسول اللّه، فقد جاء فيه الكنية و العلم و اللقب</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مصطلح النحاة في لفظ اللقب، و أمّا مصطلح الأُصوليين في اللقب هو كلّ ما يعدّ من أركان الكلام أو أحد قيوده كالفاعل و المفعول و المبتدأ و الخبر و القيود الزمانية و المكانية كلّها ألقاب حسب ذلك الاصطلاح، و المعروف بين الأُصوليين إلاّ من خرج كالدقاق و الصيرفي و أصحاب أحمد بن حنبل عدم المفهوم للقيود الواردة في الكلام مستدلاً بأنّ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يعدّ </w:t>
      </w:r>
    </w:p>
    <w:p>
      <w:pPr>
        <w:pStyle w:val="BookText"/>
        <w:rPr/>
      </w:pPr>
      <w:r>
        <w:rPr>
          <w:rFonts w:ascii="Amiri" w:hAnsi="Amiri" w:eastAsia="Amiri" w:cs="Amiri"/>
          <w:color w:val="111111"/>
          <w:sz w:val="28"/>
          <w:sz w:val="28"/>
          <w:szCs w:val="28"/>
          <w:rtl w:val="true"/>
          <w:lang w:bidi="ar-SA"/>
        </w:rPr>
        <w:t>دليلاً على أنّ محمّداً ليس رسول اللّه،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في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فالتشريع محدد بالإكرام في الدار و لا يدلّ على عدم وجوبه في غير الدار، لأنّ إثبات الشيء لا ينفي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إجزاء الإكرام في غير الدار عن الإكرام في الدار فليس لأجل كون القضية الأُولى ذات مفهوم، بل لأجل عدم امتثال المأمور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فهناك فرق بين الدلالة على العدم و بين عدم الإجزاء لأجل عدم الامتثال،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نذرت للفقراء أو وقفت عليهم أو أوصيت لهم ثمار هذا البستان، فلا يدلّ على نفي الحكم عن غير الفقراء، بل هو ساكت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صرف ثماره على الأغنياء لا يجزي لا لأجل المفهوم، بل لأجل عدم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ذهب الأُصوليون إلى أنّ للقيود الموجودة في الكلام لها مدخلية في الحكم على نحو لولاها لما أمكن الحكم بالموضوع، و مع ذلك لا يدلّ على سلب الحكم عنه عند عدمه، و ذلك لأنّ إثبات الشيء لا يدلّ على نفي ما عداه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ذلك فهذه الضابطة ضابطة غالبية و ربما تدلّ القرائن على الأخذ بالمفهوم، و قد نقل رحمة اللّه الكرماني في تعليقته على الرسائل عند البحث عن مفهوم الوصف لآية النبأ، قصة مفيدة في المقام فلاحظ</w:t>
      </w:r>
      <w:r>
        <w:rPr>
          <w:rFonts w:eastAsia="Amiri" w:cs="Amiri" w:ascii="Amiri" w:hAnsi="Amiri"/>
          <w:color w:val="111111"/>
          <w:sz w:val="28"/>
          <w:szCs w:val="28"/>
          <w:rtl w:val="true"/>
          <w:lang w:bidi="ar-SA"/>
        </w:rPr>
        <w:t xml:space="preserve">. </w:t>
      </w:r>
      <w:bookmarkStart w:id="1008" w:name="pg14356_187048"/>
    </w:p>
    <w:p>
      <w:pPr>
        <w:pStyle w:val="Heading3"/>
        <w:numPr>
          <w:ilvl w:val="2"/>
          <w:numId w:val="1"/>
        </w:numPr>
        <w:rPr/>
      </w:pPr>
      <w:bookmarkStart w:id="1009" w:name="__RefHeading___Toc7305326_3381743652"/>
      <w:bookmarkStart w:id="1010" w:name="_Toc384"/>
      <w:bookmarkEnd w:id="1008"/>
      <w:bookmarkEnd w:id="1009"/>
      <w:r>
        <w:rPr>
          <w:rtl w:val="true"/>
        </w:rPr>
        <w:t>الفصل السادس مفهوم العدد</w:t>
      </w:r>
      <w:bookmarkEnd w:id="1010"/>
    </w:p>
    <w:p>
      <w:pPr>
        <w:pStyle w:val="BookText"/>
        <w:rPr/>
      </w:pPr>
      <w:r>
        <w:rPr>
          <w:rFonts w:ascii="Amiri" w:hAnsi="Amiri" w:eastAsia="Amiri" w:cs="Amiri"/>
          <w:color w:val="111111"/>
          <w:sz w:val="28"/>
          <w:sz w:val="28"/>
          <w:szCs w:val="28"/>
          <w:rtl w:val="true"/>
          <w:lang w:bidi="ar-SA"/>
        </w:rPr>
        <w:t>إنّ العدد المأخوذ في الموضوع أو في جانب المحمول يتصوّر على أقسام 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يؤخذ العدد في جانبي الزيادة و النقيصة على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تعد النقيصة مخلة و لا الزيادة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سبحانه مخاطباً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لَهُمْ أَوْ لا تَسْتَغْفِرْ لَهُمْ إِنْ تَسْتَغْفِرْ لَهُمْ سَبْعِينَ مَرَّةً فَلَنْ يَغْفِرَ اللّهُ لَهُمْ ذلِكَ بِأَنَّهُمْ كَفَرُوا بِاللّهِ وَ رَسُولِهِ وَ اللّهُ لا يَهْدِي الْقَوْمَ الْفاسِقِينَ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فانّ ذكر عدد سبعين لبيان المبالغة لا للتحديد، فلا تكون النقيصة و لا الزيادة موجبة للغفران، لأنّ الجميع لبيان عدم صلاحيتهم للمغفرة سواء أ زاد على السبعين أم نقص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 الجانبين كأعداد الفرائض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جانب النقيصة دون الزيادة، كما هو الحال في مسألة الكر فانّه عبارة عن ثلاثة أشبار و نصف، طولاً و عرضاً و عمقاً و لا يكفي الناقص كما لا يضر الزائد</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عكس الصورة الثالثة بأن 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جانب الزيادة دون النقيصة كما في أيام العادة فيحكم عليها بالحيض إلى العشر بشرط أن لا تتجاوز، و كما هو الحال في الفصل بين المصلين فيجوز الفصل بالخطوة دون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العدد حسب الثبوت على أقسام أربعة، فكيف يمكن لنا القول بالمفهوم فيه، أي انّه مأخوذ بشرط لا في كلا الجانبين، إذ ليس معنى المفهوم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العدد دائماً لغاية التحديد في كلا الجانبين كان علينا الأخذ بالمفهوم أي بدلالة الدليل على عدم كفاية الأقل و إخلال الزائد، و أمّا إذا كان الواقع على الوجوه الأربعة فلا يمكن استظهار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يرجع إلى مقام الثبوت و لكن ما ورد في القرآن الكريم من الأعداد في آيات الأحكام فهو بصدد التحديد من كلا الجانبين أو من جانب واحد، نحو قوله سبحانه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Fonts w:eastAsia="Amiri" w:cs="Amiri" w:ascii="Amiri" w:hAnsi="Amiri"/>
          <w:color w:val="111111"/>
          <w:sz w:val="28"/>
          <w:szCs w:val="28"/>
          <w:rtl w:val="true"/>
          <w:lang w:bidi="ar-SA"/>
        </w:rPr>
        <w:t xml:space="preserve">). </w:t>
      </w:r>
      <w:r>
        <w:rPr>
          <w:rStyle w:val="FootnoteAnchor"/>
          <w:rtl w:val="true"/>
        </w:rPr>
        <w:footnoteReference w:id="305"/>
      </w:r>
      <w:r>
        <w:rPr>
          <w:rFonts w:ascii="Amiri" w:hAnsi="Amiri" w:eastAsia="Amiri" w:cs="Amiri"/>
          <w:color w:val="111111"/>
          <w:sz w:val="28"/>
          <w:sz w:val="28"/>
          <w:szCs w:val="28"/>
          <w:rtl w:val="true"/>
          <w:lang w:bidi="ar-SA"/>
        </w:rPr>
        <w:t>فظاهر الآية التحديد في كلا الجانبين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اسْتَشْهِدُوا شَهِيدَيْنِ مِنْ رِجالِكُمْ </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فالآية بصدد تحديد جانب النقيصة لا جانب الزيادة</w:t>
      </w:r>
      <w:r>
        <w:rPr>
          <w:rFonts w:eastAsia="Amiri" w:cs="Amiri" w:ascii="Amiri" w:hAnsi="Amiri"/>
          <w:color w:val="111111"/>
          <w:sz w:val="28"/>
          <w:szCs w:val="28"/>
          <w:rtl w:val="true"/>
          <w:lang w:bidi="ar-SA"/>
        </w:rPr>
        <w:t xml:space="preserve">. </w:t>
      </w:r>
      <w:bookmarkStart w:id="1011" w:name="pg14356_187050"/>
    </w:p>
    <w:p>
      <w:pPr>
        <w:pStyle w:val="BookText"/>
        <w:rPr/>
      </w:pPr>
      <w:bookmarkEnd w:id="101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w:t>
      </w:r>
      <w:r>
        <w:rPr>
          <w:rFonts w:eastAsia="Amiri" w:cs="Amiri" w:ascii="Amiri" w:hAnsi="Amiri"/>
          <w:color w:val="111111"/>
          <w:sz w:val="28"/>
          <w:szCs w:val="28"/>
          <w:rtl w:val="true"/>
          <w:lang w:bidi="ar-SA"/>
        </w:rPr>
        <w:t>)</w:t>
      </w:r>
      <w:r>
        <w:rPr>
          <w:rStyle w:val="FootnoteAnchor"/>
          <w:rtl w:val="true"/>
        </w:rPr>
        <w:footnoteReference w:id="307"/>
      </w:r>
      <w:r>
        <w:rPr>
          <w:rFonts w:ascii="Amiri" w:hAnsi="Amiri" w:eastAsia="Amiri" w:cs="Amiri"/>
          <w:color w:val="111111"/>
          <w:sz w:val="28"/>
          <w:sz w:val="28"/>
          <w:szCs w:val="28"/>
          <w:rtl w:val="true"/>
          <w:lang w:bidi="ar-SA"/>
        </w:rPr>
        <w:t>، فالآية بصدد تحديد جانب النقيصة لا الزيادة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يَرْمُونَ أَزْواجَهُمْ وَ لَمْ يَكُنْ لَهُمْ شُهَداءُ إِلاّ أَنْفُسُهُمْ فَشَهادَةُ أَحَدِهِمْ أَرْبَعُ شَهاداتٍ بِاللّهِ إِنَّهُ لَمِنَ الصّادِقِينَ </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 و الآية ظاهرة في تحديد جانب النقيصة، و يحتمل أن يكون كذلك جانب الزيادة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الأعداد الواردة في مقام التشريع ظاهرة في التحديد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يهم الفقيه أن يدرس كلّ مورد و يأخذ بحكمه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فربما يؤخذ بشرط لا في جانب الأقل، كما هو الحال في عدد الغسلات من البول و الخنزير و عدد منزوحات البئر و النصاب بالزكاة و الخمس، و عدد من تقوم به الجمعة و الجماعة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يؤخذ بشرط لا في جانب الزيادة، ككون ما تراه المرأة من الدم حيضاً في عشرة أيّام بشرط أن لا يتجاوز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إذا لم يعلم أحد الأمرين فالظاهر كونه في مقام التحديد زيادة و نقيصة</w:t>
      </w:r>
      <w:r>
        <w:rPr>
          <w:rFonts w:eastAsia="Amiri" w:cs="Amiri" w:ascii="Amiri" w:hAnsi="Amiri"/>
          <w:color w:val="111111"/>
          <w:sz w:val="28"/>
          <w:szCs w:val="28"/>
          <w:rtl w:val="true"/>
          <w:lang w:bidi="ar-SA"/>
        </w:rPr>
        <w:t>.</w:t>
      </w:r>
    </w:p>
    <w:p>
      <w:pPr>
        <w:pStyle w:val="Heading3"/>
        <w:numPr>
          <w:ilvl w:val="2"/>
          <w:numId w:val="1"/>
        </w:numPr>
        <w:rPr/>
      </w:pPr>
      <w:bookmarkStart w:id="1012" w:name="__RefHeading___Toc7305328_3381743652"/>
      <w:bookmarkStart w:id="1013" w:name="_Toc385"/>
      <w:bookmarkEnd w:id="1012"/>
      <w:r>
        <w:rPr>
          <w:rtl w:val="true"/>
        </w:rPr>
        <w:t>تطبيقات</w:t>
      </w:r>
      <w:bookmarkEnd w:id="1013"/>
    </w:p>
    <w:p>
      <w:pPr>
        <w:pStyle w:val="Heading4"/>
        <w:numPr>
          <w:ilvl w:val="3"/>
          <w:numId w:val="1"/>
        </w:numPr>
        <w:rPr/>
      </w:pPr>
      <w:bookmarkStart w:id="1014" w:name="__RefHeading___Toc7305330_3381743652"/>
      <w:bookmarkStart w:id="1015" w:name="_Toc386"/>
      <w:bookmarkEnd w:id="1014"/>
      <w:r>
        <w:rPr>
          <w:rtl w:val="true"/>
        </w:rPr>
        <w:t>اشارة</w:t>
      </w:r>
      <w:bookmarkEnd w:id="1015"/>
    </w:p>
    <w:p>
      <w:pPr>
        <w:pStyle w:val="BookText"/>
        <w:rPr/>
      </w:pPr>
      <w:r>
        <w:rPr>
          <w:rFonts w:ascii="Amiri" w:hAnsi="Amiri" w:eastAsia="Amiri" w:cs="Amiri"/>
          <w:color w:val="111111"/>
          <w:sz w:val="28"/>
          <w:sz w:val="28"/>
          <w:szCs w:val="28"/>
          <w:rtl w:val="true"/>
          <w:lang w:bidi="ar-SA"/>
        </w:rPr>
        <w:t>ثمّ إنّ تعلم القواعد و إن كان مهماً لكن الأهمّ هو تطبيقها على مصاديقها الواردة في الكتاب و السنّة، و ها نحن نذكر بعض التطبيقات في المقام</w:t>
      </w:r>
      <w:r>
        <w:rPr>
          <w:rFonts w:eastAsia="Amiri" w:cs="Amiri" w:ascii="Amiri" w:hAnsi="Amiri"/>
          <w:color w:val="111111"/>
          <w:sz w:val="28"/>
          <w:szCs w:val="28"/>
          <w:rtl w:val="true"/>
          <w:lang w:bidi="ar-SA"/>
        </w:rPr>
        <w:t>:</w:t>
      </w:r>
    </w:p>
    <w:p>
      <w:pPr>
        <w:pStyle w:val="Heading4"/>
        <w:numPr>
          <w:ilvl w:val="3"/>
          <w:numId w:val="1"/>
        </w:numPr>
        <w:rPr/>
      </w:pPr>
      <w:bookmarkStart w:id="1016" w:name="__RefHeading___Toc7305332_3381743652"/>
      <w:bookmarkStart w:id="1017" w:name="_Toc387"/>
      <w:bookmarkEnd w:id="1016"/>
      <w:r>
        <w:rPr>
          <w:rtl w:val="true"/>
        </w:rPr>
        <w:t>فرعان مبنيان على إفادة إلاّ للحصر</w:t>
      </w:r>
      <w:bookmarkEnd w:id="1017"/>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 التغيير في ماء الكرّ أو الجاري في غير صفاته الثلاث كالحرارة و الرقّة و الخفّة، فهل ينجس أو لا؟ الظاهر هو الثاني للحصر المستفاد من </w:t>
      </w:r>
      <w:bookmarkStart w:id="1018" w:name="pg14356_187051"/>
    </w:p>
    <w:p>
      <w:pPr>
        <w:pStyle w:val="BookText"/>
        <w:rPr/>
      </w:pPr>
      <w:bookmarkEnd w:id="1018"/>
      <w:r>
        <w:rPr>
          <w:rFonts w:ascii="Amiri" w:hAnsi="Amiri" w:eastAsia="Amiri" w:cs="Amiri"/>
          <w:color w:val="111111"/>
          <w:sz w:val="28"/>
          <w:sz w:val="28"/>
          <w:szCs w:val="28"/>
          <w:rtl w:val="true"/>
          <w:lang w:bidi="ar-SA"/>
        </w:rPr>
        <w:t>الاستثناء بعد النفي،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الماء طهوراً لا ينجّسه شيء إلاّ ما غيّر لونَه أو طعمه أو ريحه</w:t>
      </w:r>
      <w:r>
        <w:rPr>
          <w:rFonts w:eastAsia="Amiri" w:cs="Amiri" w:ascii="Amiri" w:hAnsi="Amiri"/>
          <w:color w:val="111111"/>
          <w:sz w:val="28"/>
          <w:szCs w:val="28"/>
          <w:rtl w:val="true"/>
          <w:lang w:bidi="ar-SA"/>
        </w:rPr>
        <w:t>.</w:t>
      </w:r>
      <w:r>
        <w:rPr>
          <w:rStyle w:val="FootnoteAnchor"/>
          <w:rtl w:val="true"/>
        </w:rPr>
        <w:footnoteReference w:id="30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ضمّ إلى نيّة التقرّب في الوضوء رياء، قال المرتضى بالصحّة مع عدم الثواب و المشهور هو البطلان،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أُمِرُوا إِلاّ لِيَعْبُدُوا اللّهَ مُخْلِصِينَ لَهُ الدِّينَ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الطاعة، و الحصر قاض بأنّ فاقدة الإخلاص لا أمر بها فلا تكون صحيحة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019" w:name="__RefHeading___Toc7305334_3381743652"/>
      <w:bookmarkStart w:id="1020" w:name="_Toc388"/>
      <w:bookmarkEnd w:id="1019"/>
      <w:r>
        <w:rPr>
          <w:rtl w:val="true"/>
        </w:rPr>
        <w:t>فرعان مبنيان على إفادة</w:t>
      </w:r>
      <w:r>
        <w:rPr>
          <w:rtl w:val="true"/>
        </w:rPr>
        <w:t xml:space="preserve">» </w:t>
      </w:r>
      <w:r>
        <w:rPr>
          <w:rtl w:val="true"/>
        </w:rPr>
        <w:t xml:space="preserve">إنّما </w:t>
      </w:r>
      <w:r>
        <w:rPr>
          <w:rtl w:val="true"/>
        </w:rPr>
        <w:t>«</w:t>
      </w:r>
      <w:r>
        <w:rPr>
          <w:rtl w:val="true"/>
        </w:rPr>
        <w:t>للحصر</w:t>
      </w:r>
      <w:bookmarkEnd w:id="10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يجب أن تُحنَّط مساجد الميّت السبعة بالحنوط، و هو الطيب المانع عن فساد البدن، و ظاهر الأدلّة حصر الحنوط بالكافور لقول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تحنط الميت فاعمد إلى الكافور </w:t>
      </w:r>
      <w:r>
        <w:rPr>
          <w:rFonts w:eastAsia="Amiri" w:cs="Amiri" w:ascii="Amiri" w:hAnsi="Amiri"/>
          <w:color w:val="111111"/>
          <w:sz w:val="28"/>
          <w:szCs w:val="28"/>
          <w:rtl w:val="true"/>
          <w:lang w:bidi="ar-SA"/>
        </w:rPr>
        <w:t>«.</w:t>
      </w:r>
      <w:r>
        <w:rPr>
          <w:rStyle w:val="FootnoteAnchor"/>
          <w:rtl w:val="true"/>
        </w:rPr>
        <w:footnoteReference w:id="31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تسلّم على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علينا و على عباد اللّه الصالحين، فإذا قلت ذلك فقد انقطعت الصلاة</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فيدلّ الحصر على عدم الخروج إلاّ بالتسليم الثاني</w:t>
      </w:r>
      <w:r>
        <w:rPr>
          <w:rFonts w:eastAsia="Amiri" w:cs="Amiri" w:ascii="Amiri" w:hAnsi="Amiri"/>
          <w:color w:val="111111"/>
          <w:sz w:val="28"/>
          <w:szCs w:val="28"/>
          <w:rtl w:val="true"/>
          <w:lang w:bidi="ar-SA"/>
        </w:rPr>
        <w:t>.</w:t>
      </w:r>
      <w:bookmarkStart w:id="1021" w:name="pg14356_187052"/>
    </w:p>
    <w:p>
      <w:pPr>
        <w:pStyle w:val="Heading4"/>
        <w:numPr>
          <w:ilvl w:val="3"/>
          <w:numId w:val="1"/>
        </w:numPr>
        <w:rPr/>
      </w:pPr>
      <w:bookmarkStart w:id="1022" w:name="__RefHeading___Toc7305336_3381743652"/>
      <w:bookmarkStart w:id="1023" w:name="_Toc389"/>
      <w:bookmarkEnd w:id="1021"/>
      <w:bookmarkEnd w:id="1022"/>
      <w:r>
        <w:rPr>
          <w:rtl w:val="true"/>
        </w:rPr>
        <w:t>فروع مبنية على مفهوم العدد</w:t>
      </w:r>
      <w:bookmarkEnd w:id="10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يفسد الصوم ما يصل إلى الجوف بغير الحلق من منافذ البدن المعلومة عمداً غير الحقنة بالمائع، لصدق اسم الصوم معه شرعاً، و حصر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 الصائم ما صنع إذا اجتنب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الطعام و الشراب، و النساء، و الارتماس في الماء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يكفي الحجر الواحد إذا كان له أطراف ثلاثة؟ قيل لا، لورود النصّ على ثلاثة أحجار إلاّ أن يحمل على الغالب</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هل تكره قراءة أزيد من سبع آيات على الجنب؟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لمفهوم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الجنب، هل يقرأ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بينه و بين سبع آيات </w:t>
      </w:r>
      <w:r>
        <w:rPr>
          <w:rFonts w:eastAsia="Amiri" w:cs="Amiri" w:ascii="Amiri" w:hAnsi="Amiri"/>
          <w:color w:val="111111"/>
          <w:sz w:val="28"/>
          <w:szCs w:val="28"/>
          <w:rtl w:val="true"/>
          <w:lang w:bidi="ar-SA"/>
        </w:rPr>
        <w:t>«.</w:t>
      </w:r>
      <w:r>
        <w:rPr>
          <w:rStyle w:val="FootnoteAnchor"/>
          <w:rtl w:val="true"/>
        </w:rPr>
        <w:footnoteReference w:id="3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يسقط خيار الحيوان بانقضاء المدة و هي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الأفاضل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بلياليها تحقيقاً، لأنّه الأصل في التحديد</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يستحبّ أن يرغم الأنف في حال السجود و لا يجب، لمفهوم ما دلّ على أنّ السجود على سبعة أعظم أو أعضاء</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تنعقد الجمعة بالأقلّ من خمسة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الخطبة و الجمعة و صلاة ركعتين على أقلّ من خمسة 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و أربعة </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 xml:space="preserve">، فيكون مفهومه لو </w:t>
      </w:r>
      <w:bookmarkStart w:id="1024" w:name="pg14356_187053"/>
    </w:p>
    <w:p>
      <w:pPr>
        <w:pStyle w:val="BookText"/>
        <w:rPr/>
      </w:pPr>
      <w:bookmarkEnd w:id="1024"/>
      <w:r>
        <w:rPr>
          <w:rFonts w:ascii="Amiri" w:hAnsi="Amiri" w:eastAsia="Amiri" w:cs="Amiri"/>
          <w:color w:val="111111"/>
          <w:sz w:val="28"/>
          <w:sz w:val="28"/>
          <w:szCs w:val="28"/>
          <w:rtl w:val="true"/>
          <w:lang w:bidi="ar-SA"/>
        </w:rPr>
        <w:t>قلنا بأنّ للعدد مفهوماً انعقادها بالخمسة</w:t>
      </w:r>
      <w:r>
        <w:rPr>
          <w:rFonts w:eastAsia="Amiri" w:cs="Amiri" w:ascii="Amiri" w:hAnsi="Amiri"/>
          <w:color w:val="111111"/>
          <w:sz w:val="28"/>
          <w:szCs w:val="28"/>
          <w:rtl w:val="true"/>
          <w:lang w:bidi="ar-SA"/>
        </w:rPr>
        <w:t>.</w:t>
      </w:r>
    </w:p>
    <w:p>
      <w:pPr>
        <w:pStyle w:val="Heading4"/>
        <w:numPr>
          <w:ilvl w:val="3"/>
          <w:numId w:val="1"/>
        </w:numPr>
        <w:rPr/>
      </w:pPr>
      <w:bookmarkStart w:id="1025" w:name="__RefHeading___Toc7305338_3381743652"/>
      <w:bookmarkStart w:id="1026" w:name="_Toc390"/>
      <w:bookmarkEnd w:id="1025"/>
      <w:r>
        <w:rPr>
          <w:rtl w:val="true"/>
        </w:rPr>
        <w:t>فروع لها صلة بمفهوم اللقب</w:t>
      </w:r>
      <w:bookmarkEnd w:id="10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يستدل على حرمة عمل الصور المجسّمة لذوات الأرواح بصحيح زرارة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بتماثيل الشجر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يستدلّ على اختصاص خيار الحيوان بالمشتري بصحيح الحلبي عن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كلّه شرط ثلاثة أيّام للمشتري، و هو بالخيار فيها إن شرط أو لم يشترط </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فيدلّ على نفيه عن البائع بمفهوم اللقب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أن يكفن الرجال في ثياب الحرير، فلو قلنا بالمفهوم لدلّ على جواز تكفين المرأة به</w:t>
      </w:r>
      <w:r>
        <w:rPr>
          <w:rFonts w:eastAsia="Amiri" w:cs="Amiri" w:ascii="Amiri" w:hAnsi="Amiri"/>
          <w:color w:val="111111"/>
          <w:sz w:val="28"/>
          <w:szCs w:val="28"/>
          <w:rtl w:val="true"/>
          <w:lang w:bidi="ar-SA"/>
        </w:rPr>
        <w:t>.</w:t>
      </w:r>
      <w:r>
        <w:rPr>
          <w:rStyle w:val="FootnoteAnchor"/>
          <w:rtl w:val="true"/>
        </w:rPr>
        <w:footnoteReference w:id="32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استدلّ على وجوب قراءة سورة كاملة بعد الحمد بصحيح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للمريض أن يقرأ في الفريضة فاتحة الكتاب 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مفهومه عدم جواز الاكتفاء بها لغيره</w:t>
      </w:r>
      <w:r>
        <w:rPr>
          <w:rFonts w:eastAsia="Amiri" w:cs="Amiri" w:ascii="Amiri" w:hAnsi="Amiri"/>
          <w:color w:val="111111"/>
          <w:sz w:val="28"/>
          <w:szCs w:val="28"/>
          <w:rtl w:val="true"/>
          <w:lang w:bidi="ar-SA"/>
        </w:rPr>
        <w:t>.</w:t>
      </w:r>
      <w:r>
        <w:rPr>
          <w:rStyle w:val="FootnoteAnchor"/>
          <w:rtl w:val="true"/>
        </w:rPr>
        <w:footnoteReference w:id="321"/>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الكلام في المفاهيم </w:t>
      </w:r>
    </w:p>
    <w:p>
      <w:pPr>
        <w:pStyle w:val="BookText"/>
        <w:rPr/>
      </w:pPr>
      <w:r>
        <w:rPr>
          <w:rFonts w:ascii="Amiri" w:hAnsi="Amiri" w:eastAsia="Amiri" w:cs="Amiri"/>
          <w:color w:val="111111"/>
          <w:sz w:val="28"/>
          <w:sz w:val="28"/>
          <w:szCs w:val="28"/>
          <w:rtl w:val="true"/>
          <w:lang w:bidi="ar-SA"/>
        </w:rPr>
        <w:t>المقصد الرابع في العام و الخاص و فيه فصول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للعام صيغة تخصّه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لا يوجب المجازية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المخصّص حجّة في الباقي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حجّية العام في مورد إجمال المخصص مفهوماً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اللفظي المجمل مصداقاً 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ما بقي تحت العام بالأصل العملي 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حال الفرد المشتبه بالعنوان الثانوي 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 حال الفرد المشتبه بالأصل اللفظي 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الفحص عن المخصّص 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الخطابات الشفاهية 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تعقّب العام بضمير يرجع إلى بعض أفراده 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العام بالمفهوم 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الاستثناء المتعقّب للجمل 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الكتاب بالخبر الواحد 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حالات العام و الخاص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7" w:name="pg14356_187056"/>
      <w:bookmarkStart w:id="1028" w:name="pg14356_187056"/>
      <w:bookmarkEnd w:id="1028"/>
    </w:p>
    <w:p>
      <w:pPr>
        <w:pStyle w:val="Heading2"/>
        <w:numPr>
          <w:ilvl w:val="1"/>
          <w:numId w:val="1"/>
        </w:numPr>
        <w:rPr/>
      </w:pPr>
      <w:bookmarkStart w:id="1029" w:name="pg14356_187056"/>
      <w:bookmarkStart w:id="1030" w:name="__RefHeading___Toc7305340_3381743652"/>
      <w:bookmarkStart w:id="1031" w:name="_Toc391"/>
      <w:bookmarkEnd w:id="1029"/>
      <w:bookmarkEnd w:id="1030"/>
      <w:r>
        <w:rPr>
          <w:rtl w:val="true"/>
        </w:rPr>
        <w:t>المقصد الرابع العام و الخاص</w:t>
      </w:r>
      <w:bookmarkEnd w:id="1031"/>
    </w:p>
    <w:p>
      <w:pPr>
        <w:pStyle w:val="Heading3"/>
        <w:numPr>
          <w:ilvl w:val="2"/>
          <w:numId w:val="1"/>
        </w:numPr>
        <w:rPr/>
      </w:pPr>
      <w:bookmarkStart w:id="1032" w:name="__RefHeading___Toc7305342_3381743652"/>
      <w:bookmarkStart w:id="1033" w:name="_Toc392"/>
      <w:bookmarkEnd w:id="1032"/>
      <w:r>
        <w:rPr>
          <w:rtl w:val="true"/>
        </w:rPr>
        <w:t>و قبل الدخول في صلب الموضوع نقدّم أُموراً</w:t>
      </w:r>
      <w:r>
        <w:rPr>
          <w:rtl w:val="true"/>
        </w:rPr>
        <w:t>:</w:t>
      </w:r>
      <w:bookmarkEnd w:id="1033"/>
    </w:p>
    <w:p>
      <w:pPr>
        <w:pStyle w:val="Heading4"/>
        <w:numPr>
          <w:ilvl w:val="3"/>
          <w:numId w:val="1"/>
        </w:numPr>
        <w:rPr/>
      </w:pPr>
      <w:bookmarkStart w:id="1034" w:name="__RefHeading___Toc7305344_3381743652"/>
      <w:bookmarkStart w:id="1035" w:name="_Toc393"/>
      <w:bookmarkEnd w:id="1034"/>
      <w:r>
        <w:rPr>
          <w:rtl w:val="true"/>
        </w:rPr>
        <w:t>الاول</w:t>
      </w:r>
      <w:r>
        <w:rPr>
          <w:rtl w:val="true"/>
        </w:rPr>
        <w:t xml:space="preserve">: </w:t>
      </w:r>
      <w:r>
        <w:rPr>
          <w:rtl w:val="true"/>
        </w:rPr>
        <w:t>الأُمور الاعتبارية و التعريف الحقيقي</w:t>
      </w:r>
      <w:bookmarkEnd w:id="1035"/>
    </w:p>
    <w:p>
      <w:pPr>
        <w:pStyle w:val="BookText"/>
        <w:rPr/>
      </w:pPr>
      <w:r>
        <w:rPr>
          <w:rFonts w:ascii="Amiri" w:hAnsi="Amiri" w:eastAsia="Amiri" w:cs="Amiri"/>
          <w:color w:val="111111"/>
          <w:sz w:val="28"/>
          <w:sz w:val="28"/>
          <w:szCs w:val="28"/>
          <w:rtl w:val="true"/>
          <w:lang w:bidi="ar-SA"/>
        </w:rPr>
        <w:t>التعاريف الواردة في كلمات القوم في أمثال المقام هل هي تعاريف حقيقية أو تعاريف لفظية؟ ذهب المحقّق الخراساني إلى الثانية، و علّلها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المعنى المركوز في الأذهان أوضح ممّا عُرِّف به مفهوماً و مصداقاً، و لذا يجعل صدق ذلك المعنى على فرد و عدم صدقه، مقياساً في الإشكال على التعاريف بعدم الاطراد أو الانعكاس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التعريف لا بدّ أن يكون بالأجلى مع أنّ مصاديقه أجلى بكثير من التعريف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تعلّق غرض و ثمرة فقهية و حكم فرعي عليه</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الوجه الأوّل بأنّ الظاهر أنّهم بصدد التعريف الحقيقي و آية ذلك، الإشكال بعدم الطرد و عدم العكس، و لو كانوا بصدد التعريف اللفظي لتركوا نقد التعاريف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لا ينافي أن تكون بعض المصاديق أوضح ممّا جاء في التعريف كما هو الحال في أكثر الموضوعات الواقعة في مجاله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وضوح بعض المصاديق مانعاً عن التعريف الحقيقي لصار مانعاً في أكثر الموارد حتّى الأُمور التكوينية كالبياض و السواد و الماء و التراب مع انّ الجميع يقع في أُطرِ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الغرض من التعريف، هو التعرّف على المصاديق غير الواضحة، على نحو يكون التعريف مقياساً لتمييز المصداق عن غيره في عامة الموارد، سواء أ كان واضحاً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يلاحظ على الثاني بانّ عدم ترتّب الثمرة الفقهية لا يكون مانعاً عن التعريف فانّ أكثر ما يذكرونه في مقدمات علم الأُصول بل و في ضمن المقاصد ربما لا يترتّب عليها ثمرة فقهية كالبحث عن الوضع و المعاني الحرفية نعم فيها تشخيص للأذهان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يؤخذ على المحقّق الخراساني انّه جعل التعريف اللفظي مرادفاً للتعريف بشرح الاسم مع انّه غيره و قد أوضحنا حاله في مباحث الألفاظ عند البحث عن تقسيم الواجب إلى مطلق و مشروط</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و ربما يقال انّ التعريف الحقيقي من خصائص المتأصلات و الأعيان الخارجية دون المفاهيم الاعتبارية لانّ مأخذ الجنس و الفصل هو الوجود الخارجي و ما لا وجود له خارجاً لا جنس له و لا فصل</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لذلك يعبر في الأُمور الاعتبارية عمّا به الاشتراك بانّه كالجنس و عمّا به الامتياز بانّه كالفصل، مثلاً يقول الشهيد الثاني في كتاب الروضة عند قول الشهيد في تفسير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استعمال طهور مشروط بالنية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الاستعمال كالجنس و ما </w:t>
      </w:r>
      <w:bookmarkStart w:id="1036" w:name="pg14356_187058"/>
    </w:p>
    <w:p>
      <w:pPr>
        <w:pStyle w:val="BookText"/>
        <w:rPr/>
      </w:pPr>
      <w:bookmarkEnd w:id="1036"/>
      <w:r>
        <w:rPr>
          <w:rFonts w:ascii="Amiri" w:hAnsi="Amiri" w:eastAsia="Amiri" w:cs="Amiri"/>
          <w:color w:val="111111"/>
          <w:sz w:val="28"/>
          <w:sz w:val="28"/>
          <w:szCs w:val="28"/>
          <w:rtl w:val="true"/>
          <w:lang w:bidi="ar-SA"/>
        </w:rPr>
        <w:t>هذا إلاّ لانّ الطهور أمر اعتباري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فانّ تعريف كلّ شيء بحسبه، فالتعريف الحقيقي للأُمور الاعتبارية لا يعدو عن مفاهيم اعتبارية يشكِّل أحدهما القدرَ المشترك، و الآخر وجه الامتياز</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7305346_3381743652"/>
      <w:bookmarkStart w:id="1038" w:name="_Toc394"/>
      <w:bookmarkEnd w:id="1037"/>
      <w:r>
        <w:rPr>
          <w:rtl w:val="true"/>
        </w:rPr>
        <w:t>الثاني</w:t>
      </w:r>
      <w:r>
        <w:rPr>
          <w:rtl w:val="true"/>
        </w:rPr>
        <w:t xml:space="preserve">: </w:t>
      </w:r>
      <w:r>
        <w:rPr>
          <w:rtl w:val="true"/>
        </w:rPr>
        <w:t>تعريف العام</w:t>
      </w:r>
      <w:bookmarkEnd w:id="1038"/>
    </w:p>
    <w:p>
      <w:pPr>
        <w:pStyle w:val="Heading5"/>
        <w:numPr>
          <w:ilvl w:val="4"/>
          <w:numId w:val="1"/>
        </w:numPr>
        <w:rPr/>
      </w:pPr>
      <w:bookmarkStart w:id="1039" w:name="__RefHeading___Toc7305348_3381743652"/>
      <w:bookmarkStart w:id="1040" w:name="_Toc395"/>
      <w:bookmarkEnd w:id="1039"/>
      <w:r>
        <w:rPr>
          <w:rtl w:val="true"/>
        </w:rPr>
        <w:t>اشارة</w:t>
      </w:r>
      <w:bookmarkEnd w:id="1040"/>
    </w:p>
    <w:p>
      <w:pPr>
        <w:pStyle w:val="BookText"/>
        <w:rPr/>
      </w:pPr>
      <w:r>
        <w:rPr>
          <w:rFonts w:ascii="Amiri" w:hAnsi="Amiri" w:eastAsia="Amiri" w:cs="Amiri"/>
          <w:color w:val="111111"/>
          <w:sz w:val="28"/>
          <w:sz w:val="28"/>
          <w:szCs w:val="28"/>
          <w:rtl w:val="true"/>
          <w:lang w:bidi="ar-SA"/>
        </w:rPr>
        <w:t>عرّف علماء الأُصول العامَ بوجوه نذكرها تباعاً</w:t>
      </w:r>
      <w:r>
        <w:rPr>
          <w:rFonts w:eastAsia="Amiri" w:cs="Amiri" w:ascii="Amiri" w:hAnsi="Amiri"/>
          <w:color w:val="111111"/>
          <w:sz w:val="28"/>
          <w:szCs w:val="28"/>
          <w:rtl w:val="true"/>
          <w:lang w:bidi="ar-SA"/>
        </w:rPr>
        <w:t>:</w:t>
      </w:r>
    </w:p>
    <w:p>
      <w:pPr>
        <w:pStyle w:val="Heading5"/>
        <w:numPr>
          <w:ilvl w:val="4"/>
          <w:numId w:val="1"/>
        </w:numPr>
        <w:rPr/>
      </w:pPr>
      <w:bookmarkStart w:id="1041" w:name="__RefHeading___Toc7305350_3381743652"/>
      <w:bookmarkStart w:id="1042" w:name="_Toc396"/>
      <w:bookmarkEnd w:id="1041"/>
      <w:r>
        <w:rPr/>
        <w:t>1</w:t>
      </w:r>
      <w:r>
        <w:rPr>
          <w:rtl w:val="true"/>
        </w:rPr>
        <w:t xml:space="preserve">. </w:t>
      </w:r>
      <w:r>
        <w:rPr>
          <w:rtl w:val="true"/>
        </w:rPr>
        <w:t>شمول الحكم لجميع أفراد مدخوله</w:t>
      </w:r>
      <w:bookmarkEnd w:id="1042"/>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مبني على أنّ وصف اللفظ بالعموم إنّما هو باعتبار تعلّق الحكم به، و سيوافيك عدم صحّته، فانّ للعموم في لغة العرب و بعض اللغات التي نعرفها ألفاظاً خاصة وضعت للعموم، سواء أتعلق به حكم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التعريف يشمل المطلق، فالحكم فيه أيضاً شامل لجميع أفراد مدخوله غاية الأمر على وجه البدل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w:t>
      </w:r>
      <w:r>
        <w:rPr>
          <w:rFonts w:eastAsia="Amiri" w:cs="Amiri" w:ascii="Amiri" w:hAnsi="Amiri"/>
          <w:color w:val="111111"/>
          <w:sz w:val="28"/>
          <w:szCs w:val="28"/>
          <w:rtl w:val="true"/>
          <w:lang w:bidi="ar-SA"/>
        </w:rPr>
        <w:t>.</w:t>
      </w:r>
    </w:p>
    <w:p>
      <w:pPr>
        <w:pStyle w:val="Heading5"/>
        <w:numPr>
          <w:ilvl w:val="4"/>
          <w:numId w:val="1"/>
        </w:numPr>
        <w:rPr/>
      </w:pPr>
      <w:bookmarkStart w:id="1043" w:name="__RefHeading___Toc7305352_3381743652"/>
      <w:bookmarkStart w:id="1044" w:name="_Toc397"/>
      <w:bookmarkEnd w:id="1043"/>
      <w:r>
        <w:rPr/>
        <w:t>2</w:t>
      </w:r>
      <w:r>
        <w:rPr>
          <w:rtl w:val="true"/>
        </w:rPr>
        <w:t xml:space="preserve">. </w:t>
      </w:r>
      <w:r>
        <w:rPr>
          <w:rtl w:val="true"/>
        </w:rPr>
        <w:t>شمول المفهوم لجميع ما يصلح أن ينطبق عليه</w:t>
      </w:r>
      <w:bookmarkEnd w:id="1044"/>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فاعل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لفظ العام كالعلماء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المعلوم أنّ المقياس في العام شموله لكلّ ما ينطبق عليه مفرده، لا شموله لكلّ ما ينطبق عليه لفظ العام، فكم فرق بينهما؟ فانّ العام كالعلماء لا ينطبق إلاّ على ثلاثة، ثلاثة، و أمّا مفرده فينطبق على واحد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عدل المحقّق البروجردي إلى تعريف ثالث و هو</w:t>
      </w:r>
      <w:r>
        <w:rPr>
          <w:rFonts w:eastAsia="Amiri" w:cs="Amiri" w:ascii="Amiri" w:hAnsi="Amiri"/>
          <w:color w:val="111111"/>
          <w:sz w:val="28"/>
          <w:szCs w:val="28"/>
          <w:rtl w:val="true"/>
          <w:lang w:bidi="ar-SA"/>
        </w:rPr>
        <w:t xml:space="preserve">: </w:t>
      </w:r>
      <w:bookmarkStart w:id="1045" w:name="pg14356_187059"/>
    </w:p>
    <w:p>
      <w:pPr>
        <w:pStyle w:val="BookText"/>
        <w:rPr/>
      </w:pPr>
      <w:bookmarkEnd w:id="104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شمول مفهومه لجميع ما يصلح أن ينطبق عليه مفهوم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فلفظة العلماء عام لشمولها لجميع ما يصلح أن ينطبق مفرده عليه</w:t>
      </w:r>
      <w:r>
        <w:rPr>
          <w:rFonts w:eastAsia="Amiri" w:cs="Amiri" w:ascii="Amiri" w:hAnsi="Amiri"/>
          <w:color w:val="111111"/>
          <w:sz w:val="28"/>
          <w:szCs w:val="28"/>
          <w:rtl w:val="true"/>
          <w:lang w:bidi="ar-SA"/>
        </w:rPr>
        <w:t>.</w:t>
      </w:r>
      <w:r>
        <w:rPr>
          <w:rStyle w:val="FootnoteAnchor"/>
          <w:rtl w:val="true"/>
        </w:rPr>
        <w:footnoteReference w:id="323"/>
      </w:r>
    </w:p>
    <w:p>
      <w:pPr>
        <w:pStyle w:val="Heading4"/>
        <w:numPr>
          <w:ilvl w:val="3"/>
          <w:numId w:val="1"/>
        </w:numPr>
        <w:rPr/>
      </w:pPr>
      <w:bookmarkStart w:id="1046" w:name="__RefHeading___Toc7305354_3381743652"/>
      <w:bookmarkStart w:id="1047" w:name="_Toc398"/>
      <w:bookmarkEnd w:id="1046"/>
      <w:r>
        <w:rPr>
          <w:rtl w:val="true"/>
        </w:rPr>
        <w:t>الثالث</w:t>
      </w:r>
      <w:r>
        <w:rPr>
          <w:rtl w:val="true"/>
        </w:rPr>
        <w:t xml:space="preserve">: </w:t>
      </w:r>
      <w:r>
        <w:rPr>
          <w:rtl w:val="true"/>
        </w:rPr>
        <w:t>أقسام العام</w:t>
      </w:r>
      <w:bookmarkEnd w:id="1047"/>
    </w:p>
    <w:p>
      <w:pPr>
        <w:pStyle w:val="Heading5"/>
        <w:numPr>
          <w:ilvl w:val="4"/>
          <w:numId w:val="1"/>
        </w:numPr>
        <w:rPr/>
      </w:pPr>
      <w:bookmarkStart w:id="1048" w:name="__RefHeading___Toc7305356_3381743652"/>
      <w:bookmarkStart w:id="1049" w:name="_Toc399"/>
      <w:bookmarkEnd w:id="1048"/>
      <w:r>
        <w:rPr>
          <w:rtl w:val="true"/>
        </w:rPr>
        <w:t>اشارة</w:t>
      </w:r>
      <w:bookmarkEnd w:id="1049"/>
    </w:p>
    <w:p>
      <w:pPr>
        <w:pStyle w:val="BookText"/>
        <w:rPr/>
      </w:pPr>
      <w:r>
        <w:rPr>
          <w:rFonts w:ascii="Amiri" w:hAnsi="Amiri" w:eastAsia="Amiri" w:cs="Amiri"/>
          <w:color w:val="111111"/>
          <w:sz w:val="28"/>
          <w:sz w:val="28"/>
          <w:szCs w:val="28"/>
          <w:rtl w:val="true"/>
          <w:lang w:bidi="ar-SA"/>
        </w:rPr>
        <w:t>إنّ العام ينقسم إلى استغراقي و مجموعي و بدليّ، فإن لوحظ كلّ واحد من أفراد العام مع قطع النظر عن تعلّق الحكم به بحياله و استقلاله، أي بوصف الكثرة فهو عام استغراقي، و إن لوحظ الأفراد لا بحياله بل بنعت الجمع فهو مجموعي، و إن لوحظ واحد من الأفراد لا بعينه على نحو الفرد المنتشر، فهو 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فالعام مع قطع النظر عن تعلّق الحكم به، ينقسم إلى تلك الأقسام، فالمتكلّم تارة يلاحظ كلّ فرد فرد على نحو الاستقلال بحيث لو تعلّق به حكم يكون لكلّ فرد إطاعة و 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يلاحظه بنحو المجموع على نحو لو تعلّق به الحكم يكون له إطاعة واحدة و عصيان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ذينك القسمين تكون الافراد ملحوظة في عرض واحد، غاية الأمر تارة بنعت الكثرة، و أُخرى بنعت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فرد ما على نحو لا يقف اللحاظ على ذلك الفرد بل ينتقل إلى فرد آخر فيكون المنظور إليه هذا أو ذاك أو ذلك فيكون العام بدلياً</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ما ذكرنا تبين انّ انقسام العام إلى الأقسام الثلاثة لا يتوقّف على لحاظ الحكم المتعلّق به بل العام مع قطع النظر عن تعلّق الحكم يقع في إطار اللحاظ على الأنحاء الثلاثة</w:t>
      </w:r>
      <w:r>
        <w:rPr>
          <w:rFonts w:eastAsia="Amiri" w:cs="Amiri" w:ascii="Amiri" w:hAnsi="Amiri"/>
          <w:color w:val="111111"/>
          <w:sz w:val="28"/>
          <w:szCs w:val="28"/>
          <w:rtl w:val="true"/>
          <w:lang w:bidi="ar-SA"/>
        </w:rPr>
        <w:t xml:space="preserve">. </w:t>
      </w:r>
      <w:bookmarkStart w:id="1050" w:name="pg14356_187060"/>
    </w:p>
    <w:p>
      <w:pPr>
        <w:pStyle w:val="BookText"/>
        <w:rPr/>
      </w:pPr>
      <w:bookmarkEnd w:id="1050"/>
      <w:r>
        <w:rPr>
          <w:rFonts w:ascii="Amiri" w:hAnsi="Amiri" w:eastAsia="Amiri" w:cs="Amiri"/>
          <w:color w:val="111111"/>
          <w:sz w:val="28"/>
          <w:sz w:val="28"/>
          <w:szCs w:val="28"/>
          <w:rtl w:val="true"/>
          <w:lang w:bidi="ar-SA"/>
        </w:rPr>
        <w:t>و مما يؤيّد ذلك انّ الواضع وضع لكلّ من الأقسام لفظاً خاصاً، فلفظة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للعام الاستغراقي، كما أنّ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للعام المجموعي و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موضوعة للعام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اَلزّانِيَةُ وَ الزّانِي فَاجْلِدُوا كُلَّ واحِدٍ مِنْهُما مِائَةَ جَلْدَةٍ وَ لا تَأْخُذْكُمْ بِهِما رَأْفَةٌ فِي دِينِ اللّهِ </w:t>
      </w:r>
      <w:r>
        <w:rPr>
          <w:rFonts w:eastAsia="Amiri" w:cs="Amiri" w:ascii="Amiri" w:hAnsi="Amiri"/>
          <w:color w:val="111111"/>
          <w:sz w:val="28"/>
          <w:szCs w:val="28"/>
          <w:rtl w:val="true"/>
          <w:lang w:bidi="ar-SA"/>
        </w:rPr>
        <w:t>).</w:t>
      </w:r>
      <w:r>
        <w:rPr>
          <w:rStyle w:val="FootnoteAnchor"/>
          <w:rtl w:val="true"/>
        </w:rPr>
        <w:footnoteReference w:id="324"/>
      </w:r>
    </w:p>
    <w:p>
      <w:pPr>
        <w:pStyle w:val="BookText"/>
        <w:rPr/>
      </w:pPr>
      <w:r>
        <w:rPr>
          <w:rFonts w:ascii="Amiri" w:hAnsi="Amiri" w:eastAsia="Amiri" w:cs="Amiri"/>
          <w:color w:val="111111"/>
          <w:sz w:val="28"/>
          <w:sz w:val="28"/>
          <w:szCs w:val="28"/>
          <w:rtl w:val="true"/>
          <w:lang w:bidi="ar-SA"/>
        </w:rPr>
        <w:t xml:space="preserve">فلفظة كلّ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موضوعة للعام الاستغراقي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أَيًّا ما تَدْعُوا فَلَهُ الْأَسْماءُ الْحُسْنى </w:t>
      </w:r>
      <w:r>
        <w:rPr>
          <w:rFonts w:eastAsia="Amiri" w:cs="Amiri" w:ascii="Amiri" w:hAnsi="Amiri"/>
          <w:color w:val="111111"/>
          <w:sz w:val="28"/>
          <w:szCs w:val="28"/>
          <w:rtl w:val="true"/>
          <w:lang w:bidi="ar-SA"/>
        </w:rPr>
        <w:t>).</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و قال سبحانه حاكياً عن سليمان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الْمَلَؤُا أَيُّكُمْ يَأْتِينِي بِعَرْشِها قَبْلَ أَنْ يَأْتُونِي مُسْلِمِينَ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فلفظة أيّ في الآيتين موضوعة للعام البدليّ</w:t>
      </w:r>
      <w:r>
        <w:rPr>
          <w:rFonts w:eastAsia="Amiri" w:cs="Amiri" w:ascii="Amiri" w:hAnsi="Amiri"/>
          <w:color w:val="111111"/>
          <w:sz w:val="28"/>
          <w:szCs w:val="28"/>
          <w:rtl w:val="true"/>
          <w:lang w:bidi="ar-SA"/>
        </w:rPr>
        <w:t>.</w:t>
      </w:r>
    </w:p>
    <w:p>
      <w:pPr>
        <w:pStyle w:val="Heading5"/>
        <w:numPr>
          <w:ilvl w:val="4"/>
          <w:numId w:val="1"/>
        </w:numPr>
        <w:rPr/>
      </w:pPr>
      <w:bookmarkStart w:id="1051" w:name="__RefHeading___Toc7305358_3381743652"/>
      <w:bookmarkStart w:id="1052" w:name="_Toc400"/>
      <w:bookmarkEnd w:id="1051"/>
      <w:r>
        <w:rPr>
          <w:rtl w:val="true"/>
        </w:rPr>
        <w:t>نظرية المحقّق الخراساني انقسام العام إلى ثلاثة</w:t>
      </w:r>
      <w:bookmarkEnd w:id="1052"/>
    </w:p>
    <w:p>
      <w:pPr>
        <w:pStyle w:val="BookText"/>
        <w:rPr/>
      </w:pPr>
      <w:r>
        <w:rPr>
          <w:rFonts w:ascii="Amiri" w:hAnsi="Amiri" w:eastAsia="Amiri" w:cs="Amiri"/>
          <w:color w:val="111111"/>
          <w:sz w:val="28"/>
          <w:sz w:val="28"/>
          <w:szCs w:val="28"/>
          <w:rtl w:val="true"/>
          <w:lang w:bidi="ar-SA"/>
        </w:rPr>
        <w:t>ذهب المحقّق الخراساني إلى أنّ انقسام العام إلى الأقسام الثلاثة إنّما هو باختلاف كيفية تعلّق الأحكام به و إلاّ فالعموم في الجميع بمعنى واحد و هو شمول المفهوم لجميع ما يصلح أن ينطبق عليه، غاية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تعلق الحكم به، تارة بنحو يكون كلّ فرد موضوعاً على حدة للحكم و أُخرى بنحو يكون الجميع موضوعاً واحداً بحيث لو أخلّ بإكرام واحد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مجموع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 لما امتثل أصلاً بخلاف الصورة الأُولى فانّه أطاع و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بنحو يكون كلّ واحد موضوعاً على البدل بحيث لو أكرم واحداً منهم لأطاع و امتثل</w:t>
      </w:r>
      <w:r>
        <w:rPr>
          <w:rFonts w:eastAsia="Amiri" w:cs="Amiri" w:ascii="Amiri" w:hAnsi="Amiri"/>
          <w:color w:val="111111"/>
          <w:sz w:val="28"/>
          <w:szCs w:val="28"/>
          <w:rtl w:val="true"/>
          <w:lang w:bidi="ar-SA"/>
        </w:rPr>
        <w:t>.</w:t>
      </w:r>
      <w:r>
        <w:rPr>
          <w:rStyle w:val="FootnoteAnchor"/>
          <w:rtl w:val="true"/>
        </w:rPr>
        <w:footnoteReference w:id="327"/>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غير تام من جهات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رتبة، و ملاكاً، و وضعاً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رتبة فانّ الموضوع في رتبة سابقة على الحكم، و الحكم متأخر عنه رتبة و تصوراً، فكيف يكون الحكم المتأخّر سبباً لانقسام الموضوع إلى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مستلزم للدور بتوهم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الحكم متوقّف على الموضوع و الموضوع حسب انقسامه إلى أقسام ثلاثة متوقّف على الحكم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امتناع الدور يختص بالأُمور التكوينية لا الاعتبارية، و لكنّه على خلاف الضابطة في الأُمور الاعتبارية بأن يكون المتأخّر أي الحكم سبباً لانقسام المتقدّم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الثانية أي ملاكاً فانّ انقسام الحكم إلى أقسام ثلاثة رهن وجود مصالح مختلفة للموضوع، حيث إنّ المصلحة تارة تكون قائمة بكلّ فرد فرد من أفراد العام، فيأمر بإكرام كلّ واحد على سبيل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المصلحة قائمة بإكرام المجموع بحيث لو تخلّف واحد منهم لما حصل الغرض الداعي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 تكون قائمة بإكرام فرد من أفراد الموضوع على سبيل البدل فيأمر بإكرامه كذلك، فملاك الانقسام إلى الأقسام الثلاثة حاصل قبل تعلّق الحكم، فلا بدّ أن يكون الانقسام باعتبار الموضوع الحامل للملاك، لا الحكم المتعلّق بحامل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وضعاً فانّ الوضع يتبع الغرض، فربما يتعلّق الغرض ببيان كون الموضوع كلّ فرد من الأفراد أو مجموعهم أو واحد منهم موضوعاً للحكم، فيجب أن يوضع لما يتعلّق به الغرض، لفظ خاص، و قد أشرنا إلى بعض الألفاظ الموضوعة للأقسام الثلاثة، فلاحظ</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لنأت بمثال لأجل إيضاح أحكام الأقسام الثلاثة</w:t>
      </w:r>
      <w:r>
        <w:rPr>
          <w:rFonts w:eastAsia="Amiri" w:cs="Amiri" w:ascii="Amiri" w:hAnsi="Amiri"/>
          <w:color w:val="111111"/>
          <w:sz w:val="28"/>
          <w:szCs w:val="28"/>
          <w:rtl w:val="true"/>
          <w:lang w:bidi="ar-SA"/>
        </w:rPr>
        <w:t xml:space="preserve">: </w:t>
      </w:r>
      <w:bookmarkStart w:id="1053" w:name="pg14356_187062"/>
    </w:p>
    <w:p>
      <w:pPr>
        <w:pStyle w:val="BookText"/>
        <w:rPr/>
      </w:pPr>
      <w:bookmarkEnd w:id="1053"/>
      <w:r>
        <w:rPr>
          <w:rFonts w:ascii="Amiri" w:hAnsi="Amiri" w:eastAsia="Amiri" w:cs="Amiri"/>
          <w:color w:val="111111"/>
          <w:sz w:val="28"/>
          <w:sz w:val="28"/>
          <w:szCs w:val="28"/>
          <w:rtl w:val="true"/>
          <w:lang w:bidi="ar-SA"/>
        </w:rPr>
        <w:t>لو نذر أن لا يدخّن فتارة يتعلّق نذره بترك كلّ ما يصدق عليه لفظ السيجارة في بيته، و أُخرى بترك مجموع ما في بيته منها، و ثالثة بترك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فالنذر في الأوّل بنحو العام الاستغراقي، و يكون لكلّ فرد إطاعة و عصياناً و بالتالي كفّارة متعدّدة، كما أنّه في الثاني بنحو العام المجموعي و تتحقّق الطاعة بترك الجميع و العصيان بفعل واحد منهم و يكون هناك كفّارة واحدة، و ذلك لحنث النذر بالفرد الأوّل، و لا يصدق الحنث على الفرد الثاني لافتراض انّ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بحاله حيث نقص منه فرد واحد، كما أنّه في الثالث بنحو العام البدلي فيجوز له التدخين إلى أن يبقى منها واحد</w:t>
      </w:r>
      <w:r>
        <w:rPr>
          <w:rFonts w:eastAsia="Amiri" w:cs="Amiri" w:ascii="Amiri" w:hAnsi="Amiri"/>
          <w:color w:val="111111"/>
          <w:sz w:val="28"/>
          <w:szCs w:val="28"/>
          <w:rtl w:val="true"/>
          <w:lang w:bidi="ar-SA"/>
        </w:rPr>
        <w:t>.</w:t>
      </w:r>
    </w:p>
    <w:p>
      <w:pPr>
        <w:pStyle w:val="Heading4"/>
        <w:numPr>
          <w:ilvl w:val="3"/>
          <w:numId w:val="1"/>
        </w:numPr>
        <w:rPr/>
      </w:pPr>
      <w:bookmarkStart w:id="1054" w:name="__RefHeading___Toc7305360_3381743652"/>
      <w:bookmarkStart w:id="1055" w:name="_Toc401"/>
      <w:bookmarkEnd w:id="1054"/>
      <w:r>
        <w:rPr>
          <w:rtl w:val="true"/>
        </w:rPr>
        <w:t>الرابع</w:t>
      </w:r>
      <w:r>
        <w:rPr>
          <w:rtl w:val="true"/>
        </w:rPr>
        <w:t xml:space="preserve">: </w:t>
      </w:r>
      <w:r>
        <w:rPr>
          <w:rtl w:val="true"/>
        </w:rPr>
        <w:t>البدلي من أقسام العام</w:t>
      </w:r>
      <w:bookmarkEnd w:id="1055"/>
    </w:p>
    <w:p>
      <w:pPr>
        <w:pStyle w:val="BookText"/>
        <w:rPr/>
      </w:pPr>
      <w:r>
        <w:rPr>
          <w:rFonts w:ascii="Amiri" w:hAnsi="Amiri" w:eastAsia="Amiri" w:cs="Amiri"/>
          <w:color w:val="111111"/>
          <w:sz w:val="28"/>
          <w:sz w:val="28"/>
          <w:szCs w:val="28"/>
          <w:rtl w:val="true"/>
          <w:lang w:bidi="ar-SA"/>
        </w:rPr>
        <w:t>الظاهر من الأُصوليّين انّ العام ينقسم إلى أقسام ثلاثة حسب ما عرفت، غير أنّ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عدّ العام البدلي من أقسام العموم مسامحة واضحة، بداهة أنّ البدلية تنافي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متعلّق الحكم في العموم البدلي ليس إلاّ فرد واحد، أعني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المنتشر، و هو ليس بعام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البدلية عامة فالعموم إنّما هو في البدلية لا في الحكم المتعلّق بالفرد على البدل</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البدلية ليست شيئاً وراء الموضوع، فالموضوع هو العام بقيد البدلية، و إطلاق العام عليه على المختار لأجل قابلية صدقه على كلّ فرد فرد، لكن لا في عرض واحد، بل على نحو التبادل،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أي رجل شئت</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على مختار المحقّق الخراساني الذي هو خيرة المحقّق النائيني فلوجود ملاك العموم و هو سعة الحكم و شموله لكلّ فرد على نحو التبادل، حيث إنّ الحكم يعمّ و يسع كلّ فرد على وجه البدلية مقابل اختصاصه بفرد واحد</w:t>
      </w:r>
      <w:r>
        <w:rPr>
          <w:rFonts w:eastAsia="Amiri" w:cs="Amiri" w:ascii="Amiri" w:hAnsi="Amiri"/>
          <w:color w:val="111111"/>
          <w:sz w:val="28"/>
          <w:szCs w:val="28"/>
          <w:rtl w:val="true"/>
          <w:lang w:bidi="ar-SA"/>
        </w:rPr>
        <w:t xml:space="preserve">. </w:t>
      </w:r>
      <w:bookmarkStart w:id="1056" w:name="pg14356_187063"/>
    </w:p>
    <w:p>
      <w:pPr>
        <w:pStyle w:val="Heading4"/>
        <w:numPr>
          <w:ilvl w:val="3"/>
          <w:numId w:val="1"/>
        </w:numPr>
        <w:rPr/>
      </w:pPr>
      <w:bookmarkStart w:id="1057" w:name="__RefHeading___Toc7305362_3381743652"/>
      <w:bookmarkStart w:id="1058" w:name="_Toc402"/>
      <w:bookmarkEnd w:id="1056"/>
      <w:bookmarkEnd w:id="1057"/>
      <w:r>
        <w:rPr>
          <w:rtl w:val="true"/>
        </w:rPr>
        <w:t>الخامس</w:t>
      </w:r>
      <w:r>
        <w:rPr>
          <w:rtl w:val="true"/>
        </w:rPr>
        <w:t xml:space="preserve">: </w:t>
      </w:r>
      <w:r>
        <w:rPr>
          <w:rtl w:val="true"/>
        </w:rPr>
        <w:t>دوران الأمر بين أحد الأقسام الثلاثة</w:t>
      </w:r>
      <w:bookmarkEnd w:id="1058"/>
    </w:p>
    <w:p>
      <w:pPr>
        <w:pStyle w:val="BookText"/>
        <w:rPr/>
      </w:pPr>
      <w:r>
        <w:rPr>
          <w:rFonts w:ascii="Amiri" w:hAnsi="Amiri" w:eastAsia="Amiri" w:cs="Amiri"/>
          <w:color w:val="111111"/>
          <w:sz w:val="28"/>
          <w:sz w:val="28"/>
          <w:szCs w:val="28"/>
          <w:rtl w:val="true"/>
          <w:lang w:bidi="ar-SA"/>
        </w:rPr>
        <w:t>إذا دار أمر العام بين أحد هذه الأقسام، فهل هي أصل يعتمد عليه في تعيين أحد الأقسام؟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على ترك التدخين فشك انّه هل كان على نحو العموم الاستغراقي أو المجموعي، قال المحقّق النائيني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الأصل اللفظي الإطلاقي يقتضي الاستغراقية، لأنّ العموم المجموعي يحتاج إلى غاية زائدة و هي لحاظ جميع الافراد على وجه الاجتماع و جعلها موضوعاً واحداً</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موضوع للأصل اللفظي في العام، و ذلك لما عرفت من أنّ في لغة العرب لكلّ من الأفراد لفظاً خاصاً، فأين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فالأمر يدور بين المتباينين فلا أصل هنا يعيّن واحداً من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تعلّق العلم الإجمالي بصدور واحد من هذه الألفاظ المردد بين الاستغراقي و المجموعي و البدلي، يكون سبباً لدوران الموضوع بين الأُمور المتباينة كدوران الفائت بين الظهر و المغرب و الفجر، فكما لا موضوع للأصل اللفظي فيه فهكذا المقام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يتصوّر الدوران فيما إذا كان الدليل لبياً كالإجماع و السيرة على وجوب شيء كصيام ثلاثة أيّام فيقع الكلام في وجوبها متوالية حتّى يكون كالعام المجموعي أو أعمّ منه و من غير المتوالي ليكون كالعام الاستغراقي، فالمرجع حينئذ هو البراءة، و ذلك لأنّ الشكّ في كلفة زائدة و هو التوالي و الأصل عدمه</w:t>
      </w:r>
      <w:r>
        <w:rPr>
          <w:rFonts w:eastAsia="Amiri" w:cs="Amiri" w:ascii="Amiri" w:hAnsi="Amiri"/>
          <w:color w:val="111111"/>
          <w:sz w:val="28"/>
          <w:szCs w:val="28"/>
          <w:rtl w:val="true"/>
          <w:lang w:bidi="ar-SA"/>
        </w:rPr>
        <w:t xml:space="preserve">. </w:t>
      </w:r>
      <w:bookmarkStart w:id="1059" w:name="pg14356_187064"/>
    </w:p>
    <w:p>
      <w:pPr>
        <w:pStyle w:val="Heading4"/>
        <w:numPr>
          <w:ilvl w:val="3"/>
          <w:numId w:val="1"/>
        </w:numPr>
        <w:rPr/>
      </w:pPr>
      <w:bookmarkStart w:id="1060" w:name="__RefHeading___Toc7305364_3381743652"/>
      <w:bookmarkStart w:id="1061" w:name="_Toc403"/>
      <w:bookmarkEnd w:id="1059"/>
      <w:bookmarkEnd w:id="1060"/>
      <w:r>
        <w:rPr>
          <w:rtl w:val="true"/>
        </w:rPr>
        <w:t>السادس</w:t>
      </w:r>
      <w:r>
        <w:rPr>
          <w:rtl w:val="true"/>
        </w:rPr>
        <w:t xml:space="preserve">: </w:t>
      </w:r>
      <w:r>
        <w:rPr>
          <w:rtl w:val="true"/>
        </w:rPr>
        <w:t>الفرق بين العام و المطلق</w:t>
      </w:r>
      <w:bookmarkEnd w:id="1061"/>
    </w:p>
    <w:p>
      <w:pPr>
        <w:pStyle w:val="BookText"/>
        <w:rPr/>
      </w:pPr>
      <w:r>
        <w:rPr>
          <w:rFonts w:ascii="Amiri" w:hAnsi="Amiri" w:eastAsia="Amiri" w:cs="Amiri"/>
          <w:color w:val="111111"/>
          <w:sz w:val="28"/>
          <w:sz w:val="28"/>
          <w:szCs w:val="28"/>
          <w:rtl w:val="true"/>
          <w:lang w:bidi="ar-SA"/>
        </w:rPr>
        <w:t>إنّ العام كما عرفت ينقسم إلى شموليّ و مجموعيّ و بدليّ، و المطلق أيضاً ينقسم إلى شمولي و بدلي، أمّا الشمولي فكقوله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Style w:val="FootnoteAnchor"/>
          <w:rtl w:val="true"/>
        </w:rPr>
        <w:footnoteReference w:id="330"/>
      </w:r>
      <w:r>
        <w:rPr>
          <w:rFonts w:ascii="Amiri" w:hAnsi="Amiri" w:eastAsia="Amiri" w:cs="Amiri"/>
          <w:color w:val="111111"/>
          <w:sz w:val="28"/>
          <w:sz w:val="28"/>
          <w:szCs w:val="28"/>
          <w:rtl w:val="true"/>
          <w:lang w:bidi="ar-SA"/>
        </w:rPr>
        <w:t>، فانّ اللام للجنس و مع ذلك تفيد العموم لجريان مقدّمات الحكمة حيث إنّ المتكلّم في مقام البيان و لم ينصب قرينة على فرد خاص فيفيد الشمولي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البدلي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كفاية فرد ما، نظير قوله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أيّ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عندئذ يطرح السؤال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العام و المطلق؟ و الجواب المعروف هو انّ دلالة العام بالوضع فكأنّ الشموليّة و البدلية داخلان في مفهوم العام و لكن دلالة المطلق عليهما بالعقل و بفضل مقدّمات الحكمة كما قررنا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هذا الجواب متين و لكن يمكن الإجابة بوجه آخر، 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حقيقة الإطلاق عبارة عن كون ما وقع تحت دائرة الطلب تمام الموضوع للحكم لا جزأه، سواء أ كان الموضوع أمراً طبيعياً أو فرداً شخصياً،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نظير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في أنّ كلاً من اللفظين تمام الموضوع للحكم لا جزؤه، بخلاف ما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رقبة 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زيداً قائماً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يعود اللفظ فيهما جزء الموضوع، فإذا كان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الشيء تمام الموضوع للحكم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الإطلاق، فالشمول و البدلية، و الجزئية لا صلة لها بواقع الإطلاق</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يختلف مفاد ما وقع تحت دائرة الطلب من حيث المضمون، فتارة تكون نتيجة الإطلاق الشمولية و أُخرى البدلية و ثالثة الجزئية، فهذه الأُمور الثلاثة نتائج الإطلاق لا نفس الإطلاق، و هذا بخلاف العام فانّ الشمولية و البدلية داخلان في جوهر الموضوع</w:t>
      </w:r>
      <w:r>
        <w:rPr>
          <w:rFonts w:eastAsia="Amiri" w:cs="Amiri" w:ascii="Amiri" w:hAnsi="Amiri"/>
          <w:color w:val="111111"/>
          <w:sz w:val="28"/>
          <w:szCs w:val="28"/>
          <w:rtl w:val="true"/>
          <w:lang w:bidi="ar-SA"/>
        </w:rPr>
        <w:t xml:space="preserve">. </w:t>
      </w:r>
      <w:bookmarkStart w:id="1062" w:name="pg14356_187065"/>
    </w:p>
    <w:p>
      <w:pPr>
        <w:pStyle w:val="Heading4"/>
        <w:numPr>
          <w:ilvl w:val="3"/>
          <w:numId w:val="1"/>
        </w:numPr>
        <w:rPr/>
      </w:pPr>
      <w:bookmarkStart w:id="1063" w:name="__RefHeading___Toc7305366_3381743652"/>
      <w:bookmarkStart w:id="1064" w:name="_Toc404"/>
      <w:bookmarkEnd w:id="1062"/>
      <w:bookmarkEnd w:id="1063"/>
      <w:r>
        <w:rPr>
          <w:rtl w:val="true"/>
        </w:rPr>
        <w:t>السابع</w:t>
      </w:r>
      <w:r>
        <w:rPr>
          <w:rtl w:val="true"/>
        </w:rPr>
        <w:t xml:space="preserve">: </w:t>
      </w:r>
      <w:r>
        <w:rPr>
          <w:rtl w:val="true"/>
        </w:rPr>
        <w:t>حكم العشرة و أمثالها</w:t>
      </w:r>
      <w:bookmarkEnd w:id="1064"/>
    </w:p>
    <w:p>
      <w:pPr>
        <w:pStyle w:val="BookText"/>
        <w:rPr/>
      </w:pPr>
      <w:r>
        <w:rPr>
          <w:rFonts w:ascii="Amiri" w:hAnsi="Amiri" w:eastAsia="Amiri" w:cs="Amiri"/>
          <w:color w:val="111111"/>
          <w:sz w:val="28"/>
          <w:sz w:val="28"/>
          <w:szCs w:val="28"/>
          <w:rtl w:val="true"/>
          <w:lang w:bidi="ar-SA"/>
        </w:rPr>
        <w:t>لمّا عرّف المحقّق الخراساني المفهوم العام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المفهوم لجميع ما يصلح أن ينطبق عليه، خرج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مثل شمول عشرة و غيرها لآحادها المندرجة تحتها ليس من العموم، لعدم صلاحيتها بمفهومها للانطباق على كلّ واحد منها</w:t>
      </w:r>
      <w:r>
        <w:rPr>
          <w:rFonts w:eastAsia="Amiri" w:cs="Amiri" w:ascii="Amiri" w:hAnsi="Amiri"/>
          <w:color w:val="111111"/>
          <w:sz w:val="28"/>
          <w:szCs w:val="28"/>
          <w:rtl w:val="true"/>
          <w:lang w:bidi="ar-SA"/>
        </w:rPr>
        <w:t>.</w:t>
      </w:r>
      <w:r>
        <w:rPr>
          <w:rStyle w:val="FootnoteAnchor"/>
          <w:rtl w:val="true"/>
        </w:rPr>
        <w:footnoteReference w:id="331"/>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تعريف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انطباقه لكلّ ما يشمله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العشرة لأنّها و إن كانت تشمل الآحاد و لكنّها لا تنطبق عليها، فليس الشمول كافياً في صدق العموم، بل يحتاج وراءه إلى الانطباق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قيد الانطباق و إن أخرج العشرة عن تحت العموم و لكنّه يوجب خروج الجمع المحلّى باللام عن تعريف العام،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شامل لكل فرد فرد لكنّه لا ينطبق على واحد منهم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إخراج العشرة عن تحت العام بقيد آخر، و هو انّ العام في مصطلح الأُصوليّين ما دلّ على الكثرة المبهمة من حيث الكمية و المقدار، كما هو الحال في الجمع المحلّى باللام و النكرة الواقعة في سياق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العشرة فهي محدودة قلّة و 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عدّها من ألفاظ العموم إذا أُريد منها مجموعات من العشرة كالعشرات بحيث يكون لكلّ عشرة مصداق و فرد فلاحظ</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هذا فلندخل في صلب الموضوع، و يأتي الكلام فيه ضمن فصول</w:t>
      </w:r>
      <w:r>
        <w:rPr>
          <w:rFonts w:eastAsia="Amiri" w:cs="Amiri" w:ascii="Amiri" w:hAnsi="Amiri"/>
          <w:color w:val="111111"/>
          <w:sz w:val="28"/>
          <w:szCs w:val="28"/>
          <w:rtl w:val="true"/>
          <w:lang w:bidi="ar-SA"/>
        </w:rPr>
        <w:t xml:space="preserve">: </w:t>
      </w:r>
      <w:bookmarkStart w:id="1065" w:name="pg14356_187066"/>
    </w:p>
    <w:p>
      <w:pPr>
        <w:pStyle w:val="Heading3"/>
        <w:numPr>
          <w:ilvl w:val="2"/>
          <w:numId w:val="1"/>
        </w:numPr>
        <w:rPr/>
      </w:pPr>
      <w:bookmarkStart w:id="1066" w:name="__RefHeading___Toc7305368_3381743652"/>
      <w:bookmarkStart w:id="1067" w:name="_Toc405"/>
      <w:bookmarkEnd w:id="1065"/>
      <w:bookmarkEnd w:id="1066"/>
      <w:r>
        <w:rPr>
          <w:rtl w:val="true"/>
        </w:rPr>
        <w:t>الفصل الأوّل للعام صيغة تخصّه</w:t>
      </w:r>
      <w:bookmarkEnd w:id="1067"/>
    </w:p>
    <w:p>
      <w:pPr>
        <w:pStyle w:val="Heading4"/>
        <w:numPr>
          <w:ilvl w:val="3"/>
          <w:numId w:val="1"/>
        </w:numPr>
        <w:rPr/>
      </w:pPr>
      <w:bookmarkStart w:id="1068" w:name="__RefHeading___Toc7305370_3381743652"/>
      <w:bookmarkStart w:id="1069" w:name="_Toc406"/>
      <w:bookmarkEnd w:id="1068"/>
      <w:r>
        <w:rPr>
          <w:rtl w:val="true"/>
        </w:rPr>
        <w:t>اشارة</w:t>
      </w:r>
      <w:bookmarkEnd w:id="1069"/>
    </w:p>
    <w:p>
      <w:pPr>
        <w:pStyle w:val="BookText"/>
        <w:rPr/>
      </w:pPr>
      <w:r>
        <w:rPr>
          <w:rFonts w:ascii="Amiri" w:hAnsi="Amiri" w:eastAsia="Amiri" w:cs="Amiri"/>
          <w:color w:val="111111"/>
          <w:sz w:val="28"/>
          <w:sz w:val="28"/>
          <w:szCs w:val="28"/>
          <w:rtl w:val="true"/>
          <w:lang w:bidi="ar-SA"/>
        </w:rPr>
        <w:t>اختلفت كلمتهم في الصيغ المعروفة بصيغة العام إلى أقوال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وضعت للعموم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انّها وضعت للخصوص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انّها مشتركة بين العموم و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هو الأوّل، و استدلّ له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تبادر العموم من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المحلّى باللام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يعادلهما في سائر اللغات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الحاجة كما تمسُّ لبيان الخصوص، تمسُّ لبيان العموم أيضاً فلا بدّ للواضع من وضع لفظ أو ألفاظ لبيانها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يستعمل في الخصوص مجازاً و بالعناية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العلماء، أو حضر الصاغة، إذا جاء أعيانهم و أكابرهم و من يعتدّ بهم و ذلك لا يصير دليلاً على كونها موضوعة للخصوص، و مع ذلك فهناك ألفاظ وضعت للخصوص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للقول الثاني أيضاً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إرادة الخصوص في مقام الاستعمال أمر متعيّن إمّا بنفسه أو في</w:t>
      </w:r>
    </w:p>
    <w:p>
      <w:pPr>
        <w:pStyle w:val="BookText"/>
        <w:rPr/>
      </w:pPr>
      <w:r>
        <w:rPr>
          <w:rFonts w:ascii="Amiri" w:hAnsi="Amiri" w:eastAsia="Amiri" w:cs="Amiri"/>
          <w:color w:val="111111"/>
          <w:sz w:val="28"/>
          <w:sz w:val="28"/>
          <w:szCs w:val="28"/>
          <w:rtl w:val="true"/>
          <w:lang w:bidi="ar-SA"/>
        </w:rPr>
        <w:t>ضمن العام، و جعل اللفظ حقيقة فيه أولى من جعله حقيقة في المشكوك</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الأولوية في مقام الاستعمال لا يكون دليلاً على الأولوية في مقام الوضع، لأنّ لكلّ ملاكاً خاصاً، إذ الملاك في مقام الوضع، هو الحاجة لبيان العموم فلا بدّ من وضع لفظ أو ألفاظ لبيان هذا المقصد، و الملاك لتعيين المستعمل فيه هو كونه متيقناً، لا مشكوكاً، فلا يستدلّ بأحدهما على الآخر، مع كون مقام الوضع متقدّماً و الاستعمال متأخراً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الخاص أكثر من العام حتّى اشتهر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 قد خُصّ، فلو كانت حقيقة في الخصوص لزم تقليل المجاز بخلاف العكس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دليل على ضد المقصود، لأنّ تخصيص العام آية انّه موضوع له، لكن ورد عليه التخصيص، و لو لا ذلك، لما كان للتخصّص معنى محصل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أنّ التخصيص مستلزم كون العام مجازاً مستعملاً في غير ما وضع له، و سيوافيك انّ الحقّ خلافه، و انّ العام مطلقاً مستعمل في معناه، سواء كان المخصص متصلاً أو منفصلاً و مراد بالإرادة الاستعمالية التي هي مناط الحقيقة و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ما تتعلّق به الإرادة الاستعمالية على صنفين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يكون متعلّقاً للإرادة الجديدة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لا يكون كذلك</w:t>
      </w:r>
      <w:r>
        <w:rPr>
          <w:rFonts w:eastAsia="Amiri" w:cs="Amiri" w:ascii="Amiri" w:hAnsi="Amiri"/>
          <w:color w:val="111111"/>
          <w:sz w:val="28"/>
          <w:szCs w:val="28"/>
          <w:rtl w:val="true"/>
          <w:lang w:bidi="ar-SA"/>
        </w:rPr>
        <w:t xml:space="preserve">. </w:t>
      </w:r>
      <w:bookmarkStart w:id="1070" w:name="pg14356_187068"/>
    </w:p>
    <w:p>
      <w:pPr>
        <w:pStyle w:val="BookText"/>
        <w:rPr/>
      </w:pPr>
      <w:bookmarkEnd w:id="1070"/>
      <w:r>
        <w:rPr>
          <w:rFonts w:ascii="Amiri" w:hAnsi="Amiri" w:eastAsia="Amiri" w:cs="Amiri"/>
          <w:color w:val="111111"/>
          <w:sz w:val="28"/>
          <w:sz w:val="28"/>
          <w:szCs w:val="28"/>
          <w:rtl w:val="true"/>
          <w:lang w:bidi="ar-SA"/>
        </w:rPr>
        <w:t>و المتكلّم يشير بالمخصص إلى القسم الثاني و انّ الفساق مما لم تتعلّق به الإرادة الجدية و إن تعلّقت به الإرادة الاستعمالية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هو الداعي لاستعمال اللفظ في معنى وسيع تعلّقت به الإرادة الاستعمالية دون الجدية فسيوافيك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بالاشتراك فلم نقف على دليل له، و لعلّه جعل الاستعمال في كلا المعنيين دليلاً على وضع الألفاظ لهما، لكن الاستعمال أعمّ من الوضع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للخصوص أيضاً ألفاظاً، كلفظة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ما يقوم مقام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للعام صيغاً نشير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وقوع النكرة في سياق النفي أو النهي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يعادلهما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المحلّى باللام، كالعقود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المفرد المحلّى باللام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لندرس الجميع واحداً بعد الآخر</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7305372_3381743652"/>
      <w:bookmarkStart w:id="1072" w:name="_Toc407"/>
      <w:bookmarkEnd w:id="1071"/>
      <w:r>
        <w:rPr>
          <w:rtl w:val="true"/>
        </w:rPr>
        <w:t>الأوّل</w:t>
      </w:r>
      <w:r>
        <w:rPr>
          <w:rtl w:val="true"/>
        </w:rPr>
        <w:t xml:space="preserve">: </w:t>
      </w:r>
      <w:r>
        <w:rPr>
          <w:rtl w:val="true"/>
        </w:rPr>
        <w:t>النكرة في سياق النفي أو النهي</w:t>
      </w:r>
      <w:bookmarkEnd w:id="1072"/>
    </w:p>
    <w:p>
      <w:pPr>
        <w:pStyle w:val="Heading5"/>
        <w:numPr>
          <w:ilvl w:val="4"/>
          <w:numId w:val="1"/>
        </w:numPr>
        <w:rPr/>
      </w:pPr>
      <w:bookmarkStart w:id="1073" w:name="__RefHeading___Toc7305374_3381743652"/>
      <w:bookmarkStart w:id="1074" w:name="_Toc408"/>
      <w:bookmarkEnd w:id="1073"/>
      <w:r>
        <w:rPr>
          <w:rtl w:val="true"/>
        </w:rPr>
        <w:t>اشارة</w:t>
      </w:r>
      <w:bookmarkEnd w:id="1074"/>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أدوات العموم وقوع النكرة في حيز النفي و النهي، يقول ابن مالك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النافية للجنس </w:t>
      </w:r>
      <w:r>
        <w:rPr>
          <w:rFonts w:eastAsia="Amiri" w:cs="Amiri" w:ascii="Amiri" w:hAnsi="Amiri"/>
          <w:color w:val="111111"/>
          <w:sz w:val="28"/>
          <w:szCs w:val="28"/>
          <w:rtl w:val="true"/>
          <w:lang w:bidi="ar-SA"/>
        </w:rPr>
        <w:t xml:space="preserve">. </w:t>
      </w:r>
      <w:bookmarkStart w:id="1075" w:name="pg14356_187069"/>
    </w:p>
    <w:p>
      <w:pPr>
        <w:pStyle w:val="BookText"/>
        <w:rPr/>
      </w:pPr>
      <w:bookmarkEnd w:id="1075"/>
      <w:r>
        <w:rPr>
          <w:rFonts w:ascii="Amiri" w:hAnsi="Amiri" w:eastAsia="Amiri" w:cs="Amiri"/>
          <w:color w:val="111111"/>
          <w:sz w:val="28"/>
          <w:sz w:val="28"/>
          <w:szCs w:val="28"/>
          <w:rtl w:val="true"/>
          <w:lang w:bidi="ar-SA"/>
        </w:rPr>
        <w:t>عمل إنّ اجعل للا في النكرة مفردة جاءتك أو مكررة</w:t>
      </w:r>
    </w:p>
    <w:p>
      <w:pPr>
        <w:pStyle w:val="BookText"/>
        <w:rPr/>
      </w:pPr>
      <w:r>
        <w:rPr>
          <w:rFonts w:ascii="Amiri" w:hAnsi="Amiri" w:eastAsia="Amiri" w:cs="Amiri"/>
          <w:color w:val="111111"/>
          <w:sz w:val="28"/>
          <w:sz w:val="28"/>
          <w:szCs w:val="28"/>
          <w:rtl w:val="true"/>
          <w:lang w:bidi="ar-SA"/>
        </w:rPr>
        <w:t>فانصب بها مضافاً أو مضارعة و بعد ذاك الخبر اذكر رافعة</w:t>
      </w:r>
    </w:p>
    <w:p>
      <w:pPr>
        <w:pStyle w:val="BookText"/>
        <w:rPr/>
      </w:pPr>
      <w:r>
        <w:rPr>
          <w:rFonts w:ascii="Amiri" w:hAnsi="Amiri" w:eastAsia="Amiri" w:cs="Amiri"/>
          <w:color w:val="111111"/>
          <w:sz w:val="28"/>
          <w:sz w:val="28"/>
          <w:szCs w:val="28"/>
          <w:rtl w:val="true"/>
          <w:lang w:bidi="ar-SA"/>
        </w:rPr>
        <w:t>و لا النافية للجنس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المشبهات بليس فانّها ترفع الاسم و تنصب الخبر و لا تفيد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فاتّفقوا على إفادته العموم،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مع قطع النظر عن اللام و التنوين له وضع، فهو مع التنوين يدلّ على الوحدة، و مع اللام يدلّ تارة على الجنس و أُخرى على العهد، فإذا جُرّد اللفظ عن كليهما دلّ على الماهية لا بشرط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المحقّق القمي عن السكاكي انّه نقل إجماع أهل العربية على أنّ المصادر الخالية من اللام و التنوين موضوعة للماهية لا بشرط شيء</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لا يختصّ هذا بالمصادر، بل يعمّ الأسماء فالمجرّد من اللام و التنوين يدلّ على الطبيعة، فإذا وقعت تحت النفي أو النهي يدلّ على نفي الطبيعة و هو يتحقّق في ضمن نفي تمام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دلالته على العموم أنّه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رجل في الدار بل رجلان،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رجل في الدار بل رجلان، بخلاف ليس و ما و لا و لات المشبهات بها حيث يصحّ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الدار رجل بل رجلان، و ما في الدار رجل بل رجلان، حيث إنّ التنوين إشارة إلى الوحدة العددية المعينة و يكون النفي راجعاً إلى الوحدة</w:t>
      </w:r>
      <w:r>
        <w:rPr>
          <w:rFonts w:eastAsia="Amiri" w:cs="Amiri" w:ascii="Amiri" w:hAnsi="Amiri"/>
          <w:color w:val="111111"/>
          <w:sz w:val="28"/>
          <w:szCs w:val="28"/>
          <w:rtl w:val="true"/>
          <w:lang w:bidi="ar-SA"/>
        </w:rPr>
        <w:t>.</w:t>
      </w:r>
    </w:p>
    <w:p>
      <w:pPr>
        <w:pStyle w:val="Heading5"/>
        <w:numPr>
          <w:ilvl w:val="4"/>
          <w:numId w:val="1"/>
        </w:numPr>
        <w:rPr/>
      </w:pPr>
      <w:bookmarkStart w:id="1076" w:name="__RefHeading___Toc7305376_3381743652"/>
      <w:bookmarkStart w:id="1077" w:name="_Toc409"/>
      <w:bookmarkEnd w:id="1076"/>
      <w:r>
        <w:rPr>
          <w:rtl w:val="true"/>
        </w:rPr>
        <w:t>يلاحظ عليه بأمرين</w:t>
      </w:r>
      <w:r>
        <w:rPr>
          <w:rtl w:val="true"/>
        </w:rPr>
        <w:t>:</w:t>
      </w:r>
      <w:bookmarkEnd w:id="1077"/>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القول بأنّ الطبيعة توجد بوجود فرد ما و تنعدم بانعدام جميع </w:t>
      </w:r>
    </w:p>
    <w:p>
      <w:pPr>
        <w:pStyle w:val="BookText"/>
        <w:rPr/>
      </w:pPr>
      <w:r>
        <w:rPr>
          <w:rFonts w:ascii="Amiri" w:hAnsi="Amiri" w:eastAsia="Amiri" w:cs="Amiri"/>
          <w:color w:val="111111"/>
          <w:sz w:val="28"/>
          <w:sz w:val="28"/>
          <w:szCs w:val="28"/>
          <w:rtl w:val="true"/>
          <w:lang w:bidi="ar-SA"/>
        </w:rPr>
        <w:t>الأفراد غير تام على الأُصول الفلسفية، لأنّ الطبيعة لا واحدة و لا كثيرة، بل مع الواحد واحدة و مع الكثير كثيرة، فكما لها وجودات حسب الافراد، فهكذا لها اعدام بحسبها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تصحّ القاعدة في نظر العرف و ذلك لقرينة خارجية خصوصاً في النواهي، لأنّه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فالمفسدة قائمة بكلّ واحد واحد من أفراد الخمر، فترك فرد من أفرادها مع استعمال سائر الأفراد لا يؤمّن غرض المولى، فصار ذلك قرينة على أنّ المراد هو نفي الطبيعة بنفي جميع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العموم عبارة عمّا تدلّ على الكثرة و الافراد بالدلالة اللفظية لا بالدلالة العقلية، فانّ استفادة العموم في المورد مستند إلى الدلالة العقلية العرفية لا إلى الدلالة اللفظية، و مع ذلك كلّه فلا شكّ في أنّ هيئة لا رجل تدلّ على نفي عامة الأفراد و لو بقرينة عامة عرفية، و هي انّ نفي الطبيعة بنفي عامة أفرادها و التبادر أفضل دليل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استفادة العموم رهن مقدّمات الحكمة؟ ثمّ إنّ المحقّق الخراساني ذهب إلى أنّ استفادة العموم رهن أخذ الطبيعة مرسلة لا مبهمة، قابلة للتقييد و إلاّ فسلبها لا يقتضي إلاّ استيعاب السلب لما أُريد منها يقيناً لا استيعاب ما يصلح انطباقها عليه من أفرادها، و هذا لا ينافي كون دلالتها عليه عقلية، فانّها بالإضافة إلى أفراد ما يراد منها لا الافراد التي تصلح لانطباقها عليها</w:t>
      </w:r>
      <w:r>
        <w:rPr>
          <w:rFonts w:eastAsia="Amiri" w:cs="Amiri" w:ascii="Amiri" w:hAnsi="Amiri"/>
          <w:color w:val="111111"/>
          <w:sz w:val="28"/>
          <w:szCs w:val="28"/>
          <w:rtl w:val="true"/>
          <w:lang w:bidi="ar-SA"/>
        </w:rPr>
        <w:t>.</w:t>
      </w:r>
      <w:r>
        <w:rPr>
          <w:rStyle w:val="FootnoteAnchor"/>
          <w:rtl w:val="true"/>
        </w:rPr>
        <w:footnoteReference w:id="336"/>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يشترط في استفادة العموم أخذ الطبيعة مرسلة سارية في جميع </w:t>
      </w:r>
    </w:p>
    <w:p>
      <w:pPr>
        <w:pStyle w:val="BookText"/>
        <w:rPr/>
      </w:pPr>
      <w:r>
        <w:rPr>
          <w:rFonts w:ascii="Amiri" w:hAnsi="Amiri" w:eastAsia="Amiri" w:cs="Amiri"/>
          <w:color w:val="111111"/>
          <w:sz w:val="28"/>
          <w:sz w:val="28"/>
          <w:szCs w:val="28"/>
          <w:rtl w:val="true"/>
          <w:lang w:bidi="ar-SA"/>
        </w:rPr>
        <w:t>أفرادها، و أخذ الطبيعة كذلك من مقدّمات الحكمة الذي يعبّر عنه بكون المتكلّم في مقام البيان لا في مقام الإجمال و الإبهام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فالذي يدلّ على لزوم إحراز هذا الشرط انّه لولاه لما أمكنت استفادة العموم، لأنّ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وضعت لنفي المدخول، و أمّا كون المدخول عبارة عن كلّ ما يصلح انطباقه عليه فهو رهن أخذ الطبيعة مرسلة لا مبهمة و لا مجملة، و إلاّ فيمكن أن تكون لا لنفي ما أُريد من الطبيعة و إن كان المراد قسماً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دور للفظة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السلب و هو يحتمل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استيعاب السلب لكلّ ما تنطبق الطبيعة عليه، أو لكلّ ما يراد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يفيد العموم دون الثاني، و إحرازه فرع جريان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احتمال استيعاب السلب لما أُريد منها لا استيعاب ما يصلح انطباقها عليه من أفرادها مبني على أنّ العام عند التخصيص يستعمل في غير معناه الحقيقي، و لذلك يدور الأمر بين الاحتمالين أي استيعاب السلب لما أُريد من الطبيعة يقيناً إذا كان مخصصاً أو استيعاب ما يصلح انطباقه عليه من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القول بأنّ العام سواء خص أم لم يخصّ يستعمل في المعنى اللغوي العام، أي ما يصلح انطباقه عليه من أفرادها</w:t>
      </w:r>
      <w:r>
        <w:rPr>
          <w:rStyle w:val="FootnoteAnchor"/>
          <w:rtl w:val="true"/>
        </w:rPr>
        <w:footnoteReference w:id="337"/>
      </w:r>
      <w:r>
        <w:rPr>
          <w:rFonts w:ascii="Amiri" w:hAnsi="Amiri" w:eastAsia="Amiri" w:cs="Amiri"/>
          <w:color w:val="111111"/>
          <w:sz w:val="28"/>
          <w:sz w:val="28"/>
          <w:szCs w:val="28"/>
          <w:rtl w:val="true"/>
          <w:lang w:bidi="ar-SA"/>
        </w:rPr>
        <w:t>، فلا يكون هناك إلاّ احتمال واحد، و هو استيعاب كلّ ما يصلح انطباقها عليه، و على ضوء ذلك فلا حاجة إلى أخذ الطبيعة مرسلة في مقابل كونها مبهمة أو مجملة</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احتملنا انّ للموضوع قيداً آخر وراء الطبيعة فيمكن دفعه بجريان مقدّمات الحكمة</w:t>
      </w:r>
      <w:r>
        <w:rPr>
          <w:rFonts w:eastAsia="Amiri" w:cs="Amiri" w:ascii="Amiri" w:hAnsi="Amiri"/>
          <w:color w:val="111111"/>
          <w:sz w:val="28"/>
          <w:szCs w:val="28"/>
          <w:rtl w:val="true"/>
          <w:lang w:bidi="ar-SA"/>
        </w:rPr>
        <w:t xml:space="preserve">. </w:t>
      </w:r>
      <w:bookmarkStart w:id="1078" w:name="pg14356_187072"/>
    </w:p>
    <w:p>
      <w:pPr>
        <w:pStyle w:val="BookText"/>
        <w:rPr/>
      </w:pPr>
      <w:bookmarkEnd w:id="1078"/>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المحقّق الخراساني خلط بين استفادة العموم و دفع احتمال مدخلية قيد آخر 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يكفي فيه نفي الطبيعة بمعناها اللغوي من دون حاجة إلى إرسال و غيره، و أمّا الثاني أي احتمال دخالة قيد في الموضوع فدفعه رهن مقدّمات الحكمة</w:t>
      </w:r>
      <w:r>
        <w:rPr>
          <w:rFonts w:eastAsia="Amiri" w:cs="Amiri" w:ascii="Amiri" w:hAnsi="Amiri"/>
          <w:color w:val="111111"/>
          <w:sz w:val="28"/>
          <w:szCs w:val="28"/>
          <w:rtl w:val="true"/>
          <w:lang w:bidi="ar-SA"/>
        </w:rPr>
        <w:t>.</w:t>
      </w:r>
    </w:p>
    <w:p>
      <w:pPr>
        <w:pStyle w:val="Heading4"/>
        <w:numPr>
          <w:ilvl w:val="3"/>
          <w:numId w:val="1"/>
        </w:numPr>
        <w:rPr/>
      </w:pPr>
      <w:bookmarkStart w:id="1079" w:name="__RefHeading___Toc7305378_3381743652"/>
      <w:bookmarkStart w:id="1080" w:name="_Toc410"/>
      <w:bookmarkEnd w:id="1079"/>
      <w:r>
        <w:rPr>
          <w:rtl w:val="true"/>
        </w:rPr>
        <w:t>الثاني</w:t>
      </w:r>
      <w:r>
        <w:rPr>
          <w:rtl w:val="true"/>
        </w:rPr>
        <w:t xml:space="preserve">: </w:t>
      </w:r>
      <w:r>
        <w:rPr>
          <w:rtl w:val="true"/>
        </w:rPr>
        <w:t>لفظة كلّ أو ما يعادلها</w:t>
      </w:r>
      <w:bookmarkEnd w:id="1080"/>
    </w:p>
    <w:p>
      <w:pPr>
        <w:pStyle w:val="BookText"/>
        <w:rPr/>
      </w:pPr>
      <w:r>
        <w:rPr>
          <w:rFonts w:ascii="Amiri" w:hAnsi="Amiri" w:eastAsia="Amiri" w:cs="Amiri"/>
          <w:color w:val="111111"/>
          <w:sz w:val="28"/>
          <w:sz w:val="28"/>
          <w:szCs w:val="28"/>
          <w:rtl w:val="true"/>
          <w:lang w:bidi="ar-SA"/>
        </w:rPr>
        <w:t>المتبادر من لفظ كلّ أو ما يعادله هو الاستيعاب و العموم، غير أنّ سعة الدلالة تتبع سعة المدخول و ضيقه، فهو على كلّ تقدير بصدد إفادة العموم، سواء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عالم 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فإطلاق الموضوع و تقييده لا يضرّ بدلالة كلّ الموضوع للشمول و 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أنّا لا نحتاج في استفادة الشمول و العموم إلى إجراء مقدّمات الحكمة، لأنّ لفظة كلّ موضوعة للشمول و معه لا حاجة لشيء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احتملنا انّ للموضوع قيداً سقط من كلام المتكلّم يصحّ نفيه بمقدّمات الحكمة، فالخلط السائد في القسم الأوّل جار في المقام، فنحن في استفادة العموم مستغنون عن إجراء مقدّمات الحكمة، و أمّا في نفي احتمال تقيد الموضوع بقيد آخر فيدفع بمقدّمات الحكمة</w:t>
      </w:r>
      <w:r>
        <w:rPr>
          <w:rFonts w:eastAsia="Amiri" w:cs="Amiri" w:ascii="Amiri" w:hAnsi="Amiri"/>
          <w:color w:val="111111"/>
          <w:sz w:val="28"/>
          <w:szCs w:val="28"/>
          <w:rtl w:val="true"/>
          <w:lang w:bidi="ar-SA"/>
        </w:rPr>
        <w:t>.</w:t>
      </w:r>
    </w:p>
    <w:p>
      <w:pPr>
        <w:pStyle w:val="Heading4"/>
        <w:numPr>
          <w:ilvl w:val="3"/>
          <w:numId w:val="1"/>
        </w:numPr>
        <w:rPr/>
      </w:pPr>
      <w:bookmarkStart w:id="1081" w:name="__RefHeading___Toc7305380_3381743652"/>
      <w:bookmarkStart w:id="1082" w:name="_Toc411"/>
      <w:bookmarkEnd w:id="1081"/>
      <w:r>
        <w:rPr>
          <w:rtl w:val="true"/>
        </w:rPr>
        <w:t>الثالث</w:t>
      </w:r>
      <w:r>
        <w:rPr>
          <w:rtl w:val="true"/>
        </w:rPr>
        <w:t xml:space="preserve">: </w:t>
      </w:r>
      <w:r>
        <w:rPr>
          <w:rtl w:val="true"/>
        </w:rPr>
        <w:t>الجمع المحلّى باللام</w:t>
      </w:r>
      <w:bookmarkEnd w:id="108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عدّ من أدوات العموم ما اتّفق الأُصوليون على إفادتها للعموم</w:t>
      </w:r>
      <w:r>
        <w:rPr>
          <w:rStyle w:val="FootnoteAnchor"/>
          <w:rtl w:val="true"/>
        </w:rPr>
        <w:footnoteReference w:id="338"/>
      </w:r>
      <w:r>
        <w:rPr>
          <w:rFonts w:ascii="Amiri" w:hAnsi="Amiri" w:eastAsia="Amiri" w:cs="Amiri"/>
          <w:color w:val="111111"/>
          <w:sz w:val="28"/>
          <w:sz w:val="28"/>
          <w:szCs w:val="28"/>
          <w:rtl w:val="true"/>
          <w:lang w:bidi="ar-SA"/>
        </w:rPr>
        <w:t>،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r>
        <w:rPr>
          <w:rStyle w:val="FootnoteAnchor"/>
          <w:rtl w:val="true"/>
        </w:rPr>
        <w:footnoteReference w:id="339"/>
      </w:r>
      <w:r>
        <w:rPr>
          <w:rFonts w:ascii="Amiri" w:hAnsi="Amiri" w:eastAsia="Amiri" w:cs="Amiri"/>
          <w:color w:val="111111"/>
          <w:sz w:val="28"/>
          <w:sz w:val="28"/>
          <w:szCs w:val="28"/>
          <w:rtl w:val="true"/>
          <w:lang w:bidi="ar-SA"/>
        </w:rPr>
        <w:t>،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قاتِلُوا الْمُشْرِكِينَ </w:t>
      </w:r>
    </w:p>
    <w:p>
      <w:pPr>
        <w:pStyle w:val="BookText"/>
        <w:rPr/>
      </w:pPr>
      <w:r>
        <w:rPr>
          <w:rFonts w:ascii="Amiri" w:hAnsi="Amiri" w:eastAsia="Amiri" w:cs="Amiri"/>
          <w:color w:val="111111"/>
          <w:sz w:val="28"/>
          <w:sz w:val="28"/>
          <w:szCs w:val="28"/>
          <w:rtl w:val="true"/>
          <w:lang w:bidi="ar-SA"/>
        </w:rPr>
        <w:t xml:space="preserve">كَافَّةً </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تأكيد للعموم المستفاد من الجمع المحلّى، 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بَشِّرِ الصّابِرِينَ </w:t>
      </w:r>
      <w:r>
        <w:rPr>
          <w:rFonts w:eastAsia="Amiri" w:cs="Amiri" w:ascii="Amiri" w:hAnsi="Amiri"/>
          <w:color w:val="111111"/>
          <w:sz w:val="28"/>
          <w:szCs w:val="28"/>
          <w:rtl w:val="true"/>
          <w:lang w:bidi="ar-SA"/>
        </w:rPr>
        <w:t>).</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و الدليل على إفادته العموم، هو تبادر العموم كما هو الحال في تلك الآيات، و تؤيده كثرة استعماله في العموم في المحاورات، كقول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جاهلاً سل العلماء، و إن كنت مريضاً راجع الأطباء، و إن كنت غنياً واس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تردد المحقّق الخراساني في إفادته العموم بذاته،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يفيده إذا اقتضته الحكمة أو قرينة أُخرى، و ذلك لأنّ الدالّ عليه أحد الأُمور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اللام و لا دلالة لها بشهادة عدم دلالتها في المفرد المحلّى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الجمع المجرد، و لا دلالة له لصدقه على الاثنين و ما فوقه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المركّب من اللام و الجمع، فلا دلالة له، لعدم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بأنّ استفادة العموم لازم كون اللام لتعريف الجمع، و القابل للتعريف، هو أقصى المراتب، دون غيره، لأنّ له عرضاً عريضاً و مراتب متعددة، لا يمكن الإشارة إلى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أقلّ الجمع، متعيّن كالثلاثة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أُريد من التعيّن مفهومها فصحيح لكنّه لا يفيد في المقام، و إن أُريد تعيّنها مصداقاً، فغير تام، لتردّده بين مصاديق مختلفة، كهذه الثلاثة أو تلك الثلاثة، و لذلك لو قلت جاءني ثلاثة أشخاص، فللمخاطب أن يسأل عن مصاديقها،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ثلاثة هل هي زيد و عمرو و بكر، أو رعد </w:t>
      </w:r>
      <w:bookmarkStart w:id="1083" w:name="pg14356_187074"/>
    </w:p>
    <w:p>
      <w:pPr>
        <w:pStyle w:val="BookText"/>
        <w:rPr/>
      </w:pPr>
      <w:bookmarkEnd w:id="1083"/>
      <w:r>
        <w:rPr>
          <w:rFonts w:ascii="Amiri" w:hAnsi="Amiri" w:eastAsia="Amiri" w:cs="Amiri"/>
          <w:color w:val="111111"/>
          <w:sz w:val="28"/>
          <w:sz w:val="28"/>
          <w:szCs w:val="28"/>
          <w:rtl w:val="true"/>
          <w:lang w:bidi="ar-SA"/>
        </w:rPr>
        <w:t>و خالد و حيدر</w:t>
      </w:r>
      <w:r>
        <w:rPr>
          <w:rFonts w:eastAsia="Amiri" w:cs="Amiri" w:ascii="Amiri" w:hAnsi="Amiri"/>
          <w:color w:val="111111"/>
          <w:sz w:val="28"/>
          <w:szCs w:val="28"/>
          <w:rtl w:val="true"/>
          <w:lang w:bidi="ar-SA"/>
        </w:rPr>
        <w:t>.</w:t>
      </w:r>
      <w:r>
        <w:rPr>
          <w:rStyle w:val="FootnoteAnchor"/>
          <w:rtl w:val="true"/>
        </w:rPr>
        <w:footnoteReference w:id="34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طريق إثبات اللغة و تعيين مفاد الألفاظ و معانيها، هي التبادر و صحّة الحمل و الاطراد لا الدقائق العقلية التي لا يلتفت إليها إلاّ طبقة خاصة، و إلاّ فيجب أن يقول بالعموم في المفرد المحلّى باللام، لجريان نفس البيان فيه 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التمسك بالتبادر الحاسم للنزاع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الكلام في استفادة العموم نفس الكلام في استفادة العموم من وقوع النكرة في سياق النفي أو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طابق النعل بالنعل بمعنى انّه لا حاجة في فهم العموم إلى إجراء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دفع احتمال مدخلية قيد في الموضوع رهن جريانها</w:t>
      </w:r>
      <w:r>
        <w:rPr>
          <w:rFonts w:eastAsia="Amiri" w:cs="Amiri" w:ascii="Amiri" w:hAnsi="Amiri"/>
          <w:color w:val="111111"/>
          <w:sz w:val="28"/>
          <w:szCs w:val="28"/>
          <w:rtl w:val="true"/>
          <w:lang w:bidi="ar-SA"/>
        </w:rPr>
        <w:t>.</w:t>
      </w:r>
    </w:p>
    <w:p>
      <w:pPr>
        <w:pStyle w:val="Heading4"/>
        <w:numPr>
          <w:ilvl w:val="3"/>
          <w:numId w:val="1"/>
        </w:numPr>
        <w:rPr/>
      </w:pPr>
      <w:bookmarkStart w:id="1084" w:name="__RefHeading___Toc7305382_3381743652"/>
      <w:bookmarkStart w:id="1085" w:name="_Toc412"/>
      <w:bookmarkEnd w:id="1084"/>
      <w:r>
        <w:rPr>
          <w:rtl w:val="true"/>
        </w:rPr>
        <w:t>الرابع</w:t>
      </w:r>
      <w:r>
        <w:rPr>
          <w:rtl w:val="true"/>
        </w:rPr>
        <w:t xml:space="preserve">: </w:t>
      </w:r>
      <w:r>
        <w:rPr>
          <w:rtl w:val="true"/>
        </w:rPr>
        <w:t>المفرد المحلّى باللام</w:t>
      </w:r>
      <w:bookmarkEnd w:id="1085"/>
    </w:p>
    <w:p>
      <w:pPr>
        <w:pStyle w:val="BookText"/>
        <w:rPr/>
      </w:pPr>
      <w:r>
        <w:rPr>
          <w:rFonts w:ascii="Amiri" w:hAnsi="Amiri" w:eastAsia="Amiri" w:cs="Amiri"/>
          <w:color w:val="111111"/>
          <w:sz w:val="28"/>
          <w:sz w:val="28"/>
          <w:szCs w:val="28"/>
          <w:rtl w:val="true"/>
          <w:lang w:bidi="ar-SA"/>
        </w:rPr>
        <w:t>و قد عدّ من ألفاظ العموم، المفرد المحلّى باللام و استدلّ له بوجوه قاصرة، كوصفه بالجمع في المثل الدارج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الناس الدينار الصفر و الدرهم البيض، و صحّة ورود الاستثناء عليه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و انّ اللام للتعريف و المعرّف هو أقصى المراتب</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انّ استفادة العموم في الموردين الأوّلين بالقرينة الخارجية، أمّا الأوّل فلأنّه لا فرق بين دينار و دينار و درهم و درهم في أنّه يغرّ الإنسان، و أمّا الثاني فبما انّ الإنسان طبيعة واحدة، فيكون تمام أفرادها في خسر، لأنّ أفراد الطبيعة فيما يجوز </w:t>
      </w:r>
    </w:p>
    <w:p>
      <w:pPr>
        <w:pStyle w:val="BookText"/>
        <w:rPr/>
      </w:pPr>
      <w:r>
        <w:rPr>
          <w:rFonts w:ascii="Amiri" w:hAnsi="Amiri" w:eastAsia="Amiri" w:cs="Amiri"/>
          <w:color w:val="111111"/>
          <w:sz w:val="28"/>
          <w:sz w:val="28"/>
          <w:szCs w:val="28"/>
          <w:rtl w:val="true"/>
          <w:lang w:bidi="ar-SA"/>
        </w:rPr>
        <w:t>و ما لا يجوز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الثالث دليل عقلي لا يركن إليه في باب الدلالات كما مرّ في الجمع المحلّى باللام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التبادر لا يساعد العموم في جميع الموارد</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استفادة العموم من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بجريان مقدّمات الحكمة ببيان انّ المولى في مقام التشريع و التقنين، فإن أراد بيعاً خاصاً كان عليه البيان، و إلاّ فيكون مطلق البيع حلالاً و نافذاً، و على ذلك يخرج من باب العموم و يدخل في باب المطلق</w:t>
      </w:r>
      <w:r>
        <w:rPr>
          <w:rFonts w:eastAsia="Amiri" w:cs="Amiri" w:ascii="Amiri" w:hAnsi="Amiri"/>
          <w:color w:val="111111"/>
          <w:sz w:val="28"/>
          <w:szCs w:val="28"/>
          <w:rtl w:val="true"/>
          <w:lang w:bidi="ar-SA"/>
        </w:rPr>
        <w:t xml:space="preserve">. </w:t>
      </w:r>
      <w:bookmarkStart w:id="1086" w:name="pg14356_187076"/>
    </w:p>
    <w:p>
      <w:pPr>
        <w:pStyle w:val="Heading3"/>
        <w:numPr>
          <w:ilvl w:val="2"/>
          <w:numId w:val="1"/>
        </w:numPr>
        <w:rPr/>
      </w:pPr>
      <w:bookmarkStart w:id="1087" w:name="__RefHeading___Toc7305384_3381743652"/>
      <w:bookmarkStart w:id="1088" w:name="_Toc413"/>
      <w:bookmarkEnd w:id="1086"/>
      <w:bookmarkEnd w:id="1087"/>
      <w:r>
        <w:rPr>
          <w:rtl w:val="true"/>
        </w:rPr>
        <w:t>الفصل الثاني تخصيص العام لا يوجب المجازية</w:t>
      </w:r>
      <w:bookmarkEnd w:id="1088"/>
    </w:p>
    <w:p>
      <w:pPr>
        <w:pStyle w:val="Heading4"/>
        <w:numPr>
          <w:ilvl w:val="3"/>
          <w:numId w:val="1"/>
        </w:numPr>
        <w:rPr/>
      </w:pPr>
      <w:bookmarkStart w:id="1089" w:name="__RefHeading___Toc7305386_3381743652"/>
      <w:bookmarkStart w:id="1090" w:name="_Toc414"/>
      <w:bookmarkEnd w:id="1089"/>
      <w:r>
        <w:rPr>
          <w:rtl w:val="true"/>
        </w:rPr>
        <w:t>اشارة</w:t>
      </w:r>
      <w:bookmarkEnd w:id="1090"/>
    </w:p>
    <w:p>
      <w:pPr>
        <w:pStyle w:val="BookText"/>
        <w:rPr/>
      </w:pPr>
      <w:r>
        <w:rPr>
          <w:rFonts w:ascii="Amiri" w:hAnsi="Amiri" w:eastAsia="Amiri" w:cs="Amiri"/>
          <w:color w:val="111111"/>
          <w:sz w:val="28"/>
          <w:sz w:val="28"/>
          <w:szCs w:val="28"/>
          <w:rtl w:val="true"/>
          <w:lang w:bidi="ar-SA"/>
        </w:rPr>
        <w:t>عقد المحقّق الخراساني فصلاً في أنّ العام المخصَّص بالمتّصل أو المنفصل حجّة فيما بقي تحت العام، و لمّا كان القضاء الحاسم في هذا الموضوع مبنيّاً على مسألة أُخرى، و هي كون التخصيص، موجباً لمجازية العام، و استعماله في غير ما وضع له، و عدمه، عدلنا عن النظام الموجود في الكفاية و عقدنا فصلاً مستقلاً لهذه المسألة التي هي المبنى لحجّية العام فيما بقي، و بعد الفراغ منه، نعقد فصلاً جديداً للحجّية فيما بقي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الأقوال في المسألة كثيرة ربما تناهز الثمانية</w:t>
      </w:r>
      <w:r>
        <w:rPr>
          <w:rStyle w:val="FootnoteAnchor"/>
          <w:rtl w:val="true"/>
        </w:rPr>
        <w:footnoteReference w:id="3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المعروف منها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حقيقة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مجاز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المخصّص المتّصل و المنفصل فهو حقيقة في الأوّل و مجاز في الثاني</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هو الأوّل و هو الذي نصره المحقّق الخراساني ببيانين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خاص بالمخصص المتصل، و الآخر بالمخصص المنفصل، و ربما تكون روح البيانين في الموردين واحداً و إن كان التعبير مختلفاً</w:t>
      </w:r>
      <w:r>
        <w:rPr>
          <w:rFonts w:eastAsia="Amiri" w:cs="Amiri" w:ascii="Amiri" w:hAnsi="Amiri"/>
          <w:color w:val="111111"/>
          <w:sz w:val="28"/>
          <w:szCs w:val="28"/>
          <w:rtl w:val="true"/>
          <w:lang w:bidi="ar-SA"/>
        </w:rPr>
        <w:t xml:space="preserve">. </w:t>
      </w:r>
      <w:bookmarkStart w:id="1091" w:name="pg14356_187077"/>
    </w:p>
    <w:p>
      <w:pPr>
        <w:pStyle w:val="Heading4"/>
        <w:numPr>
          <w:ilvl w:val="3"/>
          <w:numId w:val="1"/>
        </w:numPr>
        <w:rPr/>
      </w:pPr>
      <w:bookmarkStart w:id="1092" w:name="__RefHeading___Toc7305388_3381743652"/>
      <w:bookmarkStart w:id="1093" w:name="_Toc415"/>
      <w:bookmarkEnd w:id="1091"/>
      <w:bookmarkEnd w:id="1092"/>
      <w:r>
        <w:rPr/>
        <w:t>1</w:t>
      </w:r>
      <w:r>
        <w:rPr>
          <w:rtl w:val="true"/>
        </w:rPr>
        <w:t xml:space="preserve">. </w:t>
      </w:r>
      <w:r>
        <w:rPr>
          <w:rtl w:val="true"/>
        </w:rPr>
        <w:t>المخصص المتّصل و تعدد الدال و المدلول</w:t>
      </w:r>
      <w:bookmarkEnd w:id="1093"/>
    </w:p>
    <w:p>
      <w:pPr>
        <w:pStyle w:val="BookText"/>
        <w:rPr/>
      </w:pPr>
      <w:r>
        <w:rPr>
          <w:rFonts w:ascii="Amiri" w:hAnsi="Amiri" w:eastAsia="Amiri" w:cs="Amiri"/>
          <w:color w:val="111111"/>
          <w:sz w:val="28"/>
          <w:sz w:val="28"/>
          <w:szCs w:val="28"/>
          <w:rtl w:val="true"/>
          <w:lang w:bidi="ar-SA"/>
        </w:rPr>
        <w:t>إنّ المجاز في اصطلاح المشهور عبارة عن استعمال اللفظ في غير ما وضع له، و لكن أدوات العموم 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 في معناه الحقيقي، الذي يعادله في اللغة الفارسية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فرق بين أن يكون مدخوله وسيعاً،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مضيقاً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رجل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فكون المدخول موسّعاً أو مضيّقاً لا يؤثر في استعمال أداة العام فهو مطلقاً مستعمل في معناه و إنّما تعلم السعة و الضيق، ممّا يأتي بعده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عادل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تستعمل في الأوّل في المعنى الوسيع للسعة، و في الثاني في المعنى المضيق، بل هو في كلا المقالين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رجل 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 في العموم و إن كانت افراد أحدهما بالإضافة إلى الآخر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المورد من قبيل تعدّد الدالّ و المدلول، فكلّ لفظ مستعمل في معناه الحقيقي فلفظ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مستعمل في الشمول، كما أنّ كلاً من الرجل و العالم مستعمل في معناه، و كلّ لفظ يحكي عن مدلوله، لا عن مدلول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نظير ذلك في المطلق و المقيد،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مؤمنة، فالرقبة مستعمل في نفس معناها المجرد عن كلّ خصوصية،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 إنّما دلّ على شرطية الإيمان و مدخليته في المكلّف به، هو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فلكلّ لفظ رسالة خاصة يؤدّيها، دون أن يتدخل واحد منه في رسالة الآخر</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في ثبوت ذلك، ملاحظة المحاورات الدارجة بيننا و القيود اللاحقة للعمومات و المطلقات في كلماتنا،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تجب الصلاة على كلّ إنسان بالغ، عاقل، نستعمل كلّ لفظ في مفهومه اللغوي، دون أن نستعمل الإنسان في الإنسان </w:t>
      </w:r>
      <w:bookmarkStart w:id="1094" w:name="pg14356_187078"/>
    </w:p>
    <w:p>
      <w:pPr>
        <w:pStyle w:val="BookText"/>
        <w:rPr/>
      </w:pPr>
      <w:bookmarkEnd w:id="1094"/>
      <w:r>
        <w:rPr>
          <w:rFonts w:ascii="Amiri" w:hAnsi="Amiri" w:eastAsia="Amiri" w:cs="Amiri"/>
          <w:color w:val="111111"/>
          <w:sz w:val="28"/>
          <w:sz w:val="28"/>
          <w:szCs w:val="28"/>
          <w:rtl w:val="true"/>
          <w:lang w:bidi="ar-SA"/>
        </w:rPr>
        <w:t>البالغ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ذكرنا فلا تخصيص واقعاً، إذ لم ينعقد للعام ظهور في العموم، حتّى يخصص، بل تولد العام من لدن صدوره مخصصاً و مضيقاً، و لو يوصف بالمخصص، فإنّما هو لأجل وجود نتيجة التخصيص فيه، لا نفسه، نظير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فم الركيّة </w:t>
      </w:r>
      <w:r>
        <w:rPr>
          <w:rFonts w:eastAsia="Amiri" w:cs="Amiri" w:ascii="Amiri" w:hAnsi="Amiri"/>
          <w:color w:val="111111"/>
          <w:sz w:val="28"/>
          <w:szCs w:val="28"/>
          <w:rtl w:val="true"/>
          <w:lang w:bidi="ar-SA"/>
        </w:rPr>
        <w:t>«.</w:t>
      </w:r>
    </w:p>
    <w:p>
      <w:pPr>
        <w:pStyle w:val="Heading4"/>
        <w:numPr>
          <w:ilvl w:val="3"/>
          <w:numId w:val="1"/>
        </w:numPr>
        <w:rPr/>
      </w:pPr>
      <w:bookmarkStart w:id="1095" w:name="__RefHeading___Toc7305390_3381743652"/>
      <w:bookmarkStart w:id="1096" w:name="_Toc416"/>
      <w:bookmarkEnd w:id="1095"/>
      <w:r>
        <w:rPr/>
        <w:t>2</w:t>
      </w:r>
      <w:r>
        <w:rPr>
          <w:rtl w:val="true"/>
        </w:rPr>
        <w:t xml:space="preserve">. </w:t>
      </w:r>
      <w:r>
        <w:rPr>
          <w:rtl w:val="true"/>
        </w:rPr>
        <w:t>المخصص المنفصل و الإرادة الاستعمالية</w:t>
      </w:r>
      <w:bookmarkEnd w:id="1096"/>
    </w:p>
    <w:p>
      <w:pPr>
        <w:pStyle w:val="Heading5"/>
        <w:numPr>
          <w:ilvl w:val="4"/>
          <w:numId w:val="1"/>
        </w:numPr>
        <w:rPr/>
      </w:pPr>
      <w:bookmarkStart w:id="1097" w:name="__RefHeading___Toc7305392_3381743652"/>
      <w:bookmarkStart w:id="1098" w:name="_Toc417"/>
      <w:bookmarkEnd w:id="1097"/>
      <w:r>
        <w:rPr>
          <w:rtl w:val="true"/>
        </w:rPr>
        <w:t>اشارة</w:t>
      </w:r>
      <w:bookmarkEnd w:id="1098"/>
    </w:p>
    <w:p>
      <w:pPr>
        <w:pStyle w:val="BookText"/>
        <w:rPr/>
      </w:pPr>
      <w:r>
        <w:rPr>
          <w:rFonts w:ascii="Amiri" w:hAnsi="Amiri" w:eastAsia="Amiri" w:cs="Amiri"/>
          <w:color w:val="111111"/>
          <w:sz w:val="28"/>
          <w:sz w:val="28"/>
          <w:szCs w:val="28"/>
          <w:rtl w:val="true"/>
          <w:lang w:bidi="ar-SA"/>
        </w:rPr>
        <w:t>ما ذكر من البيان يرجع إلى المخصص المتصل، و أمّا المخصص المنفصل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 قال بعد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 فهذا أيضاً لا يوجب مجازية العام، أي استعمال العلماء في المثال الأوّل في العلماء غير الفسّاق، بل العام فيه استعمل في نفس معناه اللغوي الوسيع، بالإرادة الاستعمالية، و إن كانت الإرادة الجدية متعلّقة بالعلماء غير الفساق، و ملاك الحقيقة و المجاز هي الإرادة الأُولى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توضيحه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للمتكلّم إرادتين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إرادة استعمالية، و هي إطلاق اللفظ و إرادة معناه، سواء أ كان هازلاً، أو غير هازل، مختبراً بكلامه مدى استعداد المخاطب لامتثال أمره، أو غير مختبر، مجداً في طلب المأمور به أو 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مورد الهازل و المختبر، توجد الإرادة الاستعمالية دون الجدية، بخلاف المتكلّم لا عن هزل و لا عن اختبار، فالإرادة الاستعمالية ترافق الجدية</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هذا يدلّ على وجود الإرادتين، فتارة يتفارقان كما في الهازل و المختبر، و أُخرى يوافقان كما في الأوامر الجدية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ربما تتعلّق الإرادة الاستعمالية بشيء و الجدية بشيء آخر، فإذا قلت فلان كثير الرماد، فالاستعمالية تعلّقت بالمعنى اللغوي و هو كثرة الرماد و الجدية تعلّقت بكونه كريماً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إذا قال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فقد تعلّقت إرادته الاستعمالية بإكرام كلّ العلماء بلا تخصيص، فلو كانت الإرادة الاستعمالية وفق الجدّية، لسكت عليه و لم يعقبه بشيء، و لو كانت الجدية مخالفة معها، لعقبه بكلام آخر يدلّ على ضيق نطاق الإرادة الجدية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 فالكلام يحكي عن ضيق الإرادة الجدية، و لكنّها ليست ملاك الحقيقة و المجاز، بل ملاكهما هو الإرادة الاستعمالية المتعلّقة بكلّ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الإرادة الجدية مضيقة من حيث التعلّق، فلما ذا تتعلّق الاستعمالية بالأوسع منه، أو ليس الأولى أن تتعلّق هي أيضاً بنفس ما تعلّقت به 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الغاية من التفريق بين متعلق الإرادتين هو ضرب القاعدة في الموارد المشكوكة، ليتمسك الشاك بها و يحتج على عدم خروج المشكوك عن تحت العام، باستعمال العام في معناه اللغوي</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 و شككنا في خروج قسم آخر كالنحاة منهم عن تحت العام، فلو كان العام مستعملاً في غير معناه اللغوي لا يمكن التمسّك بالعام على عدم خروج هذا عن تحت العام لتعدّد المجازات حسب تعدد الخصوصيات، بخلاف ما إن كان مستعملاً في معناه اللغوي، فعند ذلك يأتي دور الأصل العقلائي،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تطابق الإرادتين، إلاّ ما خرج بالدليل، ففي مورد الفسّاق قام الدليل على المخالفة </w:t>
      </w:r>
      <w:bookmarkStart w:id="1099" w:name="pg14356_187080"/>
    </w:p>
    <w:p>
      <w:pPr>
        <w:pStyle w:val="BookText"/>
        <w:rPr/>
      </w:pPr>
      <w:bookmarkEnd w:id="1099"/>
      <w:r>
        <w:rPr>
          <w:rFonts w:ascii="Amiri" w:hAnsi="Amiri" w:eastAsia="Amiri" w:cs="Amiri"/>
          <w:color w:val="111111"/>
          <w:sz w:val="28"/>
          <w:sz w:val="28"/>
          <w:szCs w:val="28"/>
          <w:rtl w:val="true"/>
          <w:lang w:bidi="ar-SA"/>
        </w:rPr>
        <w:t>و أمّا في غيره فأصالة التطابق هو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المعنى أشار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7305394_3381743652"/>
      <w:bookmarkStart w:id="1101" w:name="_Toc418"/>
      <w:bookmarkEnd w:id="1100"/>
      <w:r>
        <w:rPr>
          <w:rtl w:val="true"/>
        </w:rPr>
        <w:t>مخالف للظهور أو مخالف للحجّية</w:t>
      </w:r>
      <w:bookmarkEnd w:id="1101"/>
    </w:p>
    <w:p>
      <w:pPr>
        <w:pStyle w:val="BookText"/>
        <w:rPr/>
      </w:pPr>
      <w:r>
        <w:rPr>
          <w:rFonts w:ascii="Amiri" w:hAnsi="Amiri" w:eastAsia="Amiri" w:cs="Amiri"/>
          <w:color w:val="111111"/>
          <w:sz w:val="28"/>
          <w:sz w:val="28"/>
          <w:szCs w:val="28"/>
          <w:rtl w:val="true"/>
          <w:lang w:bidi="ar-SA"/>
        </w:rPr>
        <w:t>و بما ذكرنا ظهر انّ المخصص المتصل لاقترانه بالعام يمنع عن انعقاد ظهور الكلام في العموم، لأنّ الأخذ بالظهور إنّما يتمّ إذا فرغ المتكلّم عن كلامه، فما دام هو يتكلّم فله أن يُلحق بكلامه من القيود ما شاء، وعليه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كلّ رجل فهو و إن كان ظاهراً في العموم نتيجة استعماله فيه بالإرادة الاستعمالية لكنّه ظهور بدوي غير مستقر، و لا يستقر إلاّ بفراغ المتكلّم عن كلامه و المفروض انّه أتى بالقيد في كلامه بلا فصل، و هذا ما يقال انّ المخصص المتصل يزاحم ظهور العام فيه و معه لا تصل النوبة إلى الحجّية، لأنّها فرع انعقاد الظهور و المفروض انّه لم ينعقد إلاّ في الخصوص، و في الحقيقة لا تخصيص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بخلاف المخصّص المنفصل، فانّ المفروض انّ المتكلّم فرغ من كلامه و لم يأت بمخصّص فانعقد لكلامه الظهور في العموم، و ظهوره في العموم حجّة ما لم يدلّ دليل أقوى على خلافه، فإذا قال بعد يومين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 يقدّم الثاني، على حجّية العام في العموم لكونه أظهر من الأوّل، و هذا ما يقال من أنّ المخصص المنفصل يزاحم حجّية العام في العموم، لا ظهوره فيه، و ذلك لانّ الفصل بين العام و المخصص صار سبباً لانعقاد الظهور للعام في العموم، و المخصص المنفصل لأقوائيته، يتصرف في حجّية ظهور العام فيه لا في أصل الظهور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العام المخصّص بالمتصل ينعقد ظهوره من أوّل الأمر في الخصوص، أي العنوان المركّب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العدول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تخصيص فيه حقيقة، و أمّا المنفصل، فلأجل انفصال المخصّص ينعقد ظهور الكلام في العموم، و مجيء المخصص المنفصل لا يهدم ظهوره في العموم، و إنّما يهدم حجّيته في مورد المخصص فترفع اليدُ عن حجّية الظهور في مورده</w:t>
      </w:r>
      <w:r>
        <w:rPr>
          <w:rFonts w:eastAsia="Amiri" w:cs="Amiri" w:ascii="Amiri" w:hAnsi="Amiri"/>
          <w:color w:val="111111"/>
          <w:sz w:val="28"/>
          <w:szCs w:val="28"/>
          <w:rtl w:val="true"/>
          <w:lang w:bidi="ar-SA"/>
        </w:rPr>
        <w:t xml:space="preserve">. </w:t>
      </w:r>
      <w:bookmarkStart w:id="1102" w:name="pg14356_187082"/>
    </w:p>
    <w:p>
      <w:pPr>
        <w:pStyle w:val="Heading3"/>
        <w:numPr>
          <w:ilvl w:val="2"/>
          <w:numId w:val="1"/>
        </w:numPr>
        <w:rPr/>
      </w:pPr>
      <w:bookmarkStart w:id="1103" w:name="__RefHeading___Toc7305396_3381743652"/>
      <w:bookmarkStart w:id="1104" w:name="_Toc419"/>
      <w:bookmarkEnd w:id="1102"/>
      <w:bookmarkEnd w:id="1103"/>
      <w:r>
        <w:rPr>
          <w:rtl w:val="true"/>
        </w:rPr>
        <w:t>الفصل الثالث العام المخصص حجّة في الباقي</w:t>
      </w:r>
      <w:bookmarkEnd w:id="1104"/>
    </w:p>
    <w:p>
      <w:pPr>
        <w:pStyle w:val="Heading4"/>
        <w:numPr>
          <w:ilvl w:val="3"/>
          <w:numId w:val="1"/>
        </w:numPr>
        <w:rPr/>
      </w:pPr>
      <w:bookmarkStart w:id="1105" w:name="__RefHeading___Toc7305398_3381743652"/>
      <w:bookmarkStart w:id="1106" w:name="_Toc420"/>
      <w:bookmarkEnd w:id="1105"/>
      <w:r>
        <w:rPr>
          <w:rtl w:val="true"/>
        </w:rPr>
        <w:t>اشارة</w:t>
      </w:r>
      <w:bookmarkEnd w:id="1106"/>
    </w:p>
    <w:p>
      <w:pPr>
        <w:pStyle w:val="BookText"/>
        <w:rPr/>
      </w:pPr>
      <w:r>
        <w:rPr>
          <w:rFonts w:ascii="Amiri" w:hAnsi="Amiri" w:eastAsia="Amiri" w:cs="Amiri"/>
          <w:color w:val="111111"/>
          <w:sz w:val="28"/>
          <w:sz w:val="28"/>
          <w:szCs w:val="28"/>
          <w:rtl w:val="true"/>
          <w:lang w:bidi="ar-SA"/>
        </w:rPr>
        <w:t>هل العام المخصص حجّة في الباقي، سواء أ كان متّصلاً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العدول، أم منفصلاً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 بعد فترة قبل العمل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 فإذا شكّ في خروج غير الفسّاق من العلماء، كخروج النحاة و الصرفيين و العروضيين العدول، فهل يكون العام حجّة في حقّهم فيجب إكرامهم إلى أن يعلم الخلاف؟ أو يتوقّف فيها و يكون المرجع، الأُصول العملية إذا لم يكن دليل اجتهادي غير العام؟ فيه خلاف و المشهور هو الحجية و ربما نسب إلى أهل السنّة عدم الحجّية و ربما يفصل بين المتصل و المنفصل بحجّيته في الأوّل دون الثاني</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الفرد الذي يتمسّك فيه بالعام تارة تكون فيه الشبهة حكمية و أُخرى موضوعية، أمّا الأُولى فكما مثلنا فإذا احتملنا خروج النحوي العادل أيضاً عن تحت العام كالفاسق، فهل العام حجّة في حقّه أو لا؟ و هذا ما عبر عنه المحقّق الخراساني بقوله</w:t>
      </w:r>
      <w:r>
        <w:rPr>
          <w:rFonts w:eastAsia="Amiri" w:cs="Amiri" w:ascii="Amiri" w:hAnsi="Amiri"/>
          <w:color w:val="111111"/>
          <w:sz w:val="28"/>
          <w:szCs w:val="28"/>
          <w:rtl w:val="true"/>
          <w:lang w:bidi="ar-SA"/>
        </w:rPr>
        <w:t xml:space="preserve">: </w:t>
      </w:r>
      <w:bookmarkStart w:id="1107" w:name="pg14356_187083"/>
    </w:p>
    <w:p>
      <w:pPr>
        <w:pStyle w:val="BookText"/>
        <w:rPr/>
      </w:pPr>
      <w:bookmarkEnd w:id="11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علم عدم دخوله في 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الثانية فكما إذا علمنا أنّ زيداً عالم و لكن نشك في أنّه فاسق أو لا، فهل يجوز التمسّك فيه بالعام أو لا؟ و هذا ما يعبّر عنه بالشبهة المصداقية للمخصص، و سيوافيك الكلام فيه في الفصل القادم، لا في هذا الفصل، و إليه يشير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احتمل دخوله فيه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انّ الإشارة إلى هذا القسم في أوّل الفصل مع أنّه راجع إلى الفصل الآتي يوجب تشويش الذهن، و المعروف عدم حجّية العام في الشبهة المصداقية للمخصص مطلقاً، سواء أ كان المخصص متصلاً أو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الأولى التركيز على القسم الأوّل و إرجاع البحث في الثانية إلى الفصل القادم</w:t>
      </w:r>
      <w:r>
        <w:rPr>
          <w:rFonts w:eastAsia="Amiri" w:cs="Amiri" w:ascii="Amiri" w:hAnsi="Amiri"/>
          <w:color w:val="111111"/>
          <w:sz w:val="28"/>
          <w:szCs w:val="28"/>
          <w:rtl w:val="true"/>
          <w:lang w:bidi="ar-SA"/>
        </w:rPr>
        <w:t>.</w:t>
      </w:r>
    </w:p>
    <w:p>
      <w:pPr>
        <w:pStyle w:val="Heading4"/>
        <w:numPr>
          <w:ilvl w:val="3"/>
          <w:numId w:val="1"/>
        </w:numPr>
        <w:rPr/>
      </w:pPr>
      <w:bookmarkStart w:id="1108" w:name="__RefHeading___Toc7305400_3381743652"/>
      <w:bookmarkStart w:id="1109" w:name="_Toc421"/>
      <w:bookmarkEnd w:id="1108"/>
      <w:r>
        <w:rPr>
          <w:rtl w:val="true"/>
        </w:rPr>
        <w:t>دليل القائل بعدم حجّية العام في الباقي</w:t>
      </w:r>
      <w:bookmarkEnd w:id="1109"/>
    </w:p>
    <w:p>
      <w:pPr>
        <w:pStyle w:val="BookText"/>
        <w:rPr/>
      </w:pPr>
      <w:r>
        <w:rPr>
          <w:rFonts w:ascii="Amiri" w:hAnsi="Amiri" w:eastAsia="Amiri" w:cs="Amiri"/>
          <w:color w:val="111111"/>
          <w:sz w:val="28"/>
          <w:sz w:val="28"/>
          <w:szCs w:val="28"/>
          <w:rtl w:val="true"/>
          <w:lang w:bidi="ar-SA"/>
        </w:rPr>
        <w:t>استدلّ المخالف بعدم الحجّية بأنّ العام المخصص مستعمل في غير ما وضع له، و بما انّ للمعنى المجازي مراتب مختلفة حسب مراتب الخصوصيات، يكون تعيين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الأفراد سوى المخصّص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ترجيحاً بلا مرجّح</w:t>
      </w:r>
      <w:r>
        <w:rPr>
          <w:rFonts w:eastAsia="Amiri" w:cs="Amiri" w:ascii="Amiri" w:hAnsi="Amiri"/>
          <w:color w:val="111111"/>
          <w:sz w:val="28"/>
          <w:szCs w:val="28"/>
          <w:rtl w:val="true"/>
          <w:lang w:bidi="ar-SA"/>
        </w:rPr>
        <w:t>.</w:t>
      </w:r>
    </w:p>
    <w:p>
      <w:pPr>
        <w:pStyle w:val="Heading4"/>
        <w:numPr>
          <w:ilvl w:val="3"/>
          <w:numId w:val="1"/>
        </w:numPr>
        <w:rPr/>
      </w:pPr>
      <w:bookmarkStart w:id="1110" w:name="__RefHeading___Toc7305402_3381743652"/>
      <w:bookmarkStart w:id="1111" w:name="_Toc422"/>
      <w:bookmarkEnd w:id="1110"/>
      <w:r>
        <w:rPr>
          <w:rtl w:val="true"/>
        </w:rPr>
        <w:t>و قد أُجيب عن الاستدلال بوجوه نأتي بها</w:t>
      </w:r>
      <w:r>
        <w:rPr>
          <w:rtl w:val="true"/>
        </w:rPr>
        <w:t>:</w:t>
      </w:r>
      <w:bookmarkEnd w:id="1111"/>
    </w:p>
    <w:p>
      <w:pPr>
        <w:pStyle w:val="Heading5"/>
        <w:numPr>
          <w:ilvl w:val="4"/>
          <w:numId w:val="1"/>
        </w:numPr>
        <w:rPr/>
      </w:pPr>
      <w:bookmarkStart w:id="1112" w:name="__RefHeading___Toc7305404_3381743652"/>
      <w:bookmarkStart w:id="1113" w:name="_Toc423"/>
      <w:bookmarkEnd w:id="1112"/>
      <w:r>
        <w:rPr/>
        <w:t>1</w:t>
      </w:r>
      <w:r>
        <w:rPr>
          <w:rtl w:val="true"/>
        </w:rPr>
        <w:t xml:space="preserve">. </w:t>
      </w:r>
      <w:r>
        <w:rPr>
          <w:rtl w:val="true"/>
        </w:rPr>
        <w:t>انّ الباقي أقرب المجازات، فإذا تعدّدت الحقيقة فأقرب المجازات أولى</w:t>
      </w:r>
      <w:r>
        <w:rPr>
          <w:rtl w:val="true"/>
        </w:rPr>
        <w:t>.</w:t>
      </w:r>
      <w:bookmarkEnd w:id="1113"/>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الأقربية هي الأقربية من حيث أُنس الذهن به لا الأقربية من حيث العدد و الكثرة،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أسداً في الحمام، و امتنعت الحقيقة و دار أمر اللفظ بين حمله على الرجل الشجاع أو الرجل الأبخر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الذي في فمه رائحة كريهة كما هو الحال كذلك في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يحمل على الأوّل، لكثرة أُنس الذهن به في المحاورات دون الثاني، و لذلك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عليّ و في الحروب نعامة</w:t>
      </w:r>
    </w:p>
    <w:p>
      <w:pPr>
        <w:pStyle w:val="Heading5"/>
        <w:numPr>
          <w:ilvl w:val="4"/>
          <w:numId w:val="1"/>
        </w:numPr>
        <w:rPr/>
      </w:pPr>
      <w:bookmarkStart w:id="1114" w:name="__RefHeading___Toc7305406_3381743652"/>
      <w:bookmarkStart w:id="1115" w:name="_Toc424"/>
      <w:bookmarkEnd w:id="1114"/>
      <w:r>
        <w:rPr/>
        <w:t>2</w:t>
      </w:r>
      <w:r>
        <w:rPr>
          <w:rtl w:val="true"/>
        </w:rPr>
        <w:t xml:space="preserve">. </w:t>
      </w:r>
      <w:r>
        <w:rPr>
          <w:rtl w:val="true"/>
        </w:rPr>
        <w:t>ما ذكره الشيخ الأنصاري</w:t>
      </w:r>
      <w:bookmarkEnd w:id="1115"/>
    </w:p>
    <w:p>
      <w:pPr>
        <w:pStyle w:val="Heading6"/>
        <w:numPr>
          <w:ilvl w:val="5"/>
          <w:numId w:val="1"/>
        </w:numPr>
        <w:rPr/>
      </w:pPr>
      <w:bookmarkStart w:id="1116" w:name="__RefHeading___Toc7305408_3381743652"/>
      <w:bookmarkStart w:id="1117" w:name="_Toc425"/>
      <w:bookmarkEnd w:id="1116"/>
      <w:r>
        <w:rPr>
          <w:rtl w:val="true"/>
        </w:rPr>
        <w:t>اشارة</w:t>
      </w:r>
      <w:bookmarkEnd w:id="1117"/>
    </w:p>
    <w:p>
      <w:pPr>
        <w:pStyle w:val="BookText"/>
        <w:rPr/>
      </w:pPr>
      <w:r>
        <w:rPr>
          <w:rFonts w:ascii="Amiri" w:hAnsi="Amiri" w:eastAsia="Amiri" w:cs="Amiri"/>
          <w:color w:val="111111"/>
          <w:sz w:val="28"/>
          <w:sz w:val="28"/>
          <w:szCs w:val="28"/>
          <w:rtl w:val="true"/>
          <w:lang w:bidi="ar-SA"/>
        </w:rPr>
        <w:t>بعد تسليم مبنى المستدل، التخصيص يوجب المجازية و حاصله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دلالة العام في كلّ فرد من أفراده، غير منوطة بدلالته على فرد آخر من أفراده، و لو كانت دلالة مجازية، إذ هي بواسطة عدم </w:t>
      </w:r>
      <w:bookmarkStart w:id="1118" w:name="pg14356_187084"/>
    </w:p>
    <w:p>
      <w:pPr>
        <w:pStyle w:val="BookText"/>
        <w:rPr/>
      </w:pPr>
      <w:bookmarkEnd w:id="1118"/>
      <w:r>
        <w:rPr>
          <w:rFonts w:ascii="Amiri" w:hAnsi="Amiri" w:eastAsia="Amiri" w:cs="Amiri"/>
          <w:color w:val="111111"/>
          <w:sz w:val="28"/>
          <w:sz w:val="28"/>
          <w:szCs w:val="28"/>
          <w:rtl w:val="true"/>
          <w:lang w:bidi="ar-SA"/>
        </w:rPr>
        <w:t>شموله للافراد المخصوصة لا بواسطة دخول غيرها في مدلوله، فالمقتضى للحمل على الباقي موجود و المانع مفقود، لأنّ المانع في مثل العام إنّما هو يوجب صرف اللفظ عن مدلوله و المفروض انتفاؤه بالنسبة إلى الباقي لاختصاص المخصص بغيره فلو شكّ فالأصل عدمه</w:t>
      </w:r>
      <w:r>
        <w:rPr>
          <w:rFonts w:eastAsia="Amiri" w:cs="Amiri" w:ascii="Amiri" w:hAnsi="Amiri"/>
          <w:color w:val="111111"/>
          <w:sz w:val="28"/>
          <w:szCs w:val="28"/>
          <w:rtl w:val="true"/>
          <w:lang w:bidi="ar-SA"/>
        </w:rPr>
        <w:t>.</w:t>
      </w:r>
    </w:p>
    <w:p>
      <w:pPr>
        <w:pStyle w:val="Heading6"/>
        <w:numPr>
          <w:ilvl w:val="5"/>
          <w:numId w:val="1"/>
        </w:numPr>
        <w:rPr/>
      </w:pPr>
      <w:bookmarkStart w:id="1119" w:name="__RefHeading___Toc7305410_3381743652"/>
      <w:bookmarkStart w:id="1120" w:name="_Toc426"/>
      <w:bookmarkEnd w:id="1119"/>
      <w:r>
        <w:rPr>
          <w:rtl w:val="true"/>
        </w:rPr>
        <w:t>و أورد عليه المحقّق الخراساني بوجهين</w:t>
      </w:r>
      <w:r>
        <w:rPr>
          <w:rtl w:val="true"/>
        </w:rPr>
        <w:t>:</w:t>
      </w:r>
      <w:bookmarkEnd w:id="1120"/>
    </w:p>
    <w:p>
      <w:pPr>
        <w:pStyle w:val="Heading6"/>
        <w:numPr>
          <w:ilvl w:val="5"/>
          <w:numId w:val="1"/>
        </w:numPr>
        <w:rPr/>
      </w:pPr>
      <w:bookmarkStart w:id="1121" w:name="__RefHeading___Toc7305412_3381743652"/>
      <w:bookmarkStart w:id="1122" w:name="_Toc427"/>
      <w:bookmarkEnd w:id="1121"/>
      <w:r>
        <w:rPr>
          <w:rtl w:val="true"/>
        </w:rPr>
        <w:t>أ</w:t>
      </w:r>
      <w:r>
        <w:rPr>
          <w:rtl w:val="true"/>
        </w:rPr>
        <w:t xml:space="preserve">. </w:t>
      </w:r>
      <w:r>
        <w:rPr>
          <w:rtl w:val="true"/>
        </w:rPr>
        <w:t>حمله على الباقي ترجيح بلا مرجّح</w:t>
      </w:r>
      <w:bookmarkEnd w:id="1122"/>
    </w:p>
    <w:p>
      <w:pPr>
        <w:pStyle w:val="BookText"/>
        <w:rPr/>
      </w:pPr>
      <w:r>
        <w:rPr>
          <w:rFonts w:ascii="Amiri" w:hAnsi="Amiri" w:eastAsia="Amiri" w:cs="Amiri"/>
          <w:color w:val="111111"/>
          <w:sz w:val="28"/>
          <w:sz w:val="28"/>
          <w:szCs w:val="28"/>
          <w:rtl w:val="true"/>
          <w:lang w:bidi="ar-SA"/>
        </w:rPr>
        <w:t xml:space="preserve">إذا كانت دلالة العام على كلّ فرد، ضمن دلالته على العموم و الشمول، فإذا لم يستعمل فيه و استعمل في غيره و كان الغير ذا مراتب مختلفة، و إرادة كلّ مرتبة أمراً ممكناً محتملاً، فحمله على مرتبة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الباقي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ترجيحاً بلا مرجّح</w:t>
      </w:r>
      <w:r>
        <w:rPr>
          <w:rFonts w:eastAsia="Amiri" w:cs="Amiri" w:ascii="Amiri" w:hAnsi="Amiri"/>
          <w:color w:val="111111"/>
          <w:sz w:val="28"/>
          <w:szCs w:val="28"/>
          <w:rtl w:val="true"/>
          <w:lang w:bidi="ar-SA"/>
        </w:rPr>
        <w:t>.</w:t>
      </w:r>
    </w:p>
    <w:p>
      <w:pPr>
        <w:pStyle w:val="Heading6"/>
        <w:numPr>
          <w:ilvl w:val="5"/>
          <w:numId w:val="1"/>
        </w:numPr>
        <w:rPr/>
      </w:pPr>
      <w:bookmarkStart w:id="1123" w:name="__RefHeading___Toc7305414_3381743652"/>
      <w:bookmarkStart w:id="1124" w:name="_Toc428"/>
      <w:bookmarkEnd w:id="1123"/>
      <w:r>
        <w:rPr>
          <w:rtl w:val="true"/>
        </w:rPr>
        <w:t>ب</w:t>
      </w:r>
      <w:r>
        <w:rPr>
          <w:rtl w:val="true"/>
        </w:rPr>
        <w:t xml:space="preserve">. </w:t>
      </w:r>
      <w:r>
        <w:rPr>
          <w:rtl w:val="true"/>
        </w:rPr>
        <w:t>فقد المقتضي للحمل</w:t>
      </w:r>
      <w:bookmarkEnd w:id="1124"/>
    </w:p>
    <w:p>
      <w:pPr>
        <w:pStyle w:val="BookText"/>
        <w:rPr/>
      </w:pPr>
      <w:r>
        <w:rPr>
          <w:rFonts w:ascii="Amiri" w:hAnsi="Amiri" w:eastAsia="Amiri" w:cs="Amiri"/>
          <w:color w:val="111111"/>
          <w:sz w:val="28"/>
          <w:sz w:val="28"/>
          <w:szCs w:val="28"/>
          <w:rtl w:val="true"/>
          <w:lang w:bidi="ar-SA"/>
        </w:rPr>
        <w:t>إنّ ظهور العام المخصص في الباقي رهن أحد أمرين أمّا الوضع أو القرينة، و المفروض انتفاء الأوّل لافتراض انّه ليس بموضوع للباقي، كما أنّ الثانية أيضاً كذلك و دلالته على كلّ فرد على حدة في ضمن دلالته على العموم لا يوجب بقاء الدلالة مع انتفاء الثانية، فانّ الدلالة التبعية فرع بقاء الدلالة الأصلية، فإذا انتفت الثانية، انتفت الأُولى و على هذا فلا مقتضي للحمل على الباقي فقوله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شكّ فالأصل عدمه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لكنّه إذا كان هنا مقتض للدلالة، و قد عرفت عدمه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قام المحقّق النائيني بالدفاع عن مقالة الشيخ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هناك دلالات عرضية فإذا سقطت إحداها عن الحجّية بقيت غيرها من الدلالات على حجّيتها ضرورة أنّه إذا لم تكن دلالة العام على ثبوت الحكم لفرد، دخيلة في دلالته </w:t>
      </w:r>
      <w:bookmarkStart w:id="1125" w:name="pg14356_187085"/>
    </w:p>
    <w:p>
      <w:pPr>
        <w:pStyle w:val="BookText"/>
        <w:rPr/>
      </w:pPr>
      <w:bookmarkEnd w:id="1125"/>
      <w:r>
        <w:rPr>
          <w:rFonts w:ascii="Amiri" w:hAnsi="Amiri" w:eastAsia="Amiri" w:cs="Amiri"/>
          <w:color w:val="111111"/>
          <w:sz w:val="28"/>
          <w:sz w:val="28"/>
          <w:szCs w:val="28"/>
          <w:rtl w:val="true"/>
          <w:lang w:bidi="ar-SA"/>
        </w:rPr>
        <w:t>على ثبوته لفرد آخر، لم يكن خروج فرد ما عن الحكم، منافياً لبقاء دلالته على حكم الفرد الآخر، فخروج بعض الأفراد إذا استلزم المجاز، لا يوجب ارتفاعَ دلالته على ثبوت الحكم لبقية الأفراد التي لا يعمّها المخصِّص</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ما ذا يريد من الدلالات العرضية؟ هل يريد منها، الدلالات العرضية المستلزمة للأوضاع المستقلّة كالمشترك اللفظي؟ فهو غير صحيح جدّاً و لا يلتزم به القائل، إذ ليس لفظ العام موضوعاً بأوضاع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الدلالات العرضية الضمنية، في ضمن دلالة لفظ العام على الكل، ففيه انّه إذا سقطت الدلالة الثانية لأجل كون العام مستعملاً في غير معنى الكلّ حسب الفرض، تبطل الدلالات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 الجوابين عن استدلال الخصم، غير ناهضين لقلعه</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7305416_3381743652"/>
      <w:bookmarkStart w:id="1127" w:name="_Toc429"/>
      <w:bookmarkEnd w:id="1126"/>
      <w:r>
        <w:rPr/>
        <w:t>3</w:t>
      </w:r>
      <w:r>
        <w:rPr>
          <w:rtl w:val="true"/>
        </w:rPr>
        <w:t xml:space="preserve">. </w:t>
      </w:r>
      <w:r>
        <w:rPr>
          <w:rtl w:val="true"/>
        </w:rPr>
        <w:t>إجابة المحقّق الخراساني عن الاستدلال</w:t>
      </w:r>
      <w:bookmarkEnd w:id="1127"/>
    </w:p>
    <w:p>
      <w:pPr>
        <w:pStyle w:val="BookText"/>
        <w:rPr/>
      </w:pPr>
      <w:r>
        <w:rPr>
          <w:rFonts w:ascii="Amiri" w:hAnsi="Amiri" w:eastAsia="Amiri" w:cs="Amiri"/>
          <w:color w:val="111111"/>
          <w:sz w:val="28"/>
          <w:sz w:val="28"/>
          <w:szCs w:val="28"/>
          <w:rtl w:val="true"/>
          <w:lang w:bidi="ar-SA"/>
        </w:rPr>
        <w:t>انّ المحقّق الخراساني استعان في رد الدليل بما أسّسه في الفصل السابق، من إنكار المجازية في العام المخصص، لا في متصله و لا في منفصله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من حديث تعدد الدالّ و المدلول و أنّ كلّ لفظ من 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كلّ عالم عادل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 لا أنّ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استعمل في مجموع المعنى، و على ضوء هذا فالعام حجّة في الخصوص حسب تعبير الكفاية و المراد من الخصوص أي العنوان المركب فكلّ من صدق عليه عالم عادل و إن كان نحوياً أو عروضياً أو لغوياً يجب إكرامه بحجّة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يعتدّ بالشكّ في النحوي العادل بعد شمول عنوان العام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المنفصل فلما عرفت من حديث تعدد الإرادتين و أنّ العام استعمل حسب الإرادة الاستعمالية أو التفهيمية في معناه العام ثمّ أخرج عنه بعد فترة ما لم تتعلّق به الإرادة الجدية و قيل لا تكرم العالم الفاسق، فالمخصص باعتبار انفصاله عن العام لا يزاحم ظهور العام، بل يبقى ظهوره بحاله و إنّما يزاحم حجيّة العام لكن في مورده الخاص و هو الفسّاق، و أمّا في غير هذا المورد فالظهور حجّة يجب الأخذ به في عامة الموارد غير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ببركة الأصل العقلائي و هو تطابق الإرادة الاستعمالية التي يحكي عنها ظهور العام مع الإرادة الجدية إلاّ ما خرج بالدليل، فهذا الأصل السائد بين العقلاء يبعثنا على الأخذ بالظهور في كلّ مقام لم يكن قرينة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الإرادة الاستعمالية إنّما تكون حجّة إذا لم ينكشف خلافها، و مع قيام الدليل الخاص، الكاشف عن عدم تطابقهما لا اعتبار بهذه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العقلائي بمعنى أصالة تطابق الإرادة الاستعمالية مع الإرادة الجديّة، جار في كلّ واحد واحد من أفراد العموم التي تعلّق بها الحكم، و ليس هنا أصل واحد حتى يكون الوقوف على عدم تطابقهما في مورد أو صنف، مانعاً عن جريانها فهناك حسب الأفراد و الآحاد أُصول يدل على تطابقهما و لأجل ذلك ترى العقلاء لا يشكّون في حجّية العام في الباقي و إن عُلم خروج فرد أو صنف</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المخصّص المتّصل يُزاحم ظهورَ انعقاد الظهور في العموم، و لذلك قلنا بكونه حجّة في الخصوص أي العنوان المركّب، و أمّا المخصص المنفصل فلأجل انفصاله زماناً لا يبطل ظهور العام، بل هو باق في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ظهوره لكنّه يبطل حجّية العام في مورد الخاص ترجيحاً للأظهر على الظاهر أو النصّ على الأظهر فإذا كان الظهور غير منثلم، الكاشف عن وجود الإرادة الاستعمالية فالأصل الثابت بين العقلاء تطابق الإرادتين إلاّ ما خرج بالدليل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نتيجته هو حجّية الظهور في كلّ موضوع شكّ في خروجه عن تحت العام</w:t>
      </w:r>
      <w:r>
        <w:rPr>
          <w:rFonts w:eastAsia="Amiri" w:cs="Amiri" w:ascii="Amiri" w:hAnsi="Amiri"/>
          <w:color w:val="111111"/>
          <w:sz w:val="28"/>
          <w:szCs w:val="28"/>
          <w:rtl w:val="true"/>
          <w:lang w:bidi="ar-SA"/>
        </w:rPr>
        <w:t xml:space="preserve">. </w:t>
      </w:r>
      <w:bookmarkStart w:id="1128" w:name="pg14356_187088"/>
    </w:p>
    <w:p>
      <w:pPr>
        <w:pStyle w:val="Heading3"/>
        <w:numPr>
          <w:ilvl w:val="2"/>
          <w:numId w:val="1"/>
        </w:numPr>
        <w:rPr/>
      </w:pPr>
      <w:bookmarkStart w:id="1129" w:name="__RefHeading___Toc7305418_3381743652"/>
      <w:bookmarkStart w:id="1130" w:name="_Toc430"/>
      <w:bookmarkEnd w:id="1128"/>
      <w:bookmarkEnd w:id="1129"/>
      <w:r>
        <w:rPr>
          <w:rtl w:val="true"/>
        </w:rPr>
        <w:t>الفصل الرابع في حجّية العام في مورد إجمال المخصص مفهوماً</w:t>
      </w:r>
      <w:bookmarkEnd w:id="1130"/>
    </w:p>
    <w:p>
      <w:pPr>
        <w:pStyle w:val="Heading4"/>
        <w:numPr>
          <w:ilvl w:val="3"/>
          <w:numId w:val="1"/>
        </w:numPr>
        <w:rPr/>
      </w:pPr>
      <w:bookmarkStart w:id="1131" w:name="__RefHeading___Toc7305420_3381743652"/>
      <w:bookmarkStart w:id="1132" w:name="_Toc431"/>
      <w:bookmarkEnd w:id="1131"/>
      <w:r>
        <w:rPr>
          <w:rtl w:val="true"/>
        </w:rPr>
        <w:t>اشارة</w:t>
      </w:r>
      <w:bookmarkEnd w:id="1132"/>
    </w:p>
    <w:p>
      <w:pPr>
        <w:pStyle w:val="BookText"/>
        <w:rPr/>
      </w:pPr>
      <w:r>
        <w:rPr>
          <w:rFonts w:ascii="Amiri" w:hAnsi="Amiri" w:eastAsia="Amiri" w:cs="Amiri"/>
          <w:color w:val="111111"/>
          <w:sz w:val="28"/>
          <w:sz w:val="28"/>
          <w:szCs w:val="28"/>
          <w:rtl w:val="true"/>
          <w:lang w:bidi="ar-SA"/>
        </w:rPr>
        <w:t>إذا كان المخصّص مجملاً في مورد، فهل يكون ذلك مانعاً عن حجّية العام في نفس ذلك المورد أيضاً أو لا؟ و بعبارة أُخرى إذا كان إجمال المخصص مانعاً عن التمسّك به في مورد، فهل يكون ذلك مانعاً عن حجّية العام فيه أيضاً أو لا؟ و أمّا حجّية العام في غير ذلك المورد أو حجّية الخاص في مصداقه القطعي فلا كلام فيها، و ليست مطروحة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 بعد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 و تردد مفهوم الفسق بين خصوص مرتكب الكبيرة فقط، أو الأعمّ منها و من الصغيرة، فإجمال المخصص مانع عن كونه حجّة في مورد مرتكب الصغيرة، و هل إجماله يمنع عن حجّية العام في مورده، حتّى تصل النوبة إلى الأُصول العملية، أو لا يكون مانعاً عنه، فيحتجّ في مورد مرتكب الصغيرة بالعام ويحكم بوجوب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محور البحث في المقام، و ما اخترناه في العنوان يناسب ما هو المقصود من عقد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كلمات القوم عنوانان آخران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سراية إجمال المخصص إلى العام و عدمها</w:t>
      </w:r>
      <w:r>
        <w:rPr>
          <w:rFonts w:eastAsia="Amiri" w:cs="Amiri" w:ascii="Amiri" w:hAnsi="Amiri"/>
          <w:color w:val="111111"/>
          <w:sz w:val="28"/>
          <w:szCs w:val="28"/>
          <w:rtl w:val="true"/>
          <w:lang w:bidi="ar-SA"/>
        </w:rPr>
        <w:t>.</w:t>
      </w:r>
      <w:bookmarkStart w:id="1133" w:name="pg14356_187089"/>
    </w:p>
    <w:p>
      <w:pPr>
        <w:pStyle w:val="BookText"/>
        <w:rPr/>
      </w:pPr>
      <w:bookmarkEnd w:id="113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التمسّك بالعام في الشبهات المفهومية للمخصص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صور المسألة فلا تتجاوز عن أربع، لأنّ المخصص إمّا متّصل أو منفصل، و إجمال المخصص تارة يستند إلى دورانه بين الأقلّ و الأكثر، أو بين المتباينين، و إليك رءوس الصور على وجه التفصيل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المخصص المتّصل و دوران الأمر بين الأقل و الأكثر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المخصّص المنفصل و دوران الأمر بين الأقل و الأكثر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المخصّص المتصل و دوران الأمر بين المتباينين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المخصّص المنفصل و دوران الأمر بين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المخصص المجمل تارة يكون لفظياً و أُخرى لبيّاً، كما أنّ إجماله تارة يكون في المفهوم و أُخرى في المصداق، و البحث في المقام مركّز على المخصص اللفظي دون اللّبي و على المفهومي، دون المصداقي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اللبي فلم يبحث عنه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وقفت على رءوس الصور فلنذكر أحكامه</w:t>
      </w:r>
      <w:r>
        <w:rPr>
          <w:rFonts w:eastAsia="Amiri" w:cs="Amiri" w:ascii="Amiri" w:hAnsi="Amiri"/>
          <w:color w:val="111111"/>
          <w:sz w:val="28"/>
          <w:szCs w:val="28"/>
          <w:rtl w:val="true"/>
          <w:lang w:bidi="ar-SA"/>
        </w:rPr>
        <w:t>:</w:t>
      </w:r>
    </w:p>
    <w:p>
      <w:pPr>
        <w:pStyle w:val="Heading4"/>
        <w:numPr>
          <w:ilvl w:val="3"/>
          <w:numId w:val="1"/>
        </w:numPr>
        <w:rPr/>
      </w:pPr>
      <w:bookmarkStart w:id="1134" w:name="__RefHeading___Toc7305422_3381743652"/>
      <w:bookmarkStart w:id="1135" w:name="_Toc432"/>
      <w:bookmarkEnd w:id="1134"/>
      <w:r>
        <w:rPr/>
        <w:t>1</w:t>
      </w:r>
      <w:r>
        <w:rPr>
          <w:rtl w:val="true"/>
        </w:rPr>
        <w:t xml:space="preserve">. </w:t>
      </w:r>
      <w:r>
        <w:rPr>
          <w:rtl w:val="true"/>
        </w:rPr>
        <w:t>المخصص اللفظي المتصل الدائر بين الأقلّ و الأكثر</w:t>
      </w:r>
      <w:bookmarkEnd w:id="1135"/>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المخصص اللفظي متصلاً بالعام و دار أمره بين الأقل و الأكثر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غير الفسّاق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فيسري إجمال المخصِّص إلى العام، و لا يحتجّ به في مورد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مرتكب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استدلّ عليه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انعقاد الظهور للعام أصلاً، لاحتفاف الكلام بما يوجب احتماله لكلّ واحد من الأقل و الأكثر </w:t>
      </w:r>
      <w:r>
        <w:rPr>
          <w:rFonts w:eastAsia="Amiri" w:cs="Amiri" w:ascii="Amiri" w:hAnsi="Amiri"/>
          <w:color w:val="111111"/>
          <w:sz w:val="28"/>
          <w:szCs w:val="28"/>
          <w:rtl w:val="true"/>
          <w:lang w:bidi="ar-SA"/>
        </w:rPr>
        <w:t>«.</w:t>
      </w:r>
      <w:r>
        <w:rPr>
          <w:rStyle w:val="FootnoteAnchor"/>
          <w:rtl w:val="true"/>
        </w:rPr>
        <w:footnoteReference w:id="347"/>
      </w:r>
      <w:bookmarkStart w:id="1136" w:name="pg14356_187090"/>
    </w:p>
    <w:p>
      <w:pPr>
        <w:pStyle w:val="BookText"/>
        <w:rPr/>
      </w:pPr>
      <w:bookmarkEnd w:id="1136"/>
      <w:r>
        <w:rPr>
          <w:rFonts w:ascii="Amiri" w:hAnsi="Amiri" w:eastAsia="Amiri" w:cs="Amiri"/>
          <w:color w:val="111111"/>
          <w:sz w:val="28"/>
          <w:sz w:val="28"/>
          <w:szCs w:val="28"/>
          <w:rtl w:val="true"/>
          <w:lang w:bidi="ar-SA"/>
        </w:rPr>
        <w:t>تفصيله هو ما مرّ في الفصل الماضي من أنّ المخصص المتّصل، يعارض ظهور العام، فلا ينعقد له ظهور في العموم، حتّى يتمسك به في مورد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مرتكب الصغيرة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ينعقد ظهوره في الخصوص، أي العنوان المركب،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غير الفسّاق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فكما يجب في مقام الاحتجاج إحراز كونه عالماً، هكذا يجب إحراز كونه غير فاسق، و المفروض انّه غير محرز، لإجمال مفهوم الفاسق و تردده بين خصوص مرتكب الكبيرة أو الأعم منه و من مرتكب الصغيرة، فعلى الأوّل فهو من مصاديق غير الفسّاق، دون الثاني، و معه كيف يمكن أن يتمسّك بالدليل الذي لم يحرز موضوعه؟ 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هذا إذا كان المخصّص بلسان الوصف كالمثال الماضي، و أمّا إذا كان بلسان الاستثناء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إلاّ الفساق منهم، فالموضوع هو العالم، و المفروض انّه محرز بعامة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و إن كان هو العلماء، لكن الاستثناء جعل العام حجّة في غير مورد الفسّاق، فالعام حسب الموضوع و إن كان محرزاً، لكنّه بما هو حجّة فيه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حسب الإرادة الاستعمالية و إن كان محرزاً، لكنّه حسب الإرادة الجدية غير محرز لتعلّقها بشهادة الاستثناء، بغير الفسّاق من العلماء، و إنّما يحتجّ بالإرادة الاستعمالية إذا أحرزت مطابقتها مع الإرادة الجدية، لكنّها بعدُ غير محرزة، إذ لو كان مرتكب الصغيرة غير معدود من الفسّاق فالتطابق في مورد مرتكب الصغيرة محقّق محرز، دون ما إذا كان معدوداً منهم</w:t>
      </w:r>
      <w:r>
        <w:rPr>
          <w:rFonts w:eastAsia="Amiri" w:cs="Amiri" w:ascii="Amiri" w:hAnsi="Amiri"/>
          <w:color w:val="111111"/>
          <w:sz w:val="28"/>
          <w:szCs w:val="28"/>
          <w:rtl w:val="true"/>
          <w:lang w:bidi="ar-SA"/>
        </w:rPr>
        <w:t>.</w:t>
      </w:r>
    </w:p>
    <w:p>
      <w:pPr>
        <w:pStyle w:val="Heading4"/>
        <w:numPr>
          <w:ilvl w:val="3"/>
          <w:numId w:val="1"/>
        </w:numPr>
        <w:rPr/>
      </w:pPr>
      <w:bookmarkStart w:id="1137" w:name="__RefHeading___Toc7305424_3381743652"/>
      <w:bookmarkStart w:id="1138" w:name="_Toc433"/>
      <w:bookmarkEnd w:id="1137"/>
      <w:r>
        <w:rPr/>
        <w:t>2</w:t>
      </w:r>
      <w:r>
        <w:rPr>
          <w:rtl w:val="true"/>
        </w:rPr>
        <w:t xml:space="preserve">. </w:t>
      </w:r>
      <w:r>
        <w:rPr>
          <w:rtl w:val="true"/>
        </w:rPr>
        <w:t>المخصص اللفظي المنفصل الدائر بين الأقل و الأكثر</w:t>
      </w:r>
      <w:bookmarkEnd w:id="1138"/>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المخصص اللفظي، منفصلاً عن العام، بحيث لا يزاحم لأجل </w:t>
      </w:r>
    </w:p>
    <w:p>
      <w:pPr>
        <w:pStyle w:val="BookText"/>
        <w:rPr/>
      </w:pPr>
      <w:r>
        <w:rPr>
          <w:rFonts w:ascii="Amiri" w:hAnsi="Amiri" w:eastAsia="Amiri" w:cs="Amiri"/>
          <w:color w:val="111111"/>
          <w:sz w:val="28"/>
          <w:sz w:val="28"/>
          <w:szCs w:val="28"/>
          <w:rtl w:val="true"/>
          <w:lang w:bidi="ar-SA"/>
        </w:rPr>
        <w:t>انفصاله انعقادَ ظهوره في العموم، و إنّما يزاحم حجّيته فيه كما مرّ، و دار أمره بين الأقل و الأكثر،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 بعد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يسري إجماله إلى العام أو لا؟ ذهب المحقّق الخراساني و تبعه السيّد الأُستاذ قدّس سرّهما إلى عدم سرايته إلى العام، و أنّ العام يكون حجّة في مورد الشكّ، كمرتكب الصغيرة، و الفرق بينه و بين المتّصل حيث قلنا بعدم حجّية العام فيه هو انعقاد ظهور اللفظ في العموم و بالتالي شموله لكلّ فرد حتّى مرتكب الصغيرة، هذا من جانب و من جانب آخر الأصل تطابق الإرادة الاستعمالية التي يحكي عنها الظهور في مورد مرتكب الصغيرة مع الإرادة الجدية فيكون العام حجّة في الفرد المشكوك، و أمّا المخصص اللفظي المنفصل فهو و إن كان حجّة قطعية في مورد الكبيرة، لكنّه في مورد الصغيرة مشكوك الحجيّة، فلا يجوز رفع اليد عن الحجّة القطعيّة بالحجّة المشكوكة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الدليل يشير المحقّق الخراساني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الخاص بحسب المفهوم مجملاً بأن كان دائراً بين الأقل و الأكثر و كان منفصلاً فلا يسري إجماله إلى العام لا حقيقة و لا حكماً، بل كان العام متبعاً فيما لا يُتبع فيه الخاص، لوضوح انّه حجّة فيه بلا مزاحم أصلاً ضرورة انّ الخاص إنّما يزاحمه فيما هو حجّة على خلافه تحكيماً للنصّ أو الأظهر على الظاهر لا فيما لا يكون كذلك </w:t>
      </w:r>
      <w:r>
        <w:rPr>
          <w:rFonts w:eastAsia="Amiri" w:cs="Amiri" w:ascii="Amiri" w:hAnsi="Amiri"/>
          <w:color w:val="111111"/>
          <w:sz w:val="28"/>
          <w:szCs w:val="28"/>
          <w:rtl w:val="true"/>
          <w:lang w:bidi="ar-SA"/>
        </w:rPr>
        <w:t>«.</w:t>
      </w:r>
      <w:r>
        <w:rPr>
          <w:rStyle w:val="FootnoteAnchor"/>
          <w:rtl w:val="true"/>
        </w:rPr>
        <w:footnoteReference w:id="348"/>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يقاس ذلك بالمتصل المردد بين الأقل و الأكثر، إذ لم ينعقد للعام هناك ظهور قط إلاّ في المعنون بالعنوان المجمل و مرتكب الصغيرة </w:t>
      </w:r>
    </w:p>
    <w:p>
      <w:pPr>
        <w:pStyle w:val="BookText"/>
        <w:rPr/>
      </w:pPr>
      <w:r>
        <w:rPr>
          <w:rFonts w:ascii="Amiri" w:hAnsi="Amiri" w:eastAsia="Amiri" w:cs="Amiri"/>
          <w:color w:val="111111"/>
          <w:sz w:val="28"/>
          <w:sz w:val="28"/>
          <w:szCs w:val="28"/>
          <w:rtl w:val="true"/>
          <w:lang w:bidi="ar-SA"/>
        </w:rPr>
        <w:t>مشكوك الدخول في العام هناك من أوّل الأمر، بخلافه هنا فانّ ظهور العام يشمله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 أنّه لو كان المخصّص المنفصل المجمل حكماً ابتدائياً من دون أن يسبقه العام لما كان حجّة إلاّ المقدار المتيقّن دون المشكوك فكيف مع ظهور العام</w:t>
      </w:r>
      <w:r>
        <w:rPr>
          <w:rFonts w:eastAsia="Amiri" w:cs="Amiri" w:ascii="Amiri" w:hAnsi="Amiri"/>
          <w:color w:val="111111"/>
          <w:sz w:val="28"/>
          <w:szCs w:val="28"/>
          <w:rtl w:val="true"/>
          <w:lang w:bidi="ar-SA"/>
        </w:rPr>
        <w:t>.</w:t>
      </w:r>
      <w:r>
        <w:rPr>
          <w:rStyle w:val="FootnoteAnchor"/>
          <w:rtl w:val="true"/>
        </w:rPr>
        <w:footnoteReference w:id="3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أسّسه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أنّ المخصّص المنفصل لا يهدم ظهور العام و لا يعارضه فهو حجّة إلى أن يثبت خلافه، صحيح فيما إذا شكّ في أصل التخصيص أو في التخصيص الزائد، كما إذا شكّ في تخصيصه وراء الفسّاق، بالنحاة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شكّ في سعة المخصّص القطعي و ضيقه، فالظهور المنعقد للعام لا يحتجّ به كما هو الحال كذلك في جانب المخصص المجمل الدائر بين الأقلّ و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الاحتجاج بالعام في مورد الصغيرة يعتمد على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الظهور في العموم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تطابق الإرادة الاستعمالية في موردها مع 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كلاهما لا يجتمعان</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فلأنّ الاحتجاج به لأجل كشفه عن الإرادة الجدّية، و إلاّ فالظهور بما هو ظهور، ليس بحجّة، و عندئذ فلو شكّ في أصل التخصيص، كما إذا شكّ في ورود تخصيص ثان على العام، كعدم إكرام النحاة، فيحتجّ بعموم العام و ظهوره في </w:t>
      </w:r>
    </w:p>
    <w:p>
      <w:pPr>
        <w:pStyle w:val="BookText"/>
        <w:rPr/>
      </w:pPr>
      <w:r>
        <w:rPr>
          <w:rFonts w:ascii="Amiri" w:hAnsi="Amiri" w:eastAsia="Amiri" w:cs="Amiri"/>
          <w:color w:val="111111"/>
          <w:sz w:val="28"/>
          <w:sz w:val="28"/>
          <w:szCs w:val="28"/>
          <w:rtl w:val="true"/>
          <w:lang w:bidi="ar-SA"/>
        </w:rPr>
        <w:t>الشمول كشفه عن وجود الإرادة الجدية في مورد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التخصيص قطعياً و كان الشكّ في سعته و ضيقه كما في المقام حيث شكّ في 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لمرتكب الصغيرة و عدمه، ففي مثله لا يحتجّ بالظهور المنعقد للعام في العموم، لأنّه إنّما يحتجّ به إذا كان كاشفاً عن الإرادة الجدية، و قد علم خلافه بعد ورود المخصص حيث إنّ المخصص كشف عن تعلّق الإرادة الجدية، بغير الفسّاق، و الظهور كشف عن تعلّقها بمطلق العلماء و مع هذه المخالفة لا يحتج بالظهور المنهار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شكّ في تخصيص زائد وراء الموجود يحتجّ به، لأنّ سقوط ظهوره 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يصير دليلاً على سقوطه في مورد آخر لا صلة بينهما، كما في مورد النحاة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 بأصالة التطابق في الإرادتين، فهو أيضاً كالاحتجاج بالظهور، لأنّها ليست أصلاً تعبدياً، بل أصلاً عقلائياً كاشفاً عن وجود الإرادة الجدية، في كلّ مورد تعلّقت به الإرادة الاستعمالية و مع صدور المخصص المنفصل، و تطرق الشك في دخول الصغيرة تحت العام أو المخصص به فلا يصلح الأصل المزبور، للاحتجاج لزوال الوثوق بعموم العام خصوصاً عدم استلزام الخروج عن تحت العام، تخصيصاً آخر، بل هنا تخصّص واحد، كانت الصغيرة باقية تحته أو خارجة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البيان عدل شيخنا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 بنى عليه في الدورات السابقة حيث استقرّ نظره أخيراً على أنّ إجمال المخصص المنفصل يسري إلى العام حكماً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ذكرنا يظهر عدم تمامية ما أفاده السيّد الأُستاذ من أنّه لو كان </w:t>
      </w:r>
    </w:p>
    <w:p>
      <w:pPr>
        <w:pStyle w:val="BookText"/>
        <w:rPr/>
      </w:pPr>
      <w:r>
        <w:rPr>
          <w:rFonts w:ascii="Amiri" w:hAnsi="Amiri" w:eastAsia="Amiri" w:cs="Amiri"/>
          <w:color w:val="111111"/>
          <w:sz w:val="28"/>
          <w:sz w:val="28"/>
          <w:szCs w:val="28"/>
          <w:rtl w:val="true"/>
          <w:lang w:bidi="ar-SA"/>
        </w:rPr>
        <w:t>المخصص المنفصل حكماً ابتدائياً من دون سبق العام لما كان حجّة إلاّ في القدر المتيقّن دون المشكوك فكيف مع ظهور العام؟ و ذلك لأنّه لا ملازمة بين عدم الحجّية و بين عدم المانعية عن الاحتجاج بالعام، فالأوّل مسلم إذ ليس المخصص حجّة في المشكوك و لكن الثاني غير معلوم، فانّ المنفصل المجمل يصير كالقرينة الحافة بالكلام التي توجب إجمال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 هو الوجه في التوقّف في العمل بالعام، و قد أشار إلى بعض ما ذكرناه شيخ مشايخنا العلاّمة الحائري و إن عدل عنه في هامش كتابه،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عادة المتكلم جارية على ذكر المخصص منفصلاً عن كلامه، فحال المنفصل في كلامه، حال المتصل في كلام غيره، فيحتاج في العمل بالعام إلى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القطع ببقائه تحت العام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الأوّل فغير موجود، و أمّا الثاني فجريانه مخصوص بمورد لم يوجد فيه ما يصلح لأن يكون مخصصاً</w:t>
      </w:r>
      <w:r>
        <w:rPr>
          <w:rFonts w:eastAsia="Amiri" w:cs="Amiri" w:ascii="Amiri" w:hAnsi="Amiri"/>
          <w:color w:val="111111"/>
          <w:sz w:val="28"/>
          <w:szCs w:val="28"/>
          <w:rtl w:val="true"/>
          <w:lang w:bidi="ar-SA"/>
        </w:rPr>
        <w:t>.</w:t>
      </w:r>
      <w:r>
        <w:rPr>
          <w:rStyle w:val="FootnoteAnchor"/>
          <w:rtl w:val="true"/>
        </w:rPr>
        <w:footnoteReference w:id="350"/>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عمّا ذكر في الهامش،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صحّ ما ذكر لما جاز تمسّك أصحاب الأئمّة بكلام إمام زمانهم، لأنّه كالتمسّك بصدر كلام متكلم قبل مجيء ذيله، مع أنّ ديدنهم جرى على التمسّك</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يثبت انّهم كانوا يتمسّكون بعموم العام، مع احتمال </w:t>
      </w:r>
      <w:bookmarkStart w:id="1139" w:name="pg14356_187095"/>
    </w:p>
    <w:p>
      <w:pPr>
        <w:pStyle w:val="BookText"/>
        <w:rPr/>
      </w:pPr>
      <w:bookmarkEnd w:id="1139"/>
      <w:r>
        <w:rPr>
          <w:rFonts w:ascii="Amiri" w:hAnsi="Amiri" w:eastAsia="Amiri" w:cs="Amiri"/>
          <w:color w:val="111111"/>
          <w:sz w:val="28"/>
          <w:sz w:val="28"/>
          <w:szCs w:val="28"/>
          <w:rtl w:val="true"/>
          <w:lang w:bidi="ar-SA"/>
        </w:rPr>
        <w:t>مجيء مخصص في كلام الإمام اللاحق، فانّ أكثر الروايات المتضمنة للأحكام صدر عن الصادقين، و لم يثبت انّ نظائر زرارة و محمد بن مسلم و أضرابهما من أصحاب الإمامين كانوا يتمسّكون مع احتمال صدور مخصص في كلام الأئمّة الباقين، و لأجل ذلك كان الأصل حاكماً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بيان أحكام القسمين في المخصّص المتصل و المنفصل من أقسام دوران المخصّص بين الأقل و الأكثر و بقي الكلام في أحكامهما من أقسام دوران الأمر بين المتباينين</w:t>
      </w:r>
      <w:r>
        <w:rPr>
          <w:rFonts w:eastAsia="Amiri" w:cs="Amiri" w:ascii="Amiri" w:hAnsi="Amiri"/>
          <w:color w:val="111111"/>
          <w:sz w:val="28"/>
          <w:szCs w:val="28"/>
          <w:rtl w:val="true"/>
          <w:lang w:bidi="ar-SA"/>
        </w:rPr>
        <w:t>.</w:t>
      </w:r>
    </w:p>
    <w:p>
      <w:pPr>
        <w:pStyle w:val="Heading4"/>
        <w:numPr>
          <w:ilvl w:val="3"/>
          <w:numId w:val="1"/>
        </w:numPr>
        <w:rPr/>
      </w:pPr>
      <w:bookmarkStart w:id="1140" w:name="__RefHeading___Toc7305426_3381743652"/>
      <w:bookmarkStart w:id="1141" w:name="_Toc434"/>
      <w:bookmarkEnd w:id="1140"/>
      <w:r>
        <w:rPr/>
        <w:t>3</w:t>
      </w:r>
      <w:r>
        <w:rPr>
          <w:rtl w:val="true"/>
        </w:rPr>
        <w:t xml:space="preserve">. </w:t>
      </w:r>
      <w:r>
        <w:rPr>
          <w:rtl w:val="true"/>
        </w:rPr>
        <w:t>المخصص اللفظي المتصل الدائر أمره بين المتباينين</w:t>
      </w:r>
      <w:bookmarkEnd w:id="1141"/>
    </w:p>
    <w:p>
      <w:pPr>
        <w:pStyle w:val="BookText"/>
        <w:rPr/>
      </w:pPr>
      <w:r>
        <w:rPr>
          <w:rFonts w:ascii="Amiri" w:hAnsi="Amiri" w:eastAsia="Amiri" w:cs="Amiri"/>
          <w:color w:val="111111"/>
          <w:sz w:val="28"/>
          <w:sz w:val="28"/>
          <w:szCs w:val="28"/>
          <w:rtl w:val="true"/>
          <w:lang w:bidi="ar-SA"/>
        </w:rPr>
        <w:t>إذا دار أمر المخصص اللفظي المتصل بين المتباينين،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إلاّ زيداً و تردد المستثنى بين شخصين أحدهما زيد بن عمر و الآخر زيد بن بكر، يسقط الاحتجاج بالعام في مورد كلّ من الشخصين، لما عرفت في المخصص المتّصل الدائر أمره بين الأقل و الأكثر من أنّ اتصال المخصّص يمنع عن انعقاد الظهور للعام في العموم، بل ينعقد ظهوره في الخصوص من أوّل الأمر، أي في العنوان المركب من العلماء و غير الفسّاق، فكما يجب إحراز كون المورد عالماً يجب إحراز كونه غير فاسق، و في المقام أيضاً كذلك فكون المورد عالماً و إن كان محرزاً لكن لم يحرز الجزء الآخر لأجل الجهل بالمفهوم</w:t>
      </w:r>
      <w:r>
        <w:rPr>
          <w:rFonts w:eastAsia="Amiri" w:cs="Amiri" w:ascii="Amiri" w:hAnsi="Amiri"/>
          <w:color w:val="111111"/>
          <w:sz w:val="28"/>
          <w:szCs w:val="28"/>
          <w:rtl w:val="true"/>
          <w:lang w:bidi="ar-SA"/>
        </w:rPr>
        <w:t>.</w:t>
      </w:r>
    </w:p>
    <w:p>
      <w:pPr>
        <w:pStyle w:val="Heading4"/>
        <w:numPr>
          <w:ilvl w:val="3"/>
          <w:numId w:val="1"/>
        </w:numPr>
        <w:rPr/>
      </w:pPr>
      <w:bookmarkStart w:id="1142" w:name="__RefHeading___Toc7305428_3381743652"/>
      <w:bookmarkStart w:id="1143" w:name="_Toc435"/>
      <w:bookmarkEnd w:id="1142"/>
      <w:r>
        <w:rPr/>
        <w:t>4</w:t>
      </w:r>
      <w:r>
        <w:rPr>
          <w:rtl w:val="true"/>
        </w:rPr>
        <w:t xml:space="preserve">. </w:t>
      </w:r>
      <w:r>
        <w:rPr>
          <w:rtl w:val="true"/>
        </w:rPr>
        <w:t>المخصّص اللفظي المنفصل المجمل الدائر أمره بين المتباينين</w:t>
      </w:r>
      <w:bookmarkEnd w:id="1143"/>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المخصص اللفظي المنفصل، مجملاً مفهوماً مردداً بين المتباينين،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 لا تكرم زيداً العالم و دار أمره بين زيد بن عمرو و زيد </w:t>
      </w:r>
    </w:p>
    <w:p>
      <w:pPr>
        <w:pStyle w:val="BookText"/>
        <w:rPr/>
      </w:pPr>
      <w:r>
        <w:rPr>
          <w:rFonts w:ascii="Amiri" w:hAnsi="Amiri" w:eastAsia="Amiri" w:cs="Amiri"/>
          <w:color w:val="111111"/>
          <w:sz w:val="28"/>
          <w:sz w:val="28"/>
          <w:szCs w:val="28"/>
          <w:rtl w:val="true"/>
          <w:lang w:bidi="ar-SA"/>
        </w:rPr>
        <w:t>بن بكر العالمين، فهل يسري أو لا؟ الحقّ أنّه يسري حكماً، بمعنى أنّه لا يكون العام حجّة في حقّ هذين الشخصين، للعلم التفصيلي بسقوط العام عن الحجّية في حقّ أحدهما، و معه كيف يمكن أن يكون العام حجّة في مورد أحدهما أو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يجب إعمال قواعد العلم الإجمالي، فلو كان لسان المخصص رفع الوجوب يجب إكرام كلا الرجلين حتّى تحصل البراءة، و إن كان لسانه تحريم الإكرام يدور الأمر بين المحذورين فيعمل بحكمه من التخيير أو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المخصص اللفظي المجمل مفهوماً و أمّا الكلام في المخصص اللبي المجمل مفهوماً فلم يبحث عنه المحقّق الخراساني، و إنّما بحث فيه في الشبهة المصداقية لا في الشبهة 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فخرجنا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إجمال المخصّص اللفظي يسري إلى الأقسام في عامة الصور متصلاً كان أو منفصلاً، دار أمر الإجمال بين الأقل و الأكثر أو بين المتباينين</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علمت ذلك فلندخل في الإجمال المصداقي الذي يعبر عنه بالشبهة المصداقية للمخصّص، و لنعقد له فصلاً مستقلاً كما عقدناه للمجمل مفهوماً</w:t>
      </w:r>
      <w:r>
        <w:rPr>
          <w:rFonts w:eastAsia="Amiri" w:cs="Amiri" w:ascii="Amiri" w:hAnsi="Amiri"/>
          <w:color w:val="111111"/>
          <w:sz w:val="28"/>
          <w:szCs w:val="28"/>
          <w:rtl w:val="true"/>
          <w:lang w:bidi="ar-SA"/>
        </w:rPr>
        <w:t xml:space="preserve">. </w:t>
      </w:r>
      <w:bookmarkStart w:id="1144" w:name="pg14356_187097"/>
    </w:p>
    <w:p>
      <w:pPr>
        <w:pStyle w:val="Heading3"/>
        <w:numPr>
          <w:ilvl w:val="2"/>
          <w:numId w:val="1"/>
        </w:numPr>
        <w:rPr/>
      </w:pPr>
      <w:bookmarkStart w:id="1145" w:name="__RefHeading___Toc7305430_3381743652"/>
      <w:bookmarkStart w:id="1146" w:name="_Toc436"/>
      <w:bookmarkEnd w:id="1144"/>
      <w:bookmarkEnd w:id="1145"/>
      <w:r>
        <w:rPr>
          <w:rtl w:val="true"/>
        </w:rPr>
        <w:t>الفصل الخامس المخصّص اللفظي المجمل مصداقاً</w:t>
      </w:r>
      <w:bookmarkEnd w:id="1146"/>
    </w:p>
    <w:p>
      <w:pPr>
        <w:pStyle w:val="Heading4"/>
        <w:numPr>
          <w:ilvl w:val="3"/>
          <w:numId w:val="1"/>
        </w:numPr>
        <w:rPr/>
      </w:pPr>
      <w:bookmarkStart w:id="1147" w:name="__RefHeading___Toc7305432_3381743652"/>
      <w:bookmarkStart w:id="1148" w:name="_Toc437"/>
      <w:bookmarkEnd w:id="1147"/>
      <w:r>
        <w:rPr>
          <w:rtl w:val="true"/>
        </w:rPr>
        <w:t>اشارة</w:t>
      </w:r>
      <w:bookmarkEnd w:id="1148"/>
    </w:p>
    <w:p>
      <w:pPr>
        <w:pStyle w:val="BookText"/>
        <w:rPr/>
      </w:pPr>
      <w:r>
        <w:rPr>
          <w:rFonts w:ascii="Amiri" w:hAnsi="Amiri" w:eastAsia="Amiri" w:cs="Amiri"/>
          <w:color w:val="111111"/>
          <w:sz w:val="28"/>
          <w:sz w:val="28"/>
          <w:szCs w:val="28"/>
          <w:rtl w:val="true"/>
          <w:lang w:bidi="ar-SA"/>
        </w:rPr>
        <w:t>إذا كان المخصص مجملاً من حيث المصداق لا من حيث المفهوم،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تكرم فسّاق العلماء، و كان المخصص معلوماً مفهوماً و إنّما تعلّق الشكّ بالمصداق و انّ زيداً العالم مثلاً هل هو فاسق أو لا؟ و هذا هو المسمّى بالشبهة المصداقية للمخصص و موردها ما إذا كان عنوان العام محرزاً و عنوان الخاص مشكوكاً كما عرفت، و أمّا إذا كان نفس عنوان العام مشكوكاً و أنّ زيداً مثلاً عالم أو لا، فهذا ما يسمّى بالشبهة المصداقية للعام، و هذا خارج عن محط البحث، و من المعلوم أنّ العام ليس بحجّة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اللازم على المحقّق الخراساني أن يقسّم المخصّص اللفظي في الشبهة المصداقية إلى مخصص متّصل، و مخصص منفصل، ثمّ إنّ الشبهة في كلّ من المتّصل و المنفصل تارة تدور بين الأقلّ و الأكثر، و أُخرى بين المتباينين فتصير الأقسام أربعة كالشبهة المفهومية،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 عدم جواز التمسّك في المتصل مطلقاً، و في المنفصل صورة دوران الأمر بين المتباينين خص البحث بصورة واحدة و هي صورة انفصال المخصص، و دوران الإجمال بين الأقل و الأكثر، و نحن أيضاً نقتفيه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المشهور بين القدماء هو جواز التمسّك كما سيوافيك كلامهم عند </w:t>
      </w:r>
      <w:bookmarkStart w:id="1149" w:name="pg14356_187098"/>
    </w:p>
    <w:p>
      <w:pPr>
        <w:pStyle w:val="BookText"/>
        <w:rPr/>
      </w:pPr>
      <w:bookmarkEnd w:id="1149"/>
      <w:r>
        <w:rPr>
          <w:rFonts w:ascii="Amiri" w:hAnsi="Amiri" w:eastAsia="Amiri" w:cs="Amiri"/>
          <w:color w:val="111111"/>
          <w:sz w:val="28"/>
          <w:sz w:val="28"/>
          <w:szCs w:val="28"/>
          <w:rtl w:val="true"/>
          <w:lang w:bidi="ar-SA"/>
        </w:rPr>
        <w:t>التطبيقات و وافقهم من المتأخرين المحقّق النهاوندي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تشريح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المعروف بين المتأخرين هو عدم الجواز، و لنذكر أدلة المجوزين، حيث استدلّوا بوجوه</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7305434_3381743652"/>
      <w:bookmarkStart w:id="1151" w:name="_Toc438"/>
      <w:bookmarkEnd w:id="1150"/>
      <w:r>
        <w:rPr>
          <w:rtl w:val="true"/>
        </w:rPr>
        <w:t>أدلة المجوزين</w:t>
      </w:r>
      <w:bookmarkEnd w:id="1151"/>
    </w:p>
    <w:p>
      <w:pPr>
        <w:pStyle w:val="Heading5"/>
        <w:numPr>
          <w:ilvl w:val="4"/>
          <w:numId w:val="1"/>
        </w:numPr>
        <w:rPr/>
      </w:pPr>
      <w:bookmarkStart w:id="1152" w:name="__RefHeading___Toc7305436_3381743652"/>
      <w:bookmarkStart w:id="1153" w:name="_Toc439"/>
      <w:bookmarkEnd w:id="1152"/>
      <w:r>
        <w:rPr>
          <w:rtl w:val="true"/>
        </w:rPr>
        <w:t>الأوّل</w:t>
      </w:r>
      <w:r>
        <w:rPr>
          <w:rtl w:val="true"/>
        </w:rPr>
        <w:t xml:space="preserve">: </w:t>
      </w:r>
      <w:r>
        <w:rPr>
          <w:rtl w:val="true"/>
        </w:rPr>
        <w:t>مزاحمة الحجّة بغير الحجّة</w:t>
      </w:r>
      <w:bookmarkEnd w:id="1153"/>
    </w:p>
    <w:p>
      <w:pPr>
        <w:pStyle w:val="BookText"/>
        <w:rPr/>
      </w:pPr>
      <w:r>
        <w:rPr>
          <w:rFonts w:ascii="Amiri" w:hAnsi="Amiri" w:eastAsia="Amiri" w:cs="Amiri"/>
          <w:color w:val="111111"/>
          <w:sz w:val="28"/>
          <w:sz w:val="28"/>
          <w:szCs w:val="28"/>
          <w:rtl w:val="true"/>
          <w:lang w:bidi="ar-SA"/>
        </w:rPr>
        <w:t>انّ الخاص إنّما يزاحم العام فيما كان فعلاً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أنّه مصداق له كمعلوم الفسق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يكون حجّة فيما اشتبه انّه من أفراده فخطاب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دليلاً على حرمة إكرام من شكّ في فسقه من العلماء، فلا يزاحم مثل أكرم العلماء و لا يعارضه، فانّه من قبيل مزاحمة الحجّة بغير الحجّة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Amiri" w:hAnsi="Amiri" w:eastAsia="Amiri" w:cs="Amiri"/>
          <w:color w:val="111111"/>
          <w:sz w:val="28"/>
          <w:sz w:val="28"/>
          <w:szCs w:val="28"/>
          <w:rtl w:val="true"/>
          <w:lang w:bidi="ar-SA"/>
        </w:rPr>
        <w:t>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الحجّة عبارة عن ضم الكبرى إلى صغرى محرزة فيقال هذا خمر، و كلّ خمر حرام، و أمّا المقام فالكبرى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تكرم فسّاق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كانت محرزة لكن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زيد فاسقاً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محرز، فلا يحتجّ بالخاص فيه، و هذا بخلاف جانب العام، فانّ الحجّة بكلا جزئيها محرزة حيث نعلم أنّه عالم، و كلّ عالم يجب إكرامه، فرفع اليد عن الثاني من قبيل مزاحمة الحجّة بغير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أجاب عن الاستدلال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الخاص و إن لم يكن دليلاً في الفرد المشتبه فعلاً، إلاّ أنّه يوجب اختصاص حجّية العام في غير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الأفراد، فيكون أكرم العلماء دليلاً و حجّة في العالم غير الفاسق، فالمصداق المشتبه و إن كان مصداقاً للعام بلا كلام، إلاّ أنّه لم يعلم أنّه من مصاديقه بما هو حجّة لاختصاص حجّيته بغير الفاسق</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المخصّص بالمنفصل و إن كان ظهوره في العموم كما إذا لم </w:t>
      </w:r>
    </w:p>
    <w:p>
      <w:pPr>
        <w:pStyle w:val="BookText"/>
        <w:rPr/>
      </w:pPr>
      <w:r>
        <w:rPr>
          <w:rFonts w:ascii="Amiri" w:hAnsi="Amiri" w:eastAsia="Amiri" w:cs="Amiri"/>
          <w:color w:val="111111"/>
          <w:sz w:val="28"/>
          <w:sz w:val="28"/>
          <w:szCs w:val="28"/>
          <w:rtl w:val="true"/>
          <w:lang w:bidi="ar-SA"/>
        </w:rPr>
        <w:t xml:space="preserve">يكن مخصَّصاً، بخلاف المخصص المتصل، كما عرفت إلاّ أنّه في عدم الحجّية إلاّ في غير عنوان الخاص، مثله فحينئذ يكون الفرد المشتبه غير معلوم الاندراج تحت إحدى الحجّتين فلا بد من الرجوع إلى ما هو الأصل في البين </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الصغرى في كلا الدليلين غير محرزة، أمّا الخاص فلما عرفت، و أمّا العام فهناك ملاحظتان، فالصغرى حسب إحداهما محرزة دون الأُخرى فإن لوحظ العام، مع قطع النظر عن المخصص المنفصل، فالصغرى و الكبرى محرزتان، لأنّها في هذا اللحاظ ليست إلاّ نفس العالم، و أمّا إذا لوحظ العام بعد تخصيصه به، فالموضوع يتعنون بقيد عدمي، و يكون الموضوع هو العالم غير الفاسق، و الجزء الأوّل منها و إن كان محرزاً لكن الجزء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القيد العدمي بعد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حسب ظهور العام و إن كان محرزاً، لكنّه بالنسبة إلى ما هو حجّة فيه غير محرز، لأنّه ليس حجّة في مطلق العلماء، بل العلماء غير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الموضوع حسب الإرادة الاستعمالية محرز و لكنّه بالنسبة إلى الإرادة الجدية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خلط بين التقييد و التخصيص فبما انّ لسان التقييد، لسان بيان حدّ الموضوع و خصوصياته، يكون سبباً لتركب الموضوع و تعنونه بعنوان القيد، كما إذا قال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أفطرت اعتق رقبة،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أفطرت اعتق رقبة مؤمنة</w:t>
      </w:r>
      <w:r>
        <w:rPr>
          <w:rFonts w:eastAsia="Amiri" w:cs="Amiri" w:ascii="Amiri" w:hAnsi="Amiri"/>
          <w:color w:val="111111"/>
          <w:sz w:val="28"/>
          <w:szCs w:val="28"/>
          <w:rtl w:val="true"/>
          <w:lang w:bidi="ar-SA"/>
        </w:rPr>
        <w:t xml:space="preserve">. </w:t>
      </w:r>
      <w:bookmarkStart w:id="1154" w:name="pg14356_187100"/>
    </w:p>
    <w:p>
      <w:pPr>
        <w:pStyle w:val="BookText"/>
        <w:rPr/>
      </w:pPr>
      <w:bookmarkEnd w:id="1154"/>
      <w:r>
        <w:rPr>
          <w:rFonts w:ascii="Amiri" w:hAnsi="Amiri" w:eastAsia="Amiri" w:cs="Amiri"/>
          <w:color w:val="111111"/>
          <w:sz w:val="28"/>
          <w:sz w:val="28"/>
          <w:szCs w:val="28"/>
          <w:rtl w:val="true"/>
          <w:lang w:bidi="ar-SA"/>
        </w:rPr>
        <w:t>فعندئذ يكون متعلّق الإرادة الجدية هو المعنون المركب من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التخصيص فانّ شأنه إخراج ما ليس بموضوع عن تحت الموضوع، فلا يورث إخراج الفسّاق منهم، تركّب الموضوع من جزءين أحدهما إيجابي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و الآخر سلبي و هو غير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ذكرته من الفرق بين التقييد و التخصيص إنّما يصحّ إذا كان الإخراج أفرادياً، كأن يُخرج زيداً، و عمراً و هكذا على التفصيل، و أمّا إذا كان الإخراج بملاك و تحت عنوان كالفسّاق مثلاً، فلا محالة يكون العام في مقام الحجّية، معنوناً بغير عنوان الخاص، أي العلماء غير الفسّاق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المحقّق العراقي، انّ التخصيص، لا يُضفي على العام أي عنوان، و انّ إخراج بعض الأفراد، بعنوان خاص كالفسّاق أشبه بإخراجهم عن تحته بالموت،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شأن المخصّص إخراج الفرد مع إبقاء العام على تمام الموضوعية، و إنّما يُقلِّل افراد العام دون انقلاب فيه نظير موت بعض الأفراد</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و أنت خبير بأنّه خلط بين التخصيص الإفرادي، و التخصيص العنواني الحاكي عن ملاك الإخراج، فعندئذ يكون العام حجّة في غير عنوان الخاص كما أوضحناه</w:t>
      </w:r>
      <w:r>
        <w:rPr>
          <w:rFonts w:eastAsia="Amiri" w:cs="Amiri" w:ascii="Amiri" w:hAnsi="Amiri"/>
          <w:color w:val="111111"/>
          <w:sz w:val="28"/>
          <w:szCs w:val="28"/>
          <w:rtl w:val="true"/>
          <w:lang w:bidi="ar-SA"/>
        </w:rPr>
        <w:t>.</w:t>
      </w:r>
    </w:p>
    <w:p>
      <w:pPr>
        <w:pStyle w:val="Heading5"/>
        <w:numPr>
          <w:ilvl w:val="4"/>
          <w:numId w:val="1"/>
        </w:numPr>
        <w:rPr/>
      </w:pPr>
      <w:bookmarkStart w:id="1155" w:name="__RefHeading___Toc7305438_3381743652"/>
      <w:bookmarkStart w:id="1156" w:name="_Toc440"/>
      <w:bookmarkEnd w:id="1155"/>
      <w:r>
        <w:rPr>
          <w:rtl w:val="true"/>
        </w:rPr>
        <w:t>الثاني</w:t>
      </w:r>
      <w:r>
        <w:rPr>
          <w:rtl w:val="true"/>
        </w:rPr>
        <w:t xml:space="preserve">: </w:t>
      </w:r>
      <w:r>
        <w:rPr>
          <w:rtl w:val="true"/>
        </w:rPr>
        <w:t>التمسّك بالعموم الأحوالي</w:t>
      </w:r>
      <w:bookmarkEnd w:id="1156"/>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العام بعمومه الافرادي يدلّ على وجوب كلّ فرد من العلماء كما أنّه بعمومه الأحوالي يدلّ على سراية الحكم إلى كلّ حال من حالات الموضوع، و هي عبارة عن كونهم عدولاً أو فسّاقاً، أو مشكوكي العدالة، فقد خرج الثاني عن </w:t>
      </w:r>
      <w:bookmarkStart w:id="1157" w:name="pg14356_187101"/>
    </w:p>
    <w:p>
      <w:pPr>
        <w:pStyle w:val="BookText"/>
        <w:rPr/>
      </w:pPr>
      <w:bookmarkEnd w:id="1157"/>
      <w:r>
        <w:rPr>
          <w:rFonts w:ascii="Amiri" w:hAnsi="Amiri" w:eastAsia="Amiri" w:cs="Amiri"/>
          <w:color w:val="111111"/>
          <w:sz w:val="28"/>
          <w:sz w:val="28"/>
          <w:szCs w:val="28"/>
          <w:rtl w:val="true"/>
          <w:lang w:bidi="ar-SA"/>
        </w:rPr>
        <w:t>تحت العموم بفضل المخصص، و بقي الثالث تحت العموم الأحوالي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العموم الأحوالي هو نفس الإطلاق الأحوالي و التعبير عن الثاني بالأوّل خلاف الاصطلاح، انّه ليس الإطلاق هو تسرية الحكم إلى عامة حالات الموضوع و أخذها فيه،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واجب الإكرام، سواء كان معلوم الفسق، أو مشكوك، أو مقطوع العدم حتّى يرجع الإطلاق إلى ضم القيود، مع أنّه رفض القيود، بل الإطلاق عبارة عن كون ما وقع تحت دائرة الطلب تمام الموضوع و هو في المقام هو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فقط لاجعل الفرد واجب الإكرام في الأحوال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الأحوالي فرع العموم الافرادي، فلو علم بقاء فرد تحت العام يشمله الحكم في الأحوال الثلاثة، و أمّا إذا شكّ في بقائه أو خروجه، كما هو الحال في المقام، لأنّ المورد على فرض من مصاديق المخصص، نشك في وجود العموم الأحوالي حتّى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يصحّ التمسّك بالعموم الأحوالي، إذا كان الشكّ مأخوذاً في لسان الدليل،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العالم واجب الإكرام حتّى و لو شكّ في كونه فاسقاً أو غير فاسق، مع أنّه ليس كذلك و إلاّ يلزم أن يكون مبيّناً لحكمين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واقعي و ظاهري، أمّا الأوّل فالحكم على العالم بما هو هو، و الحكم عليه، بما انّه مشكوك الفسق و العدالة، و هذا ممّا لا يحتمله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w:t>
      </w:r>
    </w:p>
    <w:p>
      <w:pPr>
        <w:pStyle w:val="Heading5"/>
        <w:numPr>
          <w:ilvl w:val="4"/>
          <w:numId w:val="1"/>
        </w:numPr>
        <w:rPr/>
      </w:pPr>
      <w:bookmarkStart w:id="1158" w:name="__RefHeading___Toc7305440_3381743652"/>
      <w:bookmarkStart w:id="1159" w:name="_Toc441"/>
      <w:bookmarkEnd w:id="1158"/>
      <w:r>
        <w:rPr>
          <w:rtl w:val="true"/>
        </w:rPr>
        <w:t>الثالث</w:t>
      </w:r>
      <w:r>
        <w:rPr>
          <w:rtl w:val="true"/>
        </w:rPr>
        <w:t xml:space="preserve">: </w:t>
      </w:r>
      <w:r>
        <w:rPr>
          <w:rtl w:val="true"/>
        </w:rPr>
        <w:t>استصحاب حكم العام</w:t>
      </w:r>
      <w:bookmarkEnd w:id="1159"/>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الوجه ذكره الشيخ من قبل المجوزين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يحتجّ للخصم بالاستصحاب فيما لو عمل بالعام في المشكوك بواسطة القطع باندراجه </w:t>
      </w:r>
      <w:bookmarkStart w:id="1160" w:name="pg14356_187102"/>
    </w:p>
    <w:p>
      <w:pPr>
        <w:pStyle w:val="BookText"/>
        <w:rPr/>
      </w:pPr>
      <w:bookmarkEnd w:id="1160"/>
      <w:r>
        <w:rPr>
          <w:rFonts w:ascii="Amiri" w:hAnsi="Amiri" w:eastAsia="Amiri" w:cs="Amiri"/>
          <w:color w:val="111111"/>
          <w:sz w:val="28"/>
          <w:sz w:val="28"/>
          <w:szCs w:val="28"/>
          <w:rtl w:val="true"/>
          <w:lang w:bidi="ar-SA"/>
        </w:rPr>
        <w:t>ثمّ طرأ الشكّ فيه</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الكلام في التمسك بالعام لا بالاستصحاب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يعمّ الشكوك البدوية و يختصّ بما إذا كان للحكم حالة 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طروء الشكّ إلى اليقين يوجب زوال اليقين من أصله، فعندئذ يخرج المورد عن قاعدة الاستصحاب و يدخل في قاعدة اليقين، و هي ليست بحجّة و لا تشملها أخبار الاستصحاب، لأنّها ظاهرة في وجود اليقين الفعلي حين الشكّ و المفروض زواله من عند الشك</w:t>
      </w:r>
      <w:r>
        <w:rPr>
          <w:rFonts w:eastAsia="Amiri" w:cs="Amiri" w:ascii="Amiri" w:hAnsi="Amiri"/>
          <w:color w:val="111111"/>
          <w:sz w:val="28"/>
          <w:szCs w:val="28"/>
          <w:rtl w:val="true"/>
          <w:lang w:bidi="ar-SA"/>
        </w:rPr>
        <w:t>.</w:t>
      </w:r>
    </w:p>
    <w:p>
      <w:pPr>
        <w:pStyle w:val="Heading5"/>
        <w:numPr>
          <w:ilvl w:val="4"/>
          <w:numId w:val="1"/>
        </w:numPr>
        <w:rPr/>
      </w:pPr>
      <w:bookmarkStart w:id="1161" w:name="__RefHeading___Toc7305442_3381743652"/>
      <w:bookmarkStart w:id="1162" w:name="_Toc442"/>
      <w:bookmarkEnd w:id="1161"/>
      <w:r>
        <w:rPr>
          <w:rtl w:val="true"/>
        </w:rPr>
        <w:t>الرابع</w:t>
      </w:r>
      <w:r>
        <w:rPr>
          <w:rtl w:val="true"/>
        </w:rPr>
        <w:t xml:space="preserve">: </w:t>
      </w:r>
      <w:r>
        <w:rPr>
          <w:rtl w:val="true"/>
        </w:rPr>
        <w:t>التمسّك بقاعدة المقتضي و المانع</w:t>
      </w:r>
      <w:bookmarkEnd w:id="1162"/>
    </w:p>
    <w:p>
      <w:pPr>
        <w:pStyle w:val="BookText"/>
        <w:rPr/>
      </w:pPr>
      <w:r>
        <w:rPr>
          <w:rFonts w:ascii="Amiri" w:hAnsi="Amiri" w:eastAsia="Amiri" w:cs="Amiri"/>
          <w:color w:val="111111"/>
          <w:sz w:val="28"/>
          <w:sz w:val="28"/>
          <w:szCs w:val="28"/>
          <w:rtl w:val="true"/>
          <w:lang w:bidi="ar-SA"/>
        </w:rPr>
        <w:t>و هذا الوجه أيضاً ذكره الشيخ في المطارح من قبل المجوزين،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عن عنوان العام و المخصص أن يكون الأوّل مقتضياً، و الثاني مانعاً عن الحكم ففي موارد الاشتباه يؤول الأمر إلى الشك في وجود المانع بعد إحراز المقتضي و الأصل عدمه فلا بدّ من الحكم بوجود المقتضي</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يدلّ دليل على حجّية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و المانع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قال بحجّيتها العلاّمة الشيخ محمد هادي الطهراني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بالغ في تشييدها، بتطبيق أخبار الاستصحاب عليها، و قد أوضحنا في محلّه ضعف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ربّما لا يكون لسان المخصّص، لسان المانع،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ليكن العلماء عدولاً، و الشكّ في عدالة واحد منهم، ليس شكّاً في المانع بعد إحراز المقتضي، بل هو شكّ في جزء المقتضي</w:t>
      </w:r>
      <w:r>
        <w:rPr>
          <w:rFonts w:eastAsia="Amiri" w:cs="Amiri" w:ascii="Amiri" w:hAnsi="Amiri"/>
          <w:color w:val="111111"/>
          <w:sz w:val="28"/>
          <w:szCs w:val="28"/>
          <w:rtl w:val="true"/>
          <w:lang w:bidi="ar-SA"/>
        </w:rPr>
        <w:t xml:space="preserve">. </w:t>
      </w:r>
      <w:bookmarkStart w:id="1163" w:name="pg14356_187103"/>
    </w:p>
    <w:p>
      <w:pPr>
        <w:pStyle w:val="Heading4"/>
        <w:numPr>
          <w:ilvl w:val="3"/>
          <w:numId w:val="1"/>
        </w:numPr>
        <w:rPr/>
      </w:pPr>
      <w:bookmarkStart w:id="1164" w:name="__RefHeading___Toc7305444_3381743652"/>
      <w:bookmarkStart w:id="1165" w:name="_Toc443"/>
      <w:bookmarkEnd w:id="1163"/>
      <w:bookmarkEnd w:id="1164"/>
      <w:r>
        <w:rPr>
          <w:rtl w:val="true"/>
        </w:rPr>
        <w:t>المخصّص اللبّي و الشكّ في الشبهة المصداقية</w:t>
      </w:r>
      <w:bookmarkEnd w:id="1165"/>
    </w:p>
    <w:p>
      <w:pPr>
        <w:pStyle w:val="BookText"/>
        <w:rPr/>
      </w:pPr>
      <w:r>
        <w:rPr>
          <w:rFonts w:ascii="Amiri" w:hAnsi="Amiri" w:eastAsia="Amiri" w:cs="Amiri"/>
          <w:color w:val="111111"/>
          <w:sz w:val="28"/>
          <w:sz w:val="28"/>
          <w:szCs w:val="28"/>
          <w:rtl w:val="true"/>
          <w:lang w:bidi="ar-SA"/>
        </w:rPr>
        <w:t>المراد من المخصّص اللبيّ، ما إذا كان الدالّ على الحكم الشرعي، أمراً غير لفظي، كالإجماع، و سيرة المتشرّعة، و حكم العقل، مثلاً لو دلّ الدليل اللفظي على إكرام الجيران و حصل القطع للمكلّف على عدم وجوب إكرام الأعداء منهم، يسمّى مثل ذلك تخصيصاً لبيّاً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خصّ ذكر المخصّص اللبي بهذا الفصل،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الشبهة المصداقية، و لم يذكره في فصل الشبهة المفهومية مع إمكان جريانه فيها و نحن أيضاً نقتفيه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المخصّص اللبيّ في الشبهة المصداقية تارة يكون متّصلاً بالحكم العام كحكم العقل و أُخرى منفصلاً، كالإجماع و السيرة، و على كلا الوجهين فتارة يكون الإجمال دائراً بين الأقل و الأكثر، و أُخرى بين المتباينين، و الأمثلة نفس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ما ذكر يسري الإجمال إلى العام، في متصله و منفصله، في الدائر بين الأقل و الأكثر أو الدائر بين المتباينين، و وجهه انّ المخصص جعل العام حجّة في غير عنوان الخاص و العام بعنوانه و إن كان محرزاً، لكنّه بما هو حجّة فيه،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 غير العدو، غير محرز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الشيخ الأعظم و المحقّق الخراساني أجازا التمسّك بالعام في صورة واحدة، و هي إذا دار إجمال المخصص المنفصل بين الأقل و الأكثر مصداقاً و أوضحه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يلي</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لبيّاً بأن كان ممّا يصحّ أن يتّكل عليه المتكلّم إذا كان بصدد </w:t>
      </w:r>
    </w:p>
    <w:p>
      <w:pPr>
        <w:pStyle w:val="BookText"/>
        <w:rPr/>
      </w:pPr>
      <w:r>
        <w:rPr>
          <w:rFonts w:ascii="Amiri" w:hAnsi="Amiri" w:eastAsia="Amiri" w:cs="Amiri"/>
          <w:color w:val="111111"/>
          <w:sz w:val="28"/>
          <w:sz w:val="28"/>
          <w:szCs w:val="28"/>
          <w:rtl w:val="true"/>
          <w:lang w:bidi="ar-SA"/>
        </w:rPr>
        <w:t>البيان في مقام التخاطب فهو كالمتصل حيث لا يكاد ينعقد معه ظهور للعام إلاّ في الخصوص، و إن لم يكن كذلك فالظاهر بقاء العام في المصداق المشتبه على حجّيته كظهوره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السرّ فيه انّ الكلام الملقى من السيد حجةً، ليس إلاّ ما اشتمل على العام الكاشف بظهوره عن إرادته للعموم فلا بد من اتّباعه ما لم يقطع بخلافه، مثلاً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جيراني و قطع بأنّه لا يريد إكرام من كان عدواً له منهم و شكّ في عداء بعض الجيران كانت أصالة العموم باقية على الحجّية بالنسبة إلى من لم يُعلم بخروجه عن عموم الكلام للعلم</w:t>
      </w:r>
      <w:r>
        <w:rPr>
          <w:rStyle w:val="FootnoteAnchor"/>
          <w:rtl w:val="true"/>
        </w:rPr>
        <w:footnoteReference w:id="356"/>
      </w:r>
      <w:r>
        <w:rPr>
          <w:rFonts w:ascii="Amiri" w:hAnsi="Amiri" w:eastAsia="Amiri" w:cs="Amiri"/>
          <w:color w:val="111111"/>
          <w:sz w:val="28"/>
          <w:sz w:val="28"/>
          <w:szCs w:val="28"/>
          <w:rtl w:val="true"/>
          <w:lang w:bidi="ar-SA"/>
        </w:rPr>
        <w:t>بعداوته لعدم حجّة أُخرى بدون ذلك على خلافه بخلاف ما إذا كان المخصّص لفظياً، فانّ قضية تقديمه عليه، هو كون الملقى إليه كان من رأس لا يعم الخاص، كما كان كذلك حقيقة فيما كان الخاص متصلاً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القطع بعدم إرادة إكرام العدو لا يوجب انقطاع حجّيته إلاّ فيما قطع انّه عدوه لا فيما شكّ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يظهر هذا من صحّة مؤاخذة المولى لو لم يكرم أحداً من جيرانه لاحتمال عداوته، و حسن عقوبته على مخالفته، و عدم صحّة الاعتذار عنه بمجرّد احتمال العداوة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التمسّك بعموم العام و إثبات انّ المشكوك ليس فرداً لما علم خروجه، فلو شكّ في جواز لعن شخص من بني أُميّة لاحتمال كونه مؤمناً يتمسّك بعموم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بني أُميّة قاطبة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فيحكم عليه بأنّه ليس بمؤمن</w:t>
      </w:r>
      <w:r>
        <w:rPr>
          <w:rFonts w:eastAsia="Amiri" w:cs="Amiri" w:ascii="Amiri" w:hAnsi="Amiri"/>
          <w:color w:val="111111"/>
          <w:sz w:val="28"/>
          <w:szCs w:val="28"/>
          <w:rtl w:val="true"/>
          <w:lang w:bidi="ar-SA"/>
        </w:rPr>
        <w:t>.</w:t>
      </w:r>
      <w:r>
        <w:rPr>
          <w:rStyle w:val="FootnoteAnchor"/>
          <w:rtl w:val="true"/>
        </w:rPr>
        <w:footnoteReference w:id="357"/>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كلامه يرجع إلى أُمور ثلاثة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التفاوت بين المخصّص اللفظي بكلا قسميه و المخصّص اللبي، و هو انّ المولى ألقى حجّتين في الأوّل و صارت قضيةُ تحكيم الخاص على العام، انّ العام لم يشمل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رأس، بخلاف المقام فانّ الحجّة الملقاة ليست إلاّ أمراً واحداً، و القطع بعدم إكرام العدو لا يوجب رفع اليد عن عموم الدليل إلاّ فيما قطع بخروجه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السيرة العقلائية على صحّة المؤاخذة لو لم يكرم أحداً من جيرانه لاحتمال عداوته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يتمسّك بعموم العام ويحكم للفرد المشكوك أنّه ليس من أقسام الفرد المقطوع خروجه، كما في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بني أُميّة قاطبة، و دلّ النقل على عدم جواز لعن المؤمن منهم، فلو شكّ في أي فرد من بني أُمية يمكن التمسك بعموم العام و إثبات انّه ليس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حجّة باق على ظهوره و حجّيته مطلقاً إلاّ ما علم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العقل أو السيرة أو الإجماع أحد الحجج الشرعية، يكون حكمها حكم الحجج اللفظية، فكما أنّ الثانية تجعل العام حجّة في غير عنوان الخاص، كذلك الأُولى فكما يجب إحراز كونه عالماً غير فاسق في اللفظي من المخصص كذلك إحراز انّ الجار ليس عدوّ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اعتمد في الدليل من إلقاء الحجّتين هناك واقعاً و حجة واحدة في المقام غير واضح، بل هو ألقى حجتين في كلا المقامين غاية الأمر قام بالثاني، مباشرة في اللفظي و بغير مباشرة في اللبي</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ادّعى من السيرة العقلائية غير محرزة خصوصاً </w:t>
      </w:r>
      <w:bookmarkStart w:id="1166" w:name="pg14356_187106"/>
    </w:p>
    <w:p>
      <w:pPr>
        <w:pStyle w:val="BookText"/>
        <w:rPr/>
      </w:pPr>
      <w:bookmarkEnd w:id="1166"/>
      <w:r>
        <w:rPr>
          <w:rFonts w:ascii="Amiri" w:hAnsi="Amiri" w:eastAsia="Amiri" w:cs="Amiri"/>
          <w:color w:val="111111"/>
          <w:sz w:val="28"/>
          <w:sz w:val="28"/>
          <w:szCs w:val="28"/>
          <w:rtl w:val="true"/>
          <w:lang w:bidi="ar-SA"/>
        </w:rPr>
        <w:t>إذا كان تكريم العدو محرّماً و أمراً مبغوضاً، فكيف يجزى العبد بإكرامه مع دوران الأمر بين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يلاحظ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إحراز الموضوع،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بعموم الدليل،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بني أُميّة قاطبة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عدم كون الفرد المشكوك مؤمناً، بأنّه مبني على حجّية مثبتات الأُصول اللفظية حتى تثبت بأصالة العموم كون الفرد المشكوك كافراً غير مؤمن، و هو موضع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فرض الصحّة فما ذكر إنّما يتأتّى إذا كان التخصيص أفرادياً، فيكون إخراج الفرد المشكوك تخصيصاً آخر، فيتمسّك بالعموم لئلاّ يلزم التخصيص الزائد بخلاف ما إذا كان التخصص عنوانياً، فانّ خروجه و عدم خروجه لا يؤثر في كثرة التخصص و قلته، كما سيوافيك توضيحه في التفصيل الآتي</w:t>
      </w:r>
      <w:r>
        <w:rPr>
          <w:rFonts w:eastAsia="Amiri" w:cs="Amiri" w:ascii="Amiri" w:hAnsi="Amiri"/>
          <w:color w:val="111111"/>
          <w:sz w:val="28"/>
          <w:szCs w:val="28"/>
          <w:rtl w:val="true"/>
          <w:lang w:bidi="ar-SA"/>
        </w:rPr>
        <w:t>.</w:t>
      </w:r>
    </w:p>
    <w:p>
      <w:pPr>
        <w:pStyle w:val="Heading4"/>
        <w:numPr>
          <w:ilvl w:val="3"/>
          <w:numId w:val="1"/>
        </w:numPr>
        <w:rPr/>
      </w:pPr>
      <w:bookmarkStart w:id="1167" w:name="__RefHeading___Toc7305446_3381743652"/>
      <w:bookmarkStart w:id="1168" w:name="_Toc444"/>
      <w:bookmarkEnd w:id="1167"/>
      <w:r>
        <w:rPr>
          <w:rtl w:val="true"/>
        </w:rPr>
        <w:t>تفاصيل ثلاثة في المسألة</w:t>
      </w:r>
      <w:bookmarkEnd w:id="1168"/>
    </w:p>
    <w:p>
      <w:pPr>
        <w:pStyle w:val="Heading5"/>
        <w:numPr>
          <w:ilvl w:val="4"/>
          <w:numId w:val="1"/>
        </w:numPr>
        <w:rPr/>
      </w:pPr>
      <w:bookmarkStart w:id="1169" w:name="__RefHeading___Toc7305448_3381743652"/>
      <w:bookmarkStart w:id="1170" w:name="_Toc445"/>
      <w:bookmarkEnd w:id="1169"/>
      <w:r>
        <w:rPr>
          <w:rtl w:val="true"/>
        </w:rPr>
        <w:t>اشارة</w:t>
      </w:r>
      <w:bookmarkEnd w:id="1170"/>
    </w:p>
    <w:p>
      <w:pPr>
        <w:pStyle w:val="BookText"/>
        <w:rPr/>
      </w:pPr>
      <w:r>
        <w:rPr>
          <w:rFonts w:ascii="Amiri" w:hAnsi="Amiri" w:eastAsia="Amiri" w:cs="Amiri"/>
          <w:color w:val="111111"/>
          <w:sz w:val="28"/>
          <w:sz w:val="28"/>
          <w:szCs w:val="28"/>
          <w:rtl w:val="true"/>
          <w:lang w:bidi="ar-SA"/>
        </w:rPr>
        <w:t>ثمّ إنّ في المسألة جواز التمسّك بالعام في الشبهة المصداقية تفاصيل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الذي اختاره الشيخ الأعظم في مطارح الأنظار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الذي أفاده المحقّق النائيني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الذي اخترناه في سالف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فلندرس تلك التفاصيل بعون اللّه تبارك و تعالى</w:t>
      </w:r>
      <w:r>
        <w:rPr>
          <w:rFonts w:eastAsia="Amiri" w:cs="Amiri" w:ascii="Amiri" w:hAnsi="Amiri"/>
          <w:color w:val="111111"/>
          <w:sz w:val="28"/>
          <w:szCs w:val="28"/>
          <w:rtl w:val="true"/>
          <w:lang w:bidi="ar-SA"/>
        </w:rPr>
        <w:t>.</w:t>
      </w:r>
    </w:p>
    <w:p>
      <w:pPr>
        <w:pStyle w:val="Heading5"/>
        <w:numPr>
          <w:ilvl w:val="4"/>
          <w:numId w:val="1"/>
        </w:numPr>
        <w:rPr/>
      </w:pPr>
      <w:bookmarkStart w:id="1171" w:name="__RefHeading___Toc7305450_3381743652"/>
      <w:bookmarkStart w:id="1172" w:name="_Toc446"/>
      <w:bookmarkEnd w:id="1171"/>
      <w:r>
        <w:rPr/>
        <w:t>1</w:t>
      </w:r>
      <w:r>
        <w:rPr>
          <w:rtl w:val="true"/>
        </w:rPr>
        <w:t xml:space="preserve">. </w:t>
      </w:r>
      <w:r>
        <w:rPr>
          <w:rtl w:val="true"/>
        </w:rPr>
        <w:t>التفصيل بين مخصّص يوجب التنويع و ما لا يوجب</w:t>
      </w:r>
      <w:bookmarkEnd w:id="1172"/>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للشيخ الأنصاري تفصيلاً آخر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العام في الشبهة </w:t>
      </w:r>
    </w:p>
    <w:p>
      <w:pPr>
        <w:pStyle w:val="BookText"/>
        <w:rPr/>
      </w:pPr>
      <w:r>
        <w:rPr>
          <w:rFonts w:ascii="Amiri" w:hAnsi="Amiri" w:eastAsia="Amiri" w:cs="Amiri"/>
          <w:color w:val="111111"/>
          <w:sz w:val="28"/>
          <w:sz w:val="28"/>
          <w:szCs w:val="28"/>
          <w:rtl w:val="true"/>
          <w:lang w:bidi="ar-SA"/>
        </w:rPr>
        <w:t xml:space="preserve">المصداقية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التخصيص تارة يوجب تعدّد الموضوعين و تنويعهما كالعالم و الفاسق، و العالم غير الفاسق و أُخرى لا يوجب ذلك، كما إذا لم يعتبر المتكلّم صفة في موضوع الحكم غير ما أخذه عنواناً في العام و إن علمنا بأنّه لو فرض بين أفراد العام من هو فاسق لا يريد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انطباق العنوان عليه ارتجالي و ليس بملاك للحكم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لا وجه لتحكيم العام و أغلب ما يكون ذلك إنّما هو في التخصيصات اللفظية، و على الثاني يجب تحكيم العام و أغلب ما يكون إنّما هو في التخصيصات اللبيّة</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ما ذكره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علمية متقنة و لكن يجب أن نشير إلى وجه الإتقان و ظاهر كلام الشيخ انّ الفارق بين القسمين هو كون المخصص لفظياً، و كونه لبيّاً، و لكن الفارق الواقعي غيره و إن كان الغالب في المخصص اللفظي هو الأوّل و في اللّبي هو الثاني، و يظهر ما ذكرنا بالبيان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التخصيص عنوانياً فلا يصحّ التمسّك بالعام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المخصّص العنواني يجعل العام حجّة في غير الخاص، ففي ظرف الشبهة المصداقية يكون أحد الجزءين محرزاً و الجزء الآخر غير محرز كما مرّ بيانه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التوقف في العمل بالعام في مورد الشبهة المصداقية لا يستلزم تخصيصاً زائداً، فسواء أصح التمسّك بالعام أم لم يصحّ لا يتوجه إلى العام إلاّ تخصيص واحد و هو 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سواء أكثرت أفراده أم قلّت، فالتوقف في إكرام زيد العالم مشكوك الفسق لا يكون سبباً لتخصيص زائد وراء ما خصّ به</w:t>
      </w:r>
      <w:r>
        <w:rPr>
          <w:rFonts w:eastAsia="Amiri" w:cs="Amiri" w:ascii="Amiri" w:hAnsi="Amiri"/>
          <w:color w:val="111111"/>
          <w:sz w:val="28"/>
          <w:szCs w:val="28"/>
          <w:rtl w:val="true"/>
          <w:lang w:bidi="ar-SA"/>
        </w:rPr>
        <w:t xml:space="preserve">. </w:t>
      </w:r>
      <w:bookmarkStart w:id="1173" w:name="pg14356_187108"/>
    </w:p>
    <w:p>
      <w:pPr>
        <w:pStyle w:val="BookText"/>
        <w:rPr/>
      </w:pPr>
      <w:bookmarkEnd w:id="1173"/>
      <w:r>
        <w:rPr>
          <w:rFonts w:ascii="Amiri" w:hAnsi="Amiri" w:eastAsia="Amiri" w:cs="Amiri"/>
          <w:color w:val="111111"/>
          <w:sz w:val="28"/>
          <w:sz w:val="28"/>
          <w:szCs w:val="28"/>
          <w:rtl w:val="true"/>
          <w:lang w:bidi="ar-SA"/>
        </w:rPr>
        <w:t>و لأجل هذين الوجهين يتوقّف في العمل بالعام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إذا كان التخصيص أفرادياً بأن يخرج من تحت العام تسعة أشخاص كلّ باسمه و شخصه و شكّ في الفرد العاشر في أنّه هل خرج من العام أو لا؟ ففي ذلك المورد يتمسّك بالعام للوجهين التاليين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التخصيص الافرادي لا يُضفي على العام عنواناً زائداً على ما له من العنوان و إن علمنا دخول من خرج تحت عنوان خاص و هو الفاسق لكنّه في مقام الإثبات ليس بهذا العنوان العام، بل بلحاظ كلّ فرد منهم، و عندئذ فالموضوع هو العالم، سواء أخرج عن تحته أفراد خاصة أم لم يخرج و التخصيص لا يجعل الموضوع مركباً، و عند ذلك يتمسّك في المصداق المشتبه لانطباق الموضوع عليه غاية الأمر نشك في إخراجه و الأصل عدمه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التوقّف بالعمل بالعام في التخصيص الأفرادي يوجب كثرة التخصيص، و ذلك لأنّ تخصيص كلّ فرد يعدّ تخصيصاً مستقلاً، فلو خرج تسعة أشخاص و شكّ في الشخص العاشر فقد خصّ تسع مرات و شكّ في المرة العاشرة، وعليه فالشكّ في الفرد العاشر شكّ في التخصيص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التخصيص في الشريعة الإسلامية إنّما هو على نحو الإخراج العنواني دون الإخراج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ما ذكرنا فهذا التفصيل في أصل المسألة، لا تفصيلاً بين المخصص اللفظي و اللبي</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7305452_3381743652"/>
      <w:bookmarkStart w:id="1175" w:name="_Toc447"/>
      <w:bookmarkEnd w:id="1174"/>
      <w:r>
        <w:rPr/>
        <w:t>2</w:t>
      </w:r>
      <w:r>
        <w:rPr>
          <w:rtl w:val="true"/>
        </w:rPr>
        <w:t xml:space="preserve">. </w:t>
      </w:r>
      <w:r>
        <w:rPr>
          <w:rtl w:val="true"/>
        </w:rPr>
        <w:t>التفصيل بين القيد و الملاك</w:t>
      </w:r>
      <w:bookmarkEnd w:id="1175"/>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التفصيل السابق و إن كان بظاهره تفصيلاً بين أقسام </w:t>
      </w:r>
    </w:p>
    <w:p>
      <w:pPr>
        <w:pStyle w:val="BookText"/>
        <w:rPr/>
      </w:pPr>
      <w:r>
        <w:rPr>
          <w:rFonts w:ascii="Amiri" w:hAnsi="Amiri" w:eastAsia="Amiri" w:cs="Amiri"/>
          <w:color w:val="111111"/>
          <w:sz w:val="28"/>
          <w:sz w:val="28"/>
          <w:szCs w:val="28"/>
          <w:rtl w:val="true"/>
          <w:lang w:bidi="ar-SA"/>
        </w:rPr>
        <w:t>المخصص اللبي لكنّه كان في الواقع تفصيلاً بين المخصّص اللفظي و المخصص اللبي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الذي اختاره المحقّق النائيني فهو تفصيل بين المخصصات اللبيّة فهو يفرّق بين المخصص اللبيّ الذي يصلح أن يؤخذ قيداً و عنواناً في العام و بين المخصص اللبيّ الذي لا يصلح لذلك، بل يكون ملاكاً لحكم العام، فلا يجوِّز التمسّك بالعام في الأوّل بخلاف الثاني، و حاصل ما أفاده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المخصص اللبّي لو كان صالحاً لأخذه في عنوان العام و قيداً له كالعدالة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إلى رجل قد روى حديثنا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عُلم أنّ العام بعمومه غير مراد، و قام الإجماع على اعتبار العدالة في الراوي ففي مثله يكون المخصص اللبي كالمخصص اللفظي حيث يصبح موضوع العام مركّباً من قيدين،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رجلاً عادلاً، فكما يجب إحراز الجزء الأوّل يجب إحراز الجزء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المخصّص اللبي لو كان غير صالح للأخذ في الموضوع، بل كاشفاً عن ملاك الحكم و علّته كعنوان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مثله يجوز التمسّك بعموم العام و إن شكّ في وجود الملاك، و ذلك لبقاء موضوع العام على بساطته وسعته من دون تقييد، و أمّا عدم صلاحيته للأخذ في العنوان، هو انّ حكم اللعن بنفسه لا يصلح أن يعمّ المؤمن أو الخير حتّى يصلح للتقييد، فللحكم ضيق ذاتي بغير المؤمن فكيف يتصوّر فيه السعة ثمّ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الفاسق فانّ حكم الإكرام بطبعه يصلح أن يكون عاماً للعادل و الفاسق ثمّ يخرج الفاسق، و هذا بخلاف اللعن فانّه من أوّل الأمر من خصائص غير المؤمن و غير الخير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كان غير المؤمن ملاكاً لحكم العام غير مأخوذ فيه يؤخذ بحكم العام في مورد الشكّ لكون الموضوع بسيطاً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أُمية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أخذ قيد آخر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من جانب و من جانب آخر انّ إحراز الملاك من وظائف المولى، فإلغاء الحكم بصفة العام كاشف عن إحراز وجود الملاك في عامتهم، و عندئذ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علمنا بإيمان أموي كخالد بن سعيد بن العاص و إخوته أبان بن سعيد و عمرو بن سعيد كان ذلك موجباً لخروجهم من تحت العام، و انّ المتكلّم أخّر بيانَ إخراجهم لمصلحة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ضوء ذلك فلو شككنا في إيمان أحد من بني أُميّة يتمسّك بعموم العام لإحراز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 صورة ثالثة و هي انّه إن تردد أمره و لم يحرز كونه قيداً أو ملاكاً فلو كان من الأحكام العقلية الضرورية يمكن الاتّكال عليه فيكون قيداً، و إن كان نظرياً أو إجماعياً لا يصحّ الاتّكال عليه، فيلحق بالقسم الثاني فتمسك بالعموم لجواز أن يكون الفرد المشكوك قد أحرز المولى وجود الملاك فيه مع احتمال انّ ما أدركه العقل أو قام عليه الإجماع من قبيل الملاك</w:t>
      </w:r>
      <w:r>
        <w:rPr>
          <w:rFonts w:eastAsia="Amiri" w:cs="Amiri" w:ascii="Amiri" w:hAnsi="Amiri"/>
          <w:color w:val="111111"/>
          <w:sz w:val="28"/>
          <w:szCs w:val="28"/>
          <w:rtl w:val="true"/>
          <w:lang w:bidi="ar-SA"/>
        </w:rPr>
        <w:t>.</w:t>
      </w:r>
      <w:r>
        <w:rPr>
          <w:rStyle w:val="FootnoteAnchor"/>
          <w:rtl w:val="true"/>
        </w:rPr>
        <w:footnoteReference w:id="359"/>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أمثال أبناء سعيد بن العاص أوضح دليل على أنّ حكم العام ليس ملازماً لوجود ملاك اللعن في 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فنحن نحتمل أنّ سكوت المولى عن الفرد الآخر لنفس العلّة التي لأجلها سكت عن ذكر الثلاثة، و هي وجود المصلحة في تأخير البيان، و عند ذلك لا عبرة بعموم العام عند العقلاء، إذ ليس كاشفاً عن وجود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تطابق الإرادة الاستعمالية مع الإرادة الجدية دليل على وجود الملاك في الجميع إلاّ ما قام الدليل على فقده</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موضوع الحكم لا يمكن أن يكون أعمّ من الملاك، فإذا كان الملاك </w:t>
      </w:r>
      <w:bookmarkStart w:id="1176" w:name="pg14356_187111"/>
    </w:p>
    <w:p>
      <w:pPr>
        <w:pStyle w:val="BookText"/>
        <w:rPr/>
      </w:pPr>
      <w:bookmarkEnd w:id="1176"/>
      <w:r>
        <w:rPr>
          <w:rFonts w:ascii="Amiri" w:hAnsi="Amiri" w:eastAsia="Amiri" w:cs="Amiri"/>
          <w:color w:val="111111"/>
          <w:sz w:val="28"/>
          <w:sz w:val="28"/>
          <w:szCs w:val="28"/>
          <w:rtl w:val="true"/>
          <w:lang w:bidi="ar-SA"/>
        </w:rPr>
        <w:t>أخصّ من مطلق بني أُمية يجب أن يكون الموضوع أيضاً كذلك، و ليس هذا إلاّ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نظائرهما، فعندئذ يلحق الحكم الثاني بالقسم الأوّل في تركّب الموضوع من جزءين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كونه أُموياً،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غير المؤمن أخذاً بوحدة الموضوع و الملاك في السعة و الضيق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من أنّ الملاك لا يمكن أخذه في الموضوع، و ذلك لأنّ حكم اللعن بنفسه لا يصلح أن يعمّ المؤمن أو الخير حتّى يصحّ تخصيصه بأحد هذين الوجهين، مدفوع بأنّه خلط بين سعة الحكم حسب الإرادة الاستعمالية وسعة الحكم بالإرادة الجديّة، فاللعن حسب الإرادة الجديّة و إن كان لا يصلح أن يعمّ المؤمن أو الخير و لكنّه حسب الإرادة الاستعمالية قابل لأن يعمّ عامة بني أُميّة حتّى المؤمن و الخيّر، و ذلك لوجود المقتضي في كلهم إلاّ من هداهم اللّه، فعلى ذلك فلا فرق بين كون غير المؤمن ملاكاً للحكم أو مأخوذاً في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الصورة الثالثة،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يتردد بين الملاك و قيد الموضوع مخدوش أيضاً، لأنّ حاصله أنّه يلحق بالقسم الثاني باحتمالين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أن يكون الفرد المشكوك قد أحرز المولى وجود الملاك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انّ ما أدركه العقل أو قام عليه الإجماع من قبيل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فهذان الاحتمالان من الظنون التي لم يقم على حجّيتها دليل، أ فيصحّ أن يتمسّك بالعام اعتماداً على هذين الاحتمالين؟</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7305454_3381743652"/>
      <w:bookmarkStart w:id="1178" w:name="_Toc448"/>
      <w:bookmarkEnd w:id="1177"/>
      <w:r>
        <w:rPr/>
        <w:t>3</w:t>
      </w:r>
      <w:r>
        <w:rPr>
          <w:rtl w:val="true"/>
        </w:rPr>
        <w:t xml:space="preserve">. </w:t>
      </w:r>
      <w:r>
        <w:rPr>
          <w:rtl w:val="true"/>
        </w:rPr>
        <w:t>التفصيل بين ما إذا كان الفساد هو الأصل و عدمه</w:t>
      </w:r>
      <w:bookmarkEnd w:id="1178"/>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هاهنا تفسير ثالث و إن شئت فسمه رابع التفاصيل بضم ما أفاده المحقّق </w:t>
      </w:r>
    </w:p>
    <w:p>
      <w:pPr>
        <w:pStyle w:val="BookText"/>
        <w:rPr/>
      </w:pPr>
      <w:r>
        <w:rPr>
          <w:rFonts w:ascii="Amiri" w:hAnsi="Amiri" w:eastAsia="Amiri" w:cs="Amiri"/>
          <w:color w:val="111111"/>
          <w:sz w:val="28"/>
          <w:sz w:val="28"/>
          <w:szCs w:val="28"/>
          <w:rtl w:val="true"/>
          <w:lang w:bidi="ar-SA"/>
        </w:rPr>
        <w:t>الخراساني من التفصيل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إذا كان الحكم الطبيعي للموضوع هو الحرمة و الفساد و كانت الحلية و الصحّة أمراً طارئاً و على خلاف طبع الموضوع، ففي هذه الموارد لو شكّ في مورد انّه باق تحت حكم العام أو خارج عنه فالعام هو المحكّم حتّى يثبت الخلاف، و على ذلك جرت سيرة علمائنا و إن كان تمسّكاً بالعام في الشبهة المصداقية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نذكر عدّة أمثلة اتّفقت كلمة الفقهاء فيها على العمل بالعام و إن كانت الشبهة مصداقية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 الذكر الحكيم على وجوب الغض على المؤمنين بالنسبة إلى الجنس غير المماثل، و إن شئت قلت حرمة النظر إليه،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لِلْمُؤْمِنِينَ يَغُضُّوا مِنْ أَبْصارِهِمْ وَ يَحْفَظُوا فُرُوجَهُمْ ذلِكَ أَزْكى لَهُمْ إِنَّ اللّهَ خَبِيرٌ بِما يَصْنَعُونَ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إنّه سبحانه خصّص وجوب الغض أو حرمة النظر بالنسبة إلى غير المماثل في سورة النساء بالمحارم الواردة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عَلَيْكُمْ أُمَّهاتُكُمْ وَ بَناتُكُمْ وَ أَخَواتُكُمْ وَ عَمّاتُكُمْ وَ خالاتُكُمْ وَ بَناتُ الْأَخِ</w:t>
      </w:r>
      <w:r>
        <w:rPr>
          <w:rFonts w:eastAsia="Amiri" w:cs="Amiri" w:ascii="Amiri" w:hAnsi="Amiri"/>
          <w:color w:val="111111"/>
          <w:sz w:val="28"/>
          <w:szCs w:val="28"/>
          <w:rtl w:val="true"/>
          <w:lang w:bidi="ar-SA"/>
        </w:rPr>
        <w:t xml:space="preserve">... ) </w:t>
      </w:r>
      <w:r>
        <w:rPr>
          <w:rStyle w:val="FootnoteAnchor"/>
          <w:rtl w:val="true"/>
        </w:rPr>
        <w:footnoteReference w:id="360"/>
      </w:r>
      <w:r>
        <w:rPr>
          <w:rFonts w:ascii="Amiri" w:hAnsi="Amiri" w:eastAsia="Amiri" w:cs="Amiri"/>
          <w:color w:val="111111"/>
          <w:sz w:val="28"/>
          <w:sz w:val="28"/>
          <w:szCs w:val="28"/>
          <w:rtl w:val="true"/>
          <w:lang w:bidi="ar-SA"/>
        </w:rPr>
        <w:t>فإذا ضُمّت الآيتان يتشكل منهما، عام مخصَّص، كأنّه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غضّوا أبصاركم عن المرأة غير المحارم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شكّ في جنس غير مماثل انّه من المحارم، أو لا، يكون مرجعه إلى الشكّ في مصداق المخصص فأحد الجزءين محرز و هو كونه مرأة أو جنساً غير مماثل و إنّما الشكّ في الجزء الآخر، أعني</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كونه غير المحارم، فالدليل الاجتهادي،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ساقط، لعدم جواز التمسك بالعام في الشبهة المصداقية، فالمرجع </w:t>
      </w:r>
    </w:p>
    <w:p>
      <w:pPr>
        <w:pStyle w:val="BookText"/>
        <w:rPr/>
      </w:pPr>
      <w:r>
        <w:rPr>
          <w:rFonts w:ascii="Amiri" w:hAnsi="Amiri" w:eastAsia="Amiri" w:cs="Amiri"/>
          <w:color w:val="111111"/>
          <w:sz w:val="28"/>
          <w:sz w:val="28"/>
          <w:szCs w:val="28"/>
          <w:rtl w:val="true"/>
          <w:lang w:bidi="ar-SA"/>
        </w:rPr>
        <w:t>هو حلية النظر و مع ذلك عدل المشهور عن الضابطة و أفتوا بالحرمة أخذاً بحكم العام، و ما ذلك إلاّ لأنّ الحكم الطبيعي في نظر الرجل إلى المرأة هو الحرمة، خرج عنه، موارد معدودة استثنائية فيؤخذ بالحكم الطبيعي للموضوع و هو حرمة النظر، إلى أن يثبت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يقول السيد الطباطبائي في العروة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كونه مماثلاً أو لا، أو شكّ في كونه من المحارم النسبية أو لا، فالظاهر وجوب الاجتناب، لأنّ الظاهر أنّ وجوب الغض إلى جواز النظر مشروط بأمر وجودي و هو كونه مماثلاً أو من المحارم فمع الشكّ يعمل بمقتضى العموم</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و ما علَّل به الحكم من الأخذ بقاعدة المقتضي و عدم المانع ليس بتام، فانّ عدم احراز عنوان المخصص لا يكون دليلاً على التمسك بالعام، إذ ليست المرأة بما هي هي موضوعة للحرمة بل المرأة بوصف كونها من غير المحارم فكما لا يجوز التمسّك بالمخصص لا يجوز التمسك بعموم العام، إلاّ أن يكون الدليل ما ذكرناه من جريان السيرة على العمل بعموم العام، لكون الأصل في المورد هو الحرمة، و الحلية أمر استثنائي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لِبُعُولَتِهِنَّ أَوْ آبائِهِنَّ أَوْ آباءِ بُعُولَتِهِنَّ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فالأصل في إبداء الزينة لغير المماثل هو الحرمة، خرجت المحارم عن تحتها،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عُطِفَ عليها في الآية، فلو شك في رجل في أنّه من المحارم الذين يجوز ابداء الزينة لهم، أو لا، فالسيرة على حرمة الإبداء، إلاّ إذا تبيّن كونه من المحارم، مع أنّ مقتضى الأصل العملي هو جواز</w:t>
      </w:r>
    </w:p>
    <w:p>
      <w:pPr>
        <w:pStyle w:val="BookText"/>
        <w:rPr/>
      </w:pPr>
      <w:r>
        <w:rPr>
          <w:rFonts w:ascii="Amiri" w:hAnsi="Amiri" w:eastAsia="Amiri" w:cs="Amiri"/>
          <w:color w:val="111111"/>
          <w:sz w:val="28"/>
          <w:sz w:val="28"/>
          <w:szCs w:val="28"/>
          <w:rtl w:val="true"/>
          <w:lang w:bidi="ar-SA"/>
        </w:rPr>
        <w:t>الإبداء و ما ذلك، إلا لأنّ الحكم الطبيعي أو الأصل الأوّلي في إبداء الزينة هو الحرمة و الحلية طارئة استثنائية فيؤخذ به حتّى يثبت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الوقف عبارة عن تحبيس العين و تسبيل المنفعة فلا يباع و لا يوهب و لا يرهن، و مع ذلك كلّه فقد أفتى الفقهاء تبعاً للنصوص و القواعد، بجواز بيعه في موارد عشرة تكفّل ببيانها الشيخ الأعظم في المتاجر، فلو قام رجل ببيع الوقف و احتملنا كون المورد من الموارد المرخصة فمقتضى القاعدة الأُصولية عدم جواز التمسّك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لكون الشبهة مصداقية، لكن الفقهاء أفتوا بعدم جواز الشراء، حتّى يعلم المجوز، عملاً بالعام، و ما ذلك إلاّ لأجل أنّ الأصل الأوّلي في الوقف هو الحرمة تكليفاً و وضعاً، فالعام حجّة، و إن كانت الشبهة مصداقية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الأصل في مال اليتيم هو حرمة التصرف إلاّ إذا كان فيه غبطة اليتيم،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تَقْرَبُوا مالَ الْيَتِيمِ إِلاّ بِالَّتِي هِيَ أَحْسَنُ </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فلو قام أحد ببيع مال اليتيم و احتملنا فيه غبطة اليتيم، لا يجوز الشراء حتّى يثبت المجوز، و لا يجري في المقام و لا في المورد السابق أصالة الصحّة حتّى أنّ الشيخ استثنى في فرائده</w:t>
      </w:r>
      <w:r>
        <w:rPr>
          <w:rStyle w:val="FootnoteAnchor"/>
          <w:rtl w:val="true"/>
        </w:rPr>
        <w:footnoteReference w:id="363"/>
      </w:r>
      <w:r>
        <w:rPr>
          <w:rFonts w:ascii="Amiri" w:hAnsi="Amiri" w:eastAsia="Amiri" w:cs="Amiri"/>
          <w:color w:val="111111"/>
          <w:sz w:val="28"/>
          <w:sz w:val="28"/>
          <w:szCs w:val="28"/>
          <w:rtl w:val="true"/>
          <w:lang w:bidi="ar-SA"/>
        </w:rPr>
        <w:t>هذين الموردين من مجرى أصالة الصحة، فلاحظ</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يعلم وجه التفريق في كلام الشيخ في فرائده و متاجره، بين الصلاة على الميّت، و بيع مال اليتيم و الوقف، حيث تجري أصالة الصحّة في الأُولى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قام أحد بإقامة الصلاة على الميّت و شككنا في صحّة صلاته و فسادها، تحمل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قام هو ببيع مال اليتيم، أو الوقف، لا يحمل على </w:t>
      </w:r>
    </w:p>
    <w:p>
      <w:pPr>
        <w:pStyle w:val="BookText"/>
        <w:rPr/>
      </w:pPr>
      <w:r>
        <w:rPr>
          <w:rFonts w:ascii="Amiri" w:hAnsi="Amiri" w:eastAsia="Amiri" w:cs="Amiri"/>
          <w:color w:val="111111"/>
          <w:sz w:val="28"/>
          <w:sz w:val="28"/>
          <w:szCs w:val="28"/>
          <w:rtl w:val="true"/>
          <w:lang w:bidi="ar-SA"/>
        </w:rPr>
        <w:t>الصحّة إذا كان هناك شك في وجود المسوّغ للبيع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تلف مال الغير تحت يد الإنسان فالأصل فيه هو الضمان إلاّ إذا كانت اليد يد أمانة، فلو تلف مال و شكّ في كيفية اليد أنّها يد أمانة أو لا، فالأصل فيه الضمان، و لأجل ذلك حكم الفقهاء في مثل المورد بالضمان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 كان المورد، من قبيل الشبهة المصداقية،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الأصل في اللحوم البحرية هي الحرمة إلاّ السمك ذات الفلس، فلو شكّ في نوع سمك في أنّه من ذوات الفلس أو لا، فالأصل فيه الحرمة حتّى يثبت الخلاف، لنفس الوجه الذي أوضحنا حاله في الأمثلة السابقة</w:t>
      </w:r>
      <w:r>
        <w:rPr>
          <w:rFonts w:eastAsia="Amiri" w:cs="Amiri" w:ascii="Amiri" w:hAnsi="Amiri"/>
          <w:color w:val="111111"/>
          <w:sz w:val="28"/>
          <w:szCs w:val="28"/>
          <w:rtl w:val="true"/>
          <w:lang w:bidi="ar-SA"/>
        </w:rPr>
        <w:t>.</w:t>
      </w:r>
      <w:bookmarkStart w:id="1179" w:name="pg14356_187116"/>
    </w:p>
    <w:p>
      <w:pPr>
        <w:pStyle w:val="Heading3"/>
        <w:numPr>
          <w:ilvl w:val="2"/>
          <w:numId w:val="1"/>
        </w:numPr>
        <w:rPr/>
      </w:pPr>
      <w:bookmarkStart w:id="1180" w:name="__RefHeading___Toc7305456_3381743652"/>
      <w:bookmarkStart w:id="1181" w:name="_Toc449"/>
      <w:bookmarkEnd w:id="1179"/>
      <w:bookmarkEnd w:id="1180"/>
      <w:r>
        <w:rPr>
          <w:rtl w:val="true"/>
        </w:rPr>
        <w:t>الفصل السادس إحراز ما بقي تحت العام بالأصل العملي</w:t>
      </w:r>
      <w:bookmarkEnd w:id="1181"/>
    </w:p>
    <w:p>
      <w:pPr>
        <w:pStyle w:val="Heading4"/>
        <w:numPr>
          <w:ilvl w:val="3"/>
          <w:numId w:val="1"/>
        </w:numPr>
        <w:rPr/>
      </w:pPr>
      <w:bookmarkStart w:id="1182" w:name="__RefHeading___Toc7305458_3381743652"/>
      <w:bookmarkStart w:id="1183" w:name="_Toc450"/>
      <w:bookmarkEnd w:id="1182"/>
      <w:r>
        <w:rPr>
          <w:rtl w:val="true"/>
        </w:rPr>
        <w:t>اشارة</w:t>
      </w:r>
      <w:bookmarkEnd w:id="1183"/>
    </w:p>
    <w:p>
      <w:pPr>
        <w:pStyle w:val="BookText"/>
        <w:rPr/>
      </w:pP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العام إلاّ ما سبق ليس حجّة في الشبهة المصداقية للمخصّص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الأصل، فلو كان للمصداق المشتبه حالة سابقة يؤخذ بها،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 لا تكرم فسّاق العلماء، و شكّ في عدالة زيد العالم و كان مسبوق العدالة أو مسبوق الفسق فيحكم عليه بأحدهما فعلى الأوّل يدخل تحت العام و على الثاني تحت المخصص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إذا لم يكن له حالة سابقة، فهل هنا أصل موضوعي يُنقِّح حال المشتبه و يدخله تحت العام أو لا؟ ذهب المحقّق الخراساني إلى وجود الأصل المحرز في صورتين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المخصّص منفصلاً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المخصّص متّصلاً بصورة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غيرهما كما إذا كان متّصلاً و كان وصفاً فلا يحرز الموضوع بالأصل</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انّ المخصّص يتصوّر على صور أربع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وصفاً متّصلاً،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وصفاً متّصلاً لكن بصورة الموجبة المعدولة،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غير الفسّاق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المخصّص متّصلاً على نحو الاستثناء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إلاّ الفسّاق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المخصّص منفصلاً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المحقّق الخراساني إلى أنّ الأصل المحرز ينقح حال الموضوع المشتبه في الصورتين الأخيرتين دون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عنواني العدول أو غير الفسّاق من العناوين المنوعة التي تقسّم الموضوع إلى علماء عدول و غير عدول، أو علماء فسّاق و غير فسّاق، و استصحاب العدم الأزلي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فاسقاً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يثبت العنوان الوجودي للعام، لأنّ استصحاب الأمر العدمي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فاسقاً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إثبات الأمر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عادلاً، أو غير 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الأُصول المثبتة التي ثبت في محلّها 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كون المخصّص منوّعاً للعام، و مقسّماً له إلى قسمين، و بين ما لا يكون كذلك، بل يُخرج طائفة عن تحت العام دون أن ينوّع العام و يجعل الموضوع مركّباً من جزءين</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فكما إذا كان المخصّص وصفاً للعام كالعدول، و غير الفسّاق، إذ عندئذ يكون العام مركّباً من جزءين، يحرز أحد الجزءين بالوجدان و أمّا الأمر فلا يحرز بالأصل، لما عرفت من أنّ استصحاب العدم الأزلي، لا يثبت عنواناً وجودياً و إن كانا متلازمين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الثاني فكما إذا ورد المخصص بصورة الاستثناء أو ورد منفصلاً عن العام، إذ ليس لهما دور عند ذاك إلاّ الإخراج من دون تقييد للعام بقيد وجودي، فالاستثناء يخرج آحاد الفسّاق دون أن يقيد عنوان العام بقيد و مثله المخصص المنفصل، غاية الأمر يجب في كلا الموردين أن لا يصدق عليه عنوان المخصص، و يكفي في ذلك استصحاب العدم الأزلي للرجل المشكوك فسقه و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قال المحقّق الخراساني بجريان استصحاب عدم القرشية في المرأة المرددة بين القرشية و غير القرشية، قائلاً، بأنّ النصّ ورد على أنّ المرأة ترى الحمرة إلى خمسين إلاّ القرشية، فالمخصّص متصل لكنّه بصورة الاستثناء فليس له دور إلاّ إخراج القرشية من دون تقييد موضوع العام بقيد، غاية الأمر يجب أن يحرز عدم عنوان المخصص، و يكفي في ذلك استصحاب عدم القرشية للمرأة المرددة، فيكون المورد من الموارد التي تثبت أحد الجزءين بالوجدان و الآخر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إذا كان المخصّص منفصلاً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ترى الحمرة إلى خمسين عاماً ثمّ ذكر بعد 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القرشية ترى الدم إلى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تبين انّ نظريته مبنيّة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التخصيص المتصل بصورة الوصف أو بصورة القضية الموجبة المعدولة ينوِّع العام و يجعل الموضوع مركّباً من جزءين، و من المعلوم أنّه لا يمكن إثبات القيد الوجودي بالأمر العدمي</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إذا كان المخصّص متّصلاً بصورة الاستثناء أو منفصلاً فلا يضفي للعام تنويعاً و لا يوجب تركّب الموضوع، بل العام باق على عمومه، غاية الأمر يجب أن لا يصدق عليه عنوان المخصّص، فعندئذ يكفي استصحاب عدم </w:t>
      </w:r>
      <w:bookmarkStart w:id="1184" w:name="pg14356_187119"/>
    </w:p>
    <w:p>
      <w:pPr>
        <w:pStyle w:val="BookText"/>
        <w:rPr/>
      </w:pPr>
      <w:bookmarkEnd w:id="1184"/>
      <w:r>
        <w:rPr>
          <w:rFonts w:ascii="Amiri" w:hAnsi="Amiri" w:eastAsia="Amiri" w:cs="Amiri"/>
          <w:color w:val="111111"/>
          <w:sz w:val="28"/>
          <w:sz w:val="28"/>
          <w:szCs w:val="28"/>
          <w:rtl w:val="true"/>
          <w:lang w:bidi="ar-SA"/>
        </w:rPr>
        <w:t>قرشية المرأة، بعدم تحقّق الانتساب بينها و بين قريش فيكون باقياً تحت العام محكوماً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علم أنّ المحقّق الخراساني يركز في جريان الأصل الأزلي و عدمه على شيء واحد و هو تعنون العام بقيد وجودي كما في القسمين الأوّلين و عدم تقيّده به كما في القسمين الأخيرين، فبما انّ الوصف أو الموجبة المعدولة ينوِّع العام بقيد وجودي فلا يثبت بالأصل العدمي، و أمّا الاستثناء و المخصّص المنفصل لا ينوع الموضوع و لا يضفي عليه قيداً زائداً غاية الأمر يجب أن يحرز عدم عنوان المخصص فيجري و يثبت عدم تعنونه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توضيح مفصّل لمرام صاحب الكفاية، و قد أجمل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بيان مقصوده</w:t>
      </w:r>
      <w:r>
        <w:rPr>
          <w:rFonts w:eastAsia="Amiri" w:cs="Amiri" w:ascii="Amiri" w:hAnsi="Amiri"/>
          <w:color w:val="111111"/>
          <w:sz w:val="28"/>
          <w:szCs w:val="28"/>
          <w:rtl w:val="true"/>
          <w:lang w:bidi="ar-SA"/>
        </w:rPr>
        <w:t>.</w:t>
      </w:r>
    </w:p>
    <w:p>
      <w:pPr>
        <w:pStyle w:val="Heading4"/>
        <w:numPr>
          <w:ilvl w:val="3"/>
          <w:numId w:val="1"/>
        </w:numPr>
        <w:rPr/>
      </w:pPr>
      <w:bookmarkStart w:id="1185" w:name="__RefHeading___Toc7305460_3381743652"/>
      <w:bookmarkStart w:id="1186" w:name="_Toc451"/>
      <w:bookmarkEnd w:id="1185"/>
      <w:r>
        <w:rPr>
          <w:rtl w:val="true"/>
        </w:rPr>
        <w:t>مناقشة نظرية المحقّق الخراساني</w:t>
      </w:r>
      <w:bookmarkEnd w:id="1186"/>
    </w:p>
    <w:p>
      <w:pPr>
        <w:pStyle w:val="BookText"/>
        <w:rPr/>
      </w:pPr>
      <w:r>
        <w:rPr>
          <w:rFonts w:ascii="Amiri" w:hAnsi="Amiri" w:eastAsia="Amiri" w:cs="Amiri"/>
          <w:color w:val="111111"/>
          <w:sz w:val="28"/>
          <w:sz w:val="28"/>
          <w:szCs w:val="28"/>
          <w:rtl w:val="true"/>
          <w:lang w:bidi="ar-SA"/>
        </w:rPr>
        <w:t>البحث في جريان استصحاب العدم الأزلي في المرأة المرددة بين القرشية و غيرها يقع في مقامين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الثبوت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فالذي يمكن أن يبقى تحت العام بعد ملاحظة المخصص، أحد الأُمور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الموجبة المعدولة نحو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غير القرشية ترى الدم إلى خمسين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الموجبة، السالبة المحمول نحو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هي ليست قرشية ترى الدم إلى خمسين</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المراد من الموجبة السالبة المحمول هو جعل القضية السالبة المحصلة خبراً لموضوع أو في حكم الخبر، كما في المقام بحيث يكون الربط قبل </w:t>
      </w:r>
    </w:p>
    <w:p>
      <w:pPr>
        <w:pStyle w:val="BookText"/>
        <w:rPr/>
      </w:pPr>
      <w:r>
        <w:rPr>
          <w:rFonts w:ascii="Amiri" w:hAnsi="Amiri" w:eastAsia="Amiri" w:cs="Amiri"/>
          <w:color w:val="111111"/>
          <w:sz w:val="28"/>
          <w:sz w:val="28"/>
          <w:szCs w:val="28"/>
          <w:rtl w:val="true"/>
          <w:lang w:bidi="ar-SA"/>
        </w:rPr>
        <w:t>الخبر فتحمل السالبة على الموضوع و يوصف بها لبّاً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هي ليست بقرشية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السالبة المحصلة نحو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المرأة قرشية ترى الدم إلى خمسين، و على كلّ تقدير فالباقي تحت العام أحد القضايا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الباقي تحت العام، هو الأوّلان،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بوصف القرشية، أو المرأة التي هي ليست بقرشية، فلا يمكن إثبات هذا القيد بالأصل العدمي، و 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القيد المنوِّع أمر وجودي، و المستصحب أمر عدمي، و استصحاب الأمر العدمي و إثبات القيد الوجودي من الأُصول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ركّز المحقّق الخراساني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المتيقّن قضية سالبة محصلة حيث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تكن المرأة موجودة فلم تكن قرشية، و القضية المشكوكة قضية سالبة المحمول بمعنى نعلم وجودها و نشك في وصفها، فاستصحاب السالبة المحصلة الصادقة مع نفي الموضوع و إثبات القضية بصورة سالبة المحمول من الأُصول المثبتة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 من الشيخ الأعظم و غيره أنّ مفاد كان التامة أو النفي التام لا يثبتان مفاد كان الناقصة و النفي الناقص،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في البيت ماء كرّ فنقص منه شيء، فلو قيل كان في البيت ماء كرّ بصورة كان التامة فلا يثبت به كرّيّة هذا الماء المشكوك، و لا محيص من الاستصحاب بصورة كان الناقصة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الماء كان كرّاً و الأصل بقاؤه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المرأة المشتبهة المرددة بين القرشية و غير القرشية، فالمتيقّن عدم قرشية تلك المرأة عند عدم وجودها،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 التام، و المشكوك هذه المرأة الموجودة، المشكوكة قرشيتها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استصحاب التام لا يثبت النفي الناقص</w:t>
      </w:r>
      <w:r>
        <w:rPr>
          <w:rFonts w:eastAsia="Amiri" w:cs="Amiri" w:ascii="Amiri" w:hAnsi="Amiri"/>
          <w:color w:val="111111"/>
          <w:sz w:val="28"/>
          <w:szCs w:val="28"/>
          <w:rtl w:val="true"/>
          <w:lang w:bidi="ar-SA"/>
        </w:rPr>
        <w:t xml:space="preserve">. </w:t>
      </w:r>
      <w:bookmarkStart w:id="1187" w:name="pg14356_187121"/>
    </w:p>
    <w:p>
      <w:pPr>
        <w:pStyle w:val="BookText"/>
        <w:rPr/>
      </w:pPr>
      <w:bookmarkEnd w:id="1187"/>
      <w:r>
        <w:rPr>
          <w:rFonts w:ascii="Amiri" w:hAnsi="Amiri" w:eastAsia="Amiri" w:cs="Amiri"/>
          <w:color w:val="111111"/>
          <w:sz w:val="28"/>
          <w:sz w:val="28"/>
          <w:szCs w:val="28"/>
          <w:rtl w:val="true"/>
          <w:lang w:bidi="ar-SA"/>
        </w:rPr>
        <w:t>إلى هنا تبيّن انّ الأصل لا يجري فيما إذا كان الواقع تحت العام إحدى القضيتين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معدولة المحمول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الموجبة سالبة المحمول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الواقع تحت العام على نحو السالبة المحصلة نحو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هذه المرأة قرشية ترى الدم إلى خمسين الصادقة حتّى مع عدم الموضوع، ففي هذه الصورة تثبت القضيةُ المشكوكة بالقضية المتيقّنة لعدم وجود المانعين المذكورين، فعندئذ يصحّ استصحاب عدم قرشيتها لإثبات انّ المرأة المرددة واقعة تحت العام لم تخرج منها</w:t>
      </w:r>
      <w:r>
        <w:rPr>
          <w:rFonts w:eastAsia="Amiri" w:cs="Amiri" w:ascii="Amiri" w:hAnsi="Amiri"/>
          <w:color w:val="111111"/>
          <w:sz w:val="28"/>
          <w:szCs w:val="28"/>
          <w:rtl w:val="true"/>
          <w:lang w:bidi="ar-SA"/>
        </w:rPr>
        <w:t>.</w:t>
      </w:r>
    </w:p>
    <w:p>
      <w:pPr>
        <w:pStyle w:val="Heading4"/>
        <w:numPr>
          <w:ilvl w:val="3"/>
          <w:numId w:val="1"/>
        </w:numPr>
        <w:rPr/>
      </w:pPr>
      <w:bookmarkStart w:id="1188" w:name="__RefHeading___Toc7305462_3381743652"/>
      <w:bookmarkStart w:id="1189" w:name="_Toc452"/>
      <w:bookmarkEnd w:id="1188"/>
      <w:r>
        <w:rPr>
          <w:rtl w:val="true"/>
        </w:rPr>
        <w:t>الكلام في مقام الإثبات</w:t>
      </w:r>
      <w:bookmarkEnd w:id="1189"/>
    </w:p>
    <w:p>
      <w:pPr>
        <w:pStyle w:val="BookText"/>
        <w:rPr/>
      </w:pPr>
      <w:r>
        <w:rPr>
          <w:rFonts w:ascii="Amiri" w:hAnsi="Amiri" w:eastAsia="Amiri" w:cs="Amiri"/>
          <w:color w:val="111111"/>
          <w:sz w:val="28"/>
          <w:sz w:val="28"/>
          <w:szCs w:val="28"/>
          <w:rtl w:val="true"/>
          <w:lang w:bidi="ar-SA"/>
        </w:rPr>
        <w:t>إلى هنا تمّ كلامنا في مقام الثبوت، بقي الكلام في مقام الإثبات، أي تعيين أنّ الباقي تحت العام من أي قسم من الأقسام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الباقي تحت العام بعد التخصيص هو القسمان الأوّلان لا الثالث</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الحكم الوارد في القضية حكم 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القضية الموجبة لا تصدق إلاّ بوجود الموضوع، قال التفتازاني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في الموجبة من وجود الموضوع، إمّا محقّقاً و هي الخارجية، أو مقدّراً فالحقيقية، أو ذهناً فالذهنية</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xml:space="preserve">و القضية في المقام حقيقية يجب وجود الموضوع في ظرف الصدق، و من المعلوم أنّ الرؤية إلى خمسين من خصائص المرأة الموجودة فيختص الباقي تحت العام </w:t>
      </w:r>
    </w:p>
    <w:p>
      <w:pPr>
        <w:pStyle w:val="BookText"/>
        <w:rPr/>
      </w:pPr>
      <w:r>
        <w:rPr>
          <w:rFonts w:ascii="Amiri" w:hAnsi="Amiri" w:eastAsia="Amiri" w:cs="Amiri"/>
          <w:color w:val="111111"/>
          <w:sz w:val="28"/>
          <w:sz w:val="28"/>
          <w:szCs w:val="28"/>
          <w:rtl w:val="true"/>
          <w:lang w:bidi="ar-SA"/>
        </w:rPr>
        <w:t>بالقضية المعدولة أو بالموجبة السالبة المحمول اللتين لا ينفكان عن صدق الموضوع و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القضية السالبة المحصّلة فيمتنع أن تقع موضوعاً للرؤية، فلو قيل إذا لم تكن المرأة قرشية ترى الدم إلى خمسين فقد جُمِعَ بين نقيضين، فالموضوع بما انّه قضية سالبة محصّلة يصدق مع عدم الموضوع، و لكن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انّه قضية موجبة لا تصدق إلاّ مع وجود الموضوع فلا يمكن أن يكون الباقي تحت العام هو السالبة المحصّلة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أن يكون الأصل فاقداً للأثر حدوثاً و واجداً له بقاءً، فعدم القرشية و إن كان فاقداً للأثر عند عدم الموضوع و لكنّه واجد له بعد وجود الموضوع و مثل هذا داخل تحت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تنقض اليقين بالشك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صحيح فيما إذا عمّ الدليل كلتا الصورتين،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كراً على وجه اليقين يشمله الدليل الاجتهادي بأنّه لا ينجّسه شيء، فإذا نقص منه شيء فشكّ في كونه كرّاً فالدليل الاجتهادي يكون قاصراً عن شموله لهذا المورد، و لكن لا قصور في دليل الاستصحاب فيستصحب بقاء الماء على الكرّية فيشمله الدليل الاجتهادي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هذا الشرط غير موجود في المقام، لأنّ موضوع الدليل الاجتهادي،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غير القرشية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شاملاً لها في فترة من الزمن، أي عند ما كانت معدومة الوجود و الصفة، فكيف يشملها بعد وجودها مع الشكّ في بقاء عدم وصفها؟ ففي مثل ذلك لا يشملها الدليل الاجتهادي و لا الاستصحاب</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تقف على أنّه يتوجّه على المحقّق الخراساني إشكالات نأتي بها تالياً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 الباقي تحت العام حسب الدراسة السابقة هو القضية الموجبة، سواء أ كانت موجبة معدولة أو موجبة سالبة المحمول فهذا ممّا لا حالة سابقة له، إذ المرأة الموصوفة بغير القرشية لم يتعلّق بها اليقين في عصر من الأعصار، و أمّا السالبة المحصلة،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تكن المرأة قرشية فترى الدم إلى 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 غير صالحة لأن تكون موضوعاً للرؤية، لأنّ الحكم الإيجابي يستلزم وجود الموضوع كما ذكره المنطقيون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التفتازاني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 في الموجبة من وجود 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السالبة المحصّلة التي تصدق مع عدم الموضوع لا تصلح لأن تقع موضوعاً للحكم الإيجابي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نفترض انّ الباقي تحت العام هو السالبة المحصّلة و لكن القضية المتيقّنة تُغاير القضية المشكوكة، فانّ المتيقّنة منها هي السالبة الصادقة بانتفاء الموضوع، أي لم تكن موجودة فلم تكن قرشية، و المشكوكة هي القضية السالبة، الصادقة بانتفاء المحمول مع وجود الموضوع، و من المعلوم أنّ إسراء الحكم من القضية الأُولى إلى القضية الثانية إسراء للحكم من موضوع إلى موضوع آخر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استصحاب العدم الأزلي ليس مصداقاً عرفياً للاستصحاب، و ظواهر الكلام حجّة في المصاديق العرفية لا المصاديق العقلية الدقيقة كما في المقام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التفريق بين الوصف و الاستثناء قائلاً بأنّ الأوّل ينوِّع دون الثاني تفريق بلا وجه، لأنّ العرف لا يفرّق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غير الفسّاق، و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إلاّ الفسّاق، و التفريق بينهما بكون المخصص وصفاً في الأوّل و منوِّعاً للموضوع إلى فاسق و غير فاسق دون الثاني فانّ دوره الإخراج لا التنويع، بعيد عن الأذهان العرفية</w:t>
      </w:r>
      <w:r>
        <w:rPr>
          <w:rFonts w:eastAsia="Amiri" w:cs="Amiri" w:ascii="Amiri" w:hAnsi="Amiri"/>
          <w:color w:val="111111"/>
          <w:sz w:val="28"/>
          <w:szCs w:val="28"/>
          <w:rtl w:val="true"/>
          <w:lang w:bidi="ar-SA"/>
        </w:rPr>
        <w:t xml:space="preserve">. </w:t>
      </w:r>
      <w:bookmarkStart w:id="1190" w:name="pg14356_187124"/>
    </w:p>
    <w:p>
      <w:pPr>
        <w:pStyle w:val="BookText"/>
        <w:rPr/>
      </w:pPr>
      <w:bookmarkEnd w:id="1190"/>
      <w:r>
        <w:rPr>
          <w:rFonts w:ascii="Amiri" w:hAnsi="Amiri" w:eastAsia="Amiri" w:cs="Amiri"/>
          <w:color w:val="111111"/>
          <w:sz w:val="28"/>
          <w:sz w:val="28"/>
          <w:szCs w:val="28"/>
          <w:rtl w:val="true"/>
          <w:lang w:bidi="ar-SA"/>
        </w:rPr>
        <w:t>هذا كلّه حول أصل العدم الأزلي في نظر المحقّق الخراساني، و إليك دراسة ما أفاده المحقّق النائيني من التفصيل بين القيد المقسِّم و القيد المقارن</w:t>
      </w:r>
      <w:r>
        <w:rPr>
          <w:rFonts w:eastAsia="Amiri" w:cs="Amiri" w:ascii="Amiri" w:hAnsi="Amiri"/>
          <w:color w:val="111111"/>
          <w:sz w:val="28"/>
          <w:szCs w:val="28"/>
          <w:rtl w:val="true"/>
          <w:lang w:bidi="ar-SA"/>
        </w:rPr>
        <w:t>.</w:t>
      </w:r>
    </w:p>
    <w:p>
      <w:pPr>
        <w:pStyle w:val="Heading4"/>
        <w:numPr>
          <w:ilvl w:val="3"/>
          <w:numId w:val="1"/>
        </w:numPr>
        <w:rPr/>
      </w:pPr>
      <w:bookmarkStart w:id="1191" w:name="__RefHeading___Toc7305464_3381743652"/>
      <w:bookmarkStart w:id="1192" w:name="_Toc453"/>
      <w:bookmarkEnd w:id="1191"/>
      <w:r>
        <w:rPr>
          <w:rtl w:val="true"/>
        </w:rPr>
        <w:t>التفصيل بين القيد المقسِّم و المقارن</w:t>
      </w:r>
      <w:bookmarkEnd w:id="1192"/>
    </w:p>
    <w:p>
      <w:pPr>
        <w:pStyle w:val="Heading5"/>
        <w:numPr>
          <w:ilvl w:val="4"/>
          <w:numId w:val="1"/>
        </w:numPr>
        <w:rPr/>
      </w:pPr>
      <w:bookmarkStart w:id="1193" w:name="__RefHeading___Toc7305466_3381743652"/>
      <w:bookmarkStart w:id="1194" w:name="_Toc454"/>
      <w:bookmarkEnd w:id="1193"/>
      <w:r>
        <w:rPr>
          <w:rtl w:val="true"/>
        </w:rPr>
        <w:t>اشارة</w:t>
      </w:r>
      <w:bookmarkEnd w:id="1194"/>
    </w:p>
    <w:p>
      <w:pPr>
        <w:pStyle w:val="BookText"/>
        <w:rPr/>
      </w:pPr>
      <w:r>
        <w:rPr>
          <w:rFonts w:ascii="Amiri" w:hAnsi="Amiri" w:eastAsia="Amiri" w:cs="Amiri"/>
          <w:color w:val="111111"/>
          <w:sz w:val="28"/>
          <w:sz w:val="28"/>
          <w:szCs w:val="28"/>
          <w:rtl w:val="true"/>
          <w:lang w:bidi="ar-SA"/>
        </w:rPr>
        <w:t>إنّ المحقّق النائيني لمّا لم يرتض ما أفاده المحقّق الخراساني حول استصحاب العدم الأزلي حاول إصلاح النظرية بالفصل بين القيد المقسِّم و القيد المقارن، فنفى حجّية الأصل الأزلي في الأوّل و أثبت حجّيته في الثاني، و بذلك صار مفصِّلاً في حجّية الأصل الأزلي لا مثبتاً مطلقاً كالمحقّق الخراساني و لا نافياً كغيره</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7305468_3381743652"/>
      <w:bookmarkStart w:id="1196" w:name="_Toc455"/>
      <w:bookmarkEnd w:id="1195"/>
      <w:r>
        <w:rPr>
          <w:rtl w:val="true"/>
        </w:rPr>
        <w:t>و إيضاح مقصوده رهن الكلام في موضعين</w:t>
      </w:r>
      <w:r>
        <w:rPr>
          <w:rtl w:val="true"/>
        </w:rPr>
        <w:t>:</w:t>
      </w:r>
      <w:bookmarkEnd w:id="1196"/>
    </w:p>
    <w:p>
      <w:pPr>
        <w:pStyle w:val="Heading6"/>
        <w:numPr>
          <w:ilvl w:val="5"/>
          <w:numId w:val="1"/>
        </w:numPr>
        <w:rPr/>
      </w:pPr>
      <w:bookmarkStart w:id="1197" w:name="__RefHeading___Toc7305470_3381743652"/>
      <w:bookmarkStart w:id="1198" w:name="_Toc456"/>
      <w:bookmarkEnd w:id="1197"/>
      <w:r>
        <w:rPr>
          <w:rtl w:val="true"/>
        </w:rPr>
        <w:t>الأوّل</w:t>
      </w:r>
      <w:r>
        <w:rPr>
          <w:rtl w:val="true"/>
        </w:rPr>
        <w:t xml:space="preserve">: </w:t>
      </w:r>
      <w:r>
        <w:rPr>
          <w:rtl w:val="true"/>
        </w:rPr>
        <w:t>ما هو المراد من القيد المقسِّم و المقارن؟</w:t>
      </w:r>
      <w:bookmarkEnd w:id="1198"/>
    </w:p>
    <w:p>
      <w:pPr>
        <w:pStyle w:val="BookText"/>
        <w:rPr/>
      </w:pPr>
      <w:r>
        <w:rPr>
          <w:rFonts w:ascii="Amiri" w:hAnsi="Amiri" w:eastAsia="Amiri" w:cs="Amiri"/>
          <w:color w:val="111111"/>
          <w:sz w:val="28"/>
          <w:sz w:val="28"/>
          <w:szCs w:val="28"/>
          <w:rtl w:val="true"/>
          <w:lang w:bidi="ar-SA"/>
        </w:rPr>
        <w:t>إذا كان القيد قائماً بالموضوع، مقسِّماً له بالذات أو حسب الوصف إلى قسمين، كتقسيم القرشية و النبطية، و المرأةَ إلى قسمين،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قرشية و غير قرشية، نبطية و غير نبطية، فهذا ما نسمّيه بالقيد المقسِّم، و يشترط فيه قيامه بالموضوع على نحو يجعل الموضوع قسمين</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القيد جوهراً قائماً بنفسه، كوجود زيد، أو عرضاً قائماً بموضوع آخر لا بموضوع العام فهذا ما نسمّيه بالقيد المقارن، و ذلك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عند وجود زيد،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عند مجيء زيد، فوجود زيد جوهر قائم بنفسه لا بالعارض، كما أنّ مجيئه قائم بزيد لا بموضوع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لأجل ذلك يعدّ الكلّ من المقارنات الاتفاقية أو الدائمية</w:t>
      </w:r>
      <w:r>
        <w:rPr>
          <w:rFonts w:eastAsia="Amiri" w:cs="Amiri" w:ascii="Amiri" w:hAnsi="Amiri"/>
          <w:color w:val="111111"/>
          <w:sz w:val="28"/>
          <w:szCs w:val="28"/>
          <w:rtl w:val="true"/>
          <w:lang w:bidi="ar-SA"/>
        </w:rPr>
        <w:t xml:space="preserve">. </w:t>
      </w:r>
      <w:bookmarkStart w:id="1199" w:name="pg14356_187125"/>
    </w:p>
    <w:p>
      <w:pPr>
        <w:pStyle w:val="Heading6"/>
        <w:numPr>
          <w:ilvl w:val="5"/>
          <w:numId w:val="1"/>
        </w:numPr>
        <w:rPr/>
      </w:pPr>
      <w:bookmarkStart w:id="1200" w:name="__RefHeading___Toc7305472_3381743652"/>
      <w:bookmarkStart w:id="1201" w:name="_Toc457"/>
      <w:bookmarkEnd w:id="1199"/>
      <w:bookmarkEnd w:id="1200"/>
      <w:r>
        <w:rPr>
          <w:rtl w:val="true"/>
        </w:rPr>
        <w:t>الثاني</w:t>
      </w:r>
      <w:r>
        <w:rPr>
          <w:rtl w:val="true"/>
        </w:rPr>
        <w:t xml:space="preserve">: </w:t>
      </w:r>
      <w:r>
        <w:rPr>
          <w:rtl w:val="true"/>
        </w:rPr>
        <w:t>ما هو الوجه في التفريق بين المقسِّم و المقارن؟</w:t>
      </w:r>
      <w:bookmarkEnd w:id="1201"/>
    </w:p>
    <w:p>
      <w:pPr>
        <w:pStyle w:val="BookText"/>
        <w:rPr/>
      </w:pPr>
      <w:r>
        <w:rPr>
          <w:rFonts w:ascii="Amiri" w:hAnsi="Amiri" w:eastAsia="Amiri" w:cs="Amiri"/>
          <w:color w:val="111111"/>
          <w:sz w:val="28"/>
          <w:sz w:val="28"/>
          <w:szCs w:val="28"/>
          <w:rtl w:val="true"/>
          <w:lang w:bidi="ar-SA"/>
        </w:rPr>
        <w:t>هذا هو المقام الثاني الذي يريد المحقّق النائيني بيان وجه التفريق بين نوعي القيدين، و حاصل ما أفاده هو انّه إذا كان القيد وصفاً للموضوع، قائماً به قياماً ذاتياً كالقرشية، أو عرضياً كالفسق، يكون الموضوع موصوفاً بالقيد، وجوداً و عدماً كقولنا المرأة غير القرشية ترى الدم إلى ستين، و المرأة غير القرشية ترى الدم إلى 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الموصوف لم يتعلّق به اليقين، فانّ المرأة إمّا تتولد قرشية أو غير قرشية، فليس هنا قضية متيقّنة و قضية مشكوكة، بل هي مشكوكة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استصحاب العدم المحمولي، أي عدم القرشية من دون مضاف إلى مرأة معيّنة، لا يثبت أنّ هذه المرأة غير 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بخلاف ما إذا كان القيد جوهراً مستقلاً قائماً بنفسه أو عرضاً لكن غير قائم بموضوع القضية، فانّ الجزء الثاني بحكم انّه جوهر أو قائم بغير موضوع القضية لا يقع وصفاً للموضوع، و ليس لها شأن سوى اجتماعهما في عمود الزمان، فمجرّد إحراز اجتماعهما في فترة من الزمان يكفي في ترتّب الأثر، سواء أ كان الإحراز بالوجدان أم بالأصل</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فرّع على ما ذكره الفرع التالي و هو انّه إذا تلفت العين تحت يد إنسان غير مالك، و شكّ في أنّ يده هل كانت يد ضمان أو يد أمان، فقد ذهب المشهور إلى الضمان، و ما هذا إلاّ لأجل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إذن 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أُخذ جزءاً مقارناً للاستيلاء لا واصفاً له، فعندئذ إذا أحرز الاستيلاء بالوجدان و عدم الإذن بأصل العدم الأزلي، يثبت كون اليد عادية، و ذلك لأنّ إذن المالك ليس وصفاً للاستيلاء بل مجرّد </w:t>
      </w:r>
    </w:p>
    <w:p>
      <w:pPr>
        <w:pStyle w:val="BookText"/>
        <w:rPr/>
      </w:pPr>
      <w:r>
        <w:rPr>
          <w:rFonts w:ascii="Amiri" w:hAnsi="Amiri" w:eastAsia="Amiri" w:cs="Amiri"/>
          <w:color w:val="111111"/>
          <w:sz w:val="28"/>
          <w:sz w:val="28"/>
          <w:szCs w:val="28"/>
          <w:rtl w:val="true"/>
          <w:lang w:bidi="ar-SA"/>
        </w:rPr>
        <w:t>اجتماعهما في عمود الزمان كاف في الحكم بالزمان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ذكره في القيود المقسمة أمر لا غبار عليه، إنّما الكلام في القيود المقارنة حيث زعم انّه يجوز أخذ شيئين مختلفين موضوعاً لحكم واحد و إن لم يكن بينهما رابط، و هذا شيء لا يساعده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وحدة الحكم كاشفة عن وحدة الموضوع، و وحدة الموضوع رهن وجود رابط بين الجزءين حتّى يجعله موضوعاً واحداً و مركّباً بأن تصلح للوقوع موضوعاً لحكم واحد، و عندئذ يكون الجزء الثاني وصفاً للأوّل و يكون الموضوع للضمان هو الاستيلاء الموصوف بعدم إذن المالك، و إلاّ فالشيئان المختلفان الفاقدان للوحدة و الربط كيف يمكن أن يقعا موضوعاً لحكم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مثّله من ذهاب المشهور إلى الضمان فلا يدلّ على ما يتوخّاه لاحتمال انّ ذهابهم إليه رهن أحد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النصّ في المسألة، و قد كان سيّد مشايخنا المحقّق البروجردي معتمداً عليه كما مرّ</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ذكرناه سابقاً من أنّه إذا كان الحكم الأوّلي للموضوع هو الحرمة أو الفساد أو الضمان فيتمسّك به في الموارد المشكوكة إلاّ أن يدلّ عليه دليل</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اختاره المحقّق النائيني من جريان الأصل في القيود المقارنة دون المقسّمة مبني على إنكار لزوم الوحدة في الموضوع و لو وحدة عرفية فعندئذ يمكن إحراز أحد الجزءين بالوجدان و الآخر بالأصل، و لكنّك عرفت أنّ الحكم و الإرادة الواحدة يطلبان لأنفسهما شيئاً واحداً و وحدة حرفية فانية في الموضوع</w:t>
      </w:r>
      <w:r>
        <w:rPr>
          <w:rFonts w:eastAsia="Amiri" w:cs="Amiri" w:ascii="Amiri" w:hAnsi="Amiri"/>
          <w:color w:val="111111"/>
          <w:sz w:val="28"/>
          <w:szCs w:val="28"/>
          <w:rtl w:val="true"/>
          <w:lang w:bidi="ar-SA"/>
        </w:rPr>
        <w:t xml:space="preserve">. </w:t>
      </w:r>
      <w:bookmarkStart w:id="1202" w:name="pg14356_187127"/>
    </w:p>
    <w:p>
      <w:pPr>
        <w:pStyle w:val="Heading4"/>
        <w:numPr>
          <w:ilvl w:val="3"/>
          <w:numId w:val="1"/>
        </w:numPr>
        <w:rPr/>
      </w:pPr>
      <w:bookmarkStart w:id="1203" w:name="__RefHeading___Toc7305474_3381743652"/>
      <w:bookmarkStart w:id="1204" w:name="_Toc458"/>
      <w:bookmarkEnd w:id="1202"/>
      <w:bookmarkEnd w:id="1203"/>
      <w:r>
        <w:rPr>
          <w:rtl w:val="true"/>
        </w:rPr>
        <w:t>إحياء نظرية المحقّق الخراساني</w:t>
      </w:r>
      <w:bookmarkEnd w:id="1204"/>
    </w:p>
    <w:p>
      <w:pPr>
        <w:pStyle w:val="BookText"/>
        <w:rPr/>
      </w:pPr>
      <w:r>
        <w:rPr>
          <w:rFonts w:ascii="Amiri" w:hAnsi="Amiri" w:eastAsia="Amiri" w:cs="Amiri"/>
          <w:color w:val="111111"/>
          <w:sz w:val="28"/>
          <w:sz w:val="28"/>
          <w:szCs w:val="28"/>
          <w:rtl w:val="true"/>
          <w:lang w:bidi="ar-SA"/>
        </w:rPr>
        <w:t>إنّ المحقّق الخوئي لمّا لم يرتض تفصيل أُستاذه بين القيد المقسِّم و القيد المقارن ذهب إلى حجّية استصحاب العدم الأزلي وفاقاً للمحقّق الخراساني لكن ببيان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أفاده مبنيّ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وجود العرض بذاته محتاج إلى وجود موضوعه، لأنّه من لوازم وجود العرض، و قد عُرِّف العرض بأنّه ذو ماهية تامّة قائمة في الخارج بموضوعه، و هذا ما يعبر عنه على وجه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العرض ماهية في نفسه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عدم العرض ليس له هذا الشأن، فهو غير محتاج إلى وجود الموضوع،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العدالة لمّا كانت عرضاً يتوقّف وجودها على وجود الموصوف بها، و أمّا عدم العدالة فلا يحتاج إلى وجود الموضوع، و لذلك لو وجد زيد و صار غير عادل فنفس العدم الأزلي مستمر إلى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حال القرشية فهي عرض قائم بالمرأة فلا يعقل وجود القرشية بلا وجود موضوعها، و أمّا عدم القرشية فهي غنيّة عن الموضوع، فلو أُشير إلى ماهية المرأة و قيل انّها لم تكن قرشية قبل ان تتولد، فهذا العدم باق على حاله بعد ولادتها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أنّ المرأة تحيض إلى خمسين إلاّ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فهاهنا قضيتان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الاستثنائية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القرشية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المستثنى منها،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تحيض إلى خمسين</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شكّ أنّ القرشية في الجملة الأُولى عرض لا يفارق الموضوع فلا تتحقّق القرشية في الخارج إلاّ بوجود المرأة، و لأجل ذلك لا يصحّ استصحاب القرشية، إذ </w:t>
      </w:r>
    </w:p>
    <w:p>
      <w:pPr>
        <w:pStyle w:val="BookText"/>
        <w:rPr/>
      </w:pPr>
      <w:r>
        <w:rPr>
          <w:rFonts w:ascii="Amiri" w:hAnsi="Amiri" w:eastAsia="Amiri" w:cs="Amiri"/>
          <w:color w:val="111111"/>
          <w:sz w:val="28"/>
          <w:sz w:val="28"/>
          <w:szCs w:val="28"/>
          <w:rtl w:val="true"/>
          <w:lang w:bidi="ar-SA"/>
        </w:rPr>
        <w:t>لا حالة سابقة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الجملة الثانية فبما انّ المأخوذ فيها عدم القرشية فلا يستدعي أخذ عدم القرشية فيها على نحو مفاد ليس الناقصة، أي وصفاً للمرأة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مرأة لا تكون متّصفة بالقرشية تحيض إلى خمسين، بل يكفي أخذ عدم القرشية بنحو ليس التامة بأن يكون شيئاً مقارناً للمرأة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مرأة، لا تكون متّصفة بالقرشية تحيض إلى خمسين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الباقي تحت العام هو الثاني لا الأوّل، وجهه واضح أنّ العدم غني عن الموضوع فلا وجه لأخذ عدم القرشية وصفاً للمرأة، بل يكفي صدق عدم القرشية في ظرف تحقّق المرأة دون أن يكون وصفاً لها، فعندئذ إذا شكّ في قرشية المرأة و عدمها فالموضوع مركّب من جزءين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بقرشية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 محرز بالوجدان و الآخر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هو حاصل ما أفاده المحقّق في هامش أجود التقريرات</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و لأجل أن نذكر شيئاً من عبارات المحقّق المذكور في الجزء الأوّل، نقول</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الثابت للموضوع المقيّد بما هو مفاد كان الناقصة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القرشية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يكون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المستثنى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بعدم اتصاف الذات بذلك القيد على نحو مفاد السالبة المحصلة من دون أن يتوقّف ذلك باتّصاف الذات بعدم ذلك القيد على نحو مفاد ليس الناقصة، فمفاد 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تحيض إلى </w:t>
      </w:r>
    </w:p>
    <w:p>
      <w:pPr>
        <w:pStyle w:val="BookText"/>
        <w:rPr/>
      </w:pPr>
      <w:r>
        <w:rPr>
          <w:rFonts w:ascii="Amiri" w:hAnsi="Amiri" w:eastAsia="Amiri" w:cs="Amiri"/>
          <w:color w:val="111111"/>
          <w:sz w:val="28"/>
          <w:sz w:val="28"/>
          <w:szCs w:val="28"/>
          <w:rtl w:val="true"/>
          <w:lang w:bidi="ar-SA"/>
        </w:rPr>
        <w:t xml:space="preserve">خمسين إلاّ القرشية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هو اعتبار وصف القرشية على وجه النعتية في موضوع الحكم بتحيض القرشية بعد الخمسين إلاّ أنّه لا يستدعي أخذ عدم القرشية في موضوع عدم الحكم بتحيض المرأة بعد الخمسين على وجه النعتية، أعني به مفاد ليس الناقصة و إنّما يستدعي أخذ عدم القرشية في ذلك الموضوع على نحو السالبة المحصلة، و كلّ مرأة لا تكون متصفة بالقرشية باقية تحت العام و إنّما الخارج خصوص المتصفة بالقرشية لا انّ الباقي بعد التخصيص هو المرأة المتصفة بعدم القرشية، فإذا شكّ في كون المرأة قرشية لم يكن مانع من التمسّك باستصحاب عدم القرشية الثابت لها قبل ولادة تلك المرأة في الخارج</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يلاحظ عليه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أفاده في جانب المستثنى في غاية المتانة، إنّما الكلام فيما أفاده في جانب المستثنى منه، فقد سبق منّا انّ الباقي تحت العام يتصوّر على أنحاء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الموجبة المعدولة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غير القرشية تحيض إلى خمسين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الموجبة السالبة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التي هي ليست بقرشية تحيض إلى خمسين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السالبة المحصلة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المرأة قرشية تحيض إلى خمسين</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الأوّلان رهن وجود الموضوع، إذ الوصف الوجودي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القرشية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ليست بقرشية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ينفك عن وجود الموصوف بخلاف الثالث فانّه يصدق حتّى مع عدم الموضوع و لكن الكلام في تشخيص انّ الباقي تحت العام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الموضوع من قبيل الأوّلين فلا يجري الاستصحاب لعدم الحالة </w:t>
      </w:r>
      <w:bookmarkStart w:id="1205" w:name="pg14356_187130"/>
    </w:p>
    <w:p>
      <w:pPr>
        <w:pStyle w:val="BookText"/>
        <w:rPr/>
      </w:pPr>
      <w:bookmarkEnd w:id="1205"/>
      <w:r>
        <w:rPr>
          <w:rFonts w:ascii="Amiri" w:hAnsi="Amiri" w:eastAsia="Amiri" w:cs="Amiri"/>
          <w:color w:val="111111"/>
          <w:sz w:val="28"/>
          <w:sz w:val="28"/>
          <w:szCs w:val="28"/>
          <w:rtl w:val="true"/>
          <w:lang w:bidi="ar-SA"/>
        </w:rPr>
        <w:t>السابقة، و إن كان من قبيل الثالث يجري الاستصحاب لوجودها إلاّ أنّ المحمول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أو تحيض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قرينة على أنّ الباقي تحت العام هو القسمان الأوّلان ضرورة انّ الحكم الإيجابي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أو تحيض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وجود الموضوع، قال التفتازاني في منطق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الموجبة من وجود الموضوع إمّا محقّقاً و هي الخارجية، أو مقدراً فهي الحقيقية، أو ذهنياً فهي الذهنية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نحن نستكشف من الحكم على أنّ الموضوع هو القسم الأوّل و الثاني اللذان لا يصدقان إلاّ على المرأة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 ما أوردناه على أُستاذه، لأنّ مرجع ما ذكره هو تركّب الموضوع من أمر وجودي محرز بالوجدان و هو المرأة، و أمر عدمي يحرز بالأصل دون أن يكون بينهما صلة بجعل الثاني وصفاً للأوّل، و كأنّ الموضوع في لسان الشرع كالآتي في لساننا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قرشية تحيض إلى 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وحدة الحكم كاشفة عن وحدة الموضوع، فلا بدّ أن يكون في الموضوع وحدة آلية يجعل الشيئين الأجنبيين أمراً واحداً، و عندئذ ترجع السالبة المحصّلة إلى موجبة سالبة 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المرأة التي هي لم تكن قرشية تحيض إلى خمسين، و من الواضح انّها تفقد الحالة السابقة</w:t>
      </w:r>
      <w:r>
        <w:rPr>
          <w:rFonts w:eastAsia="Amiri" w:cs="Amiri" w:ascii="Amiri" w:hAnsi="Amiri"/>
          <w:color w:val="111111"/>
          <w:sz w:val="28"/>
          <w:szCs w:val="28"/>
          <w:rtl w:val="true"/>
          <w:lang w:bidi="ar-SA"/>
        </w:rPr>
        <w:t>.</w:t>
      </w:r>
    </w:p>
    <w:p>
      <w:pPr>
        <w:pStyle w:val="Heading4"/>
        <w:numPr>
          <w:ilvl w:val="3"/>
          <w:numId w:val="1"/>
        </w:numPr>
        <w:rPr/>
      </w:pPr>
      <w:bookmarkStart w:id="1206" w:name="__RefHeading___Toc7305476_3381743652"/>
      <w:bookmarkStart w:id="1207" w:name="_Toc459"/>
      <w:bookmarkEnd w:id="1206"/>
      <w:r>
        <w:rPr>
          <w:rtl w:val="true"/>
        </w:rPr>
        <w:t>ما هو المرجع إذا لم يكن الأصل العدمي حجّة؟</w:t>
      </w:r>
      <w:bookmarkEnd w:id="1207"/>
    </w:p>
    <w:p>
      <w:pPr>
        <w:pStyle w:val="BookText"/>
        <w:rPr/>
      </w:pPr>
      <w:r>
        <w:rPr>
          <w:rFonts w:ascii="Amiri" w:hAnsi="Amiri" w:eastAsia="Amiri" w:cs="Amiri"/>
          <w:color w:val="111111"/>
          <w:sz w:val="28"/>
          <w:sz w:val="28"/>
          <w:szCs w:val="28"/>
          <w:rtl w:val="true"/>
          <w:lang w:bidi="ar-SA"/>
        </w:rPr>
        <w:t>قد عرفت أنّ العام لا يحتجّ به في الشبهة المصداقية للمخصص، لأنّ الموضوع مركّب من عنوان العام و عدم عنوان المخصص و الجزء الأوّل و إن كان محرزاً لكن الثاني ليس بمحرز</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أصل العدم الأزلي لا يحتجّ به على بقاء المشتبه تحت العام للوجوه </w:t>
      </w:r>
    </w:p>
    <w:p>
      <w:pPr>
        <w:pStyle w:val="BookText"/>
        <w:rPr/>
      </w:pPr>
      <w:r>
        <w:rPr>
          <w:rFonts w:ascii="Amiri" w:hAnsi="Amiri" w:eastAsia="Amiri" w:cs="Amiri"/>
          <w:color w:val="111111"/>
          <w:sz w:val="28"/>
          <w:sz w:val="28"/>
          <w:szCs w:val="28"/>
          <w:rtl w:val="true"/>
          <w:lang w:bidi="ar-SA"/>
        </w:rPr>
        <w:t>التي 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تعيين المرجع بعد قصور اليد عن العام و الأصل العدمي،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المرجع هو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الاستصحاب و التخيير و الاشتغال و البراءة و هي تختلف حسب اختلاف الموارد، و إليك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أعني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أقام إنسان في بلد متردداً في الإقامة و شكّ في أنّ هذا اليوم يوم الثلاثين أو يوم التاسع و العشرين، فعلى الأوّل يتمّ بعد انقضاء ذلك اليوم و على الثاني يقصر يوم الشكّ و بعده ثمّ يتم، فالمرجع هو استصحاب وجوب القصر إلى أن يحصل اليقين بأنّه أقام في ذلك البلد ثلاثين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أعني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إكرام فسّاق العلماء، فالفرد المشتبه بما انّه يحتمل بقاؤه تحت العام يجب إكرامه كما يحتمل خروجه عن تحته و دخوله تحت المخصص فيحرم، فيدور الأمر بين المحذورين فيتخير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أعني الاشتغال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كالمرأة المرددة بين القرشية و غيرها، فإذا رأت الدم بعد الخمسين فيتردد أمر الدم بين كونه دم استحاضة أو دم حيض فتجمع بين الوظيفتين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الرابع أعني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إكرام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إكرام فسّاق العلماء، فالفرد المشتبه مردد بين وجوب الإكرام و عدمه فتجري البراءة</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 الكلام في إحراز حال المشتبه في الشبهة المصداقية للمخصص</w:t>
      </w:r>
      <w:r>
        <w:rPr>
          <w:rFonts w:eastAsia="Amiri" w:cs="Amiri" w:ascii="Amiri" w:hAnsi="Amiri"/>
          <w:color w:val="111111"/>
          <w:sz w:val="28"/>
          <w:szCs w:val="28"/>
          <w:rtl w:val="true"/>
          <w:lang w:bidi="ar-SA"/>
        </w:rPr>
        <w:t xml:space="preserve">. </w:t>
      </w:r>
      <w:bookmarkStart w:id="1208" w:name="pg14356_187132"/>
    </w:p>
    <w:p>
      <w:pPr>
        <w:pStyle w:val="Heading3"/>
        <w:numPr>
          <w:ilvl w:val="2"/>
          <w:numId w:val="1"/>
        </w:numPr>
        <w:rPr/>
      </w:pPr>
      <w:bookmarkStart w:id="1209" w:name="__RefHeading___Toc7305478_3381743652"/>
      <w:bookmarkStart w:id="1210" w:name="_Toc460"/>
      <w:bookmarkEnd w:id="1208"/>
      <w:bookmarkEnd w:id="1209"/>
      <w:r>
        <w:rPr>
          <w:rtl w:val="true"/>
        </w:rPr>
        <w:t>الفصل السابع إحراز حال الفرد المشتبه بالعنوان الثانوي</w:t>
      </w:r>
      <w:bookmarkEnd w:id="1210"/>
    </w:p>
    <w:p>
      <w:pPr>
        <w:pStyle w:val="Heading4"/>
        <w:numPr>
          <w:ilvl w:val="3"/>
          <w:numId w:val="1"/>
        </w:numPr>
        <w:rPr/>
      </w:pPr>
      <w:bookmarkStart w:id="1211" w:name="__RefHeading___Toc7305480_3381743652"/>
      <w:bookmarkStart w:id="1212" w:name="_Toc461"/>
      <w:bookmarkEnd w:id="1211"/>
      <w:r>
        <w:rPr>
          <w:rtl w:val="true"/>
        </w:rPr>
        <w:t>اشارة</w:t>
      </w:r>
      <w:bookmarkEnd w:id="1212"/>
    </w:p>
    <w:p>
      <w:pPr>
        <w:pStyle w:val="BookText"/>
        <w:rPr/>
      </w:pPr>
      <w:r>
        <w:rPr>
          <w:rFonts w:ascii="Amiri" w:hAnsi="Amiri" w:eastAsia="Amiri" w:cs="Amiri"/>
          <w:color w:val="111111"/>
          <w:sz w:val="28"/>
          <w:sz w:val="28"/>
          <w:szCs w:val="28"/>
          <w:rtl w:val="true"/>
          <w:lang w:bidi="ar-SA"/>
        </w:rPr>
        <w:t>كان البحث في الفصل السابق مركّزاً على إحراز حال الفرد، الذي اشتبه حاله لأجل تخصيص العام فدار أمر الفرد بين كونه باقياً تحت العام أو خارجاً عنه،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 العلماء، و اشتبه حال العالم من حيث الفسق و العدالة، فشكّ في بقائه تحت العام و عدمه فلا يُحرز حال الفرد لا بالعام و لا بالأصل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هذا الفصل فقد استظهر المحقّق الخراساني بأنّ الاشتباه رهن غير التخصيص، بل لأجل وجود الإجمال في الدليل العام، فهل يمكن تنقيح حاله من حيث دخوله تحت الدليل بالعنوان الثانوي أو لا؟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 أَيْدِيَكُمْ إِلَى الْمَرافِقِ </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قلنا بظهور الآية أو انصرافها إلى الغَسْل بالماء المطلق فلا شكّ في بطلان الوضوء بالماء المضاف، و أمّا لو قلنا بإجمال الآية و إمكان سعتها للماء </w:t>
      </w:r>
    </w:p>
    <w:p>
      <w:pPr>
        <w:pStyle w:val="BookText"/>
        <w:rPr/>
      </w:pPr>
      <w:r>
        <w:rPr>
          <w:rFonts w:ascii="Amiri" w:hAnsi="Amiri" w:eastAsia="Amiri" w:cs="Amiri"/>
          <w:color w:val="111111"/>
          <w:sz w:val="28"/>
          <w:sz w:val="28"/>
          <w:szCs w:val="28"/>
          <w:rtl w:val="true"/>
          <w:lang w:bidi="ar-SA"/>
        </w:rPr>
        <w:t>المطلق و المضاف، فيقع الكلام في إمكان تنقيح حال الفرد المشتبه، أي التوضّؤ بالماء المضاف بالعنوان الثانوي، و بالتالي استنتاج دخوله في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إذا نذر أحد أن يتوضأ بالماء المضاف إذا رزقه اللّه الولد، و قد رُزق الولد، فبما انّ العمل بالنذر واجب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لْيُوفُوا نُذُورَهُمْ </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فيمكن استكشاف شمول آية الوضوء للتوضّؤ بالماء المضاف من وجوب الوفاء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بالماء المضاف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التوضّؤ بالماء المضاف واجب وفاءً للنذر، و كلّما وجب الوفاء به حسب النذر يكون صحيحاً، لأنّه لو لا الصحّة لما وجب الوفاء، فينتج انّ الإتيان بهذا الوضوء صحيح، و من الواضح انّ الشكّ نبع من إجمال الآية لا من تخصيص العام بمخصص شكّ في كون فرد من أفراد العام من أفراد المخصص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حاول نقد هذا الإحراز بتقسيم العناوين الثانوية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أخذ في متعلّقه حكم من الأحكام الخمسة المتعلّقة بالأفعال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لم يؤخذ فيه أحد الأحكام المتعلّقة بالأفعال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 القسم الثاني كان خارجاً عن غرضه طرحه على صعيد البحث بعد ما فرغ من القسم الأوّل، و نحن نقدّم البحث في الثاني على الأوّل، لأنّه بحث استطرادي إذا وقع في أثناء البحث يوجب التعقيد، فنقول</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الضرر و الحرج و الإكراه من العناوين الثانوية التي لم يؤخذ في متعلقه حكم من الأحكام المتعلّقة بأفعال المكلّفين، فهو يفارق القسم الأوّل الذي أخذ في متعلّقه الرجحان أو الإباحة، و لأجل ذلك لو شكّ في جواز الصوم لأجل الضرر يقدّم على حكم العنوان الأوّلي بلا تردد، بخلاف القسم الأوّل فلا يقدّم إلاّ إذا </w:t>
      </w:r>
    </w:p>
    <w:p>
      <w:pPr>
        <w:pStyle w:val="BookText"/>
        <w:rPr/>
      </w:pPr>
      <w:r>
        <w:rPr>
          <w:rFonts w:ascii="Amiri" w:hAnsi="Amiri" w:eastAsia="Amiri" w:cs="Amiri"/>
          <w:color w:val="111111"/>
          <w:sz w:val="28"/>
          <w:sz w:val="28"/>
          <w:szCs w:val="28"/>
          <w:rtl w:val="true"/>
          <w:lang w:bidi="ar-SA"/>
        </w:rPr>
        <w:t>أحرز فيه الرجحان و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أشار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بالتمسّك به في جوازه بعد إحراز التمكّن منه و القدرة عليه</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لم يؤخذ في موضوعاتها حكم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كالضرر و الحرج و الإكراه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شكّ في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الفرد كشرب الخمر عن إكراه و الإفطار لكون الصوم ضررياً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 التمسّك بعموم دليل العناوين الثانوية في الحكم بجوازها </w:t>
      </w:r>
      <w:r>
        <w:rPr>
          <w:rFonts w:eastAsia="Amiri" w:cs="Amiri" w:ascii="Amiri" w:hAnsi="Amiri"/>
          <w:color w:val="111111"/>
          <w:sz w:val="28"/>
          <w:szCs w:val="28"/>
          <w:rtl w:val="true"/>
          <w:lang w:bidi="ar-SA"/>
        </w:rPr>
        <w:t>«.</w:t>
      </w:r>
      <w:r>
        <w:rPr>
          <w:rStyle w:val="FootnoteAnchor"/>
          <w:rtl w:val="true"/>
        </w:rPr>
        <w:footnoteReference w:id="373"/>
      </w:r>
    </w:p>
    <w:p>
      <w:pPr>
        <w:pStyle w:val="BookText"/>
        <w:rPr/>
      </w:pPr>
      <w:r>
        <w:rPr>
          <w:rFonts w:ascii="Amiri" w:hAnsi="Amiri" w:eastAsia="Amiri" w:cs="Amiri"/>
          <w:color w:val="111111"/>
          <w:sz w:val="28"/>
          <w:sz w:val="28"/>
          <w:szCs w:val="28"/>
          <w:rtl w:val="true"/>
          <w:lang w:bidi="ar-SA"/>
        </w:rPr>
        <w:t>و الحاصل فرق بين النذر و طاعة الوالد، و بين الحرج و الضرر و الإكراه، فلا يتمسّك بالقسم الأوّل إلاّ بعد إحراز الحكم المأخوذ في متعلّق النذر من الطاعة و الإباحة، بخلاف الحرج و الضرر و الإكراه فيتمسك بهما في جواز الفرد المشكوك بلا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للتمسّك بالقسم الثاني من العناوين الثانوية شرط آخر، و قد أشار إليه المحقّق الخراساني في المقطع الثاني من كلامه، 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التمسك بالحرج و الضرر و الإكراه لإثبات جواز الفرد المشكوك مشروط بكون الملاك فيها أقوى من ملاك الحكم الأوّلي، حيث إنّ الخمر و الصيام و الوضوء، محكومة بالعنوان الأوّلي بالحرمة أو الوجوب، و بالعنوان الثانوي بالجواز، فلا يقدّم العنوان الثانوي إلاّ إذا كان الملاك في جانب العنوان الثانوي أقوى، و إلاّ لم يؤثر أحد العنوانين فيرجع إلى الأُصول كالإباحة</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ما أفاده في المقام مغاير لما سيأتي منه في البحث عن 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ضرر و لا ضرار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تقدّم العناوين الثانوية على العناوين الأوّلية مطلقاً من غير فرق </w:t>
      </w:r>
    </w:p>
    <w:p>
      <w:pPr>
        <w:pStyle w:val="BookText"/>
        <w:rPr/>
      </w:pPr>
      <w:r>
        <w:rPr>
          <w:rFonts w:ascii="Amiri" w:hAnsi="Amiri" w:eastAsia="Amiri" w:cs="Amiri"/>
          <w:color w:val="111111"/>
          <w:sz w:val="28"/>
          <w:sz w:val="28"/>
          <w:szCs w:val="28"/>
          <w:rtl w:val="true"/>
          <w:lang w:bidi="ar-SA"/>
        </w:rPr>
        <w:t>بين الأقسام و انّ التقديم مطلقاً مقتضى التوفيق العرفي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فهذا القسم غير مقصود بالذات في هذا 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العناوين الثانوية التي أخذت في متعلّقها حكم من الأحكام المتعلّقة بأفعال المكلّفين بعناوينها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كاستحباب الفعل و وجوبه المأخوذين في متعلق وجوب الوفاء بالنذر، و كالاباحة المأخوذة في متعلق إطاعة أمر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فصحّة النذر فرع وجود الرجحان في المتعلّق فيختص بالمستحب و الواجب، و لزوم طاعة الوالد فرع عدم كون المأمور به معصية للّه فيختص بغير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يدلّ على انّ لزوم الرجحان في متعلّق النذر ما رواه أبو الصلاح الكناني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شيء هو طاعة يجعله الرجل عليه إلاّ ينبغي له أن يفي به، و ليس من رجل جعل للّه عليه مشياً في معصية اللّه إلاّ أنّه ينبغي له أن يترك إلى طاعة اللّه </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على ضوء ذلك فيجب الوفاء بالنذر الذي ثبت وجوب الرجحان في متعلّقه، كما أنّ وجوب طاعة الوالد مقيد بما إذا كان متعلّقه أمراً مباحاً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فنقول</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نذر أن يتوضّأ بماء مضاف فلا ينعقد النذر إلاّ إذا أحرز استحباب الوضوء أو وجوبه بالماء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رجحان الوضوء، و إلاّ فلا يجوز التمسّك بإطلاق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لْيُوفُوا نُذُورَهُمْ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مخصّص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فيكون التمسّك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لْيُوفُوا نُذُورَهُمْ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إثبات صحّة الوضوء بالماء المضاف </w:t>
      </w:r>
    </w:p>
    <w:p>
      <w:pPr>
        <w:pStyle w:val="BookText"/>
        <w:rPr/>
      </w:pPr>
      <w:r>
        <w:rPr>
          <w:rFonts w:ascii="Amiri" w:hAnsi="Amiri" w:eastAsia="Amiri" w:cs="Amiri"/>
          <w:color w:val="111111"/>
          <w:sz w:val="28"/>
          <w:sz w:val="28"/>
          <w:szCs w:val="28"/>
          <w:rtl w:val="true"/>
          <w:lang w:bidi="ar-SA"/>
        </w:rPr>
        <w:t>من قبيل التمسّك بالعام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لْيُوفُوا نُذُورَهُمْ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الشبهة المصداقية للمخصص حيث يحتمل أن يكون الوضوء بالماء المضاف طاعة أو غير طاعة، و قد مرّ 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القائل أيّد كلامه بما ورد من صحّة الصيام في السفر و الإحرام قبل الميقات إذا نذر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روى الشيخ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بندار مولى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نذرت أن أصوم كلّ يوم 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عليك صومه في سفر و لا مرض إلاّ أن تكون نويت ذلك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الشيخ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للّه عليه شكراً أن يحرم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فليحرم من الكوفة و ليفِ للّه بما قال </w:t>
      </w:r>
      <w:r>
        <w:rPr>
          <w:rFonts w:eastAsia="Amiri" w:cs="Amiri" w:ascii="Amiri" w:hAnsi="Amiri"/>
          <w:color w:val="111111"/>
          <w:sz w:val="28"/>
          <w:szCs w:val="28"/>
          <w:rtl w:val="true"/>
          <w:lang w:bidi="ar-SA"/>
        </w:rPr>
        <w:t>«.</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روى أيضاً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جعل للّه عليه أن يحرم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من الكوفة </w:t>
      </w:r>
      <w:r>
        <w:rPr>
          <w:rFonts w:eastAsia="Amiri" w:cs="Amiri" w:ascii="Amiri" w:hAnsi="Amiri"/>
          <w:color w:val="111111"/>
          <w:sz w:val="28"/>
          <w:szCs w:val="28"/>
          <w:rtl w:val="true"/>
          <w:lang w:bidi="ar-SA"/>
        </w:rPr>
        <w:t>«.</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روى أيضاً عن أبي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 عبداً أنعم اللّه عليه نعمة أو ابتلاه ببليّة فعافاه من تلك البليّة، فجعل على نفسه أن يحرم بخراسان، كان عليه أن يتم </w:t>
      </w:r>
      <w:r>
        <w:rPr>
          <w:rFonts w:eastAsia="Amiri" w:cs="Amiri" w:ascii="Amiri" w:hAnsi="Amiri"/>
          <w:color w:val="111111"/>
          <w:sz w:val="28"/>
          <w:szCs w:val="28"/>
          <w:rtl w:val="true"/>
          <w:lang w:bidi="ar-SA"/>
        </w:rPr>
        <w:t>«.</w:t>
      </w:r>
      <w:r>
        <w:rPr>
          <w:rStyle w:val="FootnoteAnchor"/>
          <w:rtl w:val="true"/>
        </w:rPr>
        <w:footnoteReference w:id="378"/>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الفرق بين المقيس و المقيس عليه، بأنّ الصيام في السفر، و الإحرام قبل الميقات، محكومان بالحرمة و يصيران جائزين بالنذر، فبالنذر، ينقلب الحرام إلى الجائز، و أمّا المقام فالمدعى هو استكشاف كون الوضوء بالماء </w:t>
      </w:r>
      <w:bookmarkStart w:id="1213" w:name="pg14356_187137"/>
    </w:p>
    <w:p>
      <w:pPr>
        <w:pStyle w:val="BookText"/>
        <w:rPr/>
      </w:pPr>
      <w:bookmarkEnd w:id="1213"/>
      <w:r>
        <w:rPr>
          <w:rFonts w:ascii="Amiri" w:hAnsi="Amiri" w:eastAsia="Amiri" w:cs="Amiri"/>
          <w:color w:val="111111"/>
          <w:sz w:val="28"/>
          <w:sz w:val="28"/>
          <w:szCs w:val="28"/>
          <w:rtl w:val="true"/>
          <w:lang w:bidi="ar-SA"/>
        </w:rPr>
        <w:t>المضاف، جائزاً قبل النذر و داخلاً تحت العام، فللنذر عندئذ دور الكشف، و في المقيس عليه، دور التقليب، و أين أحدهما من الآخر؟ ثمّ إنّ في المقيس عليه إشكالين</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7305482_3381743652"/>
      <w:bookmarkStart w:id="1215" w:name="_Toc462"/>
      <w:bookmarkEnd w:id="1214"/>
      <w:r>
        <w:rPr>
          <w:rtl w:val="true"/>
        </w:rPr>
        <w:t>الأوّل</w:t>
      </w:r>
      <w:r>
        <w:rPr>
          <w:rtl w:val="true"/>
        </w:rPr>
        <w:t xml:space="preserve">: </w:t>
      </w:r>
      <w:r>
        <w:rPr>
          <w:rtl w:val="true"/>
        </w:rPr>
        <w:t>اشتراط الرجحان في متعلّق النذر</w:t>
      </w:r>
      <w:bookmarkEnd w:id="1215"/>
    </w:p>
    <w:p>
      <w:pPr>
        <w:pStyle w:val="BookText"/>
        <w:rPr/>
      </w:pPr>
      <w:r>
        <w:rPr>
          <w:rFonts w:ascii="Amiri" w:hAnsi="Amiri" w:eastAsia="Amiri" w:cs="Amiri"/>
          <w:color w:val="111111"/>
          <w:sz w:val="28"/>
          <w:sz w:val="28"/>
          <w:szCs w:val="28"/>
          <w:rtl w:val="true"/>
          <w:lang w:bidi="ar-SA"/>
        </w:rPr>
        <w:t>يشترط في متعلّق النذر، وجود الرجحان قبل تعلّقه، و المفروض أنّه حرام قبله، فكيف تعلّق به النذر؟ و أجاب عنه المحقّق الخراساني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الروايات السابقة تكشف عن رجحان الصوم في السفر، و الميقات قبل الإحرام أمراً راجحاً بالذات، و إنّما لم يؤمر بهما استحباباً أو وجوباً لمانع يرتفع مع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بانّه كيف يمكن القول بكونهما راجحين بالذات و قد منع مانع عن الأمر بهما، مع تشبيه الإحرام قبل الميقات، بالصلاة قبل الوقت</w:t>
      </w:r>
      <w:r>
        <w:rPr>
          <w:rFonts w:eastAsia="Amiri" w:cs="Amiri" w:ascii="Amiri" w:hAnsi="Amiri"/>
          <w:color w:val="111111"/>
          <w:sz w:val="28"/>
          <w:szCs w:val="28"/>
          <w:rtl w:val="true"/>
          <w:lang w:bidi="ar-SA"/>
        </w:rPr>
        <w:t>.</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نصّاً بهذا المضمون و إنّما الوارد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زرارة،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لأحد أن يُحرم دون الوقت الذي وقّته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 المراد من الوقت، هو الميقات، أُطلق و أُريد منه المكان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أحرم دون الوقت فلا إحرام له </w:t>
      </w:r>
      <w:r>
        <w:rPr>
          <w:rFonts w:eastAsia="Amiri" w:cs="Amiri" w:ascii="Amiri" w:hAnsi="Amiri"/>
          <w:color w:val="111111"/>
          <w:sz w:val="28"/>
          <w:szCs w:val="28"/>
          <w:rtl w:val="true"/>
          <w:lang w:bidi="ar-SA"/>
        </w:rPr>
        <w:t>« .</w:t>
      </w:r>
      <w:r>
        <w:rPr>
          <w:rStyle w:val="FootnoteAnchor"/>
          <w:rtl w:val="true"/>
        </w:rPr>
        <w:footnoteReference w:id="381"/>
      </w:r>
      <w:r>
        <w:rPr>
          <w:rFonts w:ascii="Amiri" w:hAnsi="Amiri" w:eastAsia="Amiri" w:cs="Amiri"/>
          <w:color w:val="111111"/>
          <w:sz w:val="28"/>
          <w:sz w:val="28"/>
          <w:szCs w:val="28"/>
          <w:rtl w:val="true"/>
          <w:lang w:bidi="ar-SA"/>
        </w:rPr>
        <w:t xml:space="preserve">نعم شُبّه في بعض الروايات، بمن صلّى أربعاً في </w:t>
      </w:r>
    </w:p>
    <w:p>
      <w:pPr>
        <w:pStyle w:val="BookText"/>
        <w:rPr/>
      </w:pPr>
      <w:r>
        <w:rPr>
          <w:rFonts w:ascii="Amiri" w:hAnsi="Amiri" w:eastAsia="Amiri" w:cs="Amiri"/>
          <w:color w:val="111111"/>
          <w:sz w:val="28"/>
          <w:sz w:val="28"/>
          <w:szCs w:val="28"/>
          <w:rtl w:val="true"/>
          <w:lang w:bidi="ar-SA"/>
        </w:rPr>
        <w:t>السفر و هو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رواية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متغيّر اللون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أحرمت؟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موضع كذا و 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طالب خير تزلّ قدمه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يسرّك أن صلّيت أربعاً في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و اللّه ذاك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و على أيّ تقدير فهل تدلّ هذه الروايات على كونهما راجحين بالذات أولا؟ ظاهر رواية زرارة و ابن أُذينة عدم المصلحة بتاتاً في الإحرام قبل الميقات و الصوم في السفر، لكن ظاهر رواية ميسرة وجود المصلحة، غير أنّه رفع الوجوب رحمة للأُمّة كما يعلم من تشبيه الإحرام قبل الميقات بمن صلّى أربعاً مكان ركعتين، فإنّ الصلاة الرباعية واجدة للمصلحة كالثنائية، لكنّه سبحانه رحمة للأُمّة، رفع وجوبها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ورد في الصوم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البر الصيام في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من عدم الملاك</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صيرورتهما راجحين عند تعلّق النذر بهما بعد ما لم يكونا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تخصيص عموم دليل اعتبار الرجحان في متعلّق النذر بهذه الروايات، و هذا هو الظاهر من صاحب الجواهر</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اللسان آب عن التخصيص، فانظر إلى القول المعروف لا نذر إلاّ في طاعة، أو ما ورد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للّه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جاء هذا الجواب </w:t>
      </w:r>
      <w:bookmarkStart w:id="1216" w:name="pg14356_187139"/>
    </w:p>
    <w:p>
      <w:pPr>
        <w:pStyle w:val="BookText"/>
        <w:rPr/>
      </w:pPr>
      <w:bookmarkEnd w:id="1216"/>
      <w:r>
        <w:rPr>
          <w:rFonts w:ascii="Amiri" w:hAnsi="Amiri" w:eastAsia="Amiri" w:cs="Amiri"/>
          <w:color w:val="111111"/>
          <w:sz w:val="28"/>
          <w:sz w:val="28"/>
          <w:szCs w:val="28"/>
          <w:rtl w:val="true"/>
          <w:lang w:bidi="ar-SA"/>
        </w:rPr>
        <w:t>في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الإجابة عن الإشكال الثاني مع أنّ محله هنا، و لذلك أوجد تعقيداً في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كلاً من الصوم و الإحرام عبادة يتقرب بها العبد إلى اللّه سبحانه، فإذا كان خالياً عن أي رجحان فكيف يحصل التقرّب؟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تمّ الكلام حول الإشكال الأوّل، و إليك الإشكال الثاني</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7305484_3381743652"/>
      <w:bookmarkStart w:id="1218" w:name="_Toc463"/>
      <w:bookmarkEnd w:id="1217"/>
      <w:r>
        <w:rPr>
          <w:rtl w:val="true"/>
        </w:rPr>
        <w:t>الثاني</w:t>
      </w:r>
      <w:r>
        <w:rPr>
          <w:rtl w:val="true"/>
        </w:rPr>
        <w:t xml:space="preserve">: </w:t>
      </w:r>
      <w:r>
        <w:rPr>
          <w:rtl w:val="true"/>
        </w:rPr>
        <w:t>الأمر النذري كالأمر الإجاري توصّلي</w:t>
      </w:r>
      <w:bookmarkEnd w:id="1218"/>
    </w:p>
    <w:p>
      <w:pPr>
        <w:pStyle w:val="BookText"/>
        <w:rPr/>
      </w:pPr>
      <w:r>
        <w:rPr>
          <w:rFonts w:ascii="Amiri" w:hAnsi="Amiri" w:eastAsia="Amiri" w:cs="Amiri"/>
          <w:color w:val="111111"/>
          <w:sz w:val="28"/>
          <w:sz w:val="28"/>
          <w:szCs w:val="28"/>
          <w:rtl w:val="true"/>
          <w:lang w:bidi="ar-SA"/>
        </w:rPr>
        <w:t>هذا هو الإشكال الثاني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يتعلّق بالصوم في السفر، و لا بالإحرام قبل الميقات أمر، بما هو هو كما هو المفروض حتّى يقصده و يتعبد به، فانحصر الأمر، بالأمر النذري و هو أمر توصّلي لا تعبديّ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الإشكال الأوّل كان يركّز على شرطية رجحان المتعلّق في النذر و قد عرفت الإجابة عنه بوجوه ثلاثة، و هي بين مقبول و غير 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الإشكال الثاني فهو يركز على أنّ الصيام في السفر، و الإحرام قبل الميقات عمل عبادي و صحّته فرع قصد أمره العبادي، فما هو الأمر العبادي في المقام؟ فهل هو الأوامر الواقعية المتعلّقة بالصيام في السفر و الإحرام قبل الميقات، أو غيره؟ و الأوّل منتف لافتراض كونهما محرمين قبل النذر فلا أمر حتّى يقصده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الثاني و هو الأمر النذري، الذي هو أمر توصّلي لا تقرّبي، فقوله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لْيُوفُوا نُذُورَهُمْ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عنه بوجوه ثلاثة، و قد ذكر المحقّق الخراساني منها 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يكفي في صحّة العبادة وجود الرجحان قبل النذر كشف عنه دليل</w:t>
      </w:r>
    </w:p>
    <w:p>
      <w:pPr>
        <w:pStyle w:val="BookText"/>
        <w:rPr/>
      </w:pPr>
      <w:r>
        <w:rPr>
          <w:rFonts w:ascii="Amiri" w:hAnsi="Amiri" w:eastAsia="Amiri" w:cs="Amiri"/>
          <w:color w:val="111111"/>
          <w:sz w:val="28"/>
          <w:sz w:val="28"/>
          <w:szCs w:val="28"/>
          <w:rtl w:val="true"/>
          <w:lang w:bidi="ar-SA"/>
        </w:rPr>
        <w:t>صحتها، فملاك العبادة وجود الملاك فيها، و قد عرفت ما يدلّ من الروايات على كونهما راجحين بالذات و إنّما لم يؤمرا بهما لوجود المانع، و لم يذكر المحقّق الخراساني هذا الجواب في المقام مع أنّه ذكره عند الذبّ عن الإشكال الأوّل، و كان عليه أن يشير إليه في المقام أيضاً الإشكال الثاني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صيرورة الصوم في السفر و الإحرام قبل الميقات راجحين بتعلّق النذر بهما بعد ما لم يكونا كذلك، كما ربما يدلّ عليه ما في الخبر من كون الإحرام قبل الميقات كالصلاة قبل الوقت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إلى هذا أشار المحقّق الخراساني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كشف دليل صحّتها عن عروض عنوان راجح عليهما ملازم لتعلّق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مرجع هذا الجواب إلى أنّه يعرض للمتعلّق عنوان راجح يجعله ذا ملاك كاف في عبادية المتعلّق، نظير ما مرّ في صوم يوم عاشوراء من أنّه ينطبق عليه عنوان يجعله مكروهاً غير محبوب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سيد مشايخنا المحقّق البروجردي بأنّ العنوان غير الملتفت إليه لا يكون مصحّحاً للعبادة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لصيرورتهما عباديين لأجل طروء عنوان مجهول يغفل عنه المكلّف و لا يكون مقصوداً له لا تفصيلاً و لا إجمالاً</w:t>
      </w:r>
      <w:r>
        <w:rPr>
          <w:rFonts w:eastAsia="Amiri" w:cs="Amiri" w:ascii="Amiri" w:hAnsi="Amiri"/>
          <w:color w:val="111111"/>
          <w:sz w:val="28"/>
          <w:szCs w:val="28"/>
          <w:rtl w:val="true"/>
          <w:lang w:bidi="ar-SA"/>
        </w:rPr>
        <w:t>.</w:t>
      </w:r>
      <w:r>
        <w:rPr>
          <w:rStyle w:val="FootnoteAnchor"/>
          <w:rtl w:val="true"/>
        </w:rPr>
        <w:footnoteReference w:id="384"/>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و إن كان صحيحاً لكنّه يكفي في وجود الرجحان وجود العنوان الراجح في الواقع و إن لم يتوجه المكلّف إليه فمصحح العبادية وجود الرجحان و قصد الشيء الراجح و إن لم يعلم وجه الرجحان لا قصد العنوان حتّى تكون الغفلة مانعة عن قصد العبادية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العنوان العارض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أفضل الأعمال أحمزها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ليس شيئاً مغفولاً للمكلّف عند النذر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يكفي في العبادية الرجحان الطارئ على المتعلّق بعد تعلّق النذر بإتيانهما عبادياً و متقرباً بهما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الثاني و الثالث واضح، فانّ الرجحان الطارئ في الجواب الثاني يرافق تعلّق النذر و ليس متأخراً عنه بخلاف هذا الجواب، فانّ الرجحان يكون طارئاً بعد تعلّق النذر بإتيانهما عبادياً و متقرباً بهما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يتعلّق بهما النذر بإتيانهما عبادياً مع أنّهما ليسا حين النذر عبادة، بل يوصفان بها بعد تعلّق النذر كما هو المفروض، و عندئذ فهو عند النذر ليس متمكّناً من المتعلّق الموصوف بالعبادية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التمكّن من المتعلّق بعد النذر و لا يعتبر في صحّة النذر إلاّ التمكّن من الوفاء و لو بسبب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الأجوبة الثلاثة التي جاء الثاني و الثالث منهما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فالذب عن الإشكال الثاني بأحد الوجوه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الرجحان الذاتي في المتعلّقين قبل النذر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طروء عنوان راجح يرافق النذر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طروء رجحان به بعد النذر لأجل انّ المكلّف نذر بقيد انّ المتعلّق عبادي و موجب للتقرب</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السبب لطروء عنوان راجح بعد النذر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يخفى انّ هذه الأجوبة فروض نظرية لا دليل عليها إلاّ الفرض الأوّل على بعض الروايات من تشبيه الإحرام قبل الميقات على إتمام الصلاة فيه، بناء على اشتماله على المصلحة و اقترانه بالمانع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يجاب بجواب رابع و هو انّ عبادية الإحرام قبل الميقات و الصوم في السفر ببركة نفس الأوامر المتعلّقة بالإحرام و الصوم غاية الأمر انّ الموضوع للوجوب هو الإحرام من الميقات و للاستحباب هو الصوم في الحضر، و لا يعمّان الإحرام قبله أو الصيام في السفر، و أمّا مع ملاحظة النذر فصار موضوع الوجوب أو الاستحباب أوسع ممّا في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فالموضوع مع النذر أوسع من الإحرام من الميقات و الصوم في الحضر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انّ ما دلّ على صحّة الإحرام قبل الميقات و الصوم في السفر مع النذر كشف عن كون الموضوع في حال النذر أوسع منه في غيره</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فالناذر يأتي بقصد نفس الأمر المتعلّق بحجة الإسلام أو الصوم الاستحبابي من دون حاجة إلى التمسّك بالأجوبة الثلاثة</w:t>
      </w:r>
      <w:r>
        <w:rPr>
          <w:rFonts w:eastAsia="Amiri" w:cs="Amiri" w:ascii="Amiri" w:hAnsi="Amiri"/>
          <w:color w:val="111111"/>
          <w:sz w:val="28"/>
          <w:szCs w:val="28"/>
          <w:rtl w:val="true"/>
          <w:lang w:bidi="ar-SA"/>
        </w:rPr>
        <w:t xml:space="preserve">. </w:t>
      </w:r>
      <w:bookmarkStart w:id="1219" w:name="pg14356_187143"/>
    </w:p>
    <w:p>
      <w:pPr>
        <w:pStyle w:val="Heading3"/>
        <w:numPr>
          <w:ilvl w:val="2"/>
          <w:numId w:val="1"/>
        </w:numPr>
        <w:rPr/>
      </w:pPr>
      <w:bookmarkStart w:id="1220" w:name="__RefHeading___Toc7305486_3381743652"/>
      <w:bookmarkStart w:id="1221" w:name="_Toc464"/>
      <w:bookmarkEnd w:id="1219"/>
      <w:bookmarkEnd w:id="1220"/>
      <w:r>
        <w:rPr>
          <w:rtl w:val="true"/>
        </w:rPr>
        <w:t>الفصل الثامن إحراز حال الفرد المشتبه بالأصل اللفظي</w:t>
      </w:r>
      <w:bookmarkEnd w:id="1221"/>
    </w:p>
    <w:p>
      <w:pPr>
        <w:pStyle w:val="Heading4"/>
        <w:numPr>
          <w:ilvl w:val="3"/>
          <w:numId w:val="1"/>
        </w:numPr>
        <w:rPr/>
      </w:pPr>
      <w:bookmarkStart w:id="1222" w:name="__RefHeading___Toc7305488_3381743652"/>
      <w:bookmarkStart w:id="1223" w:name="_Toc465"/>
      <w:bookmarkEnd w:id="1222"/>
      <w:r>
        <w:rPr>
          <w:rtl w:val="true"/>
        </w:rPr>
        <w:t>اشارة</w:t>
      </w:r>
      <w:bookmarkEnd w:id="1223"/>
    </w:p>
    <w:p>
      <w:pPr>
        <w:pStyle w:val="BookText"/>
        <w:rPr/>
      </w:pPr>
      <w:r>
        <w:rPr>
          <w:rFonts w:ascii="Amiri" w:hAnsi="Amiri" w:eastAsia="Amiri" w:cs="Amiri"/>
          <w:color w:val="111111"/>
          <w:sz w:val="28"/>
          <w:sz w:val="28"/>
          <w:szCs w:val="28"/>
          <w:rtl w:val="true"/>
          <w:lang w:bidi="ar-SA"/>
        </w:rPr>
        <w:t>كانت البحوث السابقة تدور حول إحراز حال الفرد المشتبه بالطرق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إحرازه بالتمسّك بالعام المخصص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إحرازه عن طريق الأصل العدمي الأزلي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إحرازه عن طريق العناوين الثانوية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البحوث الماضية و لكن يدور البحث في هذا الفصل على إحراز الفرد لكن بالأصل اللفظي أي أصالة العموم و ربّما يعبر عن هذا البحث بأنّه إذا دار أمر الفرد بين التخصيص و التخصّص فهل يمكن إثبات الثاني بالتمسّك بأصالة العموم أو لا؟ و للمسألة صورتان</w:t>
      </w:r>
      <w:r>
        <w:rPr>
          <w:rFonts w:eastAsia="Amiri" w:cs="Amiri" w:ascii="Amiri" w:hAnsi="Amiri"/>
          <w:color w:val="111111"/>
          <w:sz w:val="28"/>
          <w:szCs w:val="28"/>
          <w:rtl w:val="true"/>
          <w:lang w:bidi="ar-SA"/>
        </w:rPr>
        <w:t>:</w:t>
      </w:r>
    </w:p>
    <w:p>
      <w:pPr>
        <w:pStyle w:val="Heading4"/>
        <w:numPr>
          <w:ilvl w:val="3"/>
          <w:numId w:val="1"/>
        </w:numPr>
        <w:rPr/>
      </w:pPr>
      <w:bookmarkStart w:id="1224" w:name="__RefHeading___Toc7305490_3381743652"/>
      <w:bookmarkStart w:id="1225" w:name="_Toc466"/>
      <w:bookmarkEnd w:id="1224"/>
      <w:r>
        <w:rPr>
          <w:rtl w:val="true"/>
        </w:rPr>
        <w:t>الصورة الأُولى</w:t>
      </w:r>
      <w:r>
        <w:rPr>
          <w:rtl w:val="true"/>
        </w:rPr>
        <w:t xml:space="preserve">: </w:t>
      </w:r>
      <w:r>
        <w:rPr>
          <w:rtl w:val="true"/>
        </w:rPr>
        <w:t>إذا ورد قوله</w:t>
      </w:r>
      <w:r>
        <w:rPr>
          <w:rtl w:val="true"/>
        </w:rPr>
        <w:t xml:space="preserve">: </w:t>
      </w:r>
      <w:r>
        <w:rPr>
          <w:rtl w:val="true"/>
        </w:rPr>
        <w:t>أكرم العلماء، و علم من الخارج حرمة إكرام زيد،</w:t>
      </w:r>
      <w:bookmarkEnd w:id="1225"/>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دار الأمر بين كونه جاهلاً فيكون الخروج تخصّصاً، أو عالماً فيكون الخروج تخصيصاً، فهل يصحّ التمسّك بأصالة العموم و إثبات انّ الخروج تخصّصي و انّ زيداً جاهل لا عالم، فلو وقع الجاهل في لسان الدليل موضوعاً للأثر الشرعي يترتب عليه ذلك الأثر بفضل أصالة العموم؟ </w:t>
      </w:r>
    </w:p>
    <w:p>
      <w:pPr>
        <w:pStyle w:val="BookText"/>
        <w:rPr/>
      </w:pPr>
      <w:r>
        <w:rPr>
          <w:rFonts w:ascii="Amiri" w:hAnsi="Amiri" w:eastAsia="Amiri" w:cs="Amiri"/>
          <w:color w:val="111111"/>
          <w:sz w:val="28"/>
          <w:sz w:val="28"/>
          <w:szCs w:val="28"/>
          <w:rtl w:val="true"/>
          <w:lang w:bidi="ar-SA"/>
        </w:rPr>
        <w:t>ذهب الشيخ الأعظم في تقريراته إلى جواز التمسك قائلاً بأنّ مقتضى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عالم يجب إكرامه، و ينعكس بعكس النقيض إلى قولنا كلّ من لا يجب إكرامه ليس بعالم و هو المطلوب</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Amiri" w:hAnsi="Amiri" w:eastAsia="Amiri" w:cs="Amiri"/>
          <w:color w:val="111111"/>
          <w:sz w:val="28"/>
          <w:sz w:val="28"/>
          <w:szCs w:val="28"/>
          <w:rtl w:val="true"/>
          <w:lang w:bidi="ar-SA"/>
        </w:rPr>
        <w:t>و أورد عليه المحقّق الخراساني باحتمال اختصاص حجّية أصالة العموم بما إذا شكّ في كون فرد العام محكوماً بحكمه كما هو قضية عمومه، و المثبت من الأُصول اللفظية و إن كان حجّة، إلاّ أنّه لا بدّ من الاقتصار على ما يساعد عليه الدليل و لا دليل هاهنا إلاّ السيرة و بناء العقلاء و لم يعلم استقرار بنائهم على ذلك</w:t>
      </w:r>
      <w:r>
        <w:rPr>
          <w:rFonts w:eastAsia="Amiri" w:cs="Amiri" w:ascii="Amiri" w:hAnsi="Amiri"/>
          <w:color w:val="111111"/>
          <w:sz w:val="28"/>
          <w:szCs w:val="28"/>
          <w:rtl w:val="true"/>
          <w:lang w:bidi="ar-SA"/>
        </w:rPr>
        <w:t>.</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القدر المتيقّن من الأصل الرائج بين العقلاء هو الاحتجاج بها عند الشكّ في المراد كما إذا ورد العام و شكّ في خروج فرد منه و عدمه، فتجري أصالة العموم و تثبت تعلّق الإرادة الجدية به بعد تعلّق الإرادة الاستعمالية به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علم المراد، و انّ زيداً على كلّ تقدير غير واجب الإكرام لكن شكّ في أمر آخر، و هو هل انّه جاهل فيكون خروجه تخصّصاً، أو عالم فيكون خروجه تخصيصيّاً؟ ففي مثله لا يحتجّ بأصالة العموم، و ذلك لانّها أصل اعتبر لاحتجاج المولى على العبد، و الصالح له، هو ما إذا كان الشكّ في المراد، لا في كيفية الإرادة من أنّها تخصيصية أو تخصّصية، إذ لا صلة لهذا بمقام الاحتجاج</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الشيخ الأعظم ذكر لجريان أصالة العموم ثمرتين نشير إليهما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اتّفقت كلمة الفقهاء على أنّ ماء الاستنجاء غير منجّس، و اختلفوا في كونه طاهراً غير منجّس، أو نجساً غير منجس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استظهار الوجه الأوّل بملاحظة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نجس منجس، و لذلك ذهبوا إلى انفعال الماء القليل، الملاقي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ثبت في محلّه على أنّ الملاقي لماء الاستنجاء ليس بنجس</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Amiri" w:hAnsi="Amiri" w:eastAsia="Amiri" w:cs="Amiri"/>
          <w:color w:val="111111"/>
          <w:sz w:val="28"/>
          <w:sz w:val="28"/>
          <w:szCs w:val="28"/>
          <w:rtl w:val="true"/>
          <w:lang w:bidi="ar-SA"/>
        </w:rPr>
        <w:t>و عندئذ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ماء الاستنجاء طاهراً، لكان خروج طهارة ملاقيه عن تحت 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نجس منجّس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باب التخصّص، بخلاف ما لو كان ماء الاستنجاء نجساً، لكان خروج ملاقيه عن تحت الدليل الأوّل تخصيصاً، لافتراض انّ الماء نجس، و لكنّه ليس بمنجّس، و لازم القول بعدم ورود التخصيص على الدليل الأوّل كون الماء طاهراً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اختلفت كلمتهم في أنّ ألفاظ العبادات موضوعة للصحيح أو الأعم، فيمكن استظهار الوجه الأوّل بملاحظة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الصَّلاةَ تَنْهى عَنِ الْفَحْشاءِ وَ الْمُنْكَرِ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كما في الآية المباركة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الصلاة الفاسدة لا تنهى عنهما</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كانت الصلاة موضوعة للصحيح، يكون خروج الفرد الفاسد عن تحت الدليل الأوّل من باب التخصّص، و لو قلنا بأنّها موضوعة للأعم يكون خروجه عن تحت الدليل الأوّل تخصيصياً فمقتضى حفظ عموم الدليل الأوّل هو الثاني فتكون النتيجة هو كونه موضوعاً للصحيح</w:t>
      </w:r>
      <w:r>
        <w:rPr>
          <w:rFonts w:eastAsia="Amiri" w:cs="Amiri" w:ascii="Amiri" w:hAnsi="Amiri"/>
          <w:color w:val="111111"/>
          <w:sz w:val="28"/>
          <w:szCs w:val="28"/>
          <w:rtl w:val="true"/>
          <w:lang w:bidi="ar-SA"/>
        </w:rPr>
        <w:t xml:space="preserve">. </w:t>
      </w:r>
      <w:bookmarkStart w:id="1226" w:name="pg14356_187146"/>
    </w:p>
    <w:p>
      <w:pPr>
        <w:pStyle w:val="Heading4"/>
        <w:numPr>
          <w:ilvl w:val="3"/>
          <w:numId w:val="1"/>
        </w:numPr>
        <w:rPr/>
      </w:pPr>
      <w:bookmarkStart w:id="1227" w:name="__RefHeading___Toc7305492_3381743652"/>
      <w:bookmarkStart w:id="1228" w:name="_Toc467"/>
      <w:bookmarkEnd w:id="1226"/>
      <w:bookmarkEnd w:id="1227"/>
      <w:r>
        <w:rPr>
          <w:rtl w:val="true"/>
        </w:rPr>
        <w:t>الصورة الثانية للمسألة</w:t>
      </w:r>
      <w:bookmarkEnd w:id="1228"/>
    </w:p>
    <w:p>
      <w:p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زيداً، و دار الأمر بين كون المراد، هو زيد العالم أو زيد الجاهل، فالظاهر صحّة التمسك بأصالة العموم و انّه لم يخصص، فيترتب عليه انّ الخارج هو زيد الجاهل، و أمّا زيد العالم فيجب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ذلك إلاّ لأنّ الشكّ في هذه الصورة في المراد، فهل هو زيد العالم أو زيد الجاهل فهما شخصان؟ و الشيخ الأعظم ذهب إلى حجّية الأصل المذكور في كلّ من الصورتين مع وضوح الفرق بينهما، لأنّ الشكّ في الصورة الأُولى في كيفية الإرادة لا المراد، و أمّا الصورة الثانية فالشك و مركزه هو المراد و انّ أيّاً من الرجلين خرج عن تحت العام، إذ لو كان الخروج من باب التخصيص يحرم أو لا يجب إكرام زيد العالم، بخلاف ما لو كان الخروج تخصّصياً فيجب إكرامه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ما مرّ عليك من الصورتين غير ما تقدم عند البحث عن سراية إجمال المخصص الدائر إجماله بين المتباينين حيث قلنا بعدم جواز التمسّك بالعام لرفع إجماله</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الكلام فيما مرّ ما إذا كان التخصيص قطعياً و دار أمر زيد، بين كونه زيد بن عمرو العالم، أو زيد بن بكر العالم، ففي مثله يسري إجمال المخصص إلى العام فلا يكون حجّة في واحد من الموردين، و هذا بخلاف الصورتين الماضيتين فانّ التخصيص مشكوك من رأس</w:t>
      </w:r>
      <w:r>
        <w:rPr>
          <w:rFonts w:eastAsia="Amiri" w:cs="Amiri" w:ascii="Amiri" w:hAnsi="Amiri"/>
          <w:color w:val="111111"/>
          <w:sz w:val="28"/>
          <w:szCs w:val="28"/>
          <w:rtl w:val="true"/>
          <w:lang w:bidi="ar-SA"/>
        </w:rPr>
        <w:t xml:space="preserve">. </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يدور الأمر في الصورة الأُولى بين كون زيد، عالماً أو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يدور الأمر في الصورة الثانية، بين كون المراد، زيد العالم، أو زيد الجاهل، فالتخصيص في كلتا الصورتين مشكوك بخلاف الصورة الثالثة، فانّ التخصيص قطعي، غاية الأمر يدور الأمر بين زيدين عالمين أحدهما ابن عمرو و الآخر ابن بكر</w:t>
      </w:r>
      <w:r>
        <w:rPr>
          <w:rFonts w:eastAsia="Amiri" w:cs="Amiri" w:ascii="Amiri" w:hAnsi="Amiri"/>
          <w:color w:val="111111"/>
          <w:sz w:val="28"/>
          <w:szCs w:val="28"/>
          <w:rtl w:val="true"/>
          <w:lang w:bidi="ar-SA"/>
        </w:rPr>
        <w:t xml:space="preserve">. </w:t>
      </w:r>
      <w:bookmarkStart w:id="1229" w:name="pg14356_187148"/>
    </w:p>
    <w:p>
      <w:pPr>
        <w:pStyle w:val="Heading3"/>
        <w:numPr>
          <w:ilvl w:val="2"/>
          <w:numId w:val="1"/>
        </w:numPr>
        <w:rPr/>
      </w:pPr>
      <w:bookmarkStart w:id="1230" w:name="__RefHeading___Toc7305494_3381743652"/>
      <w:bookmarkStart w:id="1231" w:name="_Toc468"/>
      <w:bookmarkEnd w:id="1229"/>
      <w:bookmarkEnd w:id="1230"/>
      <w:r>
        <w:rPr>
          <w:rtl w:val="true"/>
        </w:rPr>
        <w:t>الفصل التاسع لزوم الفحص عن المخصّص</w:t>
      </w:r>
      <w:bookmarkEnd w:id="1231"/>
    </w:p>
    <w:p>
      <w:pPr>
        <w:pStyle w:val="Heading4"/>
        <w:numPr>
          <w:ilvl w:val="3"/>
          <w:numId w:val="1"/>
        </w:numPr>
        <w:rPr/>
      </w:pPr>
      <w:bookmarkStart w:id="1232" w:name="__RefHeading___Toc7305496_3381743652"/>
      <w:bookmarkStart w:id="1233" w:name="_Toc469"/>
      <w:bookmarkEnd w:id="1232"/>
      <w:r>
        <w:rPr>
          <w:rtl w:val="true"/>
        </w:rPr>
        <w:t>اشارة</w:t>
      </w:r>
      <w:bookmarkEnd w:id="1233"/>
    </w:p>
    <w:p>
      <w:pPr>
        <w:pStyle w:val="BookText"/>
        <w:rPr/>
      </w:pPr>
      <w:r>
        <w:rPr>
          <w:rFonts w:ascii="Amiri" w:hAnsi="Amiri" w:eastAsia="Amiri" w:cs="Amiri"/>
          <w:color w:val="111111"/>
          <w:sz w:val="28"/>
          <w:sz w:val="28"/>
          <w:szCs w:val="28"/>
          <w:rtl w:val="true"/>
          <w:lang w:bidi="ar-SA"/>
        </w:rPr>
        <w:t>قد جرت سيرة الفقهاء على عدم جواز التمسك بالعام قبل الفحص عن المخصّص و اليأس عن الظفر به،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التمسّك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حَرَّمَ الرِّبا </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إلاّ بعد الفحص عن مخصّصه، كجواز الربا بين الزوج و الزوجة و الوالد و الولد، أو لا يجوز التمسّك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 xml:space="preserve">) </w:t>
      </w:r>
      <w:r>
        <w:rPr>
          <w:rStyle w:val="FootnoteAnchor"/>
          <w:rtl w:val="true"/>
        </w:rPr>
        <w:footnoteReference w:id="390"/>
      </w:r>
      <w:r>
        <w:rPr>
          <w:rFonts w:ascii="Amiri" w:hAnsi="Amiri" w:eastAsia="Amiri" w:cs="Amiri"/>
          <w:color w:val="111111"/>
          <w:sz w:val="28"/>
          <w:sz w:val="28"/>
          <w:szCs w:val="28"/>
          <w:rtl w:val="true"/>
          <w:lang w:bidi="ar-SA"/>
        </w:rPr>
        <w:t>قبل الفحص عن مخصصه، كلزوم الإتمام لكثير السفر، أو لمن حرم سفره، أو أقام عشرة أيام في مكان،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سائر العمومات، و هذا أمر اتّفق عليه الفقهاء</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أوّل من طرح المسألة هو ابن سريج في أوائل القرن الرابع و خالفه تلميذه أبو بكر الصيرفي حيث استشكل على الأُستاذ بأنّه لو وجب الفحص عن المخصّص في التمسّك بالعام وجب الفحص عن قرينة المجاز عند الحمل على الحقيقة، و سيظهر جوابه فيما نتلوه عليك من الدليل على وجوب الفحص</w:t>
      </w:r>
      <w:r>
        <w:rPr>
          <w:rFonts w:eastAsia="Amiri" w:cs="Amiri" w:ascii="Amiri" w:hAnsi="Amiri"/>
          <w:color w:val="111111"/>
          <w:sz w:val="28"/>
          <w:szCs w:val="28"/>
          <w:rtl w:val="true"/>
          <w:lang w:bidi="ar-SA"/>
        </w:rPr>
        <w:t xml:space="preserve">. </w:t>
      </w:r>
      <w:bookmarkStart w:id="1234" w:name="pg14356_187149"/>
    </w:p>
    <w:p>
      <w:pPr>
        <w:pStyle w:val="BookText"/>
        <w:rPr/>
      </w:pPr>
      <w:bookmarkEnd w:id="1234"/>
      <w:r>
        <w:rPr>
          <w:rFonts w:ascii="Amiri" w:hAnsi="Amiri" w:eastAsia="Amiri" w:cs="Amiri"/>
          <w:color w:val="111111"/>
          <w:sz w:val="28"/>
          <w:sz w:val="28"/>
          <w:szCs w:val="28"/>
          <w:rtl w:val="true"/>
          <w:lang w:bidi="ar-SA"/>
        </w:rPr>
        <w:t>فإذا كان الفحص عن المخصص أمراً متفقاً عليه، يقع الكلام فيما هو الوجه لاتّفاق العلماء على هذا الأصل،</w:t>
      </w:r>
    </w:p>
    <w:p>
      <w:pPr>
        <w:pStyle w:val="Heading4"/>
        <w:numPr>
          <w:ilvl w:val="3"/>
          <w:numId w:val="1"/>
        </w:numPr>
        <w:rPr/>
      </w:pPr>
      <w:bookmarkStart w:id="1235" w:name="__RefHeading___Toc7305498_3381743652"/>
      <w:bookmarkStart w:id="1236" w:name="_Toc470"/>
      <w:bookmarkEnd w:id="1235"/>
      <w:r>
        <w:rPr>
          <w:rtl w:val="true"/>
        </w:rPr>
        <w:t>و قد ذكروا هنا وجوهاً ثلاثة لاتفاق العلماء على وجوب الفحص عن المخصص</w:t>
      </w:r>
      <w:bookmarkEnd w:id="1236"/>
    </w:p>
    <w:p>
      <w:pPr>
        <w:pStyle w:val="Heading5"/>
        <w:numPr>
          <w:ilvl w:val="4"/>
          <w:numId w:val="1"/>
        </w:numPr>
        <w:rPr/>
      </w:pPr>
      <w:bookmarkStart w:id="1237" w:name="__RefHeading___Toc7305500_3381743652"/>
      <w:bookmarkStart w:id="1238" w:name="_Toc471"/>
      <w:bookmarkEnd w:id="1237"/>
      <w:r>
        <w:rPr>
          <w:rtl w:val="true"/>
        </w:rPr>
        <w:t>اشارة</w:t>
      </w:r>
      <w:bookmarkEnd w:id="1238"/>
    </w:p>
    <w:p>
      <w:pPr>
        <w:pStyle w:val="BookText"/>
        <w:rPr/>
      </w:pPr>
      <w:r>
        <w:rPr>
          <w:rFonts w:ascii="IRNazanin" w:hAnsi="IRNazanin" w:eastAsia="IRNazanin"/>
          <w:color w:val="111111"/>
          <w:sz w:val="28"/>
          <w:sz w:val="28"/>
          <w:szCs w:val="28"/>
          <w:rtl w:val="true"/>
          <w:lang w:bidi="fa-IR"/>
        </w:rPr>
        <w:t>أوضحها أوّلها</w:t>
      </w:r>
      <w:r>
        <w:rPr>
          <w:rFonts w:eastAsia="IRNazanin" w:cs="IRNazanin"/>
          <w:color w:val="111111"/>
          <w:sz w:val="28"/>
          <w:szCs w:val="28"/>
          <w:rtl w:val="true"/>
          <w:lang w:bidi="fa-IR"/>
        </w:rPr>
        <w:t>:</w:t>
      </w:r>
    </w:p>
    <w:p>
      <w:pPr>
        <w:pStyle w:val="Heading5"/>
        <w:numPr>
          <w:ilvl w:val="4"/>
          <w:numId w:val="1"/>
        </w:numPr>
        <w:rPr/>
      </w:pPr>
      <w:bookmarkStart w:id="1239" w:name="__RefHeading___Toc7305502_3381743652"/>
      <w:bookmarkStart w:id="1240" w:name="_Toc472"/>
      <w:bookmarkEnd w:id="1239"/>
      <w:r>
        <w:rPr>
          <w:rtl w:val="true"/>
        </w:rPr>
        <w:t>الأوّل</w:t>
      </w:r>
      <w:r>
        <w:rPr>
          <w:rtl w:val="true"/>
        </w:rPr>
        <w:t xml:space="preserve">: </w:t>
      </w:r>
      <w:r>
        <w:rPr>
          <w:rtl w:val="true"/>
        </w:rPr>
        <w:t>وقوع العام في مظان التخصيص</w:t>
      </w:r>
      <w:bookmarkEnd w:id="1240"/>
    </w:p>
    <w:p>
      <w:pPr>
        <w:pStyle w:val="BookText"/>
        <w:rPr/>
      </w:pPr>
      <w:r>
        <w:rPr>
          <w:rFonts w:ascii="Amiri" w:hAnsi="Amiri" w:eastAsia="Amiri" w:cs="Amiri"/>
          <w:color w:val="111111"/>
          <w:sz w:val="28"/>
          <w:sz w:val="28"/>
          <w:szCs w:val="28"/>
          <w:rtl w:val="true"/>
          <w:lang w:bidi="ar-SA"/>
        </w:rPr>
        <w:t>قد جرى ديدن العقلاء في المحاورات الشخصية على الإتيان بكلّ ما له دخل في مقاصدهم، و لأجل ذلك يتمسّك بظواهر كلماتهم من دون تربّص قيد،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طلب المولى من عبد أن يدعو مجموعة معينة من جيرانه لمأدبة طعام، فعندئذ يذكر كلّ ما له دخل في غرضه دون أن يميز بين الأصل و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المحاورات العامة التي تدور حول تقنين قوانين و تسنين سنن على صعيد عام أو صعيد خاص، فقد جرت سيرتهم على ذكر العام و المطلق في برهة و المخصص و المقيّد في برهة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الداعي إلى التفريق بين العام و مخصّصه أو المطلق و مقيّده هو قصور علم المقنن عن الإحاطة بالمصالح و المفاسد، حيث يضع حكماً عاماً ثمّ يتبيّن عدم توفر الملاك في طائفة من أفراد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يكون الداعي غير ذلك لكن الغالب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التشريع الإسلامي في الذكر الحكيم فقد سار على هذا النحو، لا لقصور في الإحاطة بالمصالح و المفاسد، لأنّ المشرِّع هو اللّه سبحانه و هو محيط بكلّ شيء، بل لمصالح في نزول الأحكام نجوماً طيلة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تقتضيه مصالحُ العباد، نرى أنّه سبحانه يتكلّم في أحكام الكلالة في أوائل سورة النساء و أواخرها، و ما هذا إلاّ لوجود المصلحة في تبيين الأحكام نجوماً</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المشركون في صدر الإسلام يعترضون على نزول القرآن نجوماً، و قد </w:t>
      </w:r>
    </w:p>
    <w:p>
      <w:pPr>
        <w:pStyle w:val="BookText"/>
        <w:rPr/>
      </w:pPr>
      <w:r>
        <w:rPr>
          <w:rFonts w:ascii="Amiri" w:hAnsi="Amiri" w:eastAsia="Amiri" w:cs="Amiri"/>
          <w:color w:val="111111"/>
          <w:sz w:val="28"/>
          <w:sz w:val="28"/>
          <w:szCs w:val="28"/>
          <w:rtl w:val="true"/>
          <w:lang w:bidi="ar-SA"/>
        </w:rPr>
        <w:t>جاء هذا الاعتراض و الجواب عنه في آية واحدة، أعني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الَّذِينَ كَفَرُوا لَوْ لا نُزِّلَ عَلَيْهِ الْقُرْآنُ جُمْلَةً واحِدَةً كَذلِكَ لِنُثَبِّتَ بِهِ فُؤادَكَ وَ رَتَّلْناهُ تَرْتِيلاً </w:t>
      </w:r>
      <w:r>
        <w:rPr>
          <w:rFonts w:eastAsia="Amiri" w:cs="Amiri" w:ascii="Amiri" w:hAnsi="Amiri"/>
          <w:color w:val="111111"/>
          <w:sz w:val="28"/>
          <w:szCs w:val="28"/>
          <w:rtl w:val="true"/>
          <w:lang w:bidi="ar-SA"/>
        </w:rPr>
        <w:t>).</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إلى هنا تبيّن انّ السبب لنزول الأحكام و القرآن تدريجاً أمران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اقتضاء مصلحة العباد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في النزول التدريجي تثبيتاً لفؤاد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تكون هناك مصالح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حول القرآن، و أمّا السنّة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المعصوم فقد وصلت إلينا في فترات تقرب من مائتي و خمسين سنة، فكانت الظروف مختلفة، فتارة كانت الظروف تقتضي بيان أصل الأحكام دون بيان مخصّصاتها و مقيّداتها، و ربما كانت الظروف سانحة لبيان تلك المخصّصات و المقيدات، و لذلك ربّما ترى وجود العام في كلام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المخصص في كلام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تقدير فالعام الذي هو في مظان التخصيص لا يحتجّ به إلاّ بعد الفحص عن مخصّصاته و مقيّداته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يجب الفحص عن المخصّص المتصل، لأنّ سقوطه عن الكلام عمداً ينافي وثاقة الراوي، و سهواً يخالف الأصل العقلائي المجمع عليه من أصالة عدم السهو في النقل</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حصيلة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الواجب على المولى هو بيان التكاليف على النحو الذي لو تفحص عنه العبد لوجده و لا يجب على المولى إيصال التكاليف إلى العبد مباشرة من دون حاجة إلى الفحص و البحث</w:t>
      </w:r>
      <w:r>
        <w:rPr>
          <w:rFonts w:eastAsia="Amiri" w:cs="Amiri" w:ascii="Amiri" w:hAnsi="Amiri"/>
          <w:color w:val="111111"/>
          <w:sz w:val="28"/>
          <w:szCs w:val="28"/>
          <w:rtl w:val="true"/>
          <w:lang w:bidi="ar-SA"/>
        </w:rPr>
        <w:t xml:space="preserve">. </w:t>
      </w:r>
      <w:bookmarkStart w:id="1241" w:name="pg14356_187151"/>
    </w:p>
    <w:p>
      <w:pPr>
        <w:pStyle w:val="BookText"/>
        <w:rPr/>
      </w:pPr>
      <w:bookmarkEnd w:id="1241"/>
      <w:r>
        <w:rPr>
          <w:rFonts w:ascii="Amiri" w:hAnsi="Amiri" w:eastAsia="Amiri" w:cs="Amiri"/>
          <w:color w:val="111111"/>
          <w:sz w:val="28"/>
          <w:sz w:val="28"/>
          <w:szCs w:val="28"/>
          <w:rtl w:val="true"/>
          <w:lang w:bidi="ar-SA"/>
        </w:rPr>
        <w:t>هذا هو توضيح الوجه الذي بيّنه المحقّق الخراساني و تبعه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مع هذا الوجه لا حاجة إلى الوجهين التاليين</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7305504_3381743652"/>
      <w:bookmarkStart w:id="1243" w:name="_Toc473"/>
      <w:bookmarkEnd w:id="1242"/>
      <w:r>
        <w:rPr>
          <w:rtl w:val="true"/>
        </w:rPr>
        <w:t>الثاني</w:t>
      </w:r>
      <w:r>
        <w:rPr>
          <w:rtl w:val="true"/>
        </w:rPr>
        <w:t xml:space="preserve">: </w:t>
      </w:r>
      <w:r>
        <w:rPr>
          <w:rtl w:val="true"/>
        </w:rPr>
        <w:t>الظن الشخصي بالتكليف رهن الفحص</w:t>
      </w:r>
      <w:bookmarkEnd w:id="1243"/>
    </w:p>
    <w:p>
      <w:pPr>
        <w:pStyle w:val="BookText"/>
        <w:rPr/>
      </w:pPr>
      <w:r>
        <w:rPr>
          <w:rFonts w:ascii="Amiri" w:hAnsi="Amiri" w:eastAsia="Amiri" w:cs="Amiri"/>
          <w:color w:val="111111"/>
          <w:sz w:val="28"/>
          <w:sz w:val="28"/>
          <w:szCs w:val="28"/>
          <w:rtl w:val="true"/>
          <w:lang w:bidi="ar-SA"/>
        </w:rPr>
        <w:t>إنّ الظن الشخصي بالمراد الجدي لا يحصل قبل الفحص عن المخصّص، فلا بدّ من الفحص حتّى يحصل الظن الشخصي بالمراد، و يمتثل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العام في مظان التخصيص كاف في لزوم الفحص من دون حاجة إلى إثبات أنّ الظنّ الشخصي رهن الفحص، و من المعلوم أنّ الأوّل أقلّ مئونة من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حجّية الظواهر ليس هو الظنّ الشخصي، بل مناطه عند المشهور الظن النوعي، كما عليه مشهور الأُصوليّين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اليقين بالمراد الاستعمالي، 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كلا التقديرين لا محيص من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فانّ حصول الظن النوعي رهن الفحص عن المخصص إذا كان ديدن المولى على فصل المخصص عن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فانّ اليقين بالإرادة الاستعمالية لا يحتج به إلاّ إذا أحرز تطابق الإرادة الاستعمالية مع الجدية و إحراز التطابق رهن الفحص عن المخصص</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مناط الفحص هو عدم حصول الظن قبل الفحص يلزم الاقتصار في مقدار </w:t>
      </w:r>
      <w:bookmarkStart w:id="1244" w:name="pg14356_187152"/>
    </w:p>
    <w:p>
      <w:pPr>
        <w:pStyle w:val="BookText"/>
        <w:rPr/>
      </w:pPr>
      <w:bookmarkEnd w:id="1244"/>
      <w:r>
        <w:rPr>
          <w:rFonts w:ascii="Amiri" w:hAnsi="Amiri" w:eastAsia="Amiri" w:cs="Amiri"/>
          <w:color w:val="111111"/>
          <w:sz w:val="28"/>
          <w:sz w:val="28"/>
          <w:szCs w:val="28"/>
          <w:rtl w:val="true"/>
          <w:lang w:bidi="ar-SA"/>
        </w:rPr>
        <w:t>الفحص على الحدّ الذي يحصل به الظن الشخصي، و هو خلاف المدّعى، فإنّ ديدن العلماء هو الفحص عن مظان المخصّص، سواء حصل الظن الشخصي قبله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الملاك هو حصول الظن الشخصي يلزم الفوضى في مقدار الفحص فانّ طبائع الناس مختلفة، فربّ شخص يحصل له الظنّ بأدنى فحص، و ربّ شخص آخر لا يحصل له ذلك الظن إلاّ بعد إنهاء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 المناط في لزوم الفحص هو كون العام في مظان التخصيص لا توقف حصول الظن الشخصي بالبحث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الوجه الثالث الذي قيل في لزوم الفحص، و هو الآتي</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7305506_3381743652"/>
      <w:bookmarkStart w:id="1246" w:name="_Toc474"/>
      <w:bookmarkEnd w:id="1245"/>
      <w:r>
        <w:rPr>
          <w:rtl w:val="true"/>
        </w:rPr>
        <w:t>الثالث</w:t>
      </w:r>
      <w:r>
        <w:rPr>
          <w:rtl w:val="true"/>
        </w:rPr>
        <w:t xml:space="preserve">: </w:t>
      </w:r>
      <w:r>
        <w:rPr>
          <w:rtl w:val="true"/>
        </w:rPr>
        <w:t>وجود العلم الإجمالي بالمخصّص</w:t>
      </w:r>
      <w:bookmarkEnd w:id="1246"/>
    </w:p>
    <w:p>
      <w:pPr>
        <w:pStyle w:val="BookText"/>
        <w:rPr/>
      </w:pPr>
      <w:r>
        <w:rPr>
          <w:rFonts w:ascii="Amiri" w:hAnsi="Amiri" w:eastAsia="Amiri" w:cs="Amiri"/>
          <w:color w:val="111111"/>
          <w:sz w:val="28"/>
          <w:sz w:val="28"/>
          <w:szCs w:val="28"/>
          <w:rtl w:val="true"/>
          <w:lang w:bidi="ar-SA"/>
        </w:rPr>
        <w:t>إنّ العلم الإجمالي بالمخصّص يمنع عن جريان الأصل اللفظي، كما أنّه يمنع عن جريان الأصل العملي، فكما لا تجري أصالة الطهارة في الإناءين المشتبهين فهكذا لا تجري أصالة العموم في عمومات الكتاب و السنّة، و الجامع وجود العلم الإجمالي بالتكليف المخالف لمقتضى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في الوجه السابق من أنّ كون العام في مظان التخصيص كاف في الحث على البحث من دون حاجة إلى التمسّك بالعلم الإجمالي، فالأوّل أقلّ مئونة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استشكل على هذا الوجه بوجوه غير تامة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 المناط هو وجود العلم الإجمالي بالمخصص لزم إيقاف الفحص إذا ظفر بالمقدار المعلوم بالإجمال، مثلاً نفترض أنّه لو علم بأنّ في الشريعة الإسلامية حوالي خمسين مخصصاً فأخذ بالفحص في أحاديث الكافي فظفر بهذا المقدار، تفصيلاً، فلازم ذلك الحال العلم الإجمالي إلى علم تفصيلي بوجود مخصصات قطعية في كتاب الكافي و شك بدويّ في غيره و نتيجة الانحلال عدم وجوب الفحص عندئذ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 التهذيب، مع أنّ سيرة العلماء هو</w:t>
      </w:r>
    </w:p>
    <w:p>
      <w:pPr>
        <w:pStyle w:val="BookText"/>
        <w:rPr/>
      </w:pPr>
      <w:r>
        <w:rPr>
          <w:rFonts w:ascii="Amiri" w:hAnsi="Amiri" w:eastAsia="Amiri" w:cs="Amiri"/>
          <w:color w:val="111111"/>
          <w:sz w:val="28"/>
          <w:sz w:val="28"/>
          <w:szCs w:val="28"/>
          <w:rtl w:val="true"/>
          <w:lang w:bidi="ar-SA"/>
        </w:rPr>
        <w:t>الفحص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الإجابة عن هذا الإشكال بأنّه إذا ظفر بالمقدار المعلوم إجمالاً بمجرد مطالعة الكافي يُكشف له بطلان العلم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المخصص حوالي خمسين رواية، بل يحصل له العلم بسعة دائرة العلم الإجمالي بوجود مخصّصات أُخرى في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 التهذيب، فيكون الميزان هو وجود العلم الإجمالي أيضاً و انحلاله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الجواب الصحيح عن الإشكال، غير أنّ المحقّق النائيني أجاب عن الإشكال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المعلوم بالإجمال تارة يكون مرسلاً غير معلّم بعلامة، و أُخرى معلّماً بعلامة و انحلال العلم الإجمالي بالعثور على المقدار المتيقّن إنّما يكون في القسم الأوّل، لأنّ منشأ العلم فيه هو ضم قضية مشكوكة إلى قضية متيقّنة، كما إذا علم بأنّه مديون لزيد و تردد الدين بين أن يكون خمسة دنانير أو عشرة، و أمّا القسم الثاني فلا ينحلّ به، بل حاله حال دوران الأمر بين المتباينين، و لا انحلال في مثله لعدم الرجوع إلى العلم بالأقل، و الشكّ في الأكثر من أوّل الأمر، بل يتعلّق العلم بجميع الأطراف بحيث لو كان الأكثر واجباً لكان ممّا تعلّق به العلم و تنجز بسببه و ليس الأكثر مشكوكاً فيه من أوّل الأمر</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العنوان المتعلّق بالعلم الذي يعبّر عنه المحقّق النائيني بالعلامة، ذا أثر شرعي لكان لما ذكره وجه، كما إذا تعلّق العلم الإجمالي بوجود خمسة شياه موطوءة في قطيع غنم، فقامت البيّنة على حرمة أكل خمسة شياه معينة، فهذا النحو من العلم التفصيلي لا ينحل به العلم الإجمالي، بل يجب </w:t>
      </w:r>
    </w:p>
    <w:p>
      <w:pPr>
        <w:pStyle w:val="BookText"/>
        <w:rPr/>
      </w:pPr>
      <w:r>
        <w:rPr>
          <w:rFonts w:ascii="Amiri" w:hAnsi="Amiri" w:eastAsia="Amiri" w:cs="Amiri"/>
          <w:color w:val="111111"/>
          <w:sz w:val="28"/>
          <w:sz w:val="28"/>
          <w:szCs w:val="28"/>
          <w:rtl w:val="true"/>
          <w:lang w:bidi="ar-SA"/>
        </w:rPr>
        <w:t>الاجتناب عن الجميع أيضاً، و ذلك لأنّ المعلوم بالإجمال كان معنوناً بعنوان الموطوءة، و لكنّ البيّنة قامت على مجرّد حرمة أكلها، و هي أعمّ من كونها موطوءة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العنوان فاقداً للأثر كما في المقام فلا يجب رعايته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فرق بين القضيتين إحداهما مرسلة و الأُخرى معنونة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علم بأنّه أتلف دنانير لزيد مردّدة بين الخمسة و العشرة، فبما انّ الخمسة معلومة تفصيلاً و الزائد عليها مشكوكة، ينحل العلم الإجمالي إلى علم تفصيلي و شكّ بدوي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أتلف الدنانير الموجودة في كيس زيد، و هي مردّدة بين الخمسة و العشرة، فإنّ المعلوم بالإجمال معنون بما في الكيس، لكن ذلك لا يمنع عن الانحلال، لعدم ترتّب الأثر على قوله في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نظيره تعلّق العلم الإجمالي في المقام بما في الكتب التي بأيدينا، إذ ليس للقيد بما في الكتب أثر شرعي، و إنّما الأثر الشرعي نفس المخصصات و الكتب ظرف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الإجابة عن الإشكال بما ذكرناه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كان الفحص لأجل وجود العلم الإجمالي لزم عدم جواز التمسك بالعام حتّى بعد الفحص لعدم انحلال العلم الإجمالي حتّى بعد المراجعة إلى الكتب التي بأيدينا، سواء كانت معتبرة أم لا، لأنّ العلم بالمخصّصات لا ينحصر فيما بأيدينا من الكتب، بل يعمّ الكتب المؤلفة في عصور الأئمّة التي ضاعت و لم تصل إلينا، كجامع البزنطي المتوفّى عام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و نوادر الحكمة لمحمد بن أحمد بن يحيى المتوفّى حوالي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و غيرهما و معه كيف ينحلّ؟</w:t>
      </w:r>
      <w:r>
        <w:rPr>
          <w:rFonts w:eastAsia="Amiri" w:cs="Amiri" w:ascii="Amiri" w:hAnsi="Amiri"/>
          <w:color w:val="111111"/>
          <w:sz w:val="28"/>
          <w:szCs w:val="28"/>
          <w:rtl w:val="true"/>
          <w:lang w:bidi="ar-SA"/>
        </w:rPr>
        <w:t>!</w:t>
      </w:r>
      <w:bookmarkStart w:id="1247" w:name="pg14356_187155"/>
    </w:p>
    <w:p>
      <w:pPr>
        <w:pStyle w:val="BookText"/>
        <w:rPr/>
      </w:pPr>
      <w:bookmarkEnd w:id="1247"/>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سيوافيك عند البحث في دليل الانسداد انّ ادّعاء العلم الإجمالي بوجود أخبار متضمّنة لأحكام عامّة أو خاصّة في الكتب التالفة مجرد احتمال لا يدعمه دليل، بل المحمدون الثلاثة نقلوا ما في الجوامع الأوّلية إلى كتبهم بنظم و نسق خاص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لازم ذلك الفحص عن كلّ الكتب الموجودة بأيدينا، سواء كانت من المعتبرة أو غير المعتبرة، و سواء كان الكتاب فقهاً أو حديثاً أو أخلاقاً، و من المعلوم أنّ وقت المجتهد لا يسع لهذا المقدار من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دائرة العلم الإجمالي ضيّقة من أوّل الأمر، إذ لا علم لنا بوجود روايات صحيحة متضمنة لأحكام عامة أو خاصة في غير الكتب المعتبرة، بل وجود الروايات فيها مشكوك من أوّل الأمر و ليس طرفاً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جواب آخر و هو ترتيب علمين إجماليّين أحدهما كبير و الآخر صغير و انحلال الكبير بالصغير، فقد أوضحه شيخنا الأُستاذ مدّ ظلّه في الدورة السابقة و لم يتعرض له في هذه الدورة، فمن أراد الوقوف فليرجع إلى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لزميلنا السيد الجلالي حفظه اللّه</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7305508_3381743652"/>
      <w:bookmarkStart w:id="1249" w:name="_Toc475"/>
      <w:bookmarkEnd w:id="1248"/>
      <w:r>
        <w:rPr>
          <w:rtl w:val="true"/>
        </w:rPr>
        <w:t>هل الفحص عن المخصّص فحص عن المزاحم أو المتمم للحجّية؟</w:t>
      </w:r>
      <w:bookmarkEnd w:id="1249"/>
    </w:p>
    <w:p>
      <w:pPr>
        <w:pStyle w:val="BookText"/>
        <w:rPr/>
      </w:pPr>
      <w:r>
        <w:rPr>
          <w:rFonts w:ascii="Amiri" w:hAnsi="Amiri" w:eastAsia="Amiri" w:cs="Amiri"/>
          <w:color w:val="111111"/>
          <w:sz w:val="28"/>
          <w:sz w:val="28"/>
          <w:szCs w:val="28"/>
          <w:rtl w:val="true"/>
          <w:lang w:bidi="ar-SA"/>
        </w:rPr>
        <w:t>إنّ هنا بحثاً آخر و هو انّ البحث عن المخصص هل هو بحث عمّا يزاحم الحجية، بمعنى انّ العام حجّة تامة لا نقص فيها و انّما نبحث عمّا يزاحم حجّيتها، و من المعلوم أنّه يؤخذ في المتزاحمين بأقواهما و هو الخاص كالغريقين أحدهما ذمي و الآخر مؤمن، فيؤخذ بالأقوى ملاكاً</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هو فحص عن متمم الحجية بمعنى انّ العام الواقع في مظان </w:t>
      </w:r>
    </w:p>
    <w:p>
      <w:pPr>
        <w:pStyle w:val="BookText"/>
        <w:rPr/>
      </w:pPr>
      <w:r>
        <w:rPr>
          <w:rFonts w:ascii="Amiri" w:hAnsi="Amiri" w:eastAsia="Amiri" w:cs="Amiri"/>
          <w:color w:val="111111"/>
          <w:sz w:val="28"/>
          <w:sz w:val="28"/>
          <w:szCs w:val="28"/>
          <w:rtl w:val="true"/>
          <w:lang w:bidi="ar-SA"/>
        </w:rPr>
        <w:t>التخصيص ليس بحجّة عند العقلاء حتّى يفحص عن مخصصه فيكون عدم المخصص مكمّلاً لحجّية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الفحص عن الدليل الاجتهادي عند التمسك بالأُصول العملية فانّ موضوع البراءة هو قبح العقاب بلا بيان و لا يحرز عدم البيان إلاّ مع الفحص، كما أنّ موضوع التخيير هو عدم الترجيح و لا يحرز ذلك العدم إلاّ بالفحص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موضوع الاحتياط هو احتمال العقاب الأُخروي في كلّ من طرفي العلم الإجمالي و لا يحرز إلاّ بفقد الدليل على أنّ الحرام في جانب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المحقّق الخراساني إلى القول الثاني و انّ الفحص في المقام فحص عن المزاحم بخلافه في جريان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الظاهر انّ الموردين من باب واحد، و ذلك لما أوضحناه سابقاً من أنّ أساس الاحتجاج 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الدليل الظاهر في مفهومه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قيام قرينة على خلافه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الإرادة الاستعمالية موافقة للإرادة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يُحرز الأخيران إلاّ بالفحص، إذ بالفحص يتبيّن وجود القرينة على الخلاف، كما أنّه بالفحص يتبيّن تطابق الإرادتين، إذ بوجود المخصّص يظهر عدم المطابقة و من عدمه يظهر تطابقهما، و الجميع رهن الفحص</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الذي هو في مظان التخصيص ليس بحجّة فعلية، بل حجّة شأنية، لما عرفت من جريان السيرة على عدم الاحتجاج بمثل هذا الكلام إلاّ بعد الفحص عمّا له مدخلية في تبيين الإرادة الجدية</w:t>
      </w:r>
      <w:r>
        <w:rPr>
          <w:rFonts w:eastAsia="Amiri" w:cs="Amiri" w:ascii="Amiri" w:hAnsi="Amiri"/>
          <w:color w:val="111111"/>
          <w:sz w:val="28"/>
          <w:szCs w:val="28"/>
          <w:rtl w:val="true"/>
          <w:lang w:bidi="ar-SA"/>
        </w:rPr>
        <w:t xml:space="preserve">. </w:t>
      </w:r>
      <w:bookmarkStart w:id="1250" w:name="pg14356_187157"/>
    </w:p>
    <w:p>
      <w:pPr>
        <w:pStyle w:val="Heading4"/>
        <w:numPr>
          <w:ilvl w:val="3"/>
          <w:numId w:val="1"/>
        </w:numPr>
        <w:rPr/>
      </w:pPr>
      <w:bookmarkStart w:id="1251" w:name="__RefHeading___Toc7305510_3381743652"/>
      <w:bookmarkStart w:id="1252" w:name="_Toc476"/>
      <w:bookmarkEnd w:id="1250"/>
      <w:bookmarkEnd w:id="1251"/>
      <w:r>
        <w:rPr>
          <w:rtl w:val="true"/>
        </w:rPr>
        <w:t>مقدار الفحص</w:t>
      </w:r>
      <w:bookmarkEnd w:id="1252"/>
    </w:p>
    <w:p>
      <w:pPr>
        <w:pStyle w:val="BookText"/>
        <w:rPr/>
      </w:pPr>
      <w:r>
        <w:rPr>
          <w:rFonts w:ascii="Amiri" w:hAnsi="Amiri" w:eastAsia="Amiri" w:cs="Amiri"/>
          <w:color w:val="111111"/>
          <w:sz w:val="28"/>
          <w:sz w:val="28"/>
          <w:szCs w:val="28"/>
          <w:rtl w:val="true"/>
          <w:lang w:bidi="ar-SA"/>
        </w:rPr>
        <w:t>و أمّا مقدار الفحص فيختلف حسب الأدلّة التي أُقيمت على وجوب الفحص، أمّا إذا كان الدليل وقوع العام في مظان التخصيص فيجب الفحص حتّى يخرج العام عن ذلك المظان بالرجوع إلى الكتب الأربعة، أو الوسائل المتضمنة لها و لسبعين كتاباً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أمر واضح لا حاجة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انّه اعترض المحقّق الخوئي على هذا الأمر الواضح بأنّه لا يرجع إلى معنى محصل، لأنّه بالفحص لا يخرج عن المعرضية، لأنّ الشيء لا ينقلب عمّا هو عليه</w:t>
      </w:r>
      <w:r>
        <w:rPr>
          <w:rFonts w:eastAsia="Amiri" w:cs="Amiri" w:ascii="Amiri" w:hAnsi="Amiri"/>
          <w:color w:val="111111"/>
          <w:sz w:val="28"/>
          <w:szCs w:val="28"/>
          <w:rtl w:val="true"/>
          <w:lang w:bidi="ar-SA"/>
        </w:rPr>
        <w:t>.</w:t>
      </w:r>
      <w:r>
        <w:rPr>
          <w:rStyle w:val="FootnoteAnchor"/>
          <w:rtl w:val="true"/>
        </w:rPr>
        <w:footnoteReference w:id="393"/>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المعرضية احتمال وجود مخصص وارد عليه موجود في الكتب الروائية فإذا سبر و لم يجد المخصص ينتفي ذلك الاحتمال و بالتالي يخرج عن المعرضية</w:t>
      </w:r>
      <w:r>
        <w:rPr>
          <w:rFonts w:eastAsia="Amiri" w:cs="Amiri" w:ascii="Amiri" w:hAnsi="Amiri"/>
          <w:color w:val="111111"/>
          <w:sz w:val="28"/>
          <w:szCs w:val="28"/>
          <w:rtl w:val="true"/>
          <w:lang w:bidi="ar-SA"/>
        </w:rPr>
        <w:t xml:space="preserve">. </w:t>
      </w:r>
      <w:bookmarkStart w:id="1253" w:name="pg14356_187158"/>
    </w:p>
    <w:p>
      <w:pPr>
        <w:pStyle w:val="Heading3"/>
        <w:numPr>
          <w:ilvl w:val="2"/>
          <w:numId w:val="1"/>
        </w:numPr>
        <w:rPr/>
      </w:pPr>
      <w:bookmarkStart w:id="1254" w:name="__RefHeading___Toc7305512_3381743652"/>
      <w:bookmarkStart w:id="1255" w:name="_Toc477"/>
      <w:bookmarkEnd w:id="1253"/>
      <w:bookmarkEnd w:id="1254"/>
      <w:r>
        <w:rPr>
          <w:rtl w:val="true"/>
        </w:rPr>
        <w:t>الفصل العاشر في الخطابات الشفاهية</w:t>
      </w:r>
      <w:bookmarkEnd w:id="1255"/>
    </w:p>
    <w:p>
      <w:pPr>
        <w:pStyle w:val="Heading4"/>
        <w:numPr>
          <w:ilvl w:val="3"/>
          <w:numId w:val="1"/>
        </w:numPr>
        <w:rPr/>
      </w:pPr>
      <w:bookmarkStart w:id="1256" w:name="__RefHeading___Toc7305514_3381743652"/>
      <w:bookmarkStart w:id="1257" w:name="_Toc478"/>
      <w:bookmarkEnd w:id="1256"/>
      <w:r>
        <w:rPr>
          <w:rtl w:val="true"/>
        </w:rPr>
        <w:t>اشارة</w:t>
      </w:r>
      <w:bookmarkEnd w:id="1257"/>
    </w:p>
    <w:p>
      <w:pPr>
        <w:pStyle w:val="BookText"/>
        <w:rPr/>
      </w:pPr>
      <w:r>
        <w:rPr>
          <w:rFonts w:ascii="Amiri" w:hAnsi="Amiri" w:eastAsia="Amiri" w:cs="Amiri"/>
          <w:color w:val="111111"/>
          <w:sz w:val="28"/>
          <w:sz w:val="28"/>
          <w:szCs w:val="28"/>
          <w:rtl w:val="true"/>
          <w:lang w:bidi="ar-SA"/>
        </w:rPr>
        <w:t>هل الخطابات الشفاهية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كُتِبَ عَلَيْكُمُ الصِّيامُ </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تختص بالحاضرين في محل التخاطب، أو تعمّ غيرهم من الغائبين و المعدومين؟ جعل المحقّق الخراساني محل النزاع أحد الأُمور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التكليف المتكفّل له الخطاب، هل يصحّ تعلّقه بالمعدومين كتعلّقه بالموجودين أو لا؟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تصحّ مخاطبة المعدوم و الغائب في محل الخطاب بالألفاظ الموضوعة له أو بنفس توجيه الكلام إليهم أو لا؟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الألفاظ الواقعة عقيب أداة الخطاب تعمّ المعدوم و الغائب أو لا؟ و البحث عن الأمرين الأوّلين عقلي و عن الثالث لغوي</w:t>
      </w:r>
      <w:r>
        <w:rPr>
          <w:rFonts w:eastAsia="Amiri" w:cs="Amiri" w:ascii="Amiri" w:hAnsi="Amiri"/>
          <w:color w:val="111111"/>
          <w:sz w:val="28"/>
          <w:szCs w:val="28"/>
          <w:rtl w:val="true"/>
          <w:lang w:bidi="ar-SA"/>
        </w:rPr>
        <w:t>.</w:t>
      </w:r>
      <w:r>
        <w:rPr>
          <w:rStyle w:val="FootnoteAnchor"/>
          <w:rtl w:val="true"/>
        </w:rPr>
        <w:footnoteReference w:id="395"/>
      </w:r>
    </w:p>
    <w:p>
      <w:pPr>
        <w:pStyle w:val="BookText"/>
        <w:rPr/>
      </w:pPr>
      <w:r>
        <w:rPr>
          <w:rFonts w:ascii="Amiri" w:hAnsi="Amiri" w:eastAsia="Amiri" w:cs="Amiri"/>
          <w:color w:val="111111"/>
          <w:sz w:val="28"/>
          <w:sz w:val="28"/>
          <w:szCs w:val="28"/>
          <w:rtl w:val="true"/>
          <w:lang w:bidi="ar-SA"/>
        </w:rPr>
        <w:t>و على كلّ تقدير</w:t>
      </w:r>
    </w:p>
    <w:p>
      <w:pPr>
        <w:pStyle w:val="Heading4"/>
        <w:numPr>
          <w:ilvl w:val="3"/>
          <w:numId w:val="1"/>
        </w:numPr>
        <w:rPr/>
      </w:pPr>
      <w:bookmarkStart w:id="1258" w:name="__RefHeading___Toc7305516_3381743652"/>
      <w:bookmarkStart w:id="1259" w:name="_Toc479"/>
      <w:bookmarkEnd w:id="1258"/>
      <w:r>
        <w:rPr>
          <w:rtl w:val="true"/>
        </w:rPr>
        <w:t>فلنبحث عن الجهات الثلاث</w:t>
      </w:r>
      <w:r>
        <w:rPr>
          <w:rtl w:val="true"/>
        </w:rPr>
        <w:t>.</w:t>
      </w:r>
      <w:bookmarkEnd w:id="1259"/>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60" w:name="__RefHeading___Toc7305518_3381743652"/>
      <w:bookmarkStart w:id="1261" w:name="_Toc480"/>
      <w:bookmarkEnd w:id="1260"/>
      <w:r>
        <w:rPr>
          <w:rtl w:val="true"/>
        </w:rPr>
        <w:t>اشارة</w:t>
      </w:r>
      <w:bookmarkStart w:id="1262" w:name="pg14356_187159"/>
      <w:bookmarkEnd w:id="1261"/>
    </w:p>
    <w:p>
      <w:pPr>
        <w:pStyle w:val="Heading5"/>
        <w:numPr>
          <w:ilvl w:val="4"/>
          <w:numId w:val="1"/>
        </w:numPr>
        <w:rPr/>
      </w:pPr>
      <w:bookmarkStart w:id="1263" w:name="__RefHeading___Toc7305520_3381743652"/>
      <w:bookmarkStart w:id="1264" w:name="_Toc481"/>
      <w:bookmarkEnd w:id="1262"/>
      <w:bookmarkEnd w:id="1263"/>
      <w:r>
        <w:rPr>
          <w:rtl w:val="true"/>
        </w:rPr>
        <w:t>الجهة الأُولى</w:t>
      </w:r>
      <w:r>
        <w:rPr>
          <w:rtl w:val="true"/>
        </w:rPr>
        <w:t xml:space="preserve">: </w:t>
      </w:r>
      <w:r>
        <w:rPr>
          <w:rtl w:val="true"/>
        </w:rPr>
        <w:t>في صحّة تكليف المعدوم و عدمها</w:t>
      </w:r>
      <w:bookmarkEnd w:id="1264"/>
    </w:p>
    <w:p>
      <w:pPr>
        <w:pStyle w:val="Heading6"/>
        <w:numPr>
          <w:ilvl w:val="5"/>
          <w:numId w:val="1"/>
        </w:numPr>
        <w:rPr/>
      </w:pPr>
      <w:bookmarkStart w:id="1265" w:name="__RefHeading___Toc7305522_3381743652"/>
      <w:bookmarkStart w:id="1266" w:name="_Toc482"/>
      <w:bookmarkEnd w:id="1265"/>
      <w:r>
        <w:rPr>
          <w:rtl w:val="true"/>
        </w:rPr>
        <w:t>اشارة</w:t>
      </w:r>
      <w:bookmarkEnd w:id="1266"/>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الخراساني صوّرها بوجوه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يتوجّه إليه البعث و الزجر الفعليان بأن يكون هناك بعث و زجر، و هذا ما لا يتمشى من الإنسان العاقل، و إلى هذا القسم ينظر كلامه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عدم صحّة تكليف المعدوم عقلاً بمعنى بعثه أو زجره فعلاً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نعم ذهب بعض الحنابلة إلى جواز تكليف المعدوم، و استدلّوا على جوازه بآيتين مباركتين 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أَمْرُهُ إِذا أَرادَ شَيْئاً أَنْ يَقُولَ لَهُ كُنْ فَيَكُونُ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حيث إنّه يكلّف المعدوم بقبول الوجود و التكون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رَبُّكَ مِنْ بَنِي آدَمَ مِنْ ظُهُورِهِمْ ذُرِّيَّتَهُمْ وَ أَشْهَدَهُمْ عَلى أَنْفُسِهِمْ أَ لَسْتُ بِرَبِّكُمْ قالُوا بَلى شَهِدْنا أَنْ تَقُولُوا يَوْمَ الْقِيامَةِ إِنّا كُنّا عَنْ هذا غافِلِينَ </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حيث إنّه سبحانه كلّفهم بالشهادة على ربوبيته فأجابوا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الاستدلال واه جداً</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بصدد بيان انّ إرادة اللّه سبحانه نافذة في كلّ شيء ممكن، و انّها إذا تعلّقت بتحقّق شيء و وجوده، يتحقّق فوراً بلا تريث و تربّص لا انّ هناك خطاباً لفظياً بلفظة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مخاطباً واقعياًً حتّى يكون دليلاً للحنابلة، هذا و قد فسّر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 المباركة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لمن أراد كونه، كن، فيكون، </w:t>
      </w:r>
    </w:p>
    <w:p>
      <w:pPr>
        <w:pStyle w:val="BookText"/>
        <w:rPr/>
      </w:pPr>
      <w:r>
        <w:rPr>
          <w:rFonts w:ascii="Amiri" w:hAnsi="Amiri" w:eastAsia="Amiri" w:cs="Amiri"/>
          <w:color w:val="111111"/>
          <w:sz w:val="28"/>
          <w:sz w:val="28"/>
          <w:szCs w:val="28"/>
          <w:rtl w:val="true"/>
          <w:lang w:bidi="ar-SA"/>
        </w:rPr>
        <w:t xml:space="preserve">لا بصوت يُقْرع و لا بنداء يُسمع، و إنّما كلامه فعل منه أنشأه و مثّله و لم يكن من قبل ذلك كائناً </w:t>
      </w:r>
      <w:r>
        <w:rPr>
          <w:rFonts w:eastAsia="Amiri" w:cs="Amiri" w:ascii="Amiri" w:hAnsi="Amiri"/>
          <w:color w:val="111111"/>
          <w:sz w:val="28"/>
          <w:szCs w:val="28"/>
          <w:rtl w:val="true"/>
          <w:lang w:bidi="ar-SA"/>
        </w:rPr>
        <w:t>«.</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و أمّا الآية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الاستشهاد و الشهادة بلسان القال و إنّما هو بلسان الحال، و إنّ كلّ إنسان إذا صار بشراً سوياً يشهد بفطرته على توحيده، و بصنعه على حكمته سبحانه، و لذلك يقول شيخ المفسرين الإمام الطبرسي في تفسير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بالآية انّ اللّه سبحانه أخرج بني آدم من أصلاب آبائهم إلى أرحام أُمّهاتهم ثمّ رقاهم درجة بعد درجة، و علقة ثمّ مضغة، ثمّ أنشأ كلاً منهم بشراً سوياً، ثمّ حياً مكلّفاً، و أراهم آثار صنعه، و مكّنهم في معرفة، دلائله حتّى كأنّه أشهدهم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يكون معنى أشهدهم على أنفسهم دلّهم بخلقه على 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أشهدهم على أنفسهم بذلك لما جعل في عقولهم من الأدلّة الدالّة على وحدانيته و ركّب فيهم من عجائب خلقه و غرائب صنعته و في غيرهم، فكأنّه سبحانه بمنزلة المُشْهِد لهم على أنفسهم، فكانوا في مشاهدة ذلك و ظهوره فيهم على الوجه الذي أراده اللّه و تعذر امتناعهم منه بمنزلة المعترف المقر، و إن لم يكن هناك إشهاد صورة و حقيقة نظير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 لَها وَ لِلْأَرْضِ ائْتِيا طَوْعاً أَوْ كَرْهاً قالَتا أَتَيْنا طائِعِينَ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منه سبحانه قول و لا منها جواب</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Amiri" w:hAnsi="Amiri" w:eastAsia="Amiri" w:cs="Amiri"/>
          <w:color w:val="111111"/>
          <w:sz w:val="28"/>
          <w:sz w:val="28"/>
          <w:szCs w:val="28"/>
          <w:rtl w:val="true"/>
          <w:lang w:bidi="ar-SA"/>
        </w:rPr>
        <w:t>إلى هنا تبين انّ تكليف المعدوم بالبعث و الزجر الفعليين ممّا لا يصدر من الإنسان المريد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التكليف الإنشائي للموجودين و الغائبين و المعدومين، و إلى هذا</w:t>
      </w:r>
    </w:p>
    <w:p>
      <w:pPr>
        <w:pStyle w:val="BookText"/>
        <w:rPr/>
      </w:pPr>
      <w:r>
        <w:rPr>
          <w:rFonts w:ascii="Amiri" w:hAnsi="Amiri" w:eastAsia="Amiri" w:cs="Amiri"/>
          <w:color w:val="111111"/>
          <w:sz w:val="28"/>
          <w:sz w:val="28"/>
          <w:szCs w:val="28"/>
          <w:rtl w:val="true"/>
          <w:lang w:bidi="ar-SA"/>
        </w:rPr>
        <w:t>القسم ينظر قول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بمعنى مجرّد إنشاء الطلب بلا بعث و لا زجر و لا استحالة فيه أصلاً، فانّ الإنشاء خفيف المئونة، فالحكيم تبارك و تعالى ينشأ على وفق الحكمة و المصلحة، و يطلب شيئاً قانوناً من الموجود و المعدوم حين الخطاب ليصير فعلياً بعد ما وجد الشرائط و فقد الموانع بلا حاجة إلى إنشاء آخر</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الإنشاء و إن كان خفيف المئونة لكن فيما إذا كان له معنى متصوّر، و المعدوم ليس من أفراد الناس حتّى يكون محكوماً بحكم إنشائي و إيقاعي، و إنّما يتصور الحكم الفعلي أو الإنشائي فيما إذا كان المكلّف موجوداً، فتارة يكون الحكم في حقّه فعلياً و أُخرى إنشائياً، و أمّا إذا لم يكن منه أي أثر و أي ميز فكيف يمكن أن يحكم على المعدوم و المجهول المطلق بحكم و قد اشتهر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المجهول المطلق لا يمكن الإخبار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ما استشهد في كلامه من الوقف على البطون المتعددة المتلاحقة سوف يوافيك انّ كيفية الوقف بشكل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الحكم الإنشائي الصادر لا لغرض البعث، بل لغاية التحسّر و التضجّر، لا يصير فعلياً عند تحقّق الموضوع و الصادر لغاية البعث لا يتعلّق بالمعدوم و يكون لغواً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إنشاء الحكم مقيداً بوجود المكلّف و كونه جامعاً للشرائط، و إليه أشار المحقّق الخراساني بقوله</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أنشأ مقيداً بوجود المكلّف و وجدانه للشرائط فإمكانه بمكان من الإمكان</w:t>
      </w:r>
      <w:r>
        <w:rPr>
          <w:rFonts w:eastAsia="Amiri" w:cs="Amiri" w:ascii="Amiri" w:hAnsi="Amiri"/>
          <w:color w:val="111111"/>
          <w:sz w:val="28"/>
          <w:szCs w:val="28"/>
          <w:rtl w:val="true"/>
          <w:lang w:bidi="ar-SA"/>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و هذا الوجه هو المصحّح لشمول الخطابات الشفاهية للغائبين و المعدومين لكن بتقرير يتوقّف بيانه على توضيح أقسام القضايا من حيث الموضوع،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تقسم القضايا من حيث الموضوع إلى ذهنية و خارجية و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الذهنية فهي عبارة عمّا إذا حكم على موضوع في الذهن، و 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على وجه يمتنع عليه الوجود في الخارج،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النقيضين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 لا يمتنع، و إن كان غير موجود بالفعل،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 من زيبق بارد أو جبل من الذهب لامع، فانّ الموضوع في القضيتين ليس له وجود إلاّ في الذهن و إن أمكن وجوده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الذهنية و الطبيعية حيث إنّ للقضايا تقسيماً آخر باعتبار حالات الموضوع، فتنقسم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كقولنا زيد قائم، و طبيعية كما إذا كان الحكم على الماهية بما هي هي،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نوع أو الإنسان 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بينهما انّ الموضوع في الطبيعية هي الماهية من دون نظر إلى الخارج، و لذلك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الموضوع الماهية بما هي هي، و هذا بخلاف الذهنية، فإنّ الحكم فيها على الموجود في الذهن بما انّه يحكي عن الخارج و لو بالامتناع أو عدم الوجود، كما في المثالين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النقيضين محال أو بحر من زيبق بارد</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الخارجية و الحقيقية فهما يشتركان في أنّ الحكم في كلتا القضيتين على العنوان لا على الافراد، غير أنّ العنوان في إحدى القضيتين على وجه لا ينطبق إلاّ على الافراد الموجودة حين التكلّم بخلاف الأُخرى، فإنّ العنوان فيها ذو قابلية </w:t>
      </w:r>
    </w:p>
    <w:p>
      <w:pPr>
        <w:pStyle w:val="BookText"/>
        <w:rPr/>
      </w:pPr>
      <w:r>
        <w:rPr>
          <w:rFonts w:ascii="Amiri" w:hAnsi="Amiri" w:eastAsia="Amiri" w:cs="Amiri"/>
          <w:color w:val="111111"/>
          <w:sz w:val="28"/>
          <w:sz w:val="28"/>
          <w:szCs w:val="28"/>
          <w:rtl w:val="true"/>
          <w:lang w:bidi="ar-SA"/>
        </w:rPr>
        <w:t>يصلح أن ينطبق على الافراد الموجودة عبر الزمان من غير فرق بين موجود حال التكلّم أو موجود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يشتركان في أنّ الحكم على العنوان لا على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يفترقان في أنّ العنوان في القضية الخارجية له ضيق ذاتي لا ينطبق إلاّ على الأفراد الموجودة في زمان التكلم،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مَنْ في العسكر و نُهِب ما في الدار، فانّ الإخبار عن القتل و النهب في الزمان الماضي لا ينطبق إلاّ على الموجود في ظرف التكلّم بخلاف العنوان في القضية الحقيقية، فإنّ له مرونة على وجه ينطبق على الافراد الموجودين عبر القرون فالحكم بما له بقاء في عالم الاعتبار محمول على العنوان الذي ينطبق على مصاديقه بالتدريج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فلا مانع من القول بشمول الحكم لعامّة مصاديق العنوان طول الزمان على وجه القضية الحقيقية، كما إذا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فالتكليف متعلّق بالعنوان و هو الناس، و لكنّه على وجه يتكثّر أفراده و مصاديقه طول الزمان، فللموضوع استمرار لوجود مصداق بعد مصداق و يتبعه الحكم في استمراره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كلّ ذلك كما قلنا رهن بقاء الحكم في وعاء من الأوعية و لو في عالم الاعتبار كما هو مفهوم الخاتمية، و معنى ذلك أنّ لأحكامه سبحانه وجوداً و بقاءً عبر الزمان متعلّق بالعناوين المتكثرة مصداقاً و وجوداً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يعلم حال الوقف للبطون اللاحقة، فإنّ الوقف على عنوان الأولاد و للعنوان قابلية للتكثّر من حيث الافراد طول الزمان و للحكم بقاء في عالم الاعتبار فكلّما توفرت الأفراد استتبعته الأحكام</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ممّا ذكرنا</w:t>
      </w:r>
      <w:r>
        <w:rPr>
          <w:rFonts w:eastAsia="Amiri" w:cs="Amiri" w:ascii="Amiri" w:hAnsi="Amiri"/>
          <w:color w:val="111111"/>
          <w:sz w:val="28"/>
          <w:szCs w:val="28"/>
          <w:rtl w:val="true"/>
          <w:lang w:bidi="ar-SA"/>
        </w:rPr>
        <w:t xml:space="preserve">: </w:t>
      </w:r>
      <w:bookmarkStart w:id="1267" w:name="pg14356_187164"/>
    </w:p>
    <w:p>
      <w:pPr>
        <w:pStyle w:val="BookText"/>
        <w:rPr/>
      </w:pPr>
      <w:bookmarkEnd w:id="126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لا مانع من عمومية التكاليف الواردة في الخطابات للحاضر و الغائب و المعدوم، بشرط جعل التكليف على نحو القضايا الحقيقية، أي يكون للعنوان قابلية الانطباق على الافراد طول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الحكم في كلّ من القضيتين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الخارجية و الحقيقية، على العنوان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الأفراد الخارجية مباشرة و بلا توسيط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غاية الأمر يختلف العنوانان في قابلية التطبيق ضيقاً وسعة</w:t>
      </w:r>
      <w:r>
        <w:rPr>
          <w:rFonts w:eastAsia="Amiri" w:cs="Amiri" w:ascii="Amiri" w:hAnsi="Amiri"/>
          <w:color w:val="111111"/>
          <w:sz w:val="28"/>
          <w:szCs w:val="28"/>
          <w:rtl w:val="true"/>
          <w:lang w:bidi="ar-SA"/>
        </w:rPr>
        <w:t>.</w:t>
      </w:r>
    </w:p>
    <w:p>
      <w:pPr>
        <w:pStyle w:val="Heading6"/>
        <w:numPr>
          <w:ilvl w:val="5"/>
          <w:numId w:val="1"/>
        </w:numPr>
        <w:rPr/>
      </w:pPr>
      <w:bookmarkStart w:id="1268" w:name="__RefHeading___Toc7305524_3381743652"/>
      <w:bookmarkStart w:id="1269" w:name="_Toc483"/>
      <w:bookmarkEnd w:id="1268"/>
      <w:r>
        <w:rPr>
          <w:rtl w:val="true"/>
        </w:rPr>
        <w:t>المحقّق النائيني و تفسير القضيتين</w:t>
      </w:r>
      <w:bookmarkEnd w:id="1269"/>
    </w:p>
    <w:p>
      <w:pPr>
        <w:pStyle w:val="BookText"/>
        <w:rPr/>
      </w:pPr>
      <w:r>
        <w:rPr>
          <w:rFonts w:ascii="Amiri" w:hAnsi="Amiri" w:eastAsia="Amiri" w:cs="Amiri"/>
          <w:color w:val="111111"/>
          <w:sz w:val="28"/>
          <w:sz w:val="28"/>
          <w:szCs w:val="28"/>
          <w:rtl w:val="true"/>
          <w:lang w:bidi="ar-SA"/>
        </w:rPr>
        <w:t>ثمّ إنّ للمحقّق النائيني تفسيراً خاصاً حول القضيتين نذكرهما بنصّ مقرر بحثه المحقق الكاظمي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الخارجية فعرّفها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في القضية الخارجية مترتّب ابتداءً على الخارج بلا توسط عنوان، سواء كانت القضية جزئية أو كلية، فإنّ الحكم في القضية الخارجية الكلية أيضاً إنّما يكون مترتباً على الافراد الخارجية ابتداءً من دون أن يكون هناك بين الأفراد جامع اقتضى ترتّب الحكم عليها بذلك الجامع كما في القضية الحقيقية</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خلط بين القضية الشخصية و القضية الخارجية، فانّ الحكم في القسم الأوّل يتعلق بالخارج دون توسيط عنوان،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قائم و خالد جالس، و بما انّ الجزئي لا يكون كاسباً و لا مكتسباً، صارت القضايا الشخصية غير معتبرة في العلوم</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بخلاف القضايا الخارجية فانّها من القضايا المعتبرة، و ما ذلك إلاّ لأنّ </w:t>
      </w:r>
      <w:bookmarkStart w:id="1270" w:name="pg14356_187165"/>
    </w:p>
    <w:p>
      <w:pPr>
        <w:pStyle w:val="BookText"/>
        <w:rPr/>
      </w:pPr>
      <w:bookmarkEnd w:id="1270"/>
      <w:r>
        <w:rPr>
          <w:rFonts w:ascii="Amiri" w:hAnsi="Amiri" w:eastAsia="Amiri" w:cs="Amiri"/>
          <w:color w:val="111111"/>
          <w:sz w:val="28"/>
          <w:sz w:val="28"/>
          <w:szCs w:val="28"/>
          <w:rtl w:val="true"/>
          <w:lang w:bidi="ar-SA"/>
        </w:rPr>
        <w:t>الحكم متعلّق بالعنوان القابل للتكثّر، و إلاّ فلو كان سبيل القضايا الخارجية سبيل الشخصية فلما ذا فرقوا بينهما بالاعتبار و عدم الاعتبار؟ 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 القضية الحقيقية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ما كان الحكم فيها وارداً على العنوان و الطبيعة بلحاظ مرآتية العنوان لما ينطبق عليه في الخارج بحيث يرد الحكم على الخارجيات بتوسط العنوان الجامع</w:t>
      </w:r>
      <w:r>
        <w:rPr>
          <w:rFonts w:eastAsia="Amiri" w:cs="Amiri" w:ascii="Amiri" w:hAnsi="Amiri"/>
          <w:color w:val="111111"/>
          <w:sz w:val="28"/>
          <w:szCs w:val="28"/>
          <w:rtl w:val="true"/>
          <w:lang w:bidi="ar-SA"/>
        </w:rPr>
        <w:t>.</w:t>
      </w:r>
      <w:r>
        <w:rPr>
          <w:rStyle w:val="FootnoteAnchor"/>
          <w:rtl w:val="true"/>
        </w:rPr>
        <w:footnoteReference w:id="403"/>
      </w:r>
    </w:p>
    <w:p>
      <w:pPr>
        <w:pStyle w:val="BookText"/>
        <w:rPr/>
      </w:pPr>
      <w:r>
        <w:rPr>
          <w:rFonts w:ascii="Amiri" w:hAnsi="Amiri" w:eastAsia="Amiri" w:cs="Amiri"/>
          <w:color w:val="111111"/>
          <w:sz w:val="28"/>
          <w:sz w:val="28"/>
          <w:szCs w:val="28"/>
          <w:rtl w:val="true"/>
          <w:lang w:bidi="ar-SA"/>
        </w:rPr>
        <w:t>هذا ما ذكره في أوائل مبحث العام و الخاص و أضاف في المقام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القضايا الحقيقية فحيث إنّها متكفّلة لفرض وجود الموضوع، و كان الخطاب خطاباً لما فرض وجوده من أفراد الطبيعة كانت الافراد متساوية الاقدام في اندراجها تحت الخطاب، فتستوي الأفراد الموجودة في زمن الخطاب و غيره</w:t>
      </w:r>
      <w:r>
        <w:rPr>
          <w:rFonts w:eastAsia="Amiri" w:cs="Amiri" w:ascii="Amiri" w:hAnsi="Amiri"/>
          <w:color w:val="111111"/>
          <w:sz w:val="28"/>
          <w:szCs w:val="28"/>
          <w:rtl w:val="true"/>
          <w:lang w:bidi="ar-SA"/>
        </w:rPr>
        <w:t>.</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ذكره من تعلّق الحكم في القضايا الحقيقية بالعنوان بلحاظ مرآتيته و إن كان صحيحاً، لكن تقييد العنوان بفرض وجود الموضوع تكلّف لا يحتاج إليه، بشهادة انّه ليس من فرض وجود الموضوع في ذهن المتكلّم شيء، و قد عرفت أنّه يكفي تعلّق الحكم بنفس العنوان الحاكي عن الخارج حسب مرور الزمان و عبر الأجيال و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تكفي قابلية انطباق العنوان على الأفراد الموجودة تدريجاً في عمود الزمان</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7305526_3381743652"/>
      <w:bookmarkStart w:id="1272" w:name="_Toc484"/>
      <w:bookmarkEnd w:id="1271"/>
      <w:r>
        <w:rPr>
          <w:rtl w:val="true"/>
        </w:rPr>
        <w:t>الجهة الثانية</w:t>
      </w:r>
      <w:r>
        <w:rPr>
          <w:rtl w:val="true"/>
        </w:rPr>
        <w:t xml:space="preserve">: </w:t>
      </w:r>
      <w:r>
        <w:rPr>
          <w:rtl w:val="true"/>
        </w:rPr>
        <w:t>في إمكان خطاب المعدوم</w:t>
      </w:r>
      <w:bookmarkEnd w:id="1272"/>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كان البحث في الجهة السابقة منصبّاً على تكليف المعدوم و في هذه الجهة </w:t>
      </w:r>
    </w:p>
    <w:p>
      <w:pPr>
        <w:pStyle w:val="BookText"/>
        <w:rPr/>
      </w:pPr>
      <w:r>
        <w:rPr>
          <w:rFonts w:ascii="Amiri" w:hAnsi="Amiri" w:eastAsia="Amiri" w:cs="Amiri"/>
          <w:color w:val="111111"/>
          <w:sz w:val="28"/>
          <w:sz w:val="28"/>
          <w:szCs w:val="28"/>
          <w:rtl w:val="true"/>
          <w:lang w:bidi="ar-SA"/>
        </w:rPr>
        <w:t>إلى إمكان توجيه خطاب إليه لغاية التفهيم و التفهم، و قد صرّح المحقّق الخراساني بامتناعه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ريب في عدم صحّة خطاب المعدوم، بل الغائب حقيقة و عدم إمكانه ضرورة عدم تحقّق توجيه الكلام نحو الغير حقيقة، إلاّ إذا كان موجوداً بحيث يتوجّه إلى الكلام و يلتفت إليه</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امتناع تكليف المعدوم كامتناع خطابه من باب واحد، فلو أمكن تكليف المعدوم عن طريق القضية الحقيقية، يمكن توجيه الخطاب إليه عن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أُريد من امتناع خطاب المعدوم و الغائب، الخطاب الشفهي و الخطاب الحدوثي فهو أمر مسلم، فإنّ الخطاب الشفهي قائم بمخاطِب و مخاطَب و المفروض كون المخاطب معدوماً أو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لو أُريد من الخطاب هو وجوده الاستمراري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له في نظر العقلاء استمرار و بقاء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الإمكان بمكان، و عندئذ فالمخاطب له بقاء بملاحظة بقاء خطابه و المخاطَب حاضر لا غائب و لا معدوم، و عندئذ تكتمل أركان الخطاب</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قال بالامتناع نظر إلى الخطاب بوجوده الحدوثي الزائل و غضّ النظر عن أنّ للخطاب نوع بقاء عند العقلاء في الصدور و الألسن أوّلاً، و الرسائل و الكتب ثانياً، و الأشرطة و الأقراص المضغوطة ثالثاً، و لأجل ذلك نرى أنّ الرؤساء يوجهون خطابهم للأجيال الحاضرة و الغائبة، و لا يخطر على بالهم أنّ الخطاب الحقيقي لا يمكن توجيهه إلى الغائب و المعدوم، و ما ذلك إلاّ لأنّهم يرون أنّ لخطاباتهم بقاءً في القلوب و الصدور، و الألواح و الكتب و أخيراً </w:t>
      </w:r>
    </w:p>
    <w:p>
      <w:pPr>
        <w:pStyle w:val="BookText"/>
        <w:rPr/>
      </w:pPr>
      <w:r>
        <w:rPr>
          <w:rFonts w:ascii="Amiri" w:hAnsi="Amiri" w:eastAsia="Amiri" w:cs="Amiri"/>
          <w:color w:val="111111"/>
          <w:sz w:val="28"/>
          <w:sz w:val="28"/>
          <w:szCs w:val="28"/>
          <w:rtl w:val="true"/>
          <w:lang w:bidi="ar-SA"/>
        </w:rPr>
        <w:t>في أجهزة تسجيل الصوت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فلو كان العنوان المأخوذ في الخطابات من العناوين المنطبقة على الأفراد عبر الزمان و كان للخطاب بقاء و ثبات، فلا مانع من توجيه الخطاب الحقيقي إلى الغائب و المعدوم بهذا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نرى أنّه سبحانه يخاطب قاطبة البشر في نسل بني آدم إلى من يأتي إلى يوم القيامة بالآيات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قَدْ أَنْزَلْنا عَلَيْكُمْ لِباساً يُوارِي سَوْآتِكُمْ وَ رِيشاً وَ لِباسُ التَّقْوى ذلِكَ خَيْرٌ ذلِكَ مِنْ آياتِ اللّهِ لَعَلَّهُمْ يَذَّكَّرُونَ </w:t>
      </w:r>
      <w:r>
        <w:rPr>
          <w:rFonts w:eastAsia="Amiri" w:cs="Amiri" w:ascii="Amiri" w:hAnsi="Amiri"/>
          <w:color w:val="111111"/>
          <w:sz w:val="28"/>
          <w:szCs w:val="28"/>
          <w:rtl w:val="true"/>
          <w:lang w:bidi="ar-SA"/>
        </w:rPr>
        <w:t>).</w:t>
      </w:r>
      <w:r>
        <w:rPr>
          <w:rStyle w:val="FootnoteAnchor"/>
          <w:rtl w:val="true"/>
        </w:rPr>
        <w:footnoteReference w:id="40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لا يَفْتِنَنَّكُمُ الشَّيْطانُ كَما أَخْرَجَ أَبَوَيْكُمْ مِنَ الْجَنَّةِ </w:t>
      </w:r>
      <w:r>
        <w:rPr>
          <w:rFonts w:eastAsia="Amiri" w:cs="Amiri" w:ascii="Amiri" w:hAnsi="Amiri"/>
          <w:color w:val="111111"/>
          <w:sz w:val="28"/>
          <w:szCs w:val="28"/>
          <w:rtl w:val="true"/>
          <w:lang w:bidi="ar-SA"/>
        </w:rPr>
        <w:t>).</w:t>
      </w:r>
      <w:r>
        <w:rPr>
          <w:rStyle w:val="FootnoteAnchor"/>
          <w:rtl w:val="true"/>
        </w:rPr>
        <w:footnoteReference w:id="40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خُذُوا زِينَتَكُمْ عِنْدَ كُلِّ مَسْجِدٍ </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آدَمَ إِمّا يَأْتِيَنَّكُمْ رُسُلٌ مِنْكُمْ يَقُصُّونَ عَلَيْكُمْ آياتِي فَمَنِ اتَّقى وَ أَصْلَحَ فَلا خَوْفٌ عَلَيْهِمْ وَ لا هُمْ يَحْزَنُونَ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الخطاب الحقيقي يدور على وجود الخطاب بنحو من الأنحاء و وصوله إلى المخاطب و كون المخاطب موجوداً، و الشرطان موجودان في عامة الخطابات الشفاهية</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ممّا ذكرنا إمكان خطاب المعدوم و الغائب كما ثبت صحّة تكليفهما، كلّ ذلك على نحو القضايا الحقيقية أوّلاً، و بقاء الخطاب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سيّدنا الأُستاذ صحّح تكليف المعدوم عن طريق القضية الحقيقية و لكنّه لم يُصحّح خطاب الغائب و المعدوم عن تلك الطريقة، فقال في الفرق بين الموردين 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في القضية الحقيقية على عنوان للافراد قابل للصدق على كلّ مصداق موجود فعلاً أو ما يوجد في القابل، و مثل ذلك لا يتصور في الخطاب، إذ لا يمكن أن يتعلّق الخطاب بعنوان أو أفراد له و لو لم تكن حاضرة في مجلس التخاطب و الخطاب نحو توجه تكويني نحو المخاطب لغرض التفهيم، و مثل ذلك يتوقّف على حاضر ملتفت، و المعدوم و الغائب ليسا حاضرين و لا ملتفتين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ما سلكناه من التمسك بالقضية الحقيقية، في غير الخطابات لا يجري فيها، إذ الخطاب الحقيقي يستلزم وجوداً للمخاطَب، و وجوداً واقعياً للمخاطِب، و القول بأنّ الخطاب متوجّه إلى العنوان كجعل الحكم عليه، مغالطة محضة، لأنّ تصوّر الخطاب بالحمل الشائع يأبى عن التفوه بذلك</w:t>
      </w:r>
      <w:r>
        <w:rPr>
          <w:rFonts w:eastAsia="Amiri" w:cs="Amiri" w:ascii="Amiri" w:hAnsi="Amiri"/>
          <w:color w:val="111111"/>
          <w:sz w:val="28"/>
          <w:szCs w:val="28"/>
          <w:rtl w:val="true"/>
          <w:lang w:bidi="ar-SA"/>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عدم الفرق بين التكليف و الخطاب و انّ الممتنع، ممتنع في كلا المقامين و الممكن منها ممكن كذلك، و ذلك لأنّ الخطاب و إن كان لا ينفك عن المخاطب و لكن المفروض وجود المخاطَب في كلتا المرحلتين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الحدوث و البقاء</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ليس المدعى شمول الخطاب بوجوده الحدوثي الغائبينَ و المعدومين، حتّى يتم ما ذكره، بل المراد شمول الخطاب لا بوجوده الحدوثي، بل بوجوده الاستمراري، فكما أنّ الموضوع ينطبق على مصاديقه حسب التدريج، فهكذا الخطاب يتحقّق شيئاً فشيئاً بوجوده الاستمراري على مصاديقه التدريجية عبر </w:t>
      </w:r>
      <w:bookmarkStart w:id="1273" w:name="pg14356_187169"/>
    </w:p>
    <w:p>
      <w:pPr>
        <w:pStyle w:val="BookText"/>
        <w:rPr/>
      </w:pPr>
      <w:bookmarkEnd w:id="1273"/>
      <w:r>
        <w:rPr>
          <w:rFonts w:ascii="Amiri" w:hAnsi="Amiri" w:eastAsia="Amiri" w:cs="Amiri"/>
          <w:color w:val="111111"/>
          <w:sz w:val="28"/>
          <w:sz w:val="28"/>
          <w:szCs w:val="28"/>
          <w:rtl w:val="true"/>
          <w:lang w:bidi="ar-SA"/>
        </w:rPr>
        <w:t>الزمان أو غير الحاضرين في زمن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الخطاب بوجوده الحدوثي تكويني، و بوجوده الاستمراري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الأشرطة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اعتباريّ، و هذا يكفي في الشمول، و ترتّب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الجهة الثانية</w:t>
      </w:r>
      <w:r>
        <w:rPr>
          <w:rFonts w:eastAsia="Amiri" w:cs="Amiri" w:ascii="Amiri" w:hAnsi="Amiri"/>
          <w:color w:val="111111"/>
          <w:sz w:val="28"/>
          <w:szCs w:val="28"/>
          <w:rtl w:val="true"/>
          <w:lang w:bidi="ar-SA"/>
        </w:rPr>
        <w:t>.</w:t>
      </w:r>
    </w:p>
    <w:p>
      <w:pPr>
        <w:pStyle w:val="Heading5"/>
        <w:numPr>
          <w:ilvl w:val="4"/>
          <w:numId w:val="1"/>
        </w:numPr>
        <w:rPr/>
      </w:pPr>
      <w:bookmarkStart w:id="1274" w:name="__RefHeading___Toc7305528_3381743652"/>
      <w:bookmarkStart w:id="1275" w:name="_Toc485"/>
      <w:bookmarkEnd w:id="1274"/>
      <w:r>
        <w:rPr>
          <w:rtl w:val="true"/>
        </w:rPr>
        <w:t>الجهة الثالثة</w:t>
      </w:r>
      <w:r>
        <w:rPr>
          <w:rtl w:val="true"/>
        </w:rPr>
        <w:t xml:space="preserve">: </w:t>
      </w:r>
      <w:r>
        <w:rPr>
          <w:rtl w:val="true"/>
        </w:rPr>
        <w:t>عمومية ما وقع بعد أداة الخطاب</w:t>
      </w:r>
      <w:bookmarkEnd w:id="1275"/>
    </w:p>
    <w:p>
      <w:pPr>
        <w:pStyle w:val="BookText"/>
        <w:rPr/>
      </w:pPr>
      <w:r>
        <w:rPr>
          <w:rFonts w:ascii="Amiri" w:hAnsi="Amiri" w:eastAsia="Amiri" w:cs="Amiri"/>
          <w:color w:val="111111"/>
          <w:sz w:val="28"/>
          <w:sz w:val="28"/>
          <w:szCs w:val="28"/>
          <w:rtl w:val="true"/>
          <w:lang w:bidi="ar-SA"/>
        </w:rPr>
        <w:t>ثمّ إنّه يقع الكلام في عموم الألفاظ الواقعة عقيب أداة النداء و الخطاب للغائبين و المعدومين و عدم عمومها لهما بقرينة تلك الأداة و قد فصّل المحقّق الخراساني في المقام و بناه على ما هو المختار في الجهة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قلنا بأنّ ما وضع للخطاب مثل أدوات النداء، موضوع للخطاب الحقيقي لأوجب استعماله فيه، تخصيص ما يقع في تلوه بالحاضرين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قلنا بأنّها موضوعة للخطاب الإيقاعي الإنشائي، يلازم ذلك عموم ما وقع تلو النداء، للغائب و المعدوم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استقرب الوجه الثاني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استعمال ما وقع تلو أداة النداء في العموم من الحاضرين و غيرهم، قرينة على استعمال حرف النداء في غير الخطاب الحقيقي</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ادّعى انّ أدوات النداء موضوعة للخطاب الإيقاعي الإنشائي فربّما يخاطب بها، لا تفهيماً و لا تفهماً، بل لإبراز الحزن كما في قول القائل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كوكباً ما كان أقصر عمره و كذا تكون كواكب الأسحار</w:t>
      </w:r>
    </w:p>
    <w:p>
      <w:pPr>
        <w:pStyle w:val="BookText"/>
        <w:rPr/>
      </w:pPr>
      <w:r>
        <w:rPr>
          <w:rFonts w:ascii="Amiri" w:hAnsi="Amiri" w:eastAsia="Amiri" w:cs="Amiri"/>
          <w:color w:val="111111"/>
          <w:sz w:val="28"/>
          <w:sz w:val="28"/>
          <w:szCs w:val="28"/>
          <w:rtl w:val="true"/>
          <w:lang w:bidi="ar-SA"/>
        </w:rPr>
        <w:t>أو لغايات أُخرى، فلو كان موضوعاً للخطاب الإنشائي لا يلزم تخصيص ما وقع بعده بالحاضرين، إذ ليست الغاية من الخطاب، البعث و الزجر حتّى يختص بالحاضرين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انصرافها إلى الحقيقي لو لا وجود القرينة على خلاف الانصراف، و هو عدم اختصاص الحكم بالحاضرين بضرورة من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يشهد على انّها موضوعة للخطاب الإنشائي، انّه لو كانت موضوعة للخطاب الحقيقي يجب أن يكون استعمالها في الخطاب الإنشائي مجازاً صادراً عن المتكلّم بعناية بمعنى تنزيل ما ليس له شعور، مكان ما له شعور مجازاً مع عدم أي أثر من العناية و التنزيل في ذهن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بين كون أداة النداء موضوعة للخطاب الإنشائي، و عمومية ما وقع بعده لغير الحاضرين، ضرورة انّ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كثير من الآيات لا يصدق إلاّ على الموجودين، فليس المعدوم ناساً و لا مستطيعاً، و لا مؤمناً و لا مصداقاً لأمر من الأُمور، فالسعي في جعل الخطاب إنشائياً، لغاية التعميم ليس ناجحاً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جعل خطابات القرآن خطابات إنشائية جاءت لغايات غير التفهيم و التعلم، يحطّ من مكانة القرآن الذي يقول فيه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أَنْزَلْناهُ إِلَيْكَ مُبارَكٌ لِيَدَّبَّرُوا آياتِهِ </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 إلى غير ذلك من الآيات التي تعرّف الغاية من </w:t>
      </w:r>
      <w:bookmarkStart w:id="1276" w:name="pg14356_187171"/>
    </w:p>
    <w:p>
      <w:pPr>
        <w:pStyle w:val="BookText"/>
        <w:rPr/>
      </w:pPr>
      <w:bookmarkEnd w:id="1276"/>
      <w:r>
        <w:rPr>
          <w:rFonts w:ascii="Amiri" w:hAnsi="Amiri" w:eastAsia="Amiri" w:cs="Amiri"/>
          <w:color w:val="111111"/>
          <w:sz w:val="28"/>
          <w:sz w:val="28"/>
          <w:szCs w:val="28"/>
          <w:rtl w:val="true"/>
          <w:lang w:bidi="ar-SA"/>
        </w:rPr>
        <w:t>خطاباته، و هذا النوع من الغاية لا ينفك عن كون خطاباته 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تُتخذ نظرية كون الخطابات إنشائية ذريعة لتصحيح ما نقل عن بعض متكلّمي المسيحيّين من أنّ بعض ما ورد في القرآن من القصص و القضايا تمثيلات و أُمور رمزية ليست لها حقائق و واقعيات سوى تقريب المعارف، فإبليس و آدم و حواء و الجنة رموز لأهداف تربوية في لباس الحكاية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انّ أداة النداء وضعت للخطاب الحقيقي و لكنّه لا يكون سبباً لاختصاص ما وقع بعده من العنوان، للحاضرين، لما عرفت أنّ للخطاب الحقيقي بقاءً في نظر العرف بأحد الأسباب، و معه يعمّ الخطاب و ما وقع بعده للغائبين و المعدومين جميعاً</w:t>
      </w:r>
      <w:r>
        <w:rPr>
          <w:rFonts w:eastAsia="Amiri" w:cs="Amiri" w:ascii="Amiri" w:hAnsi="Amiri"/>
          <w:color w:val="111111"/>
          <w:sz w:val="28"/>
          <w:szCs w:val="28"/>
          <w:rtl w:val="true"/>
          <w:lang w:bidi="ar-SA"/>
        </w:rPr>
        <w:t>.</w:t>
      </w:r>
    </w:p>
    <w:p>
      <w:pPr>
        <w:pStyle w:val="Heading4"/>
        <w:numPr>
          <w:ilvl w:val="3"/>
          <w:numId w:val="1"/>
        </w:numPr>
        <w:rPr/>
      </w:pPr>
      <w:bookmarkStart w:id="1277" w:name="__RefHeading___Toc7305530_3381743652"/>
      <w:bookmarkStart w:id="1278" w:name="_Toc486"/>
      <w:bookmarkEnd w:id="1277"/>
      <w:r>
        <w:rPr>
          <w:rtl w:val="true"/>
        </w:rPr>
        <w:t>نظرية السيد الأُستاذ</w:t>
      </w:r>
      <w:bookmarkEnd w:id="1278"/>
    </w:p>
    <w:p>
      <w:pPr>
        <w:pStyle w:val="BookText"/>
        <w:rPr/>
      </w:pPr>
      <w:r>
        <w:rPr>
          <w:rFonts w:ascii="Amiri" w:hAnsi="Amiri" w:eastAsia="Amiri" w:cs="Amiri"/>
          <w:color w:val="111111"/>
          <w:sz w:val="28"/>
          <w:sz w:val="28"/>
          <w:szCs w:val="28"/>
          <w:rtl w:val="true"/>
          <w:lang w:bidi="ar-SA"/>
        </w:rPr>
        <w:t>ثمّ إنّ سيدنا الأُستاذ عطف الجهة الثالثة على الجهة الثانية و بحث عنهما معاً دون أن يفصل بينهما، و اختار شمول الخطابات القرآنية لعامّة الناس إلى يوم القيامة لكن ببيان آخر، و حاصله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الخطابات القرآنية ليست خطابات شفاهية لفظية حتّى يقابِلُ فيها الشخصُ بالشخص، بل هي خطابات أشبه بالخطابات الواردة في الكتب و الرسائل العلمية، فإنّ المؤلف مع أنّه يخاطب، لا يخاطب شخصاً معيناً، بل يخاطب كلّ من قرأ كتابه، فهكذا القرآن لا يخاطب شخصاً خاصاً، بل يخاطب كلّ من سمعه، و لذلك يأمر نبيه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أُوحِيَ إِلَيَّ هذَا الْقُرْآنُ لِأُنْذِرَكُمْ بِهِ وَ مَنْ بَلَغَ </w:t>
      </w:r>
      <w:r>
        <w:rPr>
          <w:rFonts w:eastAsia="Amiri" w:cs="Amiri" w:ascii="Amiri" w:hAnsi="Amiri"/>
          <w:color w:val="111111"/>
          <w:sz w:val="28"/>
          <w:szCs w:val="28"/>
          <w:rtl w:val="true"/>
          <w:lang w:bidi="ar-SA"/>
        </w:rPr>
        <w:t>).</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شَهْرُ رَمَضانَ الَّذِي أُنْزِلَ فِيهِ الْقُرْآنُ هُدىً لِلنّاسِ </w:t>
      </w:r>
      <w:r>
        <w:rPr>
          <w:rFonts w:eastAsia="Amiri" w:cs="Amiri" w:ascii="Amiri" w:hAnsi="Amiri"/>
          <w:color w:val="111111"/>
          <w:sz w:val="28"/>
          <w:szCs w:val="28"/>
          <w:rtl w:val="true"/>
          <w:lang w:bidi="ar-SA"/>
        </w:rPr>
        <w:t>).</w:t>
      </w:r>
      <w:r>
        <w:rPr>
          <w:rStyle w:val="FootnoteAnchor"/>
          <w:rtl w:val="true"/>
        </w:rPr>
        <w:footnoteReference w:id="415"/>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صَرَّفْنا فِي هذَا الْقُرْآنِ لِلنّاسِ مِنْ كُلِّ مَثَلٍ </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إلى غير ذلك من الآيات التي تصفُ القرآن بانّه منذر لكلّ من بلغ إليه و هداية للناس عامة، و ما هذا إلاّ لأنّ خطاباته ليست خطابات شفوية، بل أشبه بخطابات تحريرية لا يقصد سوى من ينطبق عليه العنوان التالي لأدوات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نزول الوحي و كان ينزل على قلب سيد المرسلين و لم يكن الخطاب مسموعاً لأحد من الأُمّة، بل يمكن أن يقال بعدم وصول خطاب لفظي إلى الرسول و إنّما يجده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قلبه منقوشاً و موجوداً،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بِهِ الرُّوحُ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قَلْبِكَ لِتَكُونَ مِنَ الْمُنْذِرِينَ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فعلى ضوء ذلك فحساب الخطابات القرآنية غير حساب الخطابات الشفوية الشخصية التي تتبادل بين شخصين، و عند ذلك لا مانع من أن يعم الجميع و تشمل جميع الأشخاص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مزيداً من التوضيح فلاحظ انّ الخطابات التي يوجهها رؤساء الدول إلى شعوبهم، خطابات حقيقية لغاية التفهيم و التفهم و لكن ليس من قبيل مخاطبة شخص لشخص، و لذلك يعمّ الحاضر و الغائب حتّى غير الموجودين</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إمكان تفسير الخطابات عن هذا الطريق لا حاجة إلى التمسك بأنّ خطابات القرآن خطابات إيقاعية أو إنشائية أو من قبيل القضايا الحقيقية، أو أنّ </w:t>
      </w:r>
      <w:bookmarkStart w:id="1279" w:name="pg14356_187173"/>
    </w:p>
    <w:p>
      <w:pPr>
        <w:pStyle w:val="BookText"/>
        <w:rPr/>
      </w:pPr>
      <w:bookmarkEnd w:id="1279"/>
      <w:r>
        <w:rPr>
          <w:rFonts w:ascii="Amiri" w:hAnsi="Amiri" w:eastAsia="Amiri" w:cs="Amiri"/>
          <w:color w:val="111111"/>
          <w:sz w:val="28"/>
          <w:sz w:val="28"/>
          <w:szCs w:val="28"/>
          <w:rtl w:val="true"/>
          <w:lang w:bidi="ar-SA"/>
        </w:rPr>
        <w:t>خطاباته مختصة بالموجودين ثمّ تعميمه بدليل آخر، أعني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حكمي على الأولين، كحكمي على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كلّ ذلك تطرف في الكلام و التزام بما لا يلزم</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7305532_3381743652"/>
      <w:bookmarkStart w:id="1281" w:name="_Toc487"/>
      <w:bookmarkEnd w:id="1280"/>
      <w:r>
        <w:rPr>
          <w:rtl w:val="true"/>
        </w:rPr>
        <w:t>حصيلة البحث</w:t>
      </w:r>
      <w:bookmarkEnd w:id="1281"/>
    </w:p>
    <w:p>
      <w:pPr>
        <w:pStyle w:val="BookText"/>
        <w:rPr/>
      </w:pPr>
      <w:r>
        <w:rPr>
          <w:rFonts w:ascii="Amiri" w:hAnsi="Amiri" w:eastAsia="Amiri" w:cs="Amiri"/>
          <w:color w:val="111111"/>
          <w:sz w:val="28"/>
          <w:sz w:val="28"/>
          <w:szCs w:val="28"/>
          <w:rtl w:val="true"/>
          <w:lang w:bidi="ar-SA"/>
        </w:rPr>
        <w:t>إنّ تعميم خطاباته سبحانه إلى الغائبين و المعدومين، رهن صحّة أحد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خطاباته بل عامّة تكاليفه و إن لم يكن بصورة الخطاب من قبيل القضايا الحقيقية، و قد عرفت أنّ للخطاب بقاءً فيعمّ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 كانت بصورة الخطاب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عامّة المكلّفين عبر القرون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خطاباته بل مطلق ما جاء في القرآن، من الكلام، من قبيل خطابات المؤلّفين و الواقفين و الموصين، فكلّها خطابات رسائلية، لا شفوية، يقصد به كلّ من وقف عليها، سواء أ كان موجوداً حين التكلّم، أو لا لكنّه سيوجد في طول الزمان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جعل الخطابات القرآنية من قبيل الخطابات الإيقاعية و الإنشائية التي ربما يقصد بها غير التفهيم، بل الرثاء و إظهار الأسف، فمثل ذا، لا يتوقّف صحة خطابه على وجود المخاطب، و قد عرفت بطلان هذا الوجه فلا نعيد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هناك وجه آخر، نقل صاحب الفصول عن بعض الحنابلة أنّ القول بوضع أداة الخطاب للحقيقي لا يلازم اختصاص خطاباته بالمشافهين، و ذلك لإحاطته بالموجود في الحال و الاستقبال</w:t>
      </w:r>
      <w:r>
        <w:rPr>
          <w:rFonts w:eastAsia="Amiri" w:cs="Amiri" w:ascii="Amiri" w:hAnsi="Amiri"/>
          <w:color w:val="111111"/>
          <w:sz w:val="28"/>
          <w:szCs w:val="28"/>
          <w:rtl w:val="true"/>
          <w:lang w:bidi="ar-SA"/>
        </w:rPr>
        <w:t>.</w:t>
      </w:r>
      <w:r>
        <w:rPr>
          <w:rStyle w:val="FootnoteAnchor"/>
          <w:rtl w:val="true"/>
        </w:rPr>
        <w:footnoteReference w:id="418"/>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خلط بين علمه سبحانه بالأُمور و بين فعله المتنزل إلى إطار </w:t>
      </w:r>
      <w:bookmarkStart w:id="1282" w:name="pg14356_187174"/>
    </w:p>
    <w:p>
      <w:pPr>
        <w:pStyle w:val="BookText"/>
        <w:rPr/>
      </w:pPr>
      <w:bookmarkEnd w:id="1282"/>
      <w:r>
        <w:rPr>
          <w:rFonts w:ascii="Amiri" w:hAnsi="Amiri" w:eastAsia="Amiri" w:cs="Amiri"/>
          <w:color w:val="111111"/>
          <w:sz w:val="28"/>
          <w:sz w:val="28"/>
          <w:szCs w:val="28"/>
          <w:rtl w:val="true"/>
          <w:lang w:bidi="ar-SA"/>
        </w:rPr>
        <w:t>الزمان فعلمه الذاتي بما انّه فوق المادّة و لا يتطرق إليه الزمان مطلقاً، يتعلّق بالأشياء دفعة واحدة، إذ ليس هناك تدريج و العالم كله حاضر لديه أخذاً بالقاعدة الثانية في الفلسفة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المتدرجات في وعاء الزمان، مجتمعات في وعاء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الكلام ليس في علمه الذاتي، بل في فعله المتنزل إلى حد المادة المحدود بحدّ الزمان، فهو بما انّه محدّد بإطار الزمان، لا يشمل إلاّ الموجود حين الخطاب و صار مخاطباً</w:t>
      </w:r>
      <w:r>
        <w:rPr>
          <w:rFonts w:eastAsia="Amiri" w:cs="Amiri" w:ascii="Amiri" w:hAnsi="Amiri"/>
          <w:color w:val="111111"/>
          <w:sz w:val="28"/>
          <w:szCs w:val="28"/>
          <w:rtl w:val="true"/>
          <w:lang w:bidi="ar-SA"/>
        </w:rPr>
        <w:t>.</w:t>
      </w:r>
    </w:p>
    <w:p>
      <w:pPr>
        <w:pStyle w:val="Heading4"/>
        <w:numPr>
          <w:ilvl w:val="3"/>
          <w:numId w:val="1"/>
        </w:numPr>
        <w:rPr/>
      </w:pPr>
      <w:bookmarkStart w:id="1283" w:name="__RefHeading___Toc7305534_3381743652"/>
      <w:bookmarkStart w:id="1284" w:name="_Toc488"/>
      <w:bookmarkEnd w:id="1283"/>
      <w:r>
        <w:rPr>
          <w:rtl w:val="true"/>
        </w:rPr>
        <w:t>ثمرة البحث</w:t>
      </w:r>
      <w:bookmarkEnd w:id="1284"/>
    </w:p>
    <w:p>
      <w:pPr>
        <w:pStyle w:val="Heading5"/>
        <w:numPr>
          <w:ilvl w:val="4"/>
          <w:numId w:val="1"/>
        </w:numPr>
        <w:rPr/>
      </w:pPr>
      <w:bookmarkStart w:id="1285" w:name="__RefHeading___Toc7305536_3381743652"/>
      <w:bookmarkStart w:id="1286" w:name="_Toc489"/>
      <w:bookmarkEnd w:id="1285"/>
      <w:r>
        <w:rPr>
          <w:rtl w:val="true"/>
        </w:rPr>
        <w:t>اشارة</w:t>
      </w:r>
      <w:bookmarkEnd w:id="1286"/>
    </w:p>
    <w:p>
      <w:pPr>
        <w:pStyle w:val="BookText"/>
        <w:rPr/>
      </w:pPr>
      <w:r>
        <w:rPr>
          <w:rFonts w:ascii="Amiri" w:hAnsi="Amiri" w:eastAsia="Amiri" w:cs="Amiri"/>
          <w:color w:val="111111"/>
          <w:sz w:val="28"/>
          <w:sz w:val="28"/>
          <w:szCs w:val="28"/>
          <w:rtl w:val="true"/>
          <w:lang w:bidi="ar-SA"/>
        </w:rPr>
        <w:t>ذكر المحقّق الخراساني للبحث ثمرتين</w:t>
      </w:r>
      <w:r>
        <w:rPr>
          <w:rFonts w:eastAsia="Amiri" w:cs="Amiri" w:ascii="Amiri" w:hAnsi="Amiri"/>
          <w:color w:val="111111"/>
          <w:sz w:val="28"/>
          <w:szCs w:val="28"/>
          <w:rtl w:val="true"/>
          <w:lang w:bidi="ar-SA"/>
        </w:rPr>
        <w:t>:</w:t>
      </w:r>
    </w:p>
    <w:p>
      <w:pPr>
        <w:pStyle w:val="Heading5"/>
        <w:numPr>
          <w:ilvl w:val="4"/>
          <w:numId w:val="1"/>
        </w:numPr>
        <w:rPr/>
      </w:pPr>
      <w:bookmarkStart w:id="1287" w:name="__RefHeading___Toc7305538_3381743652"/>
      <w:bookmarkStart w:id="1288" w:name="_Toc490"/>
      <w:bookmarkEnd w:id="1287"/>
      <w:r>
        <w:rPr>
          <w:rtl w:val="true"/>
        </w:rPr>
        <w:t>الأُولى</w:t>
      </w:r>
      <w:r>
        <w:rPr>
          <w:rtl w:val="true"/>
        </w:rPr>
        <w:t xml:space="preserve">: </w:t>
      </w:r>
      <w:r>
        <w:rPr>
          <w:rtl w:val="true"/>
        </w:rPr>
        <w:t>حجّية خطابات الكتاب لغير المشافهين و عدمها</w:t>
      </w:r>
      <w:bookmarkEnd w:id="1288"/>
    </w:p>
    <w:p>
      <w:pPr>
        <w:pStyle w:val="BookText"/>
        <w:rPr/>
      </w:pPr>
      <w:r>
        <w:rPr>
          <w:rFonts w:ascii="Amiri" w:hAnsi="Amiri" w:eastAsia="Amiri" w:cs="Amiri"/>
          <w:color w:val="111111"/>
          <w:sz w:val="28"/>
          <w:sz w:val="28"/>
          <w:szCs w:val="28"/>
          <w:rtl w:val="true"/>
          <w:lang w:bidi="ar-SA"/>
        </w:rPr>
        <w:t>لو قلنا بأنّ خطابات القرآن تعمّ الطوائف الثلاث، فتكون خطاباته حجّة على الجميع، و أمّا لو قلنا بعدم التعميم فلا تكون حجّة إلاّ على المشافهين، و يتوقّف تعميم الأحكام إلى غيرهم بدليل كالإجماع على الاشتراك في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الثمرة مبنية على صغرى و كبرى ممنوعة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الملازمة بين اختصاص الخطاب بالحاضرين، و كونهم مقصودين بالخطاب، و هذه هي الصغرى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اختصاص حجّية الظواهر بمن قصد إفهامه و لا يعمّ غيره و هذه الكبرى</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أردت صوغ الاستدلال في قالب الشكل الأوّل تقول</w:t>
      </w:r>
      <w:r>
        <w:rPr>
          <w:rFonts w:eastAsia="Amiri" w:cs="Amiri" w:ascii="Amiri" w:hAnsi="Amiri"/>
          <w:color w:val="111111"/>
          <w:sz w:val="28"/>
          <w:szCs w:val="28"/>
          <w:rtl w:val="true"/>
          <w:lang w:bidi="ar-SA"/>
        </w:rPr>
        <w:t xml:space="preserve">: </w:t>
      </w:r>
      <w:bookmarkStart w:id="1289" w:name="pg14356_187175"/>
    </w:p>
    <w:p>
      <w:pPr>
        <w:pStyle w:val="BookText"/>
        <w:rPr/>
      </w:pPr>
      <w:bookmarkEnd w:id="128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الحاضرون حين الخطاب، هم المقصودون بالإفهام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المقصودون بالإفهام، هم الذين الظواهر حجّة عليهم، فينتج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فالحاضرون حين الخطاب، هم الذين الظواهر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المقدّمتين باطلتان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فلأنّه لا ملازمة بين كون اختصاص الخطاب بهم، و كونهم، مقصودين لا غيرهم، إذ ربما يكون المقصود بالإفهام أوسع من المخاطب، بشهادة انّ رئيس البلد ربّما يخاطب جماعة خاصة من الشعب و لكن المقصود بالإفهام كلّ من بلغ إليه خطابه، و لذلك يأمر سبحانه نبيّه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أُوحِيَ إِلَيَّ هذَا الْقُرْآنُ لِأُنْذِرَكُمْ بِهِ وَ مَنْ بَلَغَ </w:t>
      </w:r>
      <w:r>
        <w:rPr>
          <w:rFonts w:eastAsia="Amiri" w:cs="Amiri" w:ascii="Amiri" w:hAnsi="Amiri"/>
          <w:color w:val="111111"/>
          <w:sz w:val="28"/>
          <w:szCs w:val="28"/>
          <w:rtl w:val="true"/>
          <w:lang w:bidi="ar-SA"/>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و لعلّ المراد، انّ المخاطب بالوحي أنا أو مع الحاضرين وقت النزول، لكنّ الغاية هو إنذار كلّ من بلغ إليه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نفترض انّ الحاضرين، هم المقصودون بالإفهام من الخطاب لكن لا ملازمة بين كون جماعة مقصودين بالإفهام، و اختصاص حجّية الخطاب بهم، و سيوافيك في مبحث الظواهر، انّها حجّة على المقصودين بالإفهام و غير المقصودين و الجميع أمام الخطابات سواء، و لذلك لو كتب شخص رسالة أخويّة إلى شخص، لا يريد إلاّ إفهام صديقه بما فيه، فالرسالة تكون حجّة على الغير أيضاً في عامة المحاكم، و لا يسمع قول الكاتب بأنّ ظواهر كلامه حجّة على من قصد إفهامه لا غير</w:t>
      </w:r>
      <w:r>
        <w:rPr>
          <w:rFonts w:eastAsia="Amiri" w:cs="Amiri" w:ascii="Amiri" w:hAnsi="Amiri"/>
          <w:color w:val="111111"/>
          <w:sz w:val="28"/>
          <w:szCs w:val="28"/>
          <w:rtl w:val="true"/>
          <w:lang w:bidi="ar-SA"/>
        </w:rPr>
        <w:t>.</w:t>
      </w:r>
    </w:p>
    <w:p>
      <w:pPr>
        <w:pStyle w:val="Heading5"/>
        <w:numPr>
          <w:ilvl w:val="4"/>
          <w:numId w:val="1"/>
        </w:numPr>
        <w:rPr/>
      </w:pPr>
      <w:bookmarkStart w:id="1290" w:name="__RefHeading___Toc7305540_3381743652"/>
      <w:bookmarkStart w:id="1291" w:name="_Toc491"/>
      <w:bookmarkEnd w:id="1290"/>
      <w:r>
        <w:rPr>
          <w:rtl w:val="true"/>
        </w:rPr>
        <w:t>الثمرة الثانية</w:t>
      </w:r>
      <w:r>
        <w:rPr>
          <w:rtl w:val="true"/>
        </w:rPr>
        <w:t xml:space="preserve">: </w:t>
      </w:r>
      <w:r>
        <w:rPr>
          <w:rtl w:val="true"/>
        </w:rPr>
        <w:t>صحّة التمسّك بالإطلاقات على التعميم</w:t>
      </w:r>
      <w:r>
        <w:rPr>
          <w:rtl w:val="true"/>
        </w:rPr>
        <w:t>.</w:t>
      </w:r>
      <w:bookmarkEnd w:id="1291"/>
    </w:p>
    <w:p>
      <w:pPr>
        <w:pStyle w:val="Heading6"/>
        <w:numPr>
          <w:ilvl w:val="5"/>
          <w:numId w:val="1"/>
        </w:numPr>
        <w:rPr/>
      </w:pPr>
      <w:bookmarkStart w:id="1292" w:name="__RefHeading___Toc7305542_3381743652"/>
      <w:bookmarkStart w:id="1293" w:name="_Toc492"/>
      <w:bookmarkEnd w:id="1292"/>
      <w:r>
        <w:rPr>
          <w:rtl w:val="true"/>
        </w:rPr>
        <w:t>اشارة</w:t>
      </w:r>
      <w:bookmarkEnd w:id="1293"/>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قلنا بشمول الإطلاق لغير المشافهين، يصحّ لهم التمسّك بالإطلاقات </w:t>
      </w:r>
      <w:bookmarkStart w:id="1294" w:name="pg14356_187176"/>
    </w:p>
    <w:p>
      <w:pPr>
        <w:pStyle w:val="BookText"/>
        <w:rPr/>
      </w:pPr>
      <w:bookmarkEnd w:id="1294"/>
      <w:r>
        <w:rPr>
          <w:rFonts w:ascii="Amiri" w:hAnsi="Amiri" w:eastAsia="Amiri" w:cs="Amiri"/>
          <w:color w:val="111111"/>
          <w:sz w:val="28"/>
          <w:sz w:val="28"/>
          <w:szCs w:val="28"/>
          <w:rtl w:val="true"/>
          <w:lang w:bidi="ar-SA"/>
        </w:rPr>
        <w:t>القرآنية عند الشكّ في مدخلية قيد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كحضور الإمام المعصوم أو الحاكم الإسلامي مبسوط اليد في وجوب صلاة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كانوا متّحدين في الصنف أم لا كما في زمان الغيبة، و هذا بخلاف ما إذا لم نقل بالتعميم فلا تكون الخطابات متكفّلة لبيان أحكام غير المشافهين، فلا بدّ من تعميم الحكم و السراية إلى غير المشافهين في التمسّك بدليل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اشتراك غير المشافهين معهم في التكاليف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الإجماع، الذي هو دليل لبي يقتصر فيه بالقدر المتيقن و هو كونهما متحدين في الصنف و المفروض اختلافهم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انّ هنا صوراً ثلاثاً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بالتعميم و فيه يكون الإطلاق حجّة على الكلّ بلا قيد و شرط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بعدم التعميم مع الاتحاد في الصنف، فيكون الإجماع دليلاً على الاشتراك في التكليف فلا ثمرة بين القولين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القول بعدم التعميم مع الاختلاف في الصنف كما إذا وجبت صلاة الجمعة و أُقيمت بحكم حاكم عادل مبسوط اليد كالنبي و الوصيّ، و شكّ في وجوبه في زمان الغيبة مع عدم وجود ذاك الحاكم، فلا يصحّ التمسك بالإجماع لإثبات الاشتراك في التكليف، لأنّ الإجماع دليل لبّي يقتصر فيه على مقدار المتيقن، و المقدار المتيقن هو وحدة المشافه و غيره في الصنف و المفروض عدمها</w:t>
      </w:r>
      <w:r>
        <w:rPr>
          <w:rFonts w:eastAsia="Amiri" w:cs="Amiri" w:ascii="Amiri" w:hAnsi="Amiri"/>
          <w:color w:val="111111"/>
          <w:sz w:val="28"/>
          <w:szCs w:val="28"/>
          <w:rtl w:val="true"/>
          <w:lang w:bidi="ar-SA"/>
        </w:rPr>
        <w:t>.</w:t>
      </w:r>
    </w:p>
    <w:p>
      <w:pPr>
        <w:pStyle w:val="Heading6"/>
        <w:numPr>
          <w:ilvl w:val="5"/>
          <w:numId w:val="1"/>
        </w:numPr>
        <w:rPr/>
      </w:pPr>
      <w:bookmarkStart w:id="1295" w:name="__RefHeading___Toc7305544_3381743652"/>
      <w:bookmarkStart w:id="1296" w:name="_Toc493"/>
      <w:bookmarkEnd w:id="1295"/>
      <w:r>
        <w:rPr>
          <w:rtl w:val="true"/>
        </w:rPr>
        <w:t>سقوط الثمرة في القيد المفارق</w:t>
      </w:r>
      <w:bookmarkEnd w:id="1296"/>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المحقّق الخراساني قد ردّ الثمرة في خصوص القيد المفارق و انّه يصحّ التمسّك بالإجماع و إن كان دليلاً لبّياً يقتصر فيه بالقدر المتيقّن و ذلك بالبيان التالي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كان القيد المفقود في غير المشافهين، من القيود اللازمة للمشافهين ككونهم عرباً، ففي هذه الصورة لا يصحّ التمسّك في نفي القيد بالإطلاق في حقّ المشافهين و بالتالي في حقّ غير المشافهين بالإجماع، كما إذا شككنا في لزوم العربية في العقود، فبما انّ المشافهين كانوا عرباً فكانوا يعقدون بالعربية، ففي مثله، لا يصحّ التمسّك بإطلاق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لنفي شرطية العربية في حقّ المشافه، و بالتالي بالإجماع لنفي الشرطية في حقّ غير المشافه، لأنّه سبحانه لو أراد من الآية، العقود العربية، لم يكن هناك نقض غرض، لحصول القيد شاءوا أو لم يشاءوا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القيد، مفارقاً، كإقامة صلاة الجمعة مع حضور المعصوم و بسط يده، حيث إنّ الإسلام يوم ذاك لم يضرب بجرانه كلّ المعمورة فربما يسافر بعض المشافهين إلى بلاد، يحكم فيها الكفر، فلو شك المشافه في شرطية الحضور عند الخروج عن حيطة المسلمين يصحّ التمسك بإطلاق الآية،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فإذا صحّ للمشافه التمسك بإطلاق الآية، يجوز لغير المشافه التمسّك بالإجماع لإثبات اشتراك الحكم، لأنّ المفروض وحدة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ظهر سقوط الثمرة الثانية في القيود المفارقة، و انّه لا يختلف الحال بين المشافه و غيره، غاية الأمر انّ المشافه يتمسّك بإطلاق الآية و غيره يتمسّك بالإجماع و النتيجة واحدة، سواء أقلنا بالشمول لغير المشافهين أم لا</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انّ المراد بالاتحاد في الصنف لغاية جرّ التكليف من المشافه إلى غيره، هو القيود التي تعتبر قيداً في الأحكام كالبلوغ و الاستطاعة، و الخلو عن </w:t>
      </w:r>
    </w:p>
    <w:p>
      <w:pPr>
        <w:pStyle w:val="BookText"/>
        <w:rPr/>
      </w:pPr>
      <w:r>
        <w:rPr>
          <w:rFonts w:ascii="Amiri" w:hAnsi="Amiri" w:eastAsia="Amiri" w:cs="Amiri"/>
          <w:color w:val="111111"/>
          <w:sz w:val="28"/>
          <w:sz w:val="28"/>
          <w:szCs w:val="28"/>
          <w:rtl w:val="true"/>
          <w:lang w:bidi="ar-SA"/>
        </w:rPr>
        <w:t>الحيض و النفاس، و السفر و الحضر ممّا يمكن أن يعتبر قيداً في الأحكام، لا الاتحاد فيما يكثر به الاختلاف بين الناس دون أن يكون مساس بالحكم، كالأبيض و الأسود و الشاب و الكهل و العراقي و الحجازي، و إلاّ لما ثبت بقاعدة الاشتراك حكم للغائبين فضلاً لغير الموجودين، إذ لا أقل من كون المشافهين واجدين لقيد من القيود لكونهم جالسين في المسجد آن إيجاب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الغائب و غير الموجود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أعاد ما ذكره سابقاً من جريان الإطلاق في حقّ المشافهين في القيود المفارقة و ممكنة الزوال، و جاء في المقام بعبارة لا تخلو عن تعقيد، توضيحها كالتالي</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دليل الاشتراك إنّما يجدي في عدم اختصاص التكاليف بأشخاص المشافهين من القيود الممكنة الزوال إذا فقدوها بعد الخطاب، فشك في شمولها لهم، فيتمسك بالإطلاق و يثبت عدم دخالة ذاك القيد في الحكم و معه يعم الحكم لغير المشافهين بدليل الإجماع لوحدة الصنف بعد زوال القيد في حقّ المشافه</w:t>
      </w:r>
      <w:r>
        <w:rPr>
          <w:rStyle w:val="FootnoteAnchor"/>
          <w:rtl w:val="true"/>
        </w:rPr>
        <w:footnoteReference w:id="421"/>
      </w:r>
      <w:r>
        <w:rPr>
          <w:rFonts w:ascii="Amiri" w:hAnsi="Amiri" w:eastAsia="Amiri" w:cs="Amiri"/>
          <w:color w:val="111111"/>
          <w:sz w:val="28"/>
          <w:sz w:val="28"/>
          <w:szCs w:val="28"/>
          <w:rtl w:val="true"/>
          <w:lang w:bidi="ar-SA"/>
        </w:rPr>
        <w:t>أراد به القيود المفارقة و ممكنة الزوال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يكونوا معنونين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به لو كانوا فاقدين له بعد الخطاب و بوضع العبارة الثانية مكان الأُولى، يظهر المراد من العبارة بسهولة</w:t>
      </w:r>
      <w:r>
        <w:rPr>
          <w:rFonts w:eastAsia="Amiri" w:cs="Amiri" w:ascii="Amiri" w:hAnsi="Amiri"/>
          <w:color w:val="111111"/>
          <w:sz w:val="28"/>
          <w:szCs w:val="28"/>
          <w:rtl w:val="true"/>
          <w:lang w:bidi="ar-SA"/>
        </w:rPr>
        <w:t xml:space="preserve">. </w:t>
      </w:r>
      <w:bookmarkStart w:id="1297" w:name="pg14356_187179"/>
    </w:p>
    <w:p>
      <w:pPr>
        <w:pStyle w:val="Heading3"/>
        <w:numPr>
          <w:ilvl w:val="2"/>
          <w:numId w:val="1"/>
        </w:numPr>
        <w:rPr/>
      </w:pPr>
      <w:bookmarkStart w:id="1298" w:name="__RefHeading___Toc7305546_3381743652"/>
      <w:bookmarkStart w:id="1299" w:name="_Toc494"/>
      <w:bookmarkEnd w:id="1297"/>
      <w:bookmarkEnd w:id="1298"/>
      <w:r>
        <w:rPr>
          <w:rtl w:val="true"/>
        </w:rPr>
        <w:t>الفصل الحادي عشر تعقب العام بضمير يرجع إلى بعض أفراده</w:t>
      </w:r>
      <w:bookmarkEnd w:id="1299"/>
    </w:p>
    <w:p>
      <w:pPr>
        <w:pStyle w:val="Heading4"/>
        <w:numPr>
          <w:ilvl w:val="3"/>
          <w:numId w:val="1"/>
        </w:numPr>
        <w:rPr/>
      </w:pPr>
      <w:bookmarkStart w:id="1300" w:name="__RefHeading___Toc7305548_3381743652"/>
      <w:bookmarkStart w:id="1301" w:name="_Toc495"/>
      <w:bookmarkEnd w:id="1300"/>
      <w:r>
        <w:rPr>
          <w:rtl w:val="true"/>
        </w:rPr>
        <w:t>اشارة</w:t>
      </w:r>
      <w:bookmarkEnd w:id="1301"/>
    </w:p>
    <w:p>
      <w:pPr>
        <w:pStyle w:val="BookText"/>
        <w:rPr/>
      </w:pPr>
      <w:r>
        <w:rPr>
          <w:rFonts w:ascii="Amiri" w:hAnsi="Amiri" w:eastAsia="Amiri" w:cs="Amiri"/>
          <w:color w:val="111111"/>
          <w:sz w:val="28"/>
          <w:sz w:val="28"/>
          <w:szCs w:val="28"/>
          <w:rtl w:val="true"/>
          <w:lang w:bidi="ar-SA"/>
        </w:rPr>
        <w:t>إذا كان هناك عام و له حكم خاص، يتعقّبه ضمير له حكم آخر يرجع إلى بعض أفراده، فهل يوجب ذلك تخصيص العام أو لا؟ مثاله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الْمُطَلَّقاتُ يَتَرَبَّصْنَ بِأَنْفُسِهِنَّ ثَلاثَةَ قُرُوءٍ وَ لا يَحِلُّ لَهُنَّ أَنْ يَكْتُمْنَ ما خَلَقَ اللّهُ فِي أَرْحامِهِنَّ إِنْ كُنَّ يُؤْمِنَّ بِاللّهِ وَ الْيَوْمِ الْآخِرِ وَ بُعُولَتُهُنَّ أَحَقُّ بِرَدِّهِنَّ فِي ذلِكَ إِنْ أَرادُوا إِصْلاحاً </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ففي الآية عام،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الْمُطَلَّقاتُ يَتَرَبَّصْنَ بِأَنْفُسِهِنَّ ثَلاثَةَ قُرُوءٍ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بظاهره يشمل عامة المطلقات رجعية أو بائنة</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ذيل الآية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بُعُولَتُهُنَّ أَحَقُّ بِرَدِّهِنَّ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أَحَقُّ بِرَدِّهِنَّ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ضميراً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إلى بعض أقسام العام، فيقع الكلام في أنّ رجوع الضمير في الجملة الثانية إلى بعض أقسام العام هل يصلح قرينة على اختصاص الحكم الوارد في الجملة الأُولى بالرجعيات أيضاً أو لا؟ فيكون </w:t>
      </w:r>
      <w:bookmarkStart w:id="1302" w:name="pg14356_187180"/>
    </w:p>
    <w:p>
      <w:pPr>
        <w:pStyle w:val="BookText"/>
        <w:rPr/>
      </w:pPr>
      <w:bookmarkEnd w:id="1302"/>
      <w:r>
        <w:rPr>
          <w:rFonts w:ascii="Amiri" w:hAnsi="Amiri" w:eastAsia="Amiri" w:cs="Amiri"/>
          <w:color w:val="111111"/>
          <w:sz w:val="28"/>
          <w:sz w:val="28"/>
          <w:szCs w:val="28"/>
          <w:rtl w:val="true"/>
          <w:lang w:bidi="ar-SA"/>
        </w:rPr>
        <w:t>التربّص، كالرجوع من خصائص الرجعية لا البائنة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رجوع الضمير إلى بعض المرجع في الجملة الثانية يشكّل قرينة على أنّ المراد من المرجع أيضاً هو البعض، و بالتالي يختص الحكم بالبعض أو لا؟ ما ذكرناه هو المفهوم من كتب القوم، و ظاهر كلامهم انّ عود الضمير إلى بعض المرجع أمر مفروغ عنه مع أنّه ليس كذلك، بل المسلّم كون الحكم في مورد الضمير يختصّ ببعض الأفراد لا انّ الضمير يرجع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انّ الحقّ عود الضمير إلى العام بما هو هو، و إن كان الحكم مختصاً ببعض أفراده،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الأولى أن يقال في عنوان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تخصيص الضمير بدليل منفصل هل يوجب تخصيص المرجع العام أو لا؟ </w:t>
      </w:r>
      <w:r>
        <w:rPr>
          <w:rFonts w:eastAsia="Amiri" w:cs="Amiri" w:ascii="Amiri" w:hAnsi="Amiri"/>
          <w:color w:val="111111"/>
          <w:sz w:val="28"/>
          <w:szCs w:val="28"/>
          <w:rtl w:val="true"/>
          <w:lang w:bidi="ar-SA"/>
        </w:rPr>
        <w:t>«.</w:t>
      </w:r>
    </w:p>
    <w:p>
      <w:pPr>
        <w:pStyle w:val="Heading4"/>
        <w:numPr>
          <w:ilvl w:val="3"/>
          <w:numId w:val="1"/>
        </w:numPr>
        <w:rPr/>
      </w:pPr>
      <w:bookmarkStart w:id="1303" w:name="__RefHeading___Toc7305550_3381743652"/>
      <w:bookmarkStart w:id="1304" w:name="_Toc496"/>
      <w:bookmarkEnd w:id="1303"/>
      <w:r>
        <w:rPr>
          <w:rtl w:val="true"/>
        </w:rPr>
        <w:t>تحرير محلّ النزاع</w:t>
      </w:r>
      <w:bookmarkEnd w:id="1304"/>
    </w:p>
    <w:p>
      <w:pPr>
        <w:pStyle w:val="BookText"/>
        <w:rPr/>
      </w:pPr>
      <w:r>
        <w:rPr>
          <w:rFonts w:ascii="Amiri" w:hAnsi="Amiri" w:eastAsia="Amiri" w:cs="Amiri"/>
          <w:color w:val="111111"/>
          <w:sz w:val="28"/>
          <w:sz w:val="28"/>
          <w:szCs w:val="28"/>
          <w:rtl w:val="true"/>
          <w:lang w:bidi="ar-SA"/>
        </w:rPr>
        <w:t>ثمّ إنّ المحقّق الخراساني جعل محلّ النزاع الصورة الثالثة من الصور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تقع الجملتان في كلامين مستقلين بينهما فاصل زماني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العام محكوماً بنفس حكم الضمير، كما إذا قيل في ذيل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أَزواجهن أَحقّ بردّهن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العام محكوماً بحكم و الضمير محكوماً بحكم آخر و إن وقعا في كلام واحد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محل النزاع هو الثالث</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ليس إلاّ توضيحاً للواضح، أمّا القسم الأوّل فلا يعقل فيه استخدام الضمير، لأنّ المفروض وقوع الجملتين في سياقين بينهما فاصل </w:t>
      </w:r>
      <w:bookmarkStart w:id="1305" w:name="pg14356_187181"/>
    </w:p>
    <w:p>
      <w:pPr>
        <w:pStyle w:val="BookText"/>
        <w:rPr/>
      </w:pPr>
      <w:bookmarkEnd w:id="1305"/>
      <w:r>
        <w:rPr>
          <w:rFonts w:ascii="Amiri" w:hAnsi="Amiri" w:eastAsia="Amiri" w:cs="Amiri"/>
          <w:color w:val="111111"/>
          <w:sz w:val="28"/>
          <w:sz w:val="28"/>
          <w:szCs w:val="28"/>
          <w:rtl w:val="true"/>
          <w:lang w:bidi="ar-SA"/>
        </w:rPr>
        <w:t>زماني، و عندئذ يستخدم في الجملة الثانية لفظ الظاهر لا الضمير، و الكلام إنّما هو في الضمير الراجع إلى بعض أفراد المرجع حسب تعبير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القسم الثاني أشبه بالسالبة بانتفاء الموضوع، إذ ليس في البين إلاّ حكم واحد حتّى يعمّ أحد الحكمين جميع الأفراد و الحكم الآخر بعضه</w:t>
      </w:r>
      <w:r>
        <w:rPr>
          <w:rFonts w:eastAsia="Amiri" w:cs="Amiri" w:ascii="Amiri" w:hAnsi="Amiri"/>
          <w:color w:val="111111"/>
          <w:sz w:val="28"/>
          <w:szCs w:val="28"/>
          <w:rtl w:val="true"/>
          <w:lang w:bidi="ar-SA"/>
        </w:rPr>
        <w:t>.</w:t>
      </w:r>
    </w:p>
    <w:p>
      <w:pPr>
        <w:pStyle w:val="Heading4"/>
        <w:numPr>
          <w:ilvl w:val="3"/>
          <w:numId w:val="1"/>
        </w:numPr>
        <w:rPr/>
      </w:pPr>
      <w:bookmarkStart w:id="1306" w:name="__RefHeading___Toc7305552_3381743652"/>
      <w:bookmarkStart w:id="1307" w:name="_Toc497"/>
      <w:bookmarkEnd w:id="1306"/>
      <w:r>
        <w:rPr>
          <w:rtl w:val="true"/>
        </w:rPr>
        <w:t>دوران الأمر بين المحاذير الثلاثة</w:t>
      </w:r>
      <w:bookmarkEnd w:id="1307"/>
    </w:p>
    <w:p>
      <w:pPr>
        <w:pStyle w:val="BookText"/>
        <w:rPr/>
      </w:pPr>
      <w:r>
        <w:rPr>
          <w:rFonts w:ascii="Amiri" w:hAnsi="Amiri" w:eastAsia="Amiri" w:cs="Amiri"/>
          <w:color w:val="111111"/>
          <w:sz w:val="28"/>
          <w:sz w:val="28"/>
          <w:szCs w:val="28"/>
          <w:rtl w:val="true"/>
          <w:lang w:bidi="ar-SA"/>
        </w:rPr>
        <w:t>ثمّ إنّ المحقّق الخراساني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يدور حول أحد المحاذير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رجوع الضمير إلى بعض أفراد المرجع قرينة على التصرف في المرجع باستعماله في الرجعية من المطلقات فيكون التربص أيضاً مختصاً بهذا القسم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أصالة العموم في المرجع و ارتكاب الاستخدام في الضمير بإرجاعه إلى بعض مصاديق المرجع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حفظ أصالة العموم في ناحيتي المرجع و الضمير و التصرف في الاسناد، بأن ينسب الحكم المختص بالبعض إلى الكلّ من باب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رجح حفظ أصالة العموم في صدر الآية و التصرف في الجملة الثانية بأحد النحوين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الاستخدام و إمّا الاسناد المجازي</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وجه ذلك بأنّ أصالة العموم إنّما تجري فيما إذا شكّ في المراد لا في كيفية الإرادة، و الشكّ في الجملة الأُولى إنّما هو في المراد حيث يشكّ في أنّ التربّص لعامّة المطلقات أو لخصوص الرجعيات، بخلاف الجملة الثانية فإنّ المراد هناك معلوم و انّ الرجوع يختصّ بالرجعيات دون البائنات، و إنّما الشكّ في كيفية الإرادة، فهل هو بنحو المجاز في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الاستخدام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المجاز في الاسناد؟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اسناد حكم المختصّ بالبعض إلى الكلّ من باب المجاز في الاسناد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أصالة العموم في الجملة الأُولى على أصالة العموم في الضمير أو أصالة الحقيقة في الاسناد، لكنّه أخيراً احتمل كون الكلام مجملاً و الآية خارجة عن نطاق الاستدلال بحجّة انّ الشكّ في المقام في قرينية الضمير على عدم إرادة العموم من المرجع و الكلام المحتف باحتمال القرينية يكون مجملاً لا يحتجّ به و يرجع إلى الأُصول العملية</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الشكّ في ناحية العموم شكّ في المراد؟ فيجري الأصل من دون منازع بخلاف الشكّ في ناحية الضمير، فالشكّ هناك في كيفية الإرادة لا في المراد فتقدّم أصالة العموم على أصالة العموم في الضمير، أو أصالة الحقيقة في الاسناد، صحيح لا غبار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الأمرين اللذين احتملهما في ناحية الضمير حيث إنّ كلاً من التصرفين غير جائز، أمّا الأوّل و هو القول بالاستخدام و رجوع الضمير إلى بعض أفراد العام فهو غير صحيح، لأنّ الضمائر كما تقدّم الكلام فيه في مقدّمة علم الأُصول وضعت لنفس الإشارة الخارجية فلا بدّ لها من مشار إليه، و هو ليس إلاّ المرجع المذكور في الآية، فيجب تطابقهما فلا يمكن أن تكون الإشارة على وجه أخص و المشار إليه على وجه أعمّ</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 المجاز في الاسناد، فهو أيضاً غير صحيح، لأنّ المجاز في الاسناد رهن مصحح كالمبالغة حيث ينسب الحكم الصادر من بعض إلى الكلّ مبالغة، كما في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بنو فلان زيداً، و إنّما قتله بعضهم، و مثله قوله سبحانه مخاطباً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قَدْ جاءَكُمْ رُسُلٌ مِنْ قَبْلِي بِالْبَيِّناتِ وَ بِالَّذِي </w:t>
      </w:r>
      <w:bookmarkStart w:id="1308" w:name="pg14356_187183"/>
    </w:p>
    <w:p>
      <w:pPr>
        <w:pStyle w:val="BookText"/>
        <w:rPr/>
      </w:pPr>
      <w:bookmarkEnd w:id="1308"/>
      <w:r>
        <w:rPr>
          <w:rFonts w:ascii="Amiri" w:hAnsi="Amiri" w:eastAsia="Amiri" w:cs="Amiri"/>
          <w:color w:val="111111"/>
          <w:sz w:val="28"/>
          <w:sz w:val="28"/>
          <w:szCs w:val="28"/>
          <w:rtl w:val="true"/>
          <w:lang w:bidi="ar-SA"/>
        </w:rPr>
        <w:t xml:space="preserve">قُلْتُمْ فَلِمَ قَتَلْتُمُوهُمْ إِنْ كُنْتُمْ صادِقِينَ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مع أنّ القتل لم يصدر إلاّ عن بعضهم فنسب إلى الكلّ مبالغة بملاك رضاهم بعملهم، و هذا بخلاف الآية إذ ليس فيها وجه للمبالغة</w:t>
      </w:r>
      <w:r>
        <w:rPr>
          <w:rFonts w:eastAsia="Amiri" w:cs="Amiri" w:ascii="Amiri" w:hAnsi="Amiri"/>
          <w:color w:val="111111"/>
          <w:sz w:val="28"/>
          <w:szCs w:val="28"/>
          <w:rtl w:val="true"/>
          <w:lang w:bidi="ar-SA"/>
        </w:rPr>
        <w:t>.</w:t>
      </w:r>
    </w:p>
    <w:p>
      <w:pPr>
        <w:pStyle w:val="Heading4"/>
        <w:numPr>
          <w:ilvl w:val="3"/>
          <w:numId w:val="1"/>
        </w:numPr>
        <w:rPr/>
      </w:pPr>
      <w:bookmarkStart w:id="1309" w:name="__RefHeading___Toc7305554_3381743652"/>
      <w:bookmarkStart w:id="1310" w:name="_Toc498"/>
      <w:bookmarkEnd w:id="1309"/>
      <w:r>
        <w:rPr>
          <w:rtl w:val="true"/>
        </w:rPr>
        <w:t>الاحتفاظ بأصالة العموم في كلا الموردين</w:t>
      </w:r>
      <w:bookmarkEnd w:id="1310"/>
    </w:p>
    <w:p>
      <w:pPr>
        <w:pStyle w:val="BookText"/>
        <w:rPr/>
      </w:pPr>
      <w:r>
        <w:rPr>
          <w:rFonts w:ascii="Amiri" w:hAnsi="Amiri" w:eastAsia="Amiri" w:cs="Amiri"/>
          <w:color w:val="111111"/>
          <w:sz w:val="28"/>
          <w:sz w:val="28"/>
          <w:szCs w:val="28"/>
          <w:rtl w:val="true"/>
          <w:lang w:bidi="ar-SA"/>
        </w:rPr>
        <w:t>إذن يجب علينا علاج المشكلة من طريق آخر، و هو الذي أشار إليه المحقّق الخراساني عند البحث في أنّ التخصيص موجب لمجازية العام أو لا، فقد حقّق فيه أنّ التخصيص لا يوجب المجازية لا في المتصل و لا في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المتصل فلأجل تعدد الدالّ و المدلول،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العالم العادل، فكلّ من العالم و العادل مستعمل في معناهما، لأنّ العالم مستعمل في العالم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الحكم تابع بمجموع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المنفصل فلما حقّق من أنّ لكل متكلّم إرادتين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استعمالية و جدية، فالعالم يستعمل في معناه اللغوي بالإرادة الاستعمالية، فلو كانت الإرادة الجدية متعلّقة به أيضاً فيكون العام بعمومه موضوعاً و إن لم تكن الإرادة الجدية مطابقة للإرادة الاستعمالية أشار إلى عدم المطابقة بدليل خاص، فترفع اليد عن ظاهر الدليل بدليل أقوى دون أن تطرأ المجازية على العام و يستعمل في غير معناه</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ضوء هذا فكان على المحقّق الخراساني أن يطرق هذا الباب و يقول إنّه لا محذور في البين أبداً من الاحتفاظ بأصالة العموم في كلا الموردين، إذ لا مانع من أن يكون العام مستعملاً في معناه و يكون الضمير أيضاً راجعاً إلى نفس </w:t>
      </w:r>
    </w:p>
    <w:p>
      <w:pPr>
        <w:pStyle w:val="BookText"/>
        <w:rPr/>
      </w:pPr>
      <w:r>
        <w:rPr>
          <w:rFonts w:ascii="Amiri" w:hAnsi="Amiri" w:eastAsia="Amiri" w:cs="Amiri"/>
          <w:color w:val="111111"/>
          <w:sz w:val="28"/>
          <w:sz w:val="28"/>
          <w:szCs w:val="28"/>
          <w:rtl w:val="true"/>
          <w:lang w:bidi="ar-SA"/>
        </w:rPr>
        <w:t>العام لكن بالإرادة الاستعمالية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علم من الخارج عدم مطابقة الإرادة الاستعمالية مع الجدية في ناحية الضمير تُخصّص الإرادة الجدية في مورد الضمير من دون أي 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يلزم من ذلك تخصيص المرجع أبداً، و ذلك لأنّه لو كان مستعملاً في الخاص لكان للتوهم المذكور مجال، و أمّا إذا كان مستعملاً في العموم كالمرجع بالإرادة الاستعمالية و لكن قام الدليل على عدم شمول الحكم لعامة أفراد المرجع، فمثل هذا لا يكون دليلاً على التصرف في العام، بل العام قائم على ظهوره حتّى يثبت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كان الضمير مستعملاً بالإرادة الاستعمالية في بعض المرجع لكان للتوهم المذكور مجال، و أمّا إذا استعمل في نفس المعنى الذي استعمل فيه لفظ العام و إن علم بدليل خارجي مخالفة الجد مع المراد استعمالاً فلا يصير سبباً لتخصص العام، لا استعمالاً و لا جداً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يعلم أنّ ما اختاره المحقّق الخراساني من طروء الإجمال على الكلام ليس بتام، إذ ليس شيئاً صالحاً للقرينية إلاّ استعمال الضمير في بعض مفاد المرجع و المفروض انتفاؤه</w:t>
      </w:r>
      <w:r>
        <w:rPr>
          <w:rFonts w:eastAsia="Amiri" w:cs="Amiri" w:ascii="Amiri" w:hAnsi="Amiri"/>
          <w:color w:val="111111"/>
          <w:sz w:val="28"/>
          <w:szCs w:val="28"/>
          <w:rtl w:val="true"/>
          <w:lang w:bidi="ar-SA"/>
        </w:rPr>
        <w:t xml:space="preserve">. </w:t>
      </w:r>
      <w:bookmarkStart w:id="1311" w:name="pg14356_187185"/>
    </w:p>
    <w:p>
      <w:pPr>
        <w:pStyle w:val="Heading3"/>
        <w:numPr>
          <w:ilvl w:val="2"/>
          <w:numId w:val="1"/>
        </w:numPr>
        <w:rPr/>
      </w:pPr>
      <w:bookmarkStart w:id="1312" w:name="__RefHeading___Toc7305556_3381743652"/>
      <w:bookmarkStart w:id="1313" w:name="_Toc499"/>
      <w:bookmarkEnd w:id="1311"/>
      <w:bookmarkEnd w:id="1312"/>
      <w:r>
        <w:rPr>
          <w:rtl w:val="true"/>
        </w:rPr>
        <w:t>الفصل الثاني عشر في تخصيص العام بالمفهوم</w:t>
      </w:r>
      <w:bookmarkEnd w:id="1313"/>
    </w:p>
    <w:p>
      <w:pPr>
        <w:pStyle w:val="Heading4"/>
        <w:numPr>
          <w:ilvl w:val="3"/>
          <w:numId w:val="1"/>
        </w:numPr>
        <w:rPr/>
      </w:pPr>
      <w:bookmarkStart w:id="1314" w:name="__RefHeading___Toc7305558_3381743652"/>
      <w:bookmarkStart w:id="1315" w:name="_Toc500"/>
      <w:bookmarkEnd w:id="1314"/>
      <w:r>
        <w:rPr>
          <w:rtl w:val="true"/>
        </w:rPr>
        <w:t>اشارة</w:t>
      </w:r>
      <w:bookmarkEnd w:id="1315"/>
    </w:p>
    <w:p>
      <w:pPr>
        <w:pStyle w:val="BookText"/>
        <w:rPr/>
      </w:pPr>
      <w:r>
        <w:rPr>
          <w:rFonts w:ascii="Amiri" w:hAnsi="Amiri" w:eastAsia="Amiri" w:cs="Amiri"/>
          <w:color w:val="111111"/>
          <w:sz w:val="28"/>
          <w:sz w:val="28"/>
          <w:szCs w:val="28"/>
          <w:rtl w:val="true"/>
          <w:lang w:bidi="ar-SA"/>
        </w:rPr>
        <w:t>و قبل الدخول في الموضوع نقدّم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الغاية من عقد هذا الفصل هو دفع توهم انّ دلالة العام منطوقية، و دلالة المفهوم غير منطوقية، و الأُولى أقوى من الثانية، فلا يخصص الأقوى بالأضعف، من غير فرق بين أن يكون المفهوم، مفهومَ موافقة أو مفهوم 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فلدفع هذا التوهم عقد الأُصوليون هذا الفصل قائلين بأنّ كون الدلالة مفهومية لا يكون سبباً لضعفها، بل ربما تكون دلالة المفهوم أقوى من دلالة المنطوق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النزاع في هذا الفصل كبروي لا صغروي بمعنى انّ هنا عاماً و مفهوماً قطعيين و لا شكّ في وجودهما إنّما الكلام في أنّه هل يقدّم العام على المفهوم لتكون النتيجةُ الغاءَ المفهوم رأساً أو يُقدّم المفهوم على العام حتّى ينتهي الأمر إلى تخصيصه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هو نطاق البحث و محوره</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لمفهوم الموافقة إطلاقات نأتي بها</w:t>
      </w:r>
      <w:r>
        <w:rPr>
          <w:rFonts w:eastAsia="Amiri" w:cs="Amiri" w:ascii="Amiri" w:hAnsi="Amiri"/>
          <w:color w:val="111111"/>
          <w:sz w:val="28"/>
          <w:szCs w:val="28"/>
          <w:rtl w:val="true"/>
          <w:lang w:bidi="ar-SA"/>
        </w:rPr>
        <w:t xml:space="preserve">: </w:t>
      </w:r>
      <w:bookmarkStart w:id="1316" w:name="pg14356_187186"/>
    </w:p>
    <w:p>
      <w:pPr>
        <w:pStyle w:val="BookText"/>
        <w:rPr/>
      </w:pPr>
      <w:bookmarkEnd w:id="131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إلغاء الخصوصية و إسراء الحكم لفاقدها، كقول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ثوبي دم رعاف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بين الثلاث و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فالموضوع في نظر العرف في الأوّل هو الدم لا دم رعاف و لا دم زرارة، و في الثاني هو الشكّ لا شكّ الرجل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المعنى الكنائي الذي سيق لأجله الكلام مع عدم ثبوت الحكم للمنطوق، نظير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تَقُلْ لَهُما أُفٍّ وَ لا تَنْهَرْهُما وَ قُلْ لَهُما قَوْلاً كَرِيماً </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بناء على عدم حرمة التأفيف و انّ الحرام هو مفهومه الموافق، أي الضرب و الشتم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تلك الصورة و لكن المنطوق محكوم بحكم المفهوم أيضاً، كالآية المتقدّمة بناء على حرمة التأفيف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الأولوية القطعية،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ذبيحة الكتابي فيدلّ بالأولوية القطعية على حرمة ذبيحة المشرك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الحكم المستفاد من العلّة المنصوصة،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لأنّه مسكر، فيفهم منه حرمة كلّ مسكر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المفهوم هو الحكم غير المذكور لموضوع مذكور الحكم في هذه الموارد غير مذكور و إنّما يفهم بإحدى الطرق الخمسة، أطلق المفهوم على الجميع، و بما انّ حكمه موافق مع الحكم الوارد في المنطوق وُصِفَ بالموافقة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هذه الأُمور فنقول</w:t>
      </w:r>
      <w:r>
        <w:rPr>
          <w:rFonts w:eastAsia="IRNazanin" w:cs="IRNazanin"/>
          <w:color w:val="111111"/>
          <w:sz w:val="28"/>
          <w:szCs w:val="28"/>
          <w:rtl w:val="true"/>
          <w:lang w:bidi="fa-IR"/>
        </w:rPr>
        <w:t>:</w:t>
      </w:r>
    </w:p>
    <w:p>
      <w:pPr>
        <w:pStyle w:val="Heading4"/>
        <w:numPr>
          <w:ilvl w:val="3"/>
          <w:numId w:val="1"/>
        </w:numPr>
        <w:rPr/>
      </w:pPr>
      <w:bookmarkStart w:id="1317" w:name="__RefHeading___Toc7305560_3381743652"/>
      <w:bookmarkStart w:id="1318" w:name="_Toc501"/>
      <w:bookmarkEnd w:id="1317"/>
      <w:r>
        <w:rPr>
          <w:rtl w:val="true"/>
        </w:rPr>
        <w:t>يقع الكلام في مقامين</w:t>
      </w:r>
      <w:r>
        <w:rPr>
          <w:rtl w:val="true"/>
        </w:rPr>
        <w:t>:</w:t>
      </w:r>
      <w:bookmarkEnd w:id="1318"/>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19" w:name="__RefHeading___Toc7305562_3381743652"/>
      <w:bookmarkStart w:id="1320" w:name="_Toc502"/>
      <w:bookmarkEnd w:id="1319"/>
      <w:r>
        <w:rPr>
          <w:rtl w:val="true"/>
        </w:rPr>
        <w:t>اشارة</w:t>
      </w:r>
      <w:bookmarkStart w:id="1321" w:name="pg14356_187187"/>
      <w:bookmarkEnd w:id="1320"/>
    </w:p>
    <w:p>
      <w:pPr>
        <w:pStyle w:val="Heading5"/>
        <w:numPr>
          <w:ilvl w:val="4"/>
          <w:numId w:val="1"/>
        </w:numPr>
        <w:rPr/>
      </w:pPr>
      <w:bookmarkStart w:id="1322" w:name="__RefHeading___Toc7305564_3381743652"/>
      <w:bookmarkStart w:id="1323" w:name="_Toc503"/>
      <w:bookmarkEnd w:id="1321"/>
      <w:bookmarkEnd w:id="1322"/>
      <w:r>
        <w:rPr>
          <w:rtl w:val="true"/>
        </w:rPr>
        <w:t>المقام الأوّل</w:t>
      </w:r>
      <w:r>
        <w:rPr>
          <w:rtl w:val="true"/>
        </w:rPr>
        <w:t xml:space="preserve">: </w:t>
      </w:r>
      <w:r>
        <w:rPr>
          <w:rtl w:val="true"/>
        </w:rPr>
        <w:t>تخصيص العام بالمفهوم الموافق</w:t>
      </w:r>
      <w:bookmarkEnd w:id="1323"/>
    </w:p>
    <w:p>
      <w:pPr>
        <w:pStyle w:val="BookText"/>
        <w:rPr/>
      </w:pPr>
      <w:r>
        <w:rPr>
          <w:rFonts w:ascii="Amiri" w:hAnsi="Amiri" w:eastAsia="Amiri" w:cs="Amiri"/>
          <w:color w:val="111111"/>
          <w:sz w:val="28"/>
          <w:sz w:val="28"/>
          <w:szCs w:val="28"/>
          <w:rtl w:val="true"/>
          <w:lang w:bidi="ar-SA"/>
        </w:rPr>
        <w:t>إذا كان في مورد عام و مفهوم موافق، فهل يقدّم العام على المفهوم و يلغى الثاني، أو يقدّم المفهوم على العام و يخصص الثاني؟ مقتضى القواعد هو التخصيص لا الإلغاء، لأنّ كلاً منها دليل شرعي يجب إعماله حسب ما أمكن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 إلغاء للحجة الشرعية من رأس، و في الثاني إعمال لهما، و يقدّم الثاني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لو كان مكان المفهوم دلالة منطوقية كانت مقدّمة على العام و مخصّصة له، فهكذا الدلالة المفهومية إذ لانتقص الثانية عن الأُولى و ليس إحداهما أقوى من الأُخرى، بل ربما يكون المفهوم أقوى و لا يُساق الكلام إلاّ لإفهامه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يشترط كون المفهوم أخص مطلقاً لا عموماً من وجه و هو شرط زائد، لأنّه ليس من شرائط كون المفهوم مخصصاً، بل هو من شرائط كلّ مخصص، سواء أ كان لفظياً أو مفهومياً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ادّعى الاتّفاق في تخصيص العام بالمفهوم الموافق، و علّله السيد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تعليقته على الكفاية بأنّ إلغاء المفهوم الموافق ينتهي إلى إلغاء المنطوق أيضاً، و ذلك لاشتراكها في الحكم، بل ربما يكون ثبوت الحكم في المفهوم أقوى من ثبوته في المنطوق، فإذا ألغى الحكم في جانب المفهوم يصبح الإلغاء في جانب المنطوق أولى</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ما ذكره المحقّق الخراساني بعدم وجود الاتفاق، و هذا هو الشارح العضدي يظهر منه كون المسألة غير اتفاقية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هو التخصيص به</w:t>
      </w:r>
      <w:r>
        <w:rPr>
          <w:rFonts w:eastAsia="Amiri" w:cs="Amiri" w:ascii="Amiri" w:hAnsi="Amiri"/>
          <w:color w:val="111111"/>
          <w:sz w:val="28"/>
          <w:szCs w:val="28"/>
          <w:rtl w:val="true"/>
          <w:lang w:bidi="ar-SA"/>
        </w:rPr>
        <w:t>.</w:t>
      </w:r>
      <w:r>
        <w:rPr>
          <w:rStyle w:val="FootnoteAnchor"/>
          <w:rtl w:val="true"/>
        </w:rPr>
        <w:footnoteReference w:id="426"/>
      </w:r>
      <w:bookmarkStart w:id="1324" w:name="pg14356_187188"/>
    </w:p>
    <w:p>
      <w:pPr>
        <w:pStyle w:val="BookText"/>
        <w:rPr/>
      </w:pPr>
      <w:bookmarkEnd w:id="1324"/>
      <w:r>
        <w:rPr>
          <w:rFonts w:ascii="Amiri" w:hAnsi="Amiri" w:eastAsia="Amiri" w:cs="Amiri"/>
          <w:color w:val="111111"/>
          <w:sz w:val="28"/>
          <w:sz w:val="28"/>
          <w:szCs w:val="28"/>
          <w:rtl w:val="true"/>
          <w:lang w:bidi="ar-SA"/>
        </w:rPr>
        <w:t>و أمّا ما ذكره السيد الحكيم في شرحه على الكفاية فلا يتمّ في عامة الصور لما عرفت من أنّ الأولوية القطعية أحد الموارد التي يستعمل فيها مفهوم الموافقة، و أمّا الموارد الباقية فربما لا يكون الحكم في المفهوم أولى من المنطوق،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حرام لأنّه مسكر، فإسراء الحكم إلى النبيذ و الفقاع من باب مفهوم الموافقة مع أنّ الحكم فيه ليس بأولى من المنطوق، فلا يلزم من العمل بالعام في مقابل المفهوم، طرح المنطوق</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7305566_3381743652"/>
      <w:bookmarkStart w:id="1326" w:name="_Toc504"/>
      <w:bookmarkEnd w:id="1325"/>
      <w:r>
        <w:rPr>
          <w:rtl w:val="true"/>
        </w:rPr>
        <w:t>المقام الثاني</w:t>
      </w:r>
      <w:r>
        <w:rPr>
          <w:rtl w:val="true"/>
        </w:rPr>
        <w:t xml:space="preserve">: </w:t>
      </w:r>
      <w:r>
        <w:rPr>
          <w:rtl w:val="true"/>
        </w:rPr>
        <w:t>التخصيص بمفهوم المخالفة</w:t>
      </w:r>
      <w:bookmarkEnd w:id="1326"/>
    </w:p>
    <w:p>
      <w:pPr>
        <w:pStyle w:val="BookText"/>
        <w:rPr/>
      </w:pPr>
      <w:r>
        <w:rPr>
          <w:rFonts w:ascii="Amiri" w:hAnsi="Amiri" w:eastAsia="Amiri" w:cs="Amiri"/>
          <w:color w:val="111111"/>
          <w:sz w:val="28"/>
          <w:sz w:val="28"/>
          <w:szCs w:val="28"/>
          <w:rtl w:val="true"/>
          <w:lang w:bidi="ar-SA"/>
        </w:rPr>
        <w:t>إذا كان هناك عام و مفهوم مخالف، فهل يجوز تخصيص العام بمفهوم المخالفة أو لا؟ فيه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جواز التخصيص مطلقاً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جوازه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استفادة المفهوم 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فيقدم على العام و بين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أفاده المحقّق الخراساني من التفصيل،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العام و ما له المفهوم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يردان في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كلامين و لكن على نحو يصلح أن يكون كلّ منهما قرينة متصلة للتصرف في الآخر إمّا بتخصيص العام، أو بإلغاء المفهوم، كما هو الحال في آية النبأ، و سيوافيك بيانه</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كلامين ليس بينهما ذلك الارتباط و الاتّصال، كما إذا ورد في كلام </w:t>
      </w:r>
    </w:p>
    <w:p>
      <w:pPr>
        <w:pStyle w:val="BookText"/>
        <w:rPr/>
      </w:pPr>
      <w:r>
        <w:rPr>
          <w:rFonts w:ascii="Amiri" w:hAnsi="Amiri" w:eastAsia="Amiri" w:cs="Amiri"/>
          <w:color w:val="111111"/>
          <w:sz w:val="28"/>
          <w:sz w:val="28"/>
          <w:szCs w:val="28"/>
          <w:rtl w:val="true"/>
          <w:lang w:bidi="ar-SA"/>
        </w:rPr>
        <w:t>إمامين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يصلح التصرّف في أحدهما بالآخر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الحال في صحيحة محمد بن مسلم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إذا بلغ كرّاً لم ينجسه شيء، بالنسبة إلى رواية البزنطي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مرسلة السرائر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من هذه التقادير على أقسام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كلّ من العموم و المفهوم مستفادين من مقدّمات الحكمة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كلّ منهما مستفادين من الدلالة الوضعية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يكونا مختلفين من غير فرق بين كون العام لفظياً وضعياً و المفهوم إطلاقياً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تصبح الأقسام تسعة باحتساب المختلفين قسماً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بطروء الإجمال على كلّ من الدليلين فيما إذا كان كلّ من العموم و المفهوم إطلاقياً أو لفظياً وضعياً، غاية الأمر لا ينعقد الظهور إذا كانا مستندين إلى الإطلاق و ينعقد الظهور و لا يستقر إذا كانا مستندين إلى الدلالة اللفظية الوضعية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عدم انعقاده إذا كان كلّ إطلاقياً، فلأنّ عدم القرينة من مقدّمات الحكمة، و المفروض انّ كلّ واحد من العموم و المفهوم يصلح أن يكون قرينة على الآخر بأن يكون المفهوم قرينة على عدم العموم، و العموم قرينة على عدم المفهوم</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عدم استقرار الظهور فيما إذا كانا مستندين إلى الدلالة اللفظية الوضعية، فلأنّ دلالة الشيء على العموم أو المفهوم دلالة مطلقة و ليست معلّقة، غاية الأمر عند الاجتماع يكون كلّ مزاحماً للآخر و موجباً لعدم استقرار الظهور، كما </w:t>
      </w:r>
    </w:p>
    <w:p>
      <w:pPr>
        <w:pStyle w:val="BookText"/>
        <w:rPr/>
      </w:pPr>
      <w:r>
        <w:rPr>
          <w:rFonts w:ascii="Amiri" w:hAnsi="Amiri" w:eastAsia="Amiri" w:cs="Amiri"/>
          <w:color w:val="111111"/>
          <w:sz w:val="28"/>
          <w:sz w:val="28"/>
          <w:szCs w:val="28"/>
          <w:rtl w:val="true"/>
          <w:lang w:bidi="ar-SA"/>
        </w:rPr>
        <w:t>هو الحال في كلّ حجّتين شرعيتين بينهما 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القسم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أحدهما وضعياً و الآخر إطلاقياً فالوضعي سواء كان عاماً أو مفهوماً أظهر من الآخر، فلو كان العام وضعياً يكون دليلاً على إلغاء المفهوم، بل عدم انعقاده، و لو كان المفهوم وضعياً و العموم إطلاقياً، فهو يكشف عن عدم تمامية مقدّمات الحكمة في جانب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التفصيل الرابع و سيوافيك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النائيني من التفصيل بين كون النسبة بين العام و المفهوم هي العموم و خصوص المطلق فيخصص به العام، و ما إذا كانت النسبة هي العموم من وجه فلا يخصص به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الأقوال في المسألة، و الثلاثة الأخيرة خارجة عن نطاق البحث، و ذلك لما عرفت في الأمر الثاني من الأُمور المذكورة في صدر الفصل انّ محور البحث و نطاقه هو كونه كبروياً لا صغروياً مع أنّه يصبح البحث على القول الثالث و الرابع صغروياً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الثالث، فلأنّ تقديم المفهوم المستفاد من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العام دون سائر المفاهيم يدلّ على وجود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القضية الشرطية و الوصفيّة، و قد مرّ انّ البحث كبروي بمعنى انّ الفقيه مذعن بوجود العام و المفهوم قطعاً و إنّما الشكّ في تقديم أيّهما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الرابع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المحقّق الخراساني فهو أيضاً خارج عن نطاق البحث، و ذلك لأنّه قال</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العموم و المفهوم مستفادين من الإطلاق فالظهور غير منعقد، و إذا كانا مستفادين من الظهور الوضعي فالظهور غير مستقر، و هذا إن دلّ على شيء فإنّما يدلّ على عدم الإذعان بوجود العام أو المفهوم </w:t>
      </w:r>
      <w:bookmarkStart w:id="1327" w:name="pg14356_187191"/>
    </w:p>
    <w:p>
      <w:pPr>
        <w:pStyle w:val="BookText"/>
        <w:rPr/>
      </w:pPr>
      <w:bookmarkEnd w:id="1327"/>
      <w:r>
        <w:rPr>
          <w:rFonts w:ascii="Amiri" w:hAnsi="Amiri" w:eastAsia="Amiri" w:cs="Amiri"/>
          <w:color w:val="111111"/>
          <w:sz w:val="28"/>
          <w:sz w:val="28"/>
          <w:szCs w:val="28"/>
          <w:rtl w:val="true"/>
          <w:lang w:bidi="ar-SA"/>
        </w:rPr>
        <w:t>حيث إنّ مقدمات الحكمة في كلّ تنهار بالآخر و مع عدمها لا يكون هناك إذعان بالعام و بالمفهوم، و مثله إذا كان كلّ من العموم و المفهوم مستفاداً من الدلالة الوضعية، فالظهور و إن كان منعقداً لكنّه يكون غير مستقر، لأنّ كلاً قابل للتصرف في الآخر، و هذا إن دل على شيء فإنّما يدلّ على كون الشكّ في وجود الصغرى، و هو خارج عن نطاق النزاع، و يكون البحث مركّزاً على صورة واحدة و هو أقوائية أحدهما و أضعفية الآخر بأن يكون الأقوى وضعياً و الأضعف إطلاقياً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الذي اختاره المحقّق النائيني من شرطية كون المفهوم أخصّ مطلق من العام، فهذا ليس شرطاً في مخصصية المفهوم، بل هو شرط في مخصصية الخاص سواء أ كان مفهوماً أو منطوقاً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تبين انّ الأقوال الثلاثة الأخيرة خارجة عن نطاق البحث، فالأولى أن يركز على شيء واحد و هو انّ كون الدلالة مفهومية هل يوجب الأضعفية و ان الدلالة المنطوقية توجب الأقوائية أو لا؟ و قد عرفت عدم الفرق بينهما، بل ربما يكون المفهوم أقوى من الآخر، و لذلك لا مانع من تخصيص العام بالمفهوم إذا حاز سائر الشرائط، فالقول الأوّل هو المختار</w:t>
      </w:r>
      <w:r>
        <w:rPr>
          <w:rFonts w:eastAsia="Amiri" w:cs="Amiri" w:ascii="Amiri" w:hAnsi="Amiri"/>
          <w:color w:val="111111"/>
          <w:sz w:val="28"/>
          <w:szCs w:val="28"/>
          <w:rtl w:val="true"/>
          <w:lang w:bidi="ar-SA"/>
        </w:rPr>
        <w:t>.</w:t>
      </w:r>
    </w:p>
    <w:p>
      <w:pPr>
        <w:pStyle w:val="Heading4"/>
        <w:numPr>
          <w:ilvl w:val="3"/>
          <w:numId w:val="1"/>
        </w:numPr>
        <w:rPr/>
      </w:pPr>
      <w:bookmarkStart w:id="1328" w:name="__RefHeading___Toc7305568_3381743652"/>
      <w:bookmarkStart w:id="1329" w:name="_Toc505"/>
      <w:bookmarkEnd w:id="1328"/>
      <w:r>
        <w:rPr>
          <w:rtl w:val="true"/>
        </w:rPr>
        <w:t>نظرية المحقّق البروجردي في المقام</w:t>
      </w:r>
      <w:bookmarkEnd w:id="1329"/>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السيد المحقّق البروجردي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يتقدّم المفهوم على العام لأجل انّ التعارض يرجع إلى اختلاف المطلق و المقيد، فإنّ قوله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الماء طهوراً لا ينجسه شيء إلاّ ما غيّر لونه و طعمه أو رائحته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 أنّ تمام الموضوع لعدم الانفعال هو الماء، و لكن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إذا بلغ قدر كرّ لم ينجّسه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أنّ الماء بعض الموضوع و أمّا تمام الموضوع للاعتصام فهو الماء بقيد الكرية، فيقدّم </w:t>
      </w:r>
      <w:bookmarkStart w:id="1330" w:name="pg14356_187192"/>
    </w:p>
    <w:p>
      <w:pPr>
        <w:pStyle w:val="BookText"/>
        <w:rPr/>
      </w:pPr>
      <w:bookmarkEnd w:id="1330"/>
      <w:r>
        <w:rPr>
          <w:rFonts w:ascii="Amiri" w:hAnsi="Amiri" w:eastAsia="Amiri" w:cs="Amiri"/>
          <w:color w:val="111111"/>
          <w:sz w:val="28"/>
          <w:sz w:val="28"/>
          <w:szCs w:val="28"/>
          <w:rtl w:val="true"/>
          <w:lang w:bidi="ar-SA"/>
        </w:rPr>
        <w:t>ما له المفهوم على العام تقدّم المقيد على المطلق</w:t>
      </w:r>
      <w:r>
        <w:rPr>
          <w:rFonts w:eastAsia="Amiri" w:cs="Amiri" w:ascii="Amiri" w:hAnsi="Amiri"/>
          <w:color w:val="111111"/>
          <w:sz w:val="28"/>
          <w:szCs w:val="28"/>
          <w:rtl w:val="true"/>
          <w:lang w:bidi="ar-SA"/>
        </w:rPr>
        <w:t>.</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تغيير لعنوان البحث، إذ ليس البحث في تقديم المقيد على المطلق، بل في تقدّم المفهوم على العام بما هو هو من غير دخل لعنوان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لا يجري ما ذكره في بعض الموارد، أي لا يكون هناك حديث عن الإطلاق 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فسّاقهم إذا أحسنوا إليك، فعلى فرض عدم إحسانهم يكون المفهوم عدم وجوب إكرام فسّاقهم فيتعارضان في العالم الفاسق، فلو قدّم العام يجب إكرامه، و لو قدّم المفهوم لا يجب، و ليس هناك حديث عن الإطلاق و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إرجاع البحث بنوع إلى الإطلاق و التقييد و لكن بتكلّف و تعسّف</w:t>
      </w:r>
      <w:r>
        <w:rPr>
          <w:rFonts w:eastAsia="Amiri" w:cs="Amiri" w:ascii="Amiri" w:hAnsi="Amiri"/>
          <w:color w:val="111111"/>
          <w:sz w:val="28"/>
          <w:szCs w:val="28"/>
          <w:rtl w:val="true"/>
          <w:lang w:bidi="ar-SA"/>
        </w:rPr>
        <w:t>.</w:t>
      </w:r>
    </w:p>
    <w:p>
      <w:pPr>
        <w:pStyle w:val="Heading4"/>
        <w:numPr>
          <w:ilvl w:val="3"/>
          <w:numId w:val="1"/>
        </w:numPr>
        <w:rPr/>
      </w:pPr>
      <w:bookmarkStart w:id="1331" w:name="__RefHeading___Toc7305570_3381743652"/>
      <w:bookmarkStart w:id="1332" w:name="_Toc506"/>
      <w:bookmarkEnd w:id="1331"/>
      <w:r>
        <w:rPr>
          <w:rtl w:val="true"/>
        </w:rPr>
        <w:t>تطبيقات</w:t>
      </w:r>
      <w:bookmarkEnd w:id="1332"/>
    </w:p>
    <w:p>
      <w:pPr>
        <w:pStyle w:val="Heading5"/>
        <w:numPr>
          <w:ilvl w:val="4"/>
          <w:numId w:val="1"/>
        </w:numPr>
        <w:rPr/>
      </w:pPr>
      <w:bookmarkStart w:id="1333" w:name="__RefHeading___Toc7305572_3381743652"/>
      <w:bookmarkStart w:id="1334" w:name="_Toc507"/>
      <w:bookmarkEnd w:id="1333"/>
      <w:r>
        <w:rPr>
          <w:rtl w:val="true"/>
        </w:rPr>
        <w:t>اشارة</w:t>
      </w:r>
      <w:bookmarkEnd w:id="1334"/>
    </w:p>
    <w:p>
      <w:pPr>
        <w:pStyle w:val="BookText"/>
        <w:rPr/>
      </w:pPr>
      <w:r>
        <w:rPr>
          <w:rFonts w:ascii="Amiri" w:hAnsi="Amiri" w:eastAsia="Amiri" w:cs="Amiri"/>
          <w:color w:val="111111"/>
          <w:sz w:val="28"/>
          <w:sz w:val="28"/>
          <w:szCs w:val="28"/>
          <w:rtl w:val="true"/>
          <w:lang w:bidi="ar-SA"/>
        </w:rPr>
        <w:t>قد عرفت أنّ النزاع في المقام كبروي، و انّه هل يجوز تخصيص العام بالمفهوم، مع تسليم وجودهما، لا صغروي و انّه هل هنا، مفهوم أو لا؟ كما عرفت أنّ الضابطة تقديم المفهوم على العام بحجة انّ فيه الجمع العرفي بين الدليلين لا طرح المفهوم، و مع ذلك ربّما يكون قوة دلالة العام مانعاً عن التخصيص، و نأتي بأمثلة</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7305574_3381743652"/>
      <w:bookmarkStart w:id="1336" w:name="_Toc508"/>
      <w:bookmarkEnd w:id="1335"/>
      <w:r>
        <w:rPr/>
        <w:t>1</w:t>
      </w:r>
      <w:r>
        <w:rPr>
          <w:rtl w:val="true"/>
        </w:rPr>
        <w:t xml:space="preserve">. </w:t>
      </w:r>
      <w:r>
        <w:rPr>
          <w:rtl w:val="true"/>
        </w:rPr>
        <w:t>آية النبأ و التعارض بين المفهوم و التعليل</w:t>
      </w:r>
      <w:bookmarkEnd w:id="1336"/>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w:t>
      </w:r>
    </w:p>
    <w:p>
      <w:pPr>
        <w:pStyle w:val="BookText"/>
        <w:rPr/>
      </w:pPr>
      <w:r>
        <w:rPr>
          <w:rFonts w:ascii="Amiri" w:hAnsi="Amiri" w:eastAsia="Amiri" w:cs="Amiri"/>
          <w:color w:val="111111"/>
          <w:sz w:val="28"/>
          <w:sz w:val="28"/>
          <w:szCs w:val="28"/>
          <w:rtl w:val="true"/>
          <w:lang w:bidi="ar-SA"/>
        </w:rPr>
        <w:t xml:space="preserve">قَوْماً بِجَهالَةٍ فَتُصْبِحُوا عَلى ما فَعَلْتُمْ نادِمِينَ </w:t>
      </w:r>
      <w:r>
        <w:rPr>
          <w:rFonts w:eastAsia="Amiri" w:cs="Amiri" w:ascii="Amiri" w:hAnsi="Amiri"/>
          <w:color w:val="111111"/>
          <w:sz w:val="28"/>
          <w:szCs w:val="28"/>
          <w:rtl w:val="true"/>
          <w:lang w:bidi="ar-SA"/>
        </w:rPr>
        <w:t>).</w:t>
      </w:r>
      <w:r>
        <w:rPr>
          <w:rStyle w:val="FootnoteAnchor"/>
          <w:rtl w:val="true"/>
        </w:rPr>
        <w:footnoteReference w:id="428"/>
      </w:r>
    </w:p>
    <w:p>
      <w:pPr>
        <w:pStyle w:val="BookText"/>
        <w:rPr/>
      </w:pPr>
      <w:r>
        <w:rPr>
          <w:rFonts w:ascii="Amiri" w:hAnsi="Amiri" w:eastAsia="Amiri" w:cs="Amiri"/>
          <w:color w:val="111111"/>
          <w:sz w:val="28"/>
          <w:sz w:val="28"/>
          <w:szCs w:val="28"/>
          <w:rtl w:val="true"/>
          <w:lang w:bidi="ar-SA"/>
        </w:rPr>
        <w:t>إنّ صدر الآية مشتمل على المفهوم و هو عدم لزوم التبيين إذا جاء العادل بالنبإ، سواء قلنا بأنّه مقتضى مفهوم الشرط أو الوصف، لكن الذيل مشتمل على تعليل يعم نبأ العادل و الفاسق، و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تُصِيبُوا قَوْماً بِجَهالَةٍ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كانت الجهالة بمعنى عدم العلم القطعي بالواقع فهو مشترك بين نبأ العادل و الفاسق، و قبح إصابة القوم بجهالة، لا يختص بقوم دون 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ذاك فقد اختلفت كلمات المتأخرين في تقديم واحد منهما على الآخر لا اختلافاً في الكبرى، بل اختلافاً في قوة دلالة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فالشيخ الأعظم، على تقديم التعليل العام على المفهوم لقوة دلالته لعدم اختصاص قبح الإصابة بمورد دون مورد، و لكن المحقّق النائيني على العكس أي تقديم المفهوم على العام لأنّ خبر العدل بعد صيرورته حجّة، يخرج عن كونه إصابة قوم بجهالة، و تكون القضية المشتملة على المفهوم حاكمة على عموم التعليل</w:t>
      </w:r>
      <w:r>
        <w:rPr>
          <w:rFonts w:eastAsia="Amiri" w:cs="Amiri" w:ascii="Amiri" w:hAnsi="Amiri"/>
          <w:color w:val="111111"/>
          <w:sz w:val="28"/>
          <w:szCs w:val="28"/>
          <w:rtl w:val="true"/>
          <w:lang w:bidi="ar-SA"/>
        </w:rPr>
        <w:t>.</w:t>
      </w:r>
      <w:r>
        <w:rPr>
          <w:rStyle w:val="FootnoteAnchor"/>
          <w:rtl w:val="true"/>
        </w:rPr>
        <w:footnoteReference w:id="42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مبني على تفسير الجهالة في الآية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فيعمّم عندئذ كلا الخبرين، و أمّا إذا كان المراد بها، ضد الحكمة، فلا يعمّ خبر العادل، إذ لا يعد العمل بقول الثقة، أمراً على خلاف الحكمة،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مَنْ عَمِلَ مِنْكُمْ سُوءاً بِجَهالَةٍ ثُمَّ تابَ مِنْ بَعْدِهِ وَ أَصْلَحَ فَأَنَّهُ غَفُورٌ رَحِيمٌ </w:t>
      </w:r>
      <w:r>
        <w:rPr>
          <w:rFonts w:eastAsia="Amiri" w:cs="Amiri" w:ascii="Amiri" w:hAnsi="Amiri"/>
          <w:color w:val="111111"/>
          <w:sz w:val="28"/>
          <w:szCs w:val="28"/>
          <w:rtl w:val="true"/>
          <w:lang w:bidi="ar-SA"/>
        </w:rPr>
        <w:t>).</w:t>
      </w:r>
      <w:r>
        <w:rPr>
          <w:rStyle w:val="FootnoteAnchor"/>
          <w:rtl w:val="true"/>
        </w:rPr>
        <w:footnoteReference w:id="430"/>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يرد على المحقّق النائيني أنّ الحكومة أمر قائم بلسان الدليل على نحو </w:t>
      </w:r>
      <w:bookmarkStart w:id="1337" w:name="pg14356_187194"/>
    </w:p>
    <w:p>
      <w:pPr>
        <w:pStyle w:val="BookText"/>
        <w:rPr/>
      </w:pPr>
      <w:bookmarkEnd w:id="1337"/>
      <w:r>
        <w:rPr>
          <w:rFonts w:ascii="Amiri" w:hAnsi="Amiri" w:eastAsia="Amiri" w:cs="Amiri"/>
          <w:color w:val="111111"/>
          <w:sz w:val="28"/>
          <w:sz w:val="28"/>
          <w:szCs w:val="28"/>
          <w:rtl w:val="true"/>
          <w:lang w:bidi="ar-SA"/>
        </w:rPr>
        <w:t>يعدّ الدليل اللفظي مفسراً للدليل الآخر، و المفهوم ليس دليلاً لفظياً فيكون فاقداً للسان، و معه كيف يكون حاكماً على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فمن المحتمل إجمال الكلام، لورودهما في كلام واحد أو منزلته، و يصلح كلّ لرفع الآخر، فالمفهوم صالح لتخصيص العام، كما انّ العام المتصل الظاهر بصورة التعليل، صالح لإلغاء المفهوم و إخلاء القضية عنه</w:t>
      </w:r>
      <w:r>
        <w:rPr>
          <w:rFonts w:eastAsia="Amiri" w:cs="Amiri" w:ascii="Amiri" w:hAnsi="Amiri"/>
          <w:color w:val="111111"/>
          <w:sz w:val="28"/>
          <w:szCs w:val="28"/>
          <w:rtl w:val="true"/>
          <w:lang w:bidi="ar-SA"/>
        </w:rPr>
        <w:t>.</w:t>
      </w:r>
    </w:p>
    <w:p>
      <w:pPr>
        <w:pStyle w:val="Heading5"/>
        <w:numPr>
          <w:ilvl w:val="4"/>
          <w:numId w:val="1"/>
        </w:numPr>
        <w:rPr/>
      </w:pPr>
      <w:bookmarkStart w:id="1338" w:name="__RefHeading___Toc7305576_3381743652"/>
      <w:bookmarkStart w:id="1339" w:name="_Toc509"/>
      <w:bookmarkEnd w:id="1338"/>
      <w:r>
        <w:rPr/>
        <w:t>2</w:t>
      </w:r>
      <w:r>
        <w:rPr>
          <w:rtl w:val="true"/>
        </w:rPr>
        <w:t xml:space="preserve">. </w:t>
      </w:r>
      <w:r>
        <w:rPr>
          <w:rtl w:val="true"/>
        </w:rPr>
        <w:t>حديث</w:t>
      </w:r>
      <w:r>
        <w:rPr>
          <w:rtl w:val="true"/>
        </w:rPr>
        <w:t xml:space="preserve">» </w:t>
      </w:r>
      <w:r>
        <w:rPr>
          <w:rtl w:val="true"/>
        </w:rPr>
        <w:t xml:space="preserve">قدر كرّ </w:t>
      </w:r>
      <w:r>
        <w:rPr>
          <w:rtl w:val="true"/>
        </w:rPr>
        <w:t>«</w:t>
      </w:r>
      <w:r>
        <w:rPr>
          <w:rtl w:val="true"/>
        </w:rPr>
        <w:t>و قوة العام في حديث ابن بزيع</w:t>
      </w:r>
      <w:bookmarkEnd w:id="1339"/>
    </w:p>
    <w:p>
      <w:pPr>
        <w:pStyle w:val="BookText"/>
        <w:rPr/>
      </w:pPr>
      <w:r>
        <w:rPr>
          <w:rFonts w:ascii="Amiri" w:hAnsi="Amiri" w:eastAsia="Amiri" w:cs="Amiri"/>
          <w:color w:val="111111"/>
          <w:sz w:val="28"/>
          <w:sz w:val="28"/>
          <w:szCs w:val="28"/>
          <w:rtl w:val="true"/>
          <w:lang w:bidi="ar-SA"/>
        </w:rPr>
        <w:t>روى محمد بن مسلم،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عن الماء تبول فيه الدوابّ، و تلغ فيه الكلاب، و يغتسل فيه الجنب؟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إذا بلغ قدر كرّ لم ينجّسه شيء </w:t>
      </w:r>
      <w:r>
        <w:rPr>
          <w:rFonts w:eastAsia="Amiri" w:cs="Amiri" w:ascii="Amiri" w:hAnsi="Amiri"/>
          <w:color w:val="111111"/>
          <w:sz w:val="28"/>
          <w:szCs w:val="28"/>
          <w:rtl w:val="true"/>
          <w:lang w:bidi="ar-SA"/>
        </w:rPr>
        <w:t>«.</w:t>
      </w:r>
      <w:r>
        <w:rPr>
          <w:rStyle w:val="FootnoteAnchor"/>
          <w:rtl w:val="true"/>
        </w:rPr>
        <w:footnoteReference w:id="431"/>
      </w:r>
      <w:r>
        <w:rPr>
          <w:rFonts w:ascii="Amiri" w:hAnsi="Amiri" w:eastAsia="Amiri" w:cs="Amiri"/>
          <w:color w:val="111111"/>
          <w:sz w:val="28"/>
          <w:sz w:val="28"/>
          <w:szCs w:val="28"/>
          <w:rtl w:val="true"/>
          <w:lang w:bidi="ar-SA"/>
        </w:rPr>
        <w:t>فذيل الحديث يشتمل على المفهوم و هو انّه إذا لم يبلغ الماء قدر كرّ، ينجسه شيء، و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عناوين النجاسات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محمد بن إسماعيل بن بزيع عن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لا يفسده شيء، إلاّ أن يتغير ريحه، أو طعمه، فينزح حتّى يذهب الريح و يطيب طعمه لأنّ له مادة </w:t>
      </w:r>
      <w:r>
        <w:rPr>
          <w:rFonts w:eastAsia="Amiri" w:cs="Amiri" w:ascii="Amiri" w:hAnsi="Amiri"/>
          <w:color w:val="111111"/>
          <w:sz w:val="28"/>
          <w:szCs w:val="28"/>
          <w:rtl w:val="true"/>
          <w:lang w:bidi="ar-SA"/>
        </w:rPr>
        <w:t>«.</w:t>
      </w:r>
      <w:r>
        <w:rPr>
          <w:rStyle w:val="FootnoteAnchor"/>
          <w:rtl w:val="true"/>
        </w:rPr>
        <w:footnoteReference w:id="432"/>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واسع لا يفسده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عام يعمّ القليل من ماء البئر و كثيره، فهل يصحّ تخصيصه بالمفهوم المستفاد في صحيحة محمد بن مسلم أو لا؟ إنّ النسبة بين المفهوم و العام، هو العموم من وجه، لأنّ المفهوم أعمّ من حيث كون الموضوع مطلق الماء، لا ماء البئر، و أخص من حيث اختصاصه بالماء غير الكرّ، و حديث البزنطي عام لاشتماله الكرّ و غيره، و خاص لاختصاصه بماء </w:t>
      </w:r>
      <w:bookmarkStart w:id="1340" w:name="pg14356_187195"/>
    </w:p>
    <w:p>
      <w:pPr>
        <w:pStyle w:val="BookText"/>
        <w:rPr/>
      </w:pPr>
      <w:bookmarkEnd w:id="1340"/>
      <w:r>
        <w:rPr>
          <w:rFonts w:ascii="Amiri" w:hAnsi="Amiri" w:eastAsia="Amiri" w:cs="Amiri"/>
          <w:color w:val="111111"/>
          <w:sz w:val="28"/>
          <w:sz w:val="28"/>
          <w:szCs w:val="28"/>
          <w:rtl w:val="true"/>
          <w:lang w:bidi="ar-SA"/>
        </w:rPr>
        <w:t>البئر و يجتمعان في ماء البئر القليل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القاعدة، هو رفضهما و الرجوع إلى دليل ثالث، و مع ذلك فالذوق الفقهي يأبى ذلك، و يرجح تقديم العام على المفهوم لقوّة دلالته بالتعليل الوارد في ذيله،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إلاّ يلزم لغوية التعليل، لأنّه لو كان كثيراً لكان عدم الانفعال مستنداً إلى كرّيته لا إلى كونه له مادة، و لو كان قليلاً، فإن قلنا بعدم انفعاله، لنفس العلّة الواردة في الرواية فهو، و إلاّ تلزم لغوية التعليل</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7305578_3381743652"/>
      <w:bookmarkStart w:id="1342" w:name="_Toc510"/>
      <w:bookmarkEnd w:id="1341"/>
      <w:r>
        <w:rPr/>
        <w:t>2</w:t>
      </w:r>
      <w:r>
        <w:rPr>
          <w:rtl w:val="true"/>
        </w:rPr>
        <w:t xml:space="preserve">. </w:t>
      </w:r>
      <w:r>
        <w:rPr>
          <w:rtl w:val="true"/>
        </w:rPr>
        <w:t>حديث</w:t>
      </w:r>
      <w:r>
        <w:rPr>
          <w:rtl w:val="true"/>
        </w:rPr>
        <w:t xml:space="preserve">» </w:t>
      </w:r>
      <w:r>
        <w:rPr>
          <w:rtl w:val="true"/>
        </w:rPr>
        <w:t xml:space="preserve">قدر كرّ </w:t>
      </w:r>
      <w:r>
        <w:rPr>
          <w:rtl w:val="true"/>
        </w:rPr>
        <w:t>«</w:t>
      </w:r>
      <w:r>
        <w:rPr>
          <w:rtl w:val="true"/>
        </w:rPr>
        <w:t>و رواية السرائر</w:t>
      </w:r>
      <w:bookmarkEnd w:id="1342"/>
    </w:p>
    <w:p>
      <w:pPr>
        <w:pStyle w:val="BookText"/>
        <w:rPr/>
      </w:pPr>
      <w:r>
        <w:rPr>
          <w:rFonts w:ascii="Amiri" w:hAnsi="Amiri" w:eastAsia="Amiri" w:cs="Amiri"/>
          <w:color w:val="111111"/>
          <w:sz w:val="28"/>
          <w:sz w:val="28"/>
          <w:szCs w:val="28"/>
          <w:rtl w:val="true"/>
          <w:lang w:bidi="ar-SA"/>
        </w:rPr>
        <w:t>روى ابن إدريس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المحقّق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الظاهر منهما انّ الرواية معتبرة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الماء طهوراً لا ينجسه شيء، إلاّ ما غيّر لونه أو طعمه أو ريحه </w:t>
      </w:r>
      <w:r>
        <w:rPr>
          <w:rFonts w:eastAsia="Amiri" w:cs="Amiri" w:ascii="Amiri" w:hAnsi="Amiri"/>
          <w:color w:val="111111"/>
          <w:sz w:val="28"/>
          <w:szCs w:val="28"/>
          <w:rtl w:val="true"/>
          <w:lang w:bidi="ar-SA"/>
        </w:rPr>
        <w:t>«.</w:t>
      </w:r>
      <w:r>
        <w:rPr>
          <w:rStyle w:val="FootnoteAnchor"/>
          <w:rtl w:val="true"/>
        </w:rPr>
        <w:footnoteReference w:id="433"/>
      </w:r>
      <w:r>
        <w:rPr>
          <w:rFonts w:ascii="Amiri" w:hAnsi="Amiri" w:eastAsia="Amiri" w:cs="Amiri"/>
          <w:color w:val="111111"/>
          <w:sz w:val="28"/>
          <w:sz w:val="28"/>
          <w:szCs w:val="28"/>
          <w:rtl w:val="true"/>
          <w:lang w:bidi="ar-SA"/>
        </w:rPr>
        <w:t>و النسبة بينه و بين رواية محمّد بن مسلم، عموم و خصوص مطلق</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المقام يقدّم المفهوم المستفاد من صحيحة محمد بن مسلم على العام الوارد في هذه الرواية، لأنّه أخصّ من العام، و الخاص مقدّم على العام</w:t>
      </w:r>
      <w:r>
        <w:rPr>
          <w:rFonts w:eastAsia="Amiri" w:cs="Amiri" w:ascii="Amiri" w:hAnsi="Amiri"/>
          <w:color w:val="111111"/>
          <w:sz w:val="28"/>
          <w:szCs w:val="28"/>
          <w:rtl w:val="true"/>
          <w:lang w:bidi="ar-SA"/>
        </w:rPr>
        <w:t xml:space="preserve">. </w:t>
      </w:r>
      <w:bookmarkStart w:id="1343" w:name="pg14356_187196"/>
    </w:p>
    <w:p>
      <w:pPr>
        <w:pStyle w:val="Heading3"/>
        <w:numPr>
          <w:ilvl w:val="2"/>
          <w:numId w:val="1"/>
        </w:numPr>
        <w:rPr/>
      </w:pPr>
      <w:bookmarkStart w:id="1344" w:name="__RefHeading___Toc7305580_3381743652"/>
      <w:bookmarkStart w:id="1345" w:name="_Toc511"/>
      <w:bookmarkEnd w:id="1343"/>
      <w:bookmarkEnd w:id="1344"/>
      <w:r>
        <w:rPr>
          <w:rtl w:val="true"/>
        </w:rPr>
        <w:t>الفصل الثالث عشر الاستثناء المتعقِّب للجمل</w:t>
      </w:r>
      <w:bookmarkEnd w:id="1345"/>
    </w:p>
    <w:p>
      <w:pPr>
        <w:pStyle w:val="Heading4"/>
        <w:numPr>
          <w:ilvl w:val="3"/>
          <w:numId w:val="1"/>
        </w:numPr>
        <w:rPr/>
      </w:pPr>
      <w:bookmarkStart w:id="1346" w:name="__RefHeading___Toc7305582_3381743652"/>
      <w:bookmarkStart w:id="1347" w:name="_Toc512"/>
      <w:bookmarkEnd w:id="1346"/>
      <w:r>
        <w:rPr>
          <w:rtl w:val="true"/>
        </w:rPr>
        <w:t>اشارة</w:t>
      </w:r>
      <w:bookmarkEnd w:id="1347"/>
    </w:p>
    <w:p>
      <w:pPr>
        <w:pStyle w:val="BookText"/>
        <w:rPr/>
      </w:pPr>
      <w:r>
        <w:rPr>
          <w:rFonts w:ascii="Amiri" w:hAnsi="Amiri" w:eastAsia="Amiri" w:cs="Amiri"/>
          <w:color w:val="111111"/>
          <w:sz w:val="28"/>
          <w:sz w:val="28"/>
          <w:szCs w:val="28"/>
          <w:rtl w:val="true"/>
          <w:lang w:bidi="ar-SA"/>
        </w:rPr>
        <w:t>إذا كان هناك جمل متعدّدة حقيقة أو حكماً و تعقّبها استثناء فهل يرجع الاستثناء إلى الجميع أو إلى الأخيرة، أولا ظهور له في أحدهما و إن كان الرجوع إلى الأخيرة متيقناً؟ و لعلّ السبب لعقد هذا الفصل هو قوله سبحانه في حقّ القاذف،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يَرْمُونَ الْمُحْصَناتِ ثُمَّ لَمْ يَأْتُوا بِأَرْبَعَةِ شُهَداءَ فَاجْلِدُوهُمْ ثَمانِينَ جَلْدَةً وَ لا تَقْبَلُوا لَهُمْ شَهادَةً أَبَداً وَ 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مِنْ بَعْدِ ذلِكَ وَ أَصْلَحُوا فَإِنَّ اللّهَ غَفُورٌ رَحِيمٌ </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فوقع الكلام في أنّ الاستثناء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الَّذِينَ تابُوا مِنْ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يرجع إلى الحكم الأخير أعني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 إلى الجميع، يعني الأحكام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الحكم بالجلد و عدم قبول الشهادة و الحكم بالفسق؟ ثمّ إنّ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المحصنات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الآية العفائف، فانّ تلك اللفظة تطلق تارة و يراد بها إحصان العفة، فيعم كلّ مرأة عفيفة، سواء أ كانت مجردة أم متزوّجة، </w:t>
      </w:r>
      <w:bookmarkStart w:id="1348" w:name="pg14356_187197"/>
    </w:p>
    <w:p>
      <w:pPr>
        <w:pStyle w:val="BookText"/>
        <w:rPr/>
      </w:pPr>
      <w:bookmarkEnd w:id="1348"/>
      <w:r>
        <w:rPr>
          <w:rFonts w:ascii="Amiri" w:hAnsi="Amiri" w:eastAsia="Amiri" w:cs="Amiri"/>
          <w:color w:val="111111"/>
          <w:sz w:val="28"/>
          <w:sz w:val="28"/>
          <w:szCs w:val="28"/>
          <w:rtl w:val="true"/>
          <w:lang w:bidi="ar-SA"/>
        </w:rPr>
        <w:t>و قد تطلق و يراد بها إحصان التزوّج حيث إنّ المتزوّجة تُحْصِن نفسها، و المراد كما عرفت هو الأوّل، و ذلك لأنّ الميزان في حرمة القذف هو كون المرأة متعفّفة لا متزوّجة، و إن كان مورد نزول الآية هو المتزوّجة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للإحصان في القرآن الكريم 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 يطلق و يراد منه احصان التزوّج،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الْمُحْصَناتُ مِنَ النِّساءِ إِلاّ ما مَلَكَتْ أَيْمانُكُمْ </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أي حرّمت عليكم ذوات الأزواج إلاّ من سُبيت في الحرب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إحصان الحرية، كقوله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يَسْتَطِعْ مِنْكُمْ طَوْلاً أَنْ يَنْكِحَ الْمُحْصَناتِ الْمُؤْمِناتِ </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أي الحرائر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إحصان التعفّف كما في الآية المتقدّمة،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تُكْرِهُوا فَتَياتِكُمْ عَلَى الْبِغاءِ إِنْ أَرَدْنَ تَحَصُّناً </w:t>
      </w:r>
      <w:r>
        <w:rPr>
          <w:rFonts w:eastAsia="Amiri" w:cs="Amiri" w:ascii="Amiri" w:hAnsi="Amiri"/>
          <w:color w:val="111111"/>
          <w:sz w:val="28"/>
          <w:szCs w:val="28"/>
          <w:rtl w:val="true"/>
          <w:lang w:bidi="ar-SA"/>
        </w:rPr>
        <w:t>)</w:t>
      </w:r>
      <w:r>
        <w:rPr>
          <w:rStyle w:val="FootnoteAnchor"/>
          <w:rtl w:val="true"/>
        </w:rPr>
        <w:footnoteReference w:id="437"/>
      </w:r>
      <w:r>
        <w:rPr>
          <w:rFonts w:ascii="Amiri" w:hAnsi="Amiri" w:eastAsia="Amiri" w:cs="Amiri"/>
          <w:color w:val="111111"/>
          <w:sz w:val="28"/>
          <w:sz w:val="28"/>
          <w:szCs w:val="28"/>
          <w:rtl w:val="true"/>
          <w:lang w:bidi="ar-SA"/>
        </w:rPr>
        <w:t>، أي إذا أردن العفة و صيانة النفس عن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علمت ذلك، فاعلم أنّه يقع الكلام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في مقام الثبوت، و الآخر في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يراد من الأوّل إمكان الرجوع إلى الجميع، و من الآخر استظهار ظهور الجملة في أيّ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الكلام فيهما</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7305584_3381743652"/>
      <w:bookmarkStart w:id="1350" w:name="_Toc513"/>
      <w:bookmarkEnd w:id="1349"/>
      <w:r>
        <w:rPr>
          <w:rtl w:val="true"/>
        </w:rPr>
        <w:t>المقام الأوّل</w:t>
      </w:r>
      <w:r>
        <w:rPr>
          <w:rtl w:val="true"/>
        </w:rPr>
        <w:t xml:space="preserve">: </w:t>
      </w:r>
      <w:r>
        <w:rPr>
          <w:rtl w:val="true"/>
        </w:rPr>
        <w:t>في مقام الثبوت و إمكان الرجوع إلى الجميع</w:t>
      </w:r>
      <w:bookmarkEnd w:id="1350"/>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رجوع الاستثناء إلى عامّة الجمل المتقدّمة أمر ممكن أو لا؟ يظهر من </w:t>
      </w:r>
    </w:p>
    <w:p>
      <w:pPr>
        <w:pStyle w:val="BookText"/>
        <w:rPr/>
      </w:pPr>
      <w:r>
        <w:rPr>
          <w:rFonts w:ascii="Amiri" w:hAnsi="Amiri" w:eastAsia="Amiri" w:cs="Amiri"/>
          <w:color w:val="111111"/>
          <w:sz w:val="28"/>
          <w:sz w:val="28"/>
          <w:szCs w:val="28"/>
          <w:rtl w:val="true"/>
          <w:lang w:bidi="ar-SA"/>
        </w:rPr>
        <w:t>المحقّق الخراساني أنّ إمكان الرجوع إلى الجميع أمر مسلّم، غير أنّ الاختلاف في مقام الإثبات، قال 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كلمة الاستثناء وضعت للإخراج بالمعنى الحرفي من غير فرق بين تعدّد المستثنى منه و وحدته، أو تعدّد المستثنى و وحدته، فتعدّدهما و وحدتهما غير مؤثر في استعمال كلمة الاستثناء في معناه، و تعدّد المخرَج منه أو المخرَج لا يوجب تعدد ما استعمل فيه أداة الإخراج مفهوماً</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و ذهب سيّد مشايخنا المحقّق البروجردي إلى امتناع الرجوع إلى الجميع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معاني الحروف معان فانية و مندكَّة في المستعمل فيه، فإذا رجع إلى الأخيرة فيندك فيها و معه كيف يرجع إلى غيرها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الحروف آلة للحاظ المعاني الاسمية و فانية فيها، و لا يمكن فناء واحد في أُمور كثيرة، و لا يقاس ذلك بالاستثناء المتعدّد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القوم إلاّ زيداً و عمراً و بكراً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 حروف العطف فيها رابطة فيُخرَجُ الأوّل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يرتبط الثاني به بحرف العطف، بخلاف الاستثناء الواحد من الجمل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و أهن الفساق، و سلّم على الطلاّب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من قبيل استعمال اللفظ الواحد في معاني متعددة</w:t>
      </w:r>
      <w:r>
        <w:rPr>
          <w:rFonts w:eastAsia="Amiri" w:cs="Amiri" w:ascii="Amiri" w:hAnsi="Amiri"/>
          <w:color w:val="111111"/>
          <w:sz w:val="28"/>
          <w:szCs w:val="28"/>
          <w:rtl w:val="true"/>
          <w:lang w:bidi="ar-SA"/>
        </w:rPr>
        <w:t>.</w:t>
      </w:r>
      <w:r>
        <w:rPr>
          <w:rStyle w:val="FootnoteAnchor"/>
          <w:rtl w:val="true"/>
        </w:rPr>
        <w:footnoteReference w:id="439"/>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لحاظ المعنى الحرفي بلحاظ طرفيه، و حيث إنّ تعدّد الأطراف هنا بتعدّد المستثنى منه صار مرجع استعمال أداة واحدة في الإخراج في جميعها إلى لحاظ حقيقة واحدة ربطية بنحو الاندكاك و الفناء في هذا الطرف تارة، و ذاك الطرف أُخرى، و مقتضى ذلك كون حقيقة </w:t>
      </w:r>
    </w:p>
    <w:p>
      <w:pPr>
        <w:pStyle w:val="BookText"/>
        <w:rPr/>
      </w:pPr>
      <w:r>
        <w:rPr>
          <w:rFonts w:ascii="Amiri" w:hAnsi="Amiri" w:eastAsia="Amiri" w:cs="Amiri"/>
          <w:color w:val="111111"/>
          <w:sz w:val="28"/>
          <w:sz w:val="28"/>
          <w:szCs w:val="28"/>
          <w:rtl w:val="true"/>
          <w:lang w:bidi="ar-SA"/>
        </w:rPr>
        <w:t>واحدة ربطية بنحو الاندكاك و الفناء في هذا الطرف تارة، و ذاك الطرف أُخرى، و مقتضى ذلك كون حقيقة واحدة ربطية في عين وحدتها، حقائق ربطية متكثرة و هذا مستحيل</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أشبه بالشبهة في مقابل البديهة، و الشاهد عليه ورود الرواية بأنّ القاذف إذا تاب تقبل شهادته، و معنى ذلك انّه يرجع إلى الجملة الثانية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قاسم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يقذف الرجل فيُجلَد حداً ثمّ يتوب و لا يعلم منه إلاّ خير، أ تجوز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يقال عندكم؟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توبته فيما بينه و بين اللّه و لا تقبل شهادته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قالوا، 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تاب و لم يُعلم منه إلاّ خير جازت شهادته </w:t>
      </w:r>
      <w:r>
        <w:rPr>
          <w:rFonts w:eastAsia="Amiri" w:cs="Amiri" w:ascii="Amiri" w:hAnsi="Amiri"/>
          <w:color w:val="111111"/>
          <w:sz w:val="28"/>
          <w:szCs w:val="28"/>
          <w:rtl w:val="true"/>
          <w:lang w:bidi="ar-SA"/>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و سواء أصحت الرواية أم لا فهي حجّة من أهل اللسان على إمكان رجوع الاستثناء إلى الجمل المتوسطة، فلو كان أمراً محالاً لما قال به الإمام و لا أخبر به الراوي بما أنّه من أهل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حلّ الشبهة فبوجهين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الحروف دلالة تبعية، و عندئذ يكون في إفادة الوحدة و الكثرة تابعاً لمتعلّقه، فإن كان المتعلّق واحداً يتحد، و إن كان كثيراً يتكثّر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المفروض انّ متعلّقه كثير، حيث المستثنى منه متعدّد، و المستثنى قابل للانطباق، على مصاديق كلّ الجمل المتقدّمة</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الاستثناء و إن كان مستعملاً في الاستثناء المندك لكن رجوعه إلى أكثر من واحد لا يستلزم كون المعنى الربطي الواحد حقائق ربطية متكثرة، إذ هو في المثال المعروف أكرم العلماء و الطلاب و التجار إلاّ الفساق استعملت في </w:t>
      </w:r>
      <w:bookmarkStart w:id="1351" w:name="pg14356_187200"/>
    </w:p>
    <w:p>
      <w:pPr>
        <w:pStyle w:val="BookText"/>
        <w:rPr/>
      </w:pPr>
      <w:bookmarkEnd w:id="1351"/>
      <w:r>
        <w:rPr>
          <w:rFonts w:ascii="Amiri" w:hAnsi="Amiri" w:eastAsia="Amiri" w:cs="Amiri"/>
          <w:color w:val="111111"/>
          <w:sz w:val="28"/>
          <w:sz w:val="28"/>
          <w:szCs w:val="28"/>
          <w:rtl w:val="true"/>
          <w:lang w:bidi="ar-SA"/>
        </w:rPr>
        <w:t>الاستثناء المندك في الفسّاق، غير أنّ الذي يُصحّح رجوعه إلى أكثر من واحد ليس عروض الكثرة على المعنى الربطي الواحد، بل لأجل وجود كثرة وسعة في متعلّقه، أي نفس مفهوم الفسّاق حيث يشمل الفاسق من الطوائف الثلاث، فلو كان المستثنى قابلاً للانطباق على أكثر من واحد بالذات، لسرت الكثرة مجازاً و بالعرض إلى نفس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تعلّق المعنى الربطي الواحد، بكلّ من العلماء و الطلاب و التجار، و تعلّقه بمفهوم واحد قابل للانطباق على أكثر من واحد، و هو لا يوجب تصرفاً في معنى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تبين انّ إمكان الرجوع أمر لا سترة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الكلام في المقام الثاني</w:t>
      </w:r>
      <w:r>
        <w:rPr>
          <w:rFonts w:eastAsia="Amiri" w:cs="Amiri" w:ascii="Amiri" w:hAnsi="Amiri"/>
          <w:color w:val="111111"/>
          <w:sz w:val="28"/>
          <w:szCs w:val="28"/>
          <w:rtl w:val="true"/>
          <w:lang w:bidi="ar-SA"/>
        </w:rPr>
        <w:t>.</w:t>
      </w:r>
    </w:p>
    <w:p>
      <w:pPr>
        <w:pStyle w:val="Heading4"/>
        <w:numPr>
          <w:ilvl w:val="3"/>
          <w:numId w:val="1"/>
        </w:numPr>
        <w:rPr/>
      </w:pPr>
      <w:bookmarkStart w:id="1352" w:name="__RefHeading___Toc7305586_3381743652"/>
      <w:bookmarkStart w:id="1353" w:name="_Toc514"/>
      <w:bookmarkEnd w:id="1352"/>
      <w:r>
        <w:rPr>
          <w:rtl w:val="true"/>
        </w:rPr>
        <w:t>المقام الثاني</w:t>
      </w:r>
      <w:r>
        <w:rPr>
          <w:rtl w:val="true"/>
        </w:rPr>
        <w:t xml:space="preserve">: </w:t>
      </w:r>
      <w:r>
        <w:rPr>
          <w:rtl w:val="true"/>
        </w:rPr>
        <w:t>في بيان ما هو ظاهر فيه</w:t>
      </w:r>
      <w:bookmarkEnd w:id="1353"/>
    </w:p>
    <w:p>
      <w:pPr>
        <w:pStyle w:val="Heading5"/>
        <w:numPr>
          <w:ilvl w:val="4"/>
          <w:numId w:val="1"/>
        </w:numPr>
        <w:rPr/>
      </w:pPr>
      <w:bookmarkStart w:id="1354" w:name="__RefHeading___Toc7305588_3381743652"/>
      <w:bookmarkStart w:id="1355" w:name="_Toc515"/>
      <w:bookmarkEnd w:id="1354"/>
      <w:r>
        <w:rPr>
          <w:rtl w:val="true"/>
        </w:rPr>
        <w:t>اشارة</w:t>
      </w:r>
      <w:bookmarkEnd w:id="1355"/>
    </w:p>
    <w:p>
      <w:pPr>
        <w:pStyle w:val="BookText"/>
        <w:rPr/>
      </w:pPr>
      <w:r>
        <w:rPr>
          <w:rFonts w:ascii="Amiri" w:hAnsi="Amiri" w:eastAsia="Amiri" w:cs="Amiri"/>
          <w:color w:val="111111"/>
          <w:sz w:val="28"/>
          <w:sz w:val="28"/>
          <w:szCs w:val="28"/>
          <w:rtl w:val="true"/>
          <w:lang w:bidi="ar-SA"/>
        </w:rPr>
        <w:t>إذا أمكن رجوع الاستثناء إلى الأخير و الجميع، يقع الكلام في استظهار ما هو الظاهر من الأمرين؟ ذهب المحقّق الخراساني إلى أنّ الكلام يصير مجملاً لا يكون ظاهراً في أحد الأمرين</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رجوعه إلى الأخير أمر متعيّن فلما ذا لا يتمسّك بأصالة العموم في غير الأخيرة حتى 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فَاجْلِدُوهُمْ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تَقْبَلُوا لَهُمْ شَهادَةً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مصونان من التخصيص؟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العموم حجّة فيما إذا شكّ في أصل التخصيص و في وجود القرينة، و أمّا إذا شكّ في قرينية الأمر الموجود كما في المقام فلا يتمسّك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الاستثناء صالح للرجوع إلى الجميع، و اكتناف الكلام بهذا النوع من القرينة التي </w:t>
      </w:r>
      <w:bookmarkStart w:id="1356" w:name="pg14356_187201"/>
    </w:p>
    <w:p>
      <w:pPr>
        <w:pStyle w:val="BookText"/>
        <w:rPr/>
      </w:pPr>
      <w:bookmarkEnd w:id="1356"/>
      <w:r>
        <w:rPr>
          <w:rFonts w:ascii="Amiri" w:hAnsi="Amiri" w:eastAsia="Amiri" w:cs="Amiri"/>
          <w:color w:val="111111"/>
          <w:sz w:val="28"/>
          <w:sz w:val="28"/>
          <w:szCs w:val="28"/>
          <w:rtl w:val="true"/>
          <w:lang w:bidi="ar-SA"/>
        </w:rPr>
        <w:t>لها الصلاحية للرجوع إلى الجميع يمنع من جريان أصالة العموم في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بحجّية أصالة الحقيقة تعبداً لا من باب الظهور و الاطمئنان بها، يكون هو المرجع في غير الأخيرة لكن بشرط أن تكون استفادة العموم بالوضع لا بالإطلاق، لما عرفت أنّ من مقدّمات الحكمة هو عدم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انّ الاستثناء صالح للقرينية لعدم العموم لا تجري مقدّمات الحكمة، فلا يحكم على الجمل بالظهور و العموم، بالذات حتّى يعرضه الإجمال</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Amiri" w:hAnsi="Amiri" w:eastAsia="Amiri" w:cs="Amiri"/>
          <w:color w:val="111111"/>
          <w:sz w:val="28"/>
          <w:sz w:val="28"/>
          <w:szCs w:val="28"/>
          <w:rtl w:val="true"/>
          <w:lang w:bidi="ar-SA"/>
        </w:rPr>
        <w:t>و اعترض عليه المحقّق النائيني بأنّ سقوط أصالة العموم في الجمل السابقة يحتاج إلى دليل مفقود في المقام، و توهم كونه من قبيل اكتناف الكلام بما يصلح للقرينية غير صحيح، لأنّ المولى لو أراد تخصيص الجميع و مع ذلك اكتفى في مقام البيان بذكر استثناء واحد لكان مخلاً</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تصوّر انّ غرض المولى ينحصر في أحد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يثبت المطلوب في الجمل السابقة ويحكم عليها بأصالة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الثاني يلزم الإخلال بالغرض حيث لم ينصب قرينة على الخصوص فرجوع الاستثناء إلى الكلّ متعيّن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هناك غرض آخر ربما يتعلّق به غرض المولى و هو الإجمال في الكلام، و الإهمال في البيان، و عندئذ لا يكون عدم ذكر المخصص مع كونه مراداً مخلاً بالمقصود</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7305590_3381743652"/>
      <w:bookmarkStart w:id="1358" w:name="_Toc516"/>
      <w:bookmarkEnd w:id="1357"/>
      <w:r>
        <w:rPr>
          <w:rtl w:val="true"/>
        </w:rPr>
        <w:t>نظرية المحقّق النائيني</w:t>
      </w:r>
      <w:bookmarkEnd w:id="1358"/>
    </w:p>
    <w:p>
      <w:pPr>
        <w:pStyle w:val="BookText"/>
        <w:rPr/>
      </w:pPr>
      <w:r>
        <w:rPr>
          <w:rFonts w:ascii="Amiri" w:hAnsi="Amiri" w:eastAsia="Amiri" w:cs="Amiri"/>
          <w:color w:val="111111"/>
          <w:sz w:val="28"/>
          <w:sz w:val="28"/>
          <w:szCs w:val="28"/>
          <w:rtl w:val="true"/>
          <w:lang w:bidi="ar-SA"/>
        </w:rPr>
        <w:t>ثمّ إنّ المحقّق النائيني فصل في هذا المقام و جعل المحور للاستظهار تكرار عقد الوضع حيث إنّه يكون مانعاً من عود الاستثناء إلى الجمل المتقدمة عليه، فذكر هنا صوراً 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يتكرر عقد الوضع في الجملة الأخيرة أيضاً، كما في الآية المباركة حيث قال في صدرها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الَّذِينَ يَرْمُونَ الْمُحْصَناتِ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أُولئِكَ هُمُ الْفاسِقُونَ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يقتصر على ذكر عقد الوضع في صدر الكلام و يحيل الباقي إليه،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 أطعمهم و أحسن إليهم إلاّ فسّاقهم، فعقد الوضع،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ذكر مرة واحدة في صدر الجمل</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يتكرر عقد الوضع في وسط الجمل المتعدّدة،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 سلم على الطلاب، و أضفهم إلاّ الفسّاق حيث ذكر الطلاب في الوسط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باختصاص الاستثناء بالجملة الأخيرة في الصورة الأُولى و برجوعه إلى الجميع في الصورة الثانية، و رجوعه إلى الجملة المشتملة على عقد الوضع، و الجملة المتأخرة عنها دون ما قبلها في الصورة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فالمدار عنده هو عقد الوضع حيث إنّ تكراره يمنع من عود الاستثناء إلى ما قبلها و ذكره وحده يوجب رجوع الاستثناء إلى جميع الجمل المنتهية إليه</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ما ذكره من رجوع الاستثناء إلى الجملة الأخيرة أو إلى الجميع أو إليها حتّى تنتهي إلى عقد الوضع المذكور في وسط الجمل صحيح لا </w:t>
      </w:r>
    </w:p>
    <w:p>
      <w:pPr>
        <w:pStyle w:val="BookText"/>
        <w:rPr/>
      </w:pPr>
      <w:r>
        <w:rPr>
          <w:rFonts w:ascii="Amiri" w:hAnsi="Amiri" w:eastAsia="Amiri" w:cs="Amiri"/>
          <w:color w:val="111111"/>
          <w:sz w:val="28"/>
          <w:sz w:val="28"/>
          <w:szCs w:val="28"/>
          <w:rtl w:val="true"/>
          <w:lang w:bidi="ar-SA"/>
        </w:rPr>
        <w:t>غبار عليه، و لكن الميزان ليس تكرر عقد الوضع و عدمه، بل الملاك استقلال الجملة و عدمه، حيث إنّ استقلال الجملة يمنع من عود القيد إلى ما قبله بخلاف ما إذا كانت غير مستقلة، فالقيد يرجع إليها و إلى ما قبلها، فما ذكره من النتيجة صحيح لكن بالملاك الذي ذكرناه لا وحدة عقد الوضع و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فهناك صور ثلاث أُخرى نذكرها تباعاً على ضوء ما ذكرنا من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نختلف معه في النتيجة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كرر عقد الوضع في الجمل دون عقد الحمل،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 الطلاب و التجار إلاّ الفساق منهم فبما أنّ جميع ما ذكر قبل الاستثناء بحكم جملة واحدة، 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الطلاب، التجار أكرمهم إلاّ الفساق، يرجع الاستثناء إلى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كرر عقد الوضع و الحمل في كلّ 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أكرم الطلاب، أكرم التجار، فالظاهر رجوع الاستثناء إلى الجملة الأخيرة، لأنّ تكرر عقد الحمل قرينة على انقطاع الجمل بعضها عن بعض، و عندئذ يأخذ الاستثناء محله في الكلام و هو الرجوع إلى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عقد الحمل في الجملة الأخيرة مغايراً مع ما ذكر في الجملة الأُولى، كما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 العلماء و الطلاب و جالس التجّار إلاّ الفساق منهم، فإنّ تغير عقد الحمل يكون قرينة على استقلال الجملة الأخيرة عمّا تقدّمها</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ذكرناه قاعدة عامة يركن إليها إذا لم يكن هناك قرينة على خلافه، و لذلك يجب على الفقيه التفتيش عن القرائن الأُخرى فربما تكون مؤيدة للظهور و أُخرى مزيلة له</w:t>
      </w:r>
      <w:r>
        <w:rPr>
          <w:rFonts w:eastAsia="Amiri" w:cs="Amiri" w:ascii="Amiri" w:hAnsi="Amiri"/>
          <w:color w:val="111111"/>
          <w:sz w:val="28"/>
          <w:szCs w:val="28"/>
          <w:rtl w:val="true"/>
          <w:lang w:bidi="ar-SA"/>
        </w:rPr>
        <w:t xml:space="preserve">. </w:t>
      </w:r>
      <w:bookmarkStart w:id="1359" w:name="pg14356_187204"/>
    </w:p>
    <w:p>
      <w:pPr>
        <w:pStyle w:val="Heading3"/>
        <w:numPr>
          <w:ilvl w:val="2"/>
          <w:numId w:val="1"/>
        </w:numPr>
        <w:rPr/>
      </w:pPr>
      <w:bookmarkStart w:id="1360" w:name="__RefHeading___Toc7305592_3381743652"/>
      <w:bookmarkStart w:id="1361" w:name="_Toc517"/>
      <w:bookmarkEnd w:id="1359"/>
      <w:bookmarkEnd w:id="1360"/>
      <w:r>
        <w:rPr>
          <w:rtl w:val="true"/>
        </w:rPr>
        <w:t>الفصل الرابع عشر تخصيص الكتاب بالخبر الواحد</w:t>
      </w:r>
      <w:bookmarkEnd w:id="1361"/>
    </w:p>
    <w:p>
      <w:pPr>
        <w:pStyle w:val="Heading4"/>
        <w:numPr>
          <w:ilvl w:val="3"/>
          <w:numId w:val="1"/>
        </w:numPr>
        <w:rPr/>
      </w:pPr>
      <w:bookmarkStart w:id="1362" w:name="__RefHeading___Toc7305594_3381743652"/>
      <w:bookmarkStart w:id="1363" w:name="_Toc518"/>
      <w:bookmarkEnd w:id="1362"/>
      <w:r>
        <w:rPr>
          <w:rtl w:val="true"/>
        </w:rPr>
        <w:t>اشارة</w:t>
      </w:r>
      <w:bookmarkEnd w:id="1363"/>
    </w:p>
    <w:p>
      <w:pPr>
        <w:pStyle w:val="BookText"/>
        <w:rPr/>
      </w:pPr>
      <w:r>
        <w:rPr>
          <w:rFonts w:ascii="Amiri" w:hAnsi="Amiri" w:eastAsia="Amiri" w:cs="Amiri"/>
          <w:color w:val="111111"/>
          <w:sz w:val="28"/>
          <w:sz w:val="28"/>
          <w:szCs w:val="28"/>
          <w:rtl w:val="true"/>
          <w:lang w:bidi="ar-SA"/>
        </w:rPr>
        <w:t>هل يجوز تخصيص الكتاب العزيز بالخبر الواحد أو لا؟ و قد اختلفت فيه كلمتهم كما سيوافيك بعد ما اتّفقت كلمتهم في الأُمور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تخصيص الكتاب بالكتاب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تخصيص الكتاب بالسنّة المتواترة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تخصيص الكتاب بالخبر الواحد المحفوف بالقرينة المفيد للعلم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مجملات الكتاب كالصلاة و الزكاة و الصوم بخبر الواحد، فإنّ أجزاء العبادات تتبيّن بالخبر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يخالف في ذلك أحد، إذ لا يعد التفسير للإجمال مخالفاً للقرآن و لا معارضاً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اتّفقوا عليه، نعم اختلفوا في تخصيص الكتاب بالخبر الواحد العاري من القرينة، نظير الأمثلة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وراء 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ورد من أنّ المرأة لا تزوّج على عمتها و خالتها إلاّ بإذنهما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حيث خصّصت بأنّه لا ميراث للقاتل</w:t>
      </w:r>
      <w:r>
        <w:rPr>
          <w:rFonts w:eastAsia="Amiri" w:cs="Amiri" w:ascii="Amiri" w:hAnsi="Amiri"/>
          <w:color w:val="111111"/>
          <w:sz w:val="28"/>
          <w:szCs w:val="28"/>
          <w:rtl w:val="true"/>
          <w:lang w:bidi="ar-SA"/>
        </w:rPr>
        <w:t>.</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أَحَلَّ اللّهُ الْبَيْعَ وَ حَرَّمَ الرِّبا </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حيث خصصت بما دلّ على جواز الربا بين الوالد و الولد، و الزوج 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المسألة لها جذور في تاريخ أُصول الفقه، و قد تضاربت أقوالهم في هذا الصدد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إلى المنع الأقطاب الثلاثة من أصحابنا،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المرتضى و الشيخ الطوسي و المحقّق الحلي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نذهب إليه أنّ أخبار الآحاد لا يجوز تخصيص العموم بها على كلّ حال، و قد كان جائزاً أن يتعبّدنا اللّه تعالى بذلك فيكون واجباً غير أنّه ما تُعبدنا به</w:t>
      </w:r>
      <w:r>
        <w:rPr>
          <w:rFonts w:eastAsia="Amiri" w:cs="Amiri" w:ascii="Amiri" w:hAnsi="Amiri"/>
          <w:color w:val="111111"/>
          <w:sz w:val="28"/>
          <w:szCs w:val="28"/>
          <w:rtl w:val="true"/>
          <w:lang w:bidi="ar-SA"/>
        </w:rPr>
        <w:t>.</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أذهب إليه انّه لا يجوز تخصيص العموم بها على كلّ حال، سواء خصّ بدليل متّصل أو منفصل أو لم يخص</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المحقّق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تخصيص العموم المقطوع به بخبر الواحد، و أنكر ذلك الشيخ أبو جعفر، ثمّ ذكر دليل المجيز بأنّهما دليلان تعارضا فيجب العمل بالخاص منهما لبطلان ما عداه من الأقسام</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عنه بأنّه لا نسلّم انّ </w:t>
      </w:r>
    </w:p>
    <w:p>
      <w:pPr>
        <w:pStyle w:val="BookText"/>
        <w:rPr/>
      </w:pPr>
      <w:r>
        <w:rPr>
          <w:rFonts w:ascii="Amiri" w:hAnsi="Amiri" w:eastAsia="Amiri" w:cs="Amiri"/>
          <w:color w:val="111111"/>
          <w:sz w:val="28"/>
          <w:sz w:val="28"/>
          <w:szCs w:val="28"/>
          <w:rtl w:val="true"/>
          <w:lang w:bidi="ar-SA"/>
        </w:rPr>
        <w:t>خبر الواحد دليل على الإطلاق، لأنّ الدلالة على العمل به الإجماع على استعماله فيما لا يوجد عليه دلالة، فإذا وجدت الدلالة القرآنية سقط وجوب العمل به</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و المشهور بين المتأخرين هو الجواز حتّى استدلّ سيد مشايخنا المحقّق البروجردي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بوجود السيرة المستمرة في جميع الأعصار عليه، و انّه لولاه لما قام للمسلمين فقه ضرورة ندرة خبر لم يكن على خلافه عموم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فالمسألة ذات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المنع، كما عرفت من الأقطاب الثلاثة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الجواز، كما عرفت من ادّعاء السيرة على التخصيص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التفصيل بين عام خُصّص بدليل قطعي، فيخصص بالخبر الواحد أيضاً، و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التوقّف في المسألة</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استدلّ المحقّق الخراساني للجواز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جرت سيرة الأصحاب على العمل بالأخبار الآحاد، في قبال عمومات الكتاب إلى زمن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احتمال أن يكون ذلك بواسطة القرينة، واضح البطلان</w:t>
      </w:r>
      <w:r>
        <w:rPr>
          <w:rFonts w:eastAsia="Amiri" w:cs="Amiri" w:ascii="Amiri" w:hAnsi="Amiri"/>
          <w:color w:val="111111"/>
          <w:sz w:val="28"/>
          <w:szCs w:val="28"/>
          <w:rtl w:val="true"/>
          <w:lang w:bidi="ar-SA"/>
        </w:rPr>
        <w:t>.</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لا جواز التخصيص لزم إلغاء الخبر بالمرّة أو ما بحكمه ضرورة ندرة خبر لم يكن على خلافه عموم الكتاب لو سلم وجود ما لم يكن كذلك</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ادّعاه من السيرة على تخصيص الكتاب بخبر </w:t>
      </w:r>
    </w:p>
    <w:p>
      <w:pPr>
        <w:pStyle w:val="BookText"/>
        <w:rPr/>
      </w:pPr>
      <w:r>
        <w:rPr>
          <w:rFonts w:ascii="Amiri" w:hAnsi="Amiri" w:eastAsia="Amiri" w:cs="Amiri"/>
          <w:color w:val="111111"/>
          <w:sz w:val="28"/>
          <w:sz w:val="28"/>
          <w:szCs w:val="28"/>
          <w:rtl w:val="true"/>
          <w:lang w:bidi="ar-SA"/>
        </w:rPr>
        <w:t>الواحد غير ثابت، لما عرفت من مخالفة الأقطاب الثلاثة، مضافاً إلى أنّ هناك من القدماء من يمنع حجّية الواحد مطلقاً، مخصّصاً كان للكتاب أو لا، و القدر المتيقن من السيرة، هو أخبار الآحاد المحفوفة بالقرائن، و قد كانت في العصور الأُولى محفوفة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توفّر القرائن في عصر القدماء، قسّموا الحديث إلى قسمين معتبر و غير معتبر، فما أيّدته القرائن الداخلية كوثاقة الراوي، أو الخارجية كوجوده في أصل معتبر ثابت انتسابه إلى جماعة كزرارة و محمد بن مسلم و الفضيل بن يسار، فهو صحيح أي معتبر يجوز الاستناد إليه، و الفاقد لكلتا المزيتين غير صحيح بمعنى انّه لا يمكن الركون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آل التقسيم الثنائي إلى الرباعي لأجل ضياع القرائن بضياع الأُصول</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يلاحظ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كثيراً من أخبار الآحاد يرجع إلى تفسير مبهمات القرآن و مجملاته، و قد عرفت أنّ حجّية خبر الواحد في هذا الباب خارج عن محط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حول النجاسات و المحرّمات ينافي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خَلَقَ لَكُمْ ما فِي الْأَرْضِ جَمِيعاً </w:t>
      </w:r>
      <w:r>
        <w:rPr>
          <w:rFonts w:eastAsia="Amiri" w:cs="Amiri" w:ascii="Amiri" w:hAnsi="Amiri"/>
          <w:color w:val="111111"/>
          <w:sz w:val="28"/>
          <w:szCs w:val="28"/>
          <w:rtl w:val="true"/>
          <w:lang w:bidi="ar-SA"/>
        </w:rPr>
        <w:t>).</w:t>
      </w:r>
      <w:r>
        <w:rPr>
          <w:rStyle w:val="FootnoteAnchor"/>
          <w:rtl w:val="true"/>
        </w:rPr>
        <w:footnoteReference w:id="454"/>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 مفاد الآية و بين ما دلّ على كون شيء نجساً أو محرّماً، و ذلك لأنّ المراد من الآية الانتفاع بنحو من الأنحاء، لا خصوص الأكل و الشرب، حتّى يكون دليلاً على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المجوزين، و لندرس دليل المانعين</w:t>
      </w:r>
      <w:r>
        <w:rPr>
          <w:rFonts w:eastAsia="Amiri" w:cs="Amiri" w:ascii="Amiri" w:hAnsi="Amiri"/>
          <w:color w:val="111111"/>
          <w:sz w:val="28"/>
          <w:szCs w:val="28"/>
          <w:rtl w:val="true"/>
          <w:lang w:bidi="ar-SA"/>
        </w:rPr>
        <w:t xml:space="preserve">. </w:t>
      </w:r>
      <w:bookmarkStart w:id="1364" w:name="pg14356_187208"/>
    </w:p>
    <w:p>
      <w:pPr>
        <w:pStyle w:val="Heading4"/>
        <w:numPr>
          <w:ilvl w:val="3"/>
          <w:numId w:val="1"/>
        </w:numPr>
        <w:rPr/>
      </w:pPr>
      <w:bookmarkStart w:id="1365" w:name="__RefHeading___Toc7305596_3381743652"/>
      <w:bookmarkStart w:id="1366" w:name="_Toc519"/>
      <w:bookmarkEnd w:id="1364"/>
      <w:bookmarkEnd w:id="1365"/>
      <w:r>
        <w:rPr>
          <w:rtl w:val="true"/>
        </w:rPr>
        <w:t>حجّة المانعين من التخصيص</w:t>
      </w:r>
      <w:bookmarkEnd w:id="1366"/>
    </w:p>
    <w:p>
      <w:pPr>
        <w:pStyle w:val="BookText"/>
        <w:rPr/>
      </w:pPr>
      <w:r>
        <w:rPr>
          <w:rFonts w:ascii="IRNazanin" w:hAnsi="IRNazanin" w:eastAsia="IRNazanin"/>
          <w:color w:val="111111"/>
          <w:sz w:val="28"/>
          <w:sz w:val="28"/>
          <w:szCs w:val="28"/>
          <w:rtl w:val="true"/>
          <w:lang w:bidi="fa-IR"/>
        </w:rPr>
        <w:t>احتجّ المانع بوجوه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الكتاب قطعي السند، و الخبر ظني السند، و الظنّي لا يعارض القطعي، و لا ترفع اليد عن القطعي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عنه المحقّق الخراساني بما هذا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التعارض ليس بين السندين، حتّى يقال بأنّ الظني لا يعارض القطعي و إنّما الدوران بين دلالة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دليل حجّية الخبر، فأمّا أن تُرفع اليد عن دلالة الكتاب أو دليل حجّية خبر الواحد، كآية النبأ و غيرها، و المتعيّن هو الأوّل، لأنّ الخبر بدلالته و سنده صالح للتصرّف في دلالة الكتاب، حيث إنّ اعتبار الأصل المذكور موقوف على عدم قرينة على خلافه، و المفروض انّ الخبر يصلح لأن يكون قرينة، فترفع اليد عنها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دلالة الكتاب موقوفة على عدم ورود قرينة على الخلاف لما عرفت من أنّ السنّة الإلهية جرت على بيان الأحكام تدريجاً، لا دفعيّاً، و على ضوئه لا مانع من ورود العموم و الإطلاق في الكتاب، و ورود مخصصه و مقيّده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هذا الجواب يشير المحقّق البروجردي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التصرف ليس في السند بل في العموم و أصالة العموم ظنية، فرفع اليد عن العموم به، رفع لليد عن الدليل الظني بالدليل الظني الأقوى، للسيرة العقلائية</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كون دلالة الكتاب ظنيّاً، هو كون عمومات الكتاب و إطلاقاته في مظنة التخصيص و التقييد لا كون كلّ الكتاب ظنّياً، و سيوافيك شرحه عند البحث في حجّية الظواهر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دليل حجّية الخبر هو الإجماع و القدر المتيقن منه هو غير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الدليل على حجّية الخبر الواحد، ليس هو الإجماع، بل الدليل هو السيرة العقلائية الجارية على الأخذ بالخبر الواحد، سواء أ كان في مقابله دليل قطعي أو لا، مضافاً إلى سيرة الأصحاب الجارية على تخصيص الكتاب بالخبر الواحد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جاز التخصيص بالخبر الواحد، لجاز نسخ الكتاب به لكونهما مشتركين في أصل التخصيص و يختلفان في أنّ النسخ تخصيص في الأزمان، و الآخر تخصيص في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القياس مع الفارق، فانّ النسخ رفع الحكم من رأس بخلاف الآخر، فانّه بمعنى إخراج بعض الأفراد عن حكم الآية، و لذلك اتّفق المسلمون على عدم جواز نسخ الكتاب بالخبر الواحد، حفظاً لكرامة القرآن و صيانته عن تطرق الأهواء إليه، بخلاف التخصيص فانّه أمر ذائع شائع فكم فرق بين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ميراث للقائل المخصص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لِلذَّكَرِ مِثْلُ حَظِّ الْأُنْثَيَيْنِ </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فهو مخرج للقائل عن تحت العموم، و بين نسخ حلية المتعة، الواردة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اسْتَمْتَعْتُمْ بِهِ مِنْهُنَّ فَآتُوهُنَّ أُجُورَهُنَّ فَرِيضَةً </w:t>
      </w:r>
      <w:r>
        <w:rPr>
          <w:rFonts w:eastAsia="Amiri" w:cs="Amiri" w:ascii="Amiri" w:hAnsi="Amiri"/>
          <w:color w:val="111111"/>
          <w:sz w:val="28"/>
          <w:szCs w:val="28"/>
          <w:rtl w:val="true"/>
          <w:lang w:bidi="ar-SA"/>
        </w:rPr>
        <w:t xml:space="preserve">) </w:t>
      </w:r>
      <w:r>
        <w:rPr>
          <w:rStyle w:val="FootnoteAnchor"/>
          <w:rtl w:val="true"/>
        </w:rPr>
        <w:footnoteReference w:id="456"/>
      </w:r>
      <w:r>
        <w:rPr>
          <w:rFonts w:ascii="Amiri" w:hAnsi="Amiri" w:eastAsia="Amiri" w:cs="Amiri"/>
          <w:color w:val="111111"/>
          <w:sz w:val="28"/>
          <w:sz w:val="28"/>
          <w:szCs w:val="28"/>
          <w:rtl w:val="true"/>
          <w:lang w:bidi="ar-SA"/>
        </w:rPr>
        <w:t>بخبر الواحد الذي يدّعيه أهل السنّة فهو بمنزلة رفع الحكم من رأس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الدالّة على طرح الخبر المخالف للقرآن، و الخبر المخصص مخالف له فينتج لزوم طرحه، لا الأخذ ثمّ تخصيص الكتاب به و إن شئت ان تصبّه في قالب الشكل الأوّل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المخصّص للكتاب، مخالف للكتاب، و كلّ خبر مخالف للكتاب ليس بحجّة، ينتج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المخصّص للكتاب،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الواردة حول كون الحديث موافقاً للكتاب أو مخالفاً له، تُدرس في مقامين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باب جواز تخصيص الكتاب بالخبر الواحد، بحجّة انّ المخصص مخالف أو ليس بموافق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باب حجّية خبر الواحد، حيث يستدلّ المانع بهذه الروايات على عدم حجّية الخبر الواحد، مخصصاً كان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هذه الروايات ليست على صنف واحد، بل على أصناف أربعة، و المهم هو الصنف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عدم حجّية المخالف للكتاب بناء على أنّ المخصص مخالف، و إليك بيان الأصناف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يعترف بحجّية الخبر الواحد، إلاّ إذا كان موافقاً للكتاب، أو كان له شاهد أو شاهدان منه، نظير ما رواه أيوب بن راشد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يوافق من الحديث القرآن فهو زخرف </w:t>
      </w:r>
      <w:r>
        <w:rPr>
          <w:rFonts w:eastAsia="Amiri" w:cs="Amiri" w:ascii="Amiri" w:hAnsi="Amiri"/>
          <w:color w:val="111111"/>
          <w:sz w:val="28"/>
          <w:szCs w:val="28"/>
          <w:rtl w:val="true"/>
          <w:lang w:bidi="ar-SA"/>
        </w:rPr>
        <w:t>«.</w:t>
      </w:r>
      <w:r>
        <w:rPr>
          <w:rStyle w:val="FootnoteAnchor"/>
          <w:rtl w:val="true"/>
        </w:rPr>
        <w:footnoteReference w:id="457"/>
      </w:r>
    </w:p>
    <w:p>
      <w:pPr>
        <w:pStyle w:val="BookText"/>
        <w:rPr/>
      </w:pPr>
      <w:r>
        <w:rPr>
          <w:rFonts w:ascii="Amiri" w:hAnsi="Amiri" w:eastAsia="Amiri" w:cs="Amiri"/>
          <w:color w:val="111111"/>
          <w:sz w:val="28"/>
          <w:sz w:val="28"/>
          <w:szCs w:val="28"/>
          <w:rtl w:val="true"/>
          <w:lang w:bidi="ar-SA"/>
        </w:rPr>
        <w:t>و هذا الصنف من الروايات، لا يمكن الأخذ بظاهرها، إذ معنى ذلك، إلغاء حجّية الخبر الواحد من رأس، و المفروض حجّيته و إنّما الكلام في سعتها و ضيقها، و هي محمولة على مورد العقائد حيث إنّ الغلاة يروون أحاديث في مقامات الأنبياء و الأولياء حسب أهوائهم، فلم يكن في علاجها محيص عن عرضها على الكتاب لتُعلم صحّة الرواية و فسادها</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الروايات الواردة حول الأحكام فيؤخذ بها و إن لم تكن موافقة، غاية الأمر يجب أن لا تكون مخالفة له، و أمّا الوارد في العقائد و الأُصول خصوصاً فيما </w:t>
      </w:r>
    </w:p>
    <w:p>
      <w:pPr>
        <w:pStyle w:val="BookText"/>
        <w:rPr/>
      </w:pPr>
      <w:r>
        <w:rPr>
          <w:rFonts w:ascii="Amiri" w:hAnsi="Amiri" w:eastAsia="Amiri" w:cs="Amiri"/>
          <w:color w:val="111111"/>
          <w:sz w:val="28"/>
          <w:sz w:val="28"/>
          <w:szCs w:val="28"/>
          <w:rtl w:val="true"/>
          <w:lang w:bidi="ar-SA"/>
        </w:rPr>
        <w:t>يرجع إلى مقامات الأولياء، فالشرط هو الموافقة، لا عدم المخالفة حتّى يتميّز الصحيح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ترجيح أحد الخبرين المتعارضين على الآخر، و انّه يطرح المخالف، نقتصر على رواية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عن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اعرضوهما على كتاب اللّه عزّ و جلّ فما وافق كتاب اللّه عزّ و جلّ، فخذوه و ما خالف كتاب اللّه فدعوه </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و هذا القسم من الأحاديث لا صلة له بالمقام، لأنّ الكلام في الخبر غير المعارض، فلو عدّ عدم المخالفة في الخبرين المتعارضين مرجّحاً فلا يكون دليلاً على اشتراطه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يُركّز على المخالف المجرّد عن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بسنده عن ابن أبي عمير،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خالف كتاب اللّه و سنّة محمد فقد كفر </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يشترط الموافقة و عدم المخالفة معاً، و قد ورد بهذا العنوان روايات ربّما تناهز ثلاثاً، نقتصر على رواية واحدة</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السكوني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كلّ حق حقيقة، و على كل صواب نوراً، فما وافق كتاب اللّه فخذوه، و ما خالف كتاب اللّه فدعوه </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ascii="Amiri" w:hAnsi="Amiri" w:eastAsia="Amiri" w:cs="Amiri"/>
          <w:color w:val="111111"/>
          <w:sz w:val="28"/>
          <w:sz w:val="28"/>
          <w:szCs w:val="28"/>
          <w:rtl w:val="true"/>
          <w:lang w:bidi="ar-SA"/>
        </w:rPr>
        <w:t>و لا يذهب عليك أنّ أحد الملاكين في الصنف الرابع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موافقاً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الآخر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كونه مخالفاً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فالأوّل رهن وجود مضمون الحديث في الكتاب، و أمّا الثاني فيكفي عدم المخالفة، سواء أ كان موافقاً كما إذا كان المضمون موجوداً، أم لم يكن موافقاً و في الوقت نفسه لم يكن مخالفاً كما إذا لم يكن مضمونه وارداً في الكتاب، مثلاً ما دلّ على عدم جواز الصلاة في عرق الجنب عن حرام ليس موافقاً للكتاب و مع ذلك ليس مخالفاً أيضاً، و لعلّ العرف يأخذ بالملاك الأعم، لأنّ الأخص موجود في الأعم، فالميزان هو عدم المخالفة، فعندئذ يرجع الصنف الرابع إلى 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النتيجة عدم حجّية الخبر المخالف للكتاب و المفروض انّ المخصص مخالف للكتاب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تقرير دليل 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الروايات الناهية عن الأخذ بالخبر المخالف يفسر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محمولة على التباين الكلّي بأن يكون الحديث مخالفاً للكتاب تماماً، و ذلك لأنّ المخالفة على نحو العموم و الخصوص ليست مخالفة في دائرة التقنين و التشريع، بشهادة انّه يجوز تخصيص الكتاب بالسنّة المتواترة، و السنّة المحفوفة بالقرائن، فلو كانت المخالفة تعمّ هذا القسم يجب أن لا يخصّص الكتاب بالسنّة أبداً، لأنّ لسان هذه الروايات آب عن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هذه الروايات على الخبر المباين يوجب حملها على الفرد النادر، لعدم وجود الخبر المباين في الروايات، فيكون الكلام بعيداً عن البلاغة</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علماءنا الأبرار بذلوا جهوداً جبارة في تهذيب أحاديث الشيعة عن الموضوعات، فلا تجد المباين في الجوامع الحديثية إلاّ نادراً، و إلاّ فقبل دورة </w:t>
      </w:r>
    </w:p>
    <w:p>
      <w:pPr>
        <w:pStyle w:val="BookText"/>
        <w:rPr/>
      </w:pPr>
      <w:r>
        <w:rPr>
          <w:rFonts w:ascii="Amiri" w:hAnsi="Amiri" w:eastAsia="Amiri" w:cs="Amiri"/>
          <w:color w:val="111111"/>
          <w:sz w:val="28"/>
          <w:sz w:val="28"/>
          <w:szCs w:val="28"/>
          <w:rtl w:val="true"/>
          <w:lang w:bidi="ar-SA"/>
        </w:rPr>
        <w:t>التهذيب كانت الروايات المتباينة غير عزيزة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روايات المقام على صورة التعارض و يحتمل أن يكون المراد من ترك الخبر المخالف للكتاب هو صورة تعارضه مع الخبر الآخر و إن كان يؤخذ به عند عدم التعارض و يخصّص به القرآن</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 يقودنا إلى هذا الحمل، هو انّ المخالف المطرود في الخبرين المتعارضين أعمّ من التباين و العموم و الخصوص المطلق، فلو حمل ما ورد على ترك المخالف في الصنف الثالث على المباين يلزم التفريق في لسان الروايات في البابين، و هذا ما يبعثنا بحمل روايات المقام على باب التعارض، و يكون المراد من المخالف هو الأعمّ من التباين و العموم و الخصوص لكن يختصّ عدم حجّية المخالف بصورة التعارض دون انفراده</w:t>
      </w:r>
      <w:r>
        <w:rPr>
          <w:rFonts w:eastAsia="Amiri" w:cs="Amiri" w:ascii="Amiri" w:hAnsi="Amiri"/>
          <w:color w:val="111111"/>
          <w:sz w:val="28"/>
          <w:szCs w:val="28"/>
          <w:rtl w:val="true"/>
          <w:lang w:bidi="ar-SA"/>
        </w:rPr>
        <w:t xml:space="preserve">. </w:t>
      </w:r>
      <w:bookmarkStart w:id="1367" w:name="pg14356_187214"/>
    </w:p>
    <w:p>
      <w:pPr>
        <w:pStyle w:val="Heading3"/>
        <w:numPr>
          <w:ilvl w:val="2"/>
          <w:numId w:val="1"/>
        </w:numPr>
        <w:rPr/>
      </w:pPr>
      <w:bookmarkStart w:id="1368" w:name="__RefHeading___Toc7305598_3381743652"/>
      <w:bookmarkStart w:id="1369" w:name="_Toc520"/>
      <w:bookmarkEnd w:id="1367"/>
      <w:bookmarkEnd w:id="1368"/>
      <w:r>
        <w:rPr>
          <w:rtl w:val="true"/>
        </w:rPr>
        <w:t>الفصل الخامس عشر في حالات العام و الخاص</w:t>
      </w:r>
      <w:bookmarkEnd w:id="1369"/>
    </w:p>
    <w:p>
      <w:pPr>
        <w:pStyle w:val="Heading4"/>
        <w:numPr>
          <w:ilvl w:val="3"/>
          <w:numId w:val="1"/>
        </w:numPr>
        <w:rPr/>
      </w:pPr>
      <w:bookmarkStart w:id="1370" w:name="__RefHeading___Toc7305600_3381743652"/>
      <w:bookmarkStart w:id="1371" w:name="_Toc521"/>
      <w:bookmarkEnd w:id="1370"/>
      <w:r>
        <w:rPr>
          <w:rtl w:val="true"/>
        </w:rPr>
        <w:t>اشارة</w:t>
      </w:r>
      <w:bookmarkEnd w:id="1371"/>
    </w:p>
    <w:p>
      <w:pPr>
        <w:pStyle w:val="BookText"/>
        <w:rPr/>
      </w:pPr>
      <w:r>
        <w:rPr>
          <w:rFonts w:ascii="Amiri" w:hAnsi="Amiri" w:eastAsia="Amiri" w:cs="Amiri"/>
          <w:color w:val="111111"/>
          <w:sz w:val="28"/>
          <w:sz w:val="28"/>
          <w:szCs w:val="28"/>
          <w:rtl w:val="true"/>
          <w:lang w:bidi="ar-SA"/>
        </w:rPr>
        <w:t>الهدف من عقد هذا الفصل بيان حالات العام و الخاص من التخصيص و النسخ و انتهى كلام صاحب الكفاية فيه إلى البحث عن النسخ و البداء، فصارت مادة البحث في هذا الفصل ممزوجة من المسائل الأُصولية و القرآنية و الكلاميّة و نحن نقتفيه حسب تناسب المقام</w:t>
      </w:r>
      <w:r>
        <w:rPr>
          <w:rFonts w:eastAsia="Amiri" w:cs="Amiri" w:ascii="Amiri" w:hAnsi="Amiri"/>
          <w:color w:val="111111"/>
          <w:sz w:val="28"/>
          <w:szCs w:val="28"/>
          <w:rtl w:val="true"/>
          <w:lang w:bidi="ar-SA"/>
        </w:rPr>
        <w:t>.</w:t>
      </w:r>
    </w:p>
    <w:p>
      <w:pPr>
        <w:pStyle w:val="Heading4"/>
        <w:numPr>
          <w:ilvl w:val="3"/>
          <w:numId w:val="1"/>
        </w:numPr>
        <w:rPr/>
      </w:pPr>
      <w:bookmarkStart w:id="1372" w:name="__RefHeading___Toc7305602_3381743652"/>
      <w:bookmarkStart w:id="1373" w:name="_Toc522"/>
      <w:bookmarkEnd w:id="1372"/>
      <w:r>
        <w:rPr>
          <w:rtl w:val="true"/>
        </w:rPr>
        <w:t>الأمر الأوّل</w:t>
      </w:r>
      <w:r>
        <w:rPr>
          <w:rtl w:val="true"/>
        </w:rPr>
        <w:t xml:space="preserve">: </w:t>
      </w:r>
      <w:r>
        <w:rPr>
          <w:rtl w:val="true"/>
        </w:rPr>
        <w:t>في دوران الأمر بين التخصيص و النسخ</w:t>
      </w:r>
      <w:bookmarkEnd w:id="1373"/>
    </w:p>
    <w:p>
      <w:pPr>
        <w:pStyle w:val="Heading5"/>
        <w:numPr>
          <w:ilvl w:val="4"/>
          <w:numId w:val="1"/>
        </w:numPr>
        <w:rPr/>
      </w:pPr>
      <w:bookmarkStart w:id="1374" w:name="__RefHeading___Toc7305604_3381743652"/>
      <w:bookmarkStart w:id="1375" w:name="_Toc523"/>
      <w:bookmarkEnd w:id="1374"/>
      <w:r>
        <w:rPr>
          <w:rtl w:val="true"/>
        </w:rPr>
        <w:t>اشارة</w:t>
      </w:r>
      <w:bookmarkEnd w:id="1375"/>
    </w:p>
    <w:p>
      <w:pPr>
        <w:pStyle w:val="BookText"/>
        <w:rPr/>
      </w:pPr>
      <w:r>
        <w:rPr>
          <w:rFonts w:ascii="Amiri" w:hAnsi="Amiri" w:eastAsia="Amiri" w:cs="Amiri"/>
          <w:color w:val="111111"/>
          <w:sz w:val="28"/>
          <w:sz w:val="28"/>
          <w:szCs w:val="28"/>
          <w:rtl w:val="true"/>
          <w:lang w:bidi="ar-SA"/>
        </w:rPr>
        <w:t>إنّ للخاص و العام حالات مختلفة، حسب تقدّم أحدهما على الآخر و وروده قبل حضور وقت العمل بالآخر أو بعده، و الصورة المتصوّرة لا تخرج عن ست صور</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7305606_3381743652"/>
      <w:bookmarkStart w:id="1377" w:name="_Toc524"/>
      <w:bookmarkEnd w:id="1376"/>
      <w:r>
        <w:rPr>
          <w:rtl w:val="true"/>
        </w:rPr>
        <w:t>الأُولى</w:t>
      </w:r>
      <w:r>
        <w:rPr>
          <w:rtl w:val="true"/>
        </w:rPr>
        <w:t xml:space="preserve">: </w:t>
      </w:r>
      <w:r>
        <w:rPr>
          <w:rtl w:val="true"/>
        </w:rPr>
        <w:t>ورود الخاص و العام متقارنين</w:t>
      </w:r>
      <w:bookmarkEnd w:id="1377"/>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ورد الخاص و العام متقارنين، سواء كانا في كلام واحد على وجه لا ينعقد للكلام ظهور أصلاً،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إلاّ زيداً، أو ينعقد الظهور، لكن ظهوراً غير مستقر، إذ جاء المخصّص في آخر كلامه بصورة مستقلة، و الحال انّه لم يفرغ بعدُ من كلامه و مقصده، فلا شكّ انّه يحمل على التخصيص بلا كلام</w:t>
      </w:r>
      <w:r>
        <w:rPr>
          <w:rFonts w:eastAsia="Amiri" w:cs="Amiri" w:ascii="Amiri" w:hAnsi="Amiri"/>
          <w:color w:val="111111"/>
          <w:sz w:val="28"/>
          <w:szCs w:val="28"/>
          <w:rtl w:val="true"/>
          <w:lang w:bidi="ar-SA"/>
        </w:rPr>
        <w:t xml:space="preserve">. </w:t>
      </w:r>
      <w:bookmarkStart w:id="1378" w:name="pg14356_187215"/>
    </w:p>
    <w:p>
      <w:pPr>
        <w:pStyle w:val="Heading5"/>
        <w:numPr>
          <w:ilvl w:val="4"/>
          <w:numId w:val="1"/>
        </w:numPr>
        <w:rPr/>
      </w:pPr>
      <w:bookmarkStart w:id="1379" w:name="__RefHeading___Toc7305608_3381743652"/>
      <w:bookmarkStart w:id="1380" w:name="_Toc525"/>
      <w:bookmarkEnd w:id="1378"/>
      <w:bookmarkEnd w:id="1379"/>
      <w:r>
        <w:rPr>
          <w:rtl w:val="true"/>
        </w:rPr>
        <w:t>الثانية</w:t>
      </w:r>
      <w:r>
        <w:rPr>
          <w:rtl w:val="true"/>
        </w:rPr>
        <w:t xml:space="preserve">: </w:t>
      </w:r>
      <w:r>
        <w:rPr>
          <w:rtl w:val="true"/>
        </w:rPr>
        <w:t>ورود الخاص قبل حضور وقت العمل بالعام</w:t>
      </w:r>
      <w:bookmarkEnd w:id="1380"/>
    </w:p>
    <w:p>
      <w:pPr>
        <w:pStyle w:val="BookText"/>
        <w:rPr/>
      </w:pPr>
      <w:r>
        <w:rPr>
          <w:rFonts w:ascii="Amiri" w:hAnsi="Amiri" w:eastAsia="Amiri" w:cs="Amiri"/>
          <w:color w:val="111111"/>
          <w:sz w:val="28"/>
          <w:sz w:val="28"/>
          <w:szCs w:val="28"/>
          <w:rtl w:val="true"/>
          <w:lang w:bidi="ar-SA"/>
        </w:rPr>
        <w:t>إذا ورد الخاص بعد العام و قبل حضور وقت العمل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 المولى يوم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يوم الجمعة، و قال يوم 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فسّاقهم يوم الجمعة، فيكون أيضاً مخصصاً، لا 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النسخ عبارة عن رفع الحكم الشرعي بدليل شرعي متأخر على وجه لولاه لكان ثابتاً، و هو فرع ثبوت الحكم للموضوع جداً، في برهة من الزمان ثمّ رفعه، و 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النسخ تخصّص في الأزمان، بمعنى انّه مانع عن استمرار الحكم بعد ثبوته شرعاً، لا عن أصل ثبوته، كما أنّ هذا معنى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النسخ عبارة عن حضور الناسخ بعد حضور وقت العمل بالمنسوخ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تعلّقت الإرادة الجدية بأصل التكليف و لو في برهة من الزمان، و كان الدليل ظاهراً في الاستمرار، فورد الناسخ بعد العمل بالتكليف في قسم من الزمان، يكون الدليل الثاني ناسخاً، لكونه مانعاً عن استمرار التكليف لا عن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الخاص الوارد قبل حضور وقت العمل، يكون مانعاً عن أصل التكليف و كاشفاً عن عدم تعلّق الإرادة الجدية به من أوّل الأمر، فهو إخراج فرد، أو عنوان عن كونه محكوماً بحكم العام من أوّل الأمر، و لذلك يشترط وروده قبل وقت العمل بالعام لئلاّ يلزم تأخير البيان عن وقت الحاجة</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7305610_3381743652"/>
      <w:bookmarkStart w:id="1382" w:name="_Toc526"/>
      <w:bookmarkEnd w:id="1381"/>
      <w:r>
        <w:rPr>
          <w:rtl w:val="true"/>
        </w:rPr>
        <w:t>الثالثة</w:t>
      </w:r>
      <w:r>
        <w:rPr>
          <w:rtl w:val="true"/>
        </w:rPr>
        <w:t xml:space="preserve">: </w:t>
      </w:r>
      <w:r>
        <w:rPr>
          <w:rtl w:val="true"/>
        </w:rPr>
        <w:t>ورود الخاص بعد حضور وقت العمل بالعام</w:t>
      </w:r>
      <w:bookmarkEnd w:id="1382"/>
    </w:p>
    <w:p>
      <w:pPr>
        <w:pStyle w:val="Heading6"/>
        <w:numPr>
          <w:ilvl w:val="5"/>
          <w:numId w:val="1"/>
        </w:numPr>
        <w:rPr/>
      </w:pPr>
      <w:bookmarkStart w:id="1383" w:name="__RefHeading___Toc7305612_3381743652"/>
      <w:bookmarkStart w:id="1384" w:name="_Toc527"/>
      <w:bookmarkEnd w:id="1383"/>
      <w:r>
        <w:rPr>
          <w:rtl w:val="true"/>
        </w:rPr>
        <w:t>اشارة</w:t>
      </w:r>
      <w:bookmarkEnd w:id="1384"/>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ورد الخاص متأخراً عن العام وارداً بعد حضور وقت العمل بالعام، كما </w:t>
      </w:r>
      <w:bookmarkStart w:id="1385" w:name="pg14356_187216"/>
    </w:p>
    <w:p>
      <w:pPr>
        <w:pStyle w:val="BookText"/>
        <w:rPr/>
      </w:pPr>
      <w:bookmarkEnd w:id="1385"/>
      <w:r>
        <w:rPr>
          <w:rFonts w:ascii="Amiri" w:hAnsi="Amiri" w:eastAsia="Amiri" w:cs="Amiri"/>
          <w:color w:val="111111"/>
          <w:sz w:val="28"/>
          <w:sz w:val="28"/>
          <w:szCs w:val="28"/>
          <w:rtl w:val="true"/>
          <w:lang w:bidi="ar-SA"/>
        </w:rPr>
        <w:t>إذا ورد العام في الكتاب و السنّة و الخاص في لسان الأئمة،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فَلَهُنَّ الثُّمُنُ مِمّا تَرَكْتُمْ </w:t>
      </w:r>
      <w:r>
        <w:rPr>
          <w:rFonts w:eastAsia="Amiri" w:cs="Amiri" w:ascii="Amiri" w:hAnsi="Amiri"/>
          <w:color w:val="111111"/>
          <w:sz w:val="28"/>
          <w:szCs w:val="28"/>
          <w:rtl w:val="true"/>
          <w:lang w:bidi="ar-SA"/>
        </w:rPr>
        <w:t xml:space="preserve">) </w:t>
      </w:r>
      <w:r>
        <w:rPr>
          <w:rStyle w:val="FootnoteAnchor"/>
          <w:rtl w:val="true"/>
        </w:rPr>
        <w:footnoteReference w:id="461"/>
      </w:r>
      <w:r>
        <w:rPr>
          <w:rFonts w:ascii="Amiri" w:hAnsi="Amiri" w:eastAsia="Amiri" w:cs="Amiri"/>
          <w:color w:val="111111"/>
          <w:sz w:val="28"/>
          <w:sz w:val="28"/>
          <w:szCs w:val="28"/>
          <w:rtl w:val="true"/>
          <w:lang w:bidi="ar-SA"/>
        </w:rPr>
        <w:t>و ورد الخاص في لسان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ترث النساء عن عقار الدور شيئاً </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 فمقتضى القاعدة كون الخاص ناسخاً لا مخصصاً، لكنّه لا يخلو عن محذورين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الأُمّة على أنّ النسخ مختص بعصر الرسول و إنّ ما لم ينسخ فهو باق مستمر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الخاص في الروايات الصادرة عن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كثيرة، فجعل هذه الروايات من قبيل النسخ ما لا يلتزم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هذين الوجهين لا يكون مثل هذا النوع من الخاص، ناسخاً، لكن عدّه مخصصاً أيضاً مشكل لاستلزامه تأخير البيان عن وقت الحاجة، فإذا كان الحكم في مورد الخاص كالعقار في إرث الزوجة غير متعلّق للإرادة الجدية و كانت النساء محرومة من الإرث فيه، لما ذا تأخر البيان في عصر الرسالة إلى أوائل القرن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عدّه ناسخاً أو مخصّصاً مقرون بالإشكال</w:t>
      </w:r>
      <w:r>
        <w:rPr>
          <w:rFonts w:eastAsia="Amiri" w:cs="Amiri" w:ascii="Amiri" w:hAnsi="Amiri"/>
          <w:color w:val="111111"/>
          <w:sz w:val="28"/>
          <w:szCs w:val="28"/>
          <w:rtl w:val="true"/>
          <w:lang w:bidi="ar-SA"/>
        </w:rPr>
        <w:t>.</w:t>
      </w:r>
    </w:p>
    <w:p>
      <w:pPr>
        <w:pStyle w:val="Heading6"/>
        <w:numPr>
          <w:ilvl w:val="5"/>
          <w:numId w:val="1"/>
        </w:numPr>
        <w:rPr/>
      </w:pPr>
      <w:bookmarkStart w:id="1386" w:name="__RefHeading___Toc7305614_3381743652"/>
      <w:bookmarkStart w:id="1387" w:name="_Toc528"/>
      <w:bookmarkEnd w:id="1386"/>
      <w:r>
        <w:rPr>
          <w:rtl w:val="true"/>
        </w:rPr>
        <w:t>نظرية الشيخ الأعظم في المقام</w:t>
      </w:r>
      <w:bookmarkEnd w:id="1387"/>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ورد الخاص بعد حضور وقت العمل بالعام فلا محيص عن كونه ناسخاً لا مخصّصاً لئلاّ يلزم تأخير البيان عن وقت الحاجة فيما إذا أُحرز كون العام وارداً لبيان الحكم الواقعي، و إلاّ لكان الخاص أيضاً مخصِّصاً له، كما هو الحال في </w:t>
      </w:r>
      <w:bookmarkStart w:id="1388" w:name="pg14356_187217"/>
    </w:p>
    <w:p>
      <w:pPr>
        <w:pStyle w:val="BookText"/>
        <w:rPr/>
      </w:pPr>
      <w:bookmarkEnd w:id="1388"/>
      <w:r>
        <w:rPr>
          <w:rFonts w:ascii="Amiri" w:hAnsi="Amiri" w:eastAsia="Amiri" w:cs="Amiri"/>
          <w:color w:val="111111"/>
          <w:sz w:val="28"/>
          <w:sz w:val="28"/>
          <w:szCs w:val="28"/>
          <w:rtl w:val="true"/>
          <w:lang w:bidi="ar-SA"/>
        </w:rPr>
        <w:t>غالب العمومات و الخصوصات في الآيات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المولى بصدد بيان الحكم الواقعي، لم يجز له تأخير البيان عن وقت العمل، فإذا شاهدنا التأخّر فلا مناص عن جعله ناسخاً، أي من قبيل ارتفاع الحكم من زمان ورود الخاص و كان الحكم الواقعي إلى زمان ورود الخاص هو العام، فلم يكن هناك إلقاء في المفسدة و تفويت للمصلحة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المولى بصدد بيان الحكم الظاهري دون بيان الحكم الواقعي، فيكون الناس مكلّفين بالحكم الظاهري دون الواقعي ما لم يصل إليهم الخاص، فإذا وصل ارتفع الحكم الظاهري بارتفاع موضوعه، و تصل النوبة إلى العمل بالحكم الواقعي و يكون الخاص مخصّصاً غير متأخّر عن وقت الحاجة</w:t>
      </w:r>
      <w:r>
        <w:rPr>
          <w:rFonts w:eastAsia="Amiri" w:cs="Amiri" w:ascii="Amiri" w:hAnsi="Amiri"/>
          <w:color w:val="111111"/>
          <w:sz w:val="28"/>
          <w:szCs w:val="28"/>
          <w:rtl w:val="true"/>
          <w:lang w:bidi="ar-SA"/>
        </w:rPr>
        <w:t>.</w:t>
      </w:r>
    </w:p>
    <w:p>
      <w:pPr>
        <w:pStyle w:val="Heading6"/>
        <w:numPr>
          <w:ilvl w:val="5"/>
          <w:numId w:val="1"/>
        </w:numPr>
        <w:rPr/>
      </w:pPr>
      <w:bookmarkStart w:id="1389" w:name="__RefHeading___Toc7305616_3381743652"/>
      <w:bookmarkStart w:id="1390" w:name="_Toc529"/>
      <w:bookmarkEnd w:id="1389"/>
      <w:r>
        <w:rPr>
          <w:rtl w:val="true"/>
        </w:rPr>
        <w:t>نظريتنا في المسألة</w:t>
      </w:r>
      <w:bookmarkEnd w:id="1390"/>
    </w:p>
    <w:p>
      <w:pPr>
        <w:pStyle w:val="BookText"/>
        <w:rPr/>
      </w:pPr>
      <w:r>
        <w:rPr>
          <w:rFonts w:ascii="Amiri" w:hAnsi="Amiri" w:eastAsia="Amiri" w:cs="Amiri"/>
          <w:color w:val="111111"/>
          <w:sz w:val="28"/>
          <w:sz w:val="28"/>
          <w:szCs w:val="28"/>
          <w:rtl w:val="true"/>
          <w:lang w:bidi="ar-SA"/>
        </w:rPr>
        <w:t>و لكن الظاهر هو القول بالتخصيص مطلقاً من غير تفصيل، و ذلك لأنّ المصلحة أوجبت بيان الأحكام تدريجاً فالأحكام كلّها كانت مشرّعة في عصر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نازلة عليه، غير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ما بيّن، و أودع ما لم يُبيّن إمّا لعدم استعداد في المجتمع أو لعدم وجود الفرصة للبيان، أو لوجود المصلحة في تأخيره عند أوصيائه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بعده، و ليس تأخير البيان أمراً قبيحاً بالذات حتى لا يُغيّر حكمه و إنّما هو بالنسبة إلى القبح كالمقتضي نظير الكذب، فلو كان هناك مصلحة غالبة كنجاة المؤمن كان أمراً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الحقّ الذي يدركه من سبر حال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المجتمع الإسلامي</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فأقصى ما في تأخير البيان وقوع المكلّف في المشقّة، أو تفويت المصلحة أو الإلقاء في المفسدة، و كلّها هيّنة إذا اقتضت المصلحة الكبرى تأخير البيان</w:t>
      </w:r>
      <w:r>
        <w:rPr>
          <w:rFonts w:eastAsia="Amiri" w:cs="Amiri" w:ascii="Amiri" w:hAnsi="Amiri"/>
          <w:color w:val="111111"/>
          <w:sz w:val="28"/>
          <w:szCs w:val="28"/>
          <w:rtl w:val="true"/>
          <w:lang w:bidi="ar-SA"/>
        </w:rPr>
        <w:t xml:space="preserve">. </w:t>
      </w:r>
      <w:bookmarkStart w:id="1391" w:name="pg14356_187218"/>
    </w:p>
    <w:p>
      <w:pPr>
        <w:pStyle w:val="Heading5"/>
        <w:numPr>
          <w:ilvl w:val="4"/>
          <w:numId w:val="1"/>
        </w:numPr>
        <w:rPr/>
      </w:pPr>
      <w:bookmarkStart w:id="1392" w:name="__RefHeading___Toc7305618_3381743652"/>
      <w:bookmarkStart w:id="1393" w:name="_Toc530"/>
      <w:bookmarkEnd w:id="1391"/>
      <w:bookmarkEnd w:id="1392"/>
      <w:r>
        <w:rPr>
          <w:rtl w:val="true"/>
        </w:rPr>
        <w:t>الرابعة</w:t>
      </w:r>
      <w:r>
        <w:rPr>
          <w:rtl w:val="true"/>
        </w:rPr>
        <w:t xml:space="preserve">: </w:t>
      </w:r>
      <w:r>
        <w:rPr>
          <w:rtl w:val="true"/>
        </w:rPr>
        <w:t>ورود العام قبل حضور وقت العمل بالخاص</w:t>
      </w:r>
      <w:bookmarkEnd w:id="1393"/>
    </w:p>
    <w:p>
      <w:pPr>
        <w:pStyle w:val="BookText"/>
        <w:rPr/>
      </w:pPr>
      <w:r>
        <w:rPr>
          <w:rFonts w:ascii="Amiri" w:hAnsi="Amiri" w:eastAsia="Amiri" w:cs="Amiri"/>
          <w:color w:val="111111"/>
          <w:sz w:val="28"/>
          <w:sz w:val="28"/>
          <w:szCs w:val="28"/>
          <w:rtl w:val="true"/>
          <w:lang w:bidi="ar-SA"/>
        </w:rPr>
        <w:t>إذا ورد العام بعد الخاص و قبل حضور وقت العمل به،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العالم الفاسق في شهر رمضان ثمّ أمر بإكرام العلماء قبل دخول الشهر، ففي هذه الصورة يتعيّن كون الخاص المتقدّم مخصِّصاً للعام المتأخّر، و لا وجه للنسخ لما عرفت من عدم جواز النسخ قبل حضور وقت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ما سبق من أنّه يلزم لغوية حكم الخاص في المقام و هو لا يصدر من الحكيم العالم بعواقب الأُمور</w:t>
      </w:r>
      <w:r>
        <w:rPr>
          <w:rFonts w:eastAsia="Amiri" w:cs="Amiri" w:ascii="Amiri" w:hAnsi="Amiri"/>
          <w:color w:val="111111"/>
          <w:sz w:val="28"/>
          <w:szCs w:val="28"/>
          <w:rtl w:val="true"/>
          <w:lang w:bidi="ar-SA"/>
        </w:rPr>
        <w:t>.</w:t>
      </w:r>
    </w:p>
    <w:p>
      <w:pPr>
        <w:pStyle w:val="Heading5"/>
        <w:numPr>
          <w:ilvl w:val="4"/>
          <w:numId w:val="1"/>
        </w:numPr>
        <w:rPr/>
      </w:pPr>
      <w:bookmarkStart w:id="1394" w:name="__RefHeading___Toc7305620_3381743652"/>
      <w:bookmarkStart w:id="1395" w:name="_Toc531"/>
      <w:bookmarkEnd w:id="1394"/>
      <w:r>
        <w:rPr>
          <w:rtl w:val="true"/>
        </w:rPr>
        <w:t>الخامسة</w:t>
      </w:r>
      <w:r>
        <w:rPr>
          <w:rtl w:val="true"/>
        </w:rPr>
        <w:t xml:space="preserve">: </w:t>
      </w:r>
      <w:r>
        <w:rPr>
          <w:rtl w:val="true"/>
        </w:rPr>
        <w:t>ورود العام بعد حضور وقت العمل بالخاص</w:t>
      </w:r>
      <w:bookmarkEnd w:id="1395"/>
    </w:p>
    <w:p>
      <w:pPr>
        <w:pStyle w:val="BookText"/>
        <w:rPr/>
      </w:pPr>
      <w:r>
        <w:rPr>
          <w:rFonts w:ascii="Amiri" w:hAnsi="Amiri" w:eastAsia="Amiri" w:cs="Amiri"/>
          <w:color w:val="111111"/>
          <w:sz w:val="28"/>
          <w:sz w:val="28"/>
          <w:szCs w:val="28"/>
          <w:rtl w:val="true"/>
          <w:lang w:bidi="ar-SA"/>
        </w:rPr>
        <w:t>تلك الصورة و لكن ورد العام بعد حضور وقت العمل بالخاص، أي بعد حضور زمان يمكن العمل به، فهل الخاص المتقدّم مخصّص للعام المتأخّر، أو العام المتأخّر ناسخ للخاص المتقدّم؟ و ليست هذه الصورة كالمتقدّمة، إذ لا تلزم لغوية الخاص من القول بناسخية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الثمرة بين القولين واضحة، فعلى الأوّل يعمل بالخاص في خصوص مورده، و على الثاني ينتهي أمد حكم الخاص و يجب العمل بالعام في الفاسق و العادل</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يكون الخاص مخصِّصاً لكثرة التخصيص حتى اشتهر ما من عام إلاّ و قد خصّ مع قلّة النسخ في الأحكام جدّاً، و بذلك يصير ظهور الخاص في الدوام و لو بإطلاقه أقوى من ظهور العام و لو كان بالوضع</w:t>
      </w:r>
      <w:r>
        <w:rPr>
          <w:rFonts w:eastAsia="Amiri" w:cs="Amiri" w:ascii="Amiri" w:hAnsi="Amiri"/>
          <w:color w:val="111111"/>
          <w:sz w:val="28"/>
          <w:szCs w:val="28"/>
          <w:rtl w:val="true"/>
          <w:lang w:bidi="ar-SA"/>
        </w:rPr>
        <w:t>.</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حصل تردّد بين ورود الخاص بعد حضور وقت العمل بالعام، و قبل حضوره، 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هو الرجوع إلى الأُصول العملية</w:t>
      </w:r>
      <w:r>
        <w:rPr>
          <w:rFonts w:eastAsia="Amiri" w:cs="Amiri" w:ascii="Amiri" w:hAnsi="Amiri"/>
          <w:color w:val="111111"/>
          <w:sz w:val="28"/>
          <w:szCs w:val="28"/>
          <w:rtl w:val="true"/>
          <w:lang w:bidi="ar-SA"/>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يترتّب على كلا القولين أثر في مقام العمل فإنّ الواجب في المقام هو العمل بالخاص في المستقبل، سواء أ كان ناسخاً للعام أم مخصّصاً، لافتراض أنّه لو كان ناسخاً فإنّما يكون ناسخاً في مورده الخاص لا في الأعمّ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الصورة الخامسة فإنّ الثمرة موجودة في كون الخاص مخصّصاً، أو العام ناسخاً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يكون ملاك العمل في المستقبل هو الخاص بخلاف الثاني فإنّه يكون ملاك العمل عندئذ هو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صورة سابعة و هو الجهل بأحوال الدليلين على وجه الإطلاق من كونهما متقارنين أو متأخرين و لم يعلم المتقدّم و لا المتأخّر، و لا كيفيتهما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أنّ المتعيّن في جميع الصور السابقة هو التخصيص، فيكون حكمه أيضاً هو التخصيص لعدم خروجها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الكلام في الأمر الأوّل، و إليك الكلام في الأمرين الآخرين</w:t>
      </w:r>
      <w:r>
        <w:rPr>
          <w:rFonts w:eastAsia="Amiri" w:cs="Amiri" w:ascii="Amiri" w:hAnsi="Amiri"/>
          <w:color w:val="111111"/>
          <w:sz w:val="28"/>
          <w:szCs w:val="28"/>
          <w:rtl w:val="true"/>
          <w:lang w:bidi="ar-SA"/>
        </w:rPr>
        <w:t xml:space="preserve">: </w:t>
      </w:r>
      <w:bookmarkStart w:id="1396" w:name="pg14356_187220"/>
    </w:p>
    <w:p>
      <w:pPr>
        <w:pStyle w:val="Heading4"/>
        <w:numPr>
          <w:ilvl w:val="3"/>
          <w:numId w:val="1"/>
        </w:numPr>
        <w:rPr/>
      </w:pPr>
      <w:bookmarkStart w:id="1397" w:name="__RefHeading___Toc7305622_3381743652"/>
      <w:bookmarkStart w:id="1398" w:name="_Toc532"/>
      <w:bookmarkEnd w:id="1396"/>
      <w:bookmarkEnd w:id="1397"/>
      <w:r>
        <w:rPr>
          <w:rtl w:val="true"/>
        </w:rPr>
        <w:t>الأمر الثاني النسخ</w:t>
      </w:r>
      <w:bookmarkEnd w:id="1398"/>
    </w:p>
    <w:p>
      <w:pPr>
        <w:pStyle w:val="Heading5"/>
        <w:numPr>
          <w:ilvl w:val="4"/>
          <w:numId w:val="1"/>
        </w:numPr>
        <w:rPr/>
      </w:pPr>
      <w:bookmarkStart w:id="1399" w:name="__RefHeading___Toc7305624_3381743652"/>
      <w:bookmarkStart w:id="1400" w:name="_Toc533"/>
      <w:bookmarkEnd w:id="1399"/>
      <w:r>
        <w:rPr>
          <w:rtl w:val="true"/>
        </w:rPr>
        <w:t>اشارة</w:t>
      </w:r>
      <w:bookmarkEnd w:id="1400"/>
    </w:p>
    <w:p>
      <w:pPr>
        <w:pStyle w:val="BookText"/>
        <w:rPr/>
      </w:pPr>
      <w:r>
        <w:rPr>
          <w:rFonts w:ascii="Amiri" w:hAnsi="Amiri" w:eastAsia="Amiri" w:cs="Amiri"/>
          <w:color w:val="111111"/>
          <w:sz w:val="28"/>
          <w:sz w:val="28"/>
          <w:szCs w:val="28"/>
          <w:rtl w:val="true"/>
          <w:lang w:bidi="ar-SA"/>
        </w:rPr>
        <w:t>قد عرفت أنّ في هذا الفصل أُموراً ثلاثة، و قد تمّ الكلام في الأمر الأوّل، فلنأخذ الأمر الثاني بالبحث و هو النسخ، و يقع الكلام في أُمور</w:t>
      </w:r>
      <w:r>
        <w:rPr>
          <w:rFonts w:eastAsia="Amiri" w:cs="Amiri" w:ascii="Amiri" w:hAnsi="Amiri"/>
          <w:color w:val="111111"/>
          <w:sz w:val="28"/>
          <w:szCs w:val="28"/>
          <w:rtl w:val="true"/>
          <w:lang w:bidi="ar-SA"/>
        </w:rPr>
        <w:t>:</w:t>
      </w:r>
    </w:p>
    <w:p>
      <w:pPr>
        <w:pStyle w:val="Heading5"/>
        <w:numPr>
          <w:ilvl w:val="4"/>
          <w:numId w:val="1"/>
        </w:numPr>
        <w:rPr/>
      </w:pPr>
      <w:bookmarkStart w:id="1401" w:name="__RefHeading___Toc7305626_3381743652"/>
      <w:bookmarkStart w:id="1402" w:name="_Toc534"/>
      <w:bookmarkEnd w:id="1401"/>
      <w:r>
        <w:rPr>
          <w:rtl w:val="true"/>
        </w:rPr>
        <w:t>الأوّل</w:t>
      </w:r>
      <w:r>
        <w:rPr>
          <w:rtl w:val="true"/>
        </w:rPr>
        <w:t xml:space="preserve">: </w:t>
      </w:r>
      <w:r>
        <w:rPr>
          <w:rtl w:val="true"/>
        </w:rPr>
        <w:t>النسخ لغة و اصطلاحاً</w:t>
      </w:r>
      <w:bookmarkEnd w:id="1402"/>
    </w:p>
    <w:p>
      <w:pPr>
        <w:pStyle w:val="BookText"/>
        <w:rPr/>
      </w:pPr>
      <w:r>
        <w:rPr>
          <w:rFonts w:ascii="Amiri" w:hAnsi="Amiri" w:eastAsia="Amiri" w:cs="Amiri"/>
          <w:color w:val="111111"/>
          <w:sz w:val="28"/>
          <w:sz w:val="28"/>
          <w:szCs w:val="28"/>
          <w:rtl w:val="true"/>
          <w:lang w:bidi="ar-SA"/>
        </w:rPr>
        <w:t>النسخ لغة هو إبطال شيء و إقامة شيء آخر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نسخت الشمسُ الظلَّ أي أذهبتْه و حلّتْ محلَّه، و انتسخ الشيبُ الشبابَ، و التناسخ في الفرائض و المواريث أن تموت ورثة بعد ورثة و أصل الميراث قائم لم يُقسَّم، و كذلك تناسخ الأزمنة و القرون بعد القرون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الإبدال من الشيء غيره، و لعلّه بهذا المعنى نسختُ الكتابَ أي استنسخته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يكون إمّا مشتركاً لفظيّاً بين الإبطال و الإبدال، أو مشتركاً معنوياً بتصوير جامع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اصطلاحاً فهو رفع الحكم الشرعي بدليل شرعي متأخّر على وجه لولاه لكان سائداً، و عرّفه الطبرسي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دليل شرعي دلّ على أنّ مثل الحكم الثابت بالنص الأوّل، غير ثابت في المستقبل على وجه لولاه لكان ثابتاً بالنصّ الأوّل مع تراخيه عنه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تخفى وجازة التعريف الأوّل</w:t>
      </w:r>
      <w:r>
        <w:rPr>
          <w:rFonts w:eastAsia="Amiri" w:cs="Amiri" w:ascii="Amiri" w:hAnsi="Amiri"/>
          <w:color w:val="111111"/>
          <w:sz w:val="28"/>
          <w:szCs w:val="28"/>
          <w:rtl w:val="true"/>
          <w:lang w:bidi="ar-SA"/>
        </w:rPr>
        <w:t xml:space="preserve">. </w:t>
      </w:r>
      <w:bookmarkStart w:id="1403" w:name="pg14356_187221"/>
    </w:p>
    <w:p>
      <w:pPr>
        <w:pStyle w:val="Heading5"/>
        <w:numPr>
          <w:ilvl w:val="4"/>
          <w:numId w:val="1"/>
        </w:numPr>
        <w:rPr/>
      </w:pPr>
      <w:bookmarkStart w:id="1404" w:name="__RefHeading___Toc7305628_3381743652"/>
      <w:bookmarkStart w:id="1405" w:name="_Toc535"/>
      <w:bookmarkEnd w:id="1403"/>
      <w:bookmarkEnd w:id="1404"/>
      <w:r>
        <w:rPr>
          <w:rtl w:val="true"/>
        </w:rPr>
        <w:t>الثاني</w:t>
      </w:r>
      <w:r>
        <w:rPr>
          <w:rtl w:val="true"/>
        </w:rPr>
        <w:t xml:space="preserve">: </w:t>
      </w:r>
      <w:r>
        <w:rPr>
          <w:rtl w:val="true"/>
        </w:rPr>
        <w:t>في إمكان جواز النسخ عقلاً أو شرعاً</w:t>
      </w:r>
      <w:bookmarkEnd w:id="1405"/>
    </w:p>
    <w:p>
      <w:pPr>
        <w:pStyle w:val="BookText"/>
        <w:rPr/>
      </w:pPr>
      <w:r>
        <w:rPr>
          <w:rFonts w:ascii="Amiri" w:hAnsi="Amiri" w:eastAsia="Amiri" w:cs="Amiri"/>
          <w:color w:val="111111"/>
          <w:sz w:val="28"/>
          <w:sz w:val="28"/>
          <w:szCs w:val="28"/>
          <w:rtl w:val="true"/>
          <w:lang w:bidi="ar-SA"/>
        </w:rPr>
        <w:t>النسخ عندنا جائز عقلاً، واقع سمعاً، و أدلّ دليل على جوازه وقوعه في الشريعة الإسلامية فانّها نسخت شيئاً من الأحكام الواردة في الشرائع السابقة، كما أنّ كلّ شريعة سماوية نسخت شيئاً ممّا ورد في سابقتها،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قال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خروجه من الفلك انّي جعلت كلّ دابة مأكلاً لك و لذريتك و أطلقت لذلك لكم كنبات العشب ما خلا الدم فلا تأكلوه </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مع أنّه سبحانه حرّم على موسى و على بني إسرائيل كثيراً من اللحوم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إمكان النسخ من خلال اختلاف المقتضيات الزمانية و المكانية، فربما يكون حكماً صالحاً في ظروف معينة، فإذا تغيرت لم يصر ذلك الحكم صالحاً في تلك الظروف، بل لا بدّ من تغيّره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الأحكام المتناغمة مع الفطرة الإنسانية لا تتغيّر ما دامت الفطرة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إمكان النسخ و وقوعه أمر لا ريب فيه غير أنّ اليهود ذهبت إلى امتناعه إمّا عقلاً و شرعاً، أو شرعاً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الرازي في تفسيره استدلالهم بشكل مبسوط، و نحن نلخّص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الدليل لا يخلو من حالات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يدلّ على الدوام، أو يدلّ على خلافه، أو لا يدلّ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فيلزم من نسخه كذب الخبر الأوّل</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الثاني فهذا لا يعدّ نسخاً، لأنّ المفروض انّ الأمر الأوّل كان موقتاً</w:t>
      </w:r>
      <w:r>
        <w:rPr>
          <w:rFonts w:eastAsia="Amiri" w:cs="Amiri" w:ascii="Amiri" w:hAnsi="Amiri"/>
          <w:color w:val="111111"/>
          <w:sz w:val="28"/>
          <w:szCs w:val="28"/>
          <w:rtl w:val="true"/>
          <w:lang w:bidi="ar-SA"/>
        </w:rPr>
        <w:t xml:space="preserve">. </w:t>
      </w:r>
      <w:bookmarkStart w:id="1406" w:name="pg14356_187222"/>
    </w:p>
    <w:p>
      <w:pPr>
        <w:pStyle w:val="BookText"/>
        <w:rPr/>
      </w:pPr>
      <w:bookmarkEnd w:id="1406"/>
      <w:r>
        <w:rPr>
          <w:rFonts w:ascii="Amiri" w:hAnsi="Amiri" w:eastAsia="Amiri" w:cs="Amiri"/>
          <w:color w:val="111111"/>
          <w:sz w:val="28"/>
          <w:sz w:val="28"/>
          <w:szCs w:val="28"/>
          <w:rtl w:val="true"/>
          <w:lang w:bidi="ar-SA"/>
        </w:rPr>
        <w:t>و أمّا الثالث فبما انّ امتثال الأمر مرة واحدة مسقط، فليس هناك دليل على لزوم امتثاله في المرة الثانية حتّى يكون الدليل الثاني ناسخاً</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هناك قسماً رابعاً و هو ظهور الدليل في الدوام لا كونه نصاً فيه، فإذا جاء الناسخ فيكشف عن عدم صحّة ظهور الدليل الأوّل و انّ ما فهم من استمرار الحكم و دوامه كان فهماً خاطئاً و مصب النسخ هو هذا القسم، و إلاّ فما نص عليه بالدوام أو بالانقطاع أو يكون مهملاً من حيث الدوام و عدمه، إمّا يستحيل نسخه لاستلزامه الكذب كما في القسم الأوّل، أو يستغني عن النسخ كما في القسمين الأخيرين و ذلك إمّا ارتفاعه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بانتهاء غايته، أو عدم ظهوره في الاستمرار، حتّى يرتفع و إنّما النسخ فيما إذا كان الدليل حسب الظاهر ظاهراً في الاستمرار، قابلاً للدوام، فيكون الدليل الثاني ناسخاً له، رافعاً للحكم حسب الظاهر و إن كان في الواقع كاشفاً عن انتهاء أمد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يقول الأُصوليون النسخ رفع حسب الظاهر، و أمّا في الواقع فهو دفع و إعلام بانتهاء الحكم</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7305630_3381743652"/>
      <w:bookmarkStart w:id="1408" w:name="_Toc536"/>
      <w:bookmarkEnd w:id="1407"/>
      <w:r>
        <w:rPr>
          <w:rtl w:val="true"/>
        </w:rPr>
        <w:t>الثالث</w:t>
      </w:r>
      <w:r>
        <w:rPr>
          <w:rtl w:val="true"/>
        </w:rPr>
        <w:t xml:space="preserve">: </w:t>
      </w:r>
      <w:r>
        <w:rPr>
          <w:rtl w:val="true"/>
        </w:rPr>
        <w:t>الفرق بين النسخ و التخصيص</w:t>
      </w:r>
      <w:bookmarkEnd w:id="1408"/>
    </w:p>
    <w:p>
      <w:pPr>
        <w:pStyle w:val="BookText"/>
        <w:rPr/>
      </w:pPr>
      <w:r>
        <w:rPr>
          <w:rFonts w:ascii="Amiri" w:hAnsi="Amiri" w:eastAsia="Amiri" w:cs="Amiri"/>
          <w:color w:val="111111"/>
          <w:sz w:val="28"/>
          <w:sz w:val="28"/>
          <w:szCs w:val="28"/>
          <w:rtl w:val="true"/>
          <w:lang w:bidi="ar-SA"/>
        </w:rPr>
        <w:t>لا شكّ انّ النسخ و التخصيص يشتركان في تضييق دائرة الحكم لكن النسخ تخصيص في الأزمان، أي مانع من استمرار الحكم بعد النسخ لا عن ثبوته قبله، بخلاف الثاني فانّه تخصيص في الأفراد، أي مانع من شمول الحكم لبعض أفراد العام منذ أوّل الأمر</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يعلم أنّه يشترط في النسخ ورود الناسخ بعد حضور العمل </w:t>
      </w:r>
      <w:bookmarkStart w:id="1409" w:name="pg14356_187223"/>
    </w:p>
    <w:p>
      <w:pPr>
        <w:pStyle w:val="BookText"/>
        <w:rPr/>
      </w:pPr>
      <w:bookmarkEnd w:id="1409"/>
      <w:r>
        <w:rPr>
          <w:rFonts w:ascii="Amiri" w:hAnsi="Amiri" w:eastAsia="Amiri" w:cs="Amiri"/>
          <w:color w:val="111111"/>
          <w:sz w:val="28"/>
          <w:sz w:val="28"/>
          <w:szCs w:val="28"/>
          <w:rtl w:val="true"/>
          <w:lang w:bidi="ar-SA"/>
        </w:rPr>
        <w:t>بالمنسوخ بفترة قصيرة أو طويلة، و أمّا التخصيص فيشترط وروده قبل حضور وقت العمل بالحكم، و إلاّ يلزم تأخير البيان عن وقت الحاجة، و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أمره سبحانه تبارك و تعالى بذبح إسماعيل و المنع عنه قبل ذبحه ليس من مقولة النسخ، لما علمت من أنّ النسخ عبارة عن قطع استمرار الحكم، و هو رهن العمل به، و لو مدة قصيرة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 ذا تَرى قالَ يا أَبَتِ افْعَلْ ما تُؤْمَرُ سَتَجِدُنِي إِنْ شاءَ اللّهُ مِنَ الصّابِرِينَ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و بما انّ رؤية الأنبياء رؤيا صادقة، فقد أيقن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سبحانه قد أمره بذبح ولده، و لمّا جاء به إلى منى و وضع السكين على حلقه و همّ بذبحه خوطب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فالآية تحكي انّه بإنجاز المقدّمات صدّق رؤياه، و هذا كاشف على أنّه كان مأموراً بالمقدّمات دون الذبح، و كان ذلك كافياً في رفع مستوى إخلاصه و تفانيه في جنب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الأمر، اختباريّاً</w:t>
      </w:r>
      <w:r>
        <w:rPr>
          <w:rFonts w:eastAsia="Amiri" w:cs="Amiri" w:ascii="Amiri" w:hAnsi="Amiri"/>
          <w:color w:val="111111"/>
          <w:sz w:val="28"/>
          <w:szCs w:val="28"/>
          <w:rtl w:val="true"/>
          <w:lang w:bidi="ar-SA"/>
        </w:rPr>
        <w:t>.</w:t>
      </w:r>
    </w:p>
    <w:p>
      <w:pPr>
        <w:pStyle w:val="Heading5"/>
        <w:numPr>
          <w:ilvl w:val="4"/>
          <w:numId w:val="1"/>
        </w:numPr>
        <w:rPr/>
      </w:pPr>
      <w:bookmarkStart w:id="1410" w:name="__RefHeading___Toc7305632_3381743652"/>
      <w:bookmarkStart w:id="1411" w:name="_Toc537"/>
      <w:bookmarkEnd w:id="1410"/>
      <w:r>
        <w:rPr>
          <w:rtl w:val="true"/>
        </w:rPr>
        <w:t>الرابع</w:t>
      </w:r>
      <w:r>
        <w:rPr>
          <w:rtl w:val="true"/>
        </w:rPr>
        <w:t xml:space="preserve">: </w:t>
      </w:r>
      <w:r>
        <w:rPr>
          <w:rtl w:val="true"/>
        </w:rPr>
        <w:t>وقوع النسخ في القرآن الكريم</w:t>
      </w:r>
      <w:bookmarkEnd w:id="1411"/>
    </w:p>
    <w:p>
      <w:pPr>
        <w:pStyle w:val="BookText"/>
        <w:rPr/>
      </w:pPr>
      <w:r>
        <w:rPr>
          <w:rFonts w:ascii="Amiri" w:hAnsi="Amiri" w:eastAsia="Amiri" w:cs="Amiri"/>
          <w:color w:val="111111"/>
          <w:sz w:val="28"/>
          <w:sz w:val="28"/>
          <w:szCs w:val="28"/>
          <w:rtl w:val="true"/>
          <w:lang w:bidi="ar-SA"/>
        </w:rPr>
        <w:t>دلّت غير واحدة من الآيات على وقوع النسخ في القرآن الكريم إجمالاً نحو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بَدَّلْنا آيَةً مَكانَ آيَةٍ وَ اللّهُ أَعْلَمُ بِما يُنَزِّلُ قالُوا إِنَّما أَنْتَ مُفْتَرٍ بَلْ أَكْثَرُهُمْ لا يَعْلَمُونَ </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المشركون و اليهود يطعنون بالإسلام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ترون إلى محمد يأمر أصحابه بأمر ثمّ ينهاهم عنه و يأمرهم بخلافه، و يقول اليوم قولاً و غداً يرجع عنه، فنزلت هذه الآية أو ما هو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الآية تدلّ على وقوع النسخ بشهادة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إِذا بَدَّلْنا آيَةً مَكانَ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ظاهرة في الآية القرآنيّة، لا الآية الكونية كالمعجزة، و يشهد على ذلك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أَنْتَ مُفْتَرٍ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الآية تعمّ المحو التشريعي و المحو التكويني الذي نعبر عنه بالبداء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آية ثالثة تدلّ على إمكان النسخ لا على وقوعه، و 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نَنْسَخْ مِنْ آيَةٍ أَوْ نُنْسِها نَأْتِ بِخَيْرٍ مِنْها أَوْ مِثْلِها أَ لَمْ تَعْلَمْ أَنَّ اللّهَ عَلى كُلِّ شَيْ‌ءٍ قَدِيرٌ </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 بما انّ هذه الآية من الآيات المشكلة في القرآن الكريم نذكر شيئاً حولها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نافية و لا موصولة، بل هي ما شرطية تجزم شرطها و جزاءها، و لذلك صار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مجزوماً و هكذا جزاؤها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أصلها ننسيها فحذف الياء الناقصة لأجل الجزم، فانّ علامة الجزم هو سكون آخر الفعل في الصحيح و حذف حرف العلّة في المعتل،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مأخوذ من أنسي فهو ناقص يائي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الشرطية على نوعين</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زمانية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تَفْعَلُوا مِنْ خَيْرٍ يَعْلَمْهُ اللّهُ </w:t>
      </w:r>
      <w:r>
        <w:rPr>
          <w:rFonts w:eastAsia="Amiri" w:cs="Amiri" w:ascii="Amiri" w:hAnsi="Amiri"/>
          <w:color w:val="111111"/>
          <w:sz w:val="28"/>
          <w:szCs w:val="28"/>
          <w:rtl w:val="true"/>
          <w:lang w:bidi="ar-SA"/>
        </w:rPr>
        <w:t xml:space="preserve">) </w:t>
      </w:r>
      <w:r>
        <w:rPr>
          <w:rStyle w:val="FootnoteAnchor"/>
          <w:rtl w:val="true"/>
        </w:rPr>
        <w:footnoteReference w:id="4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نَنْسَخْ مِنْ آيَةٍ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جوزت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بِكُمْ مِنْ نِعْمَةٍ فَمِنَ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الأصل و ما يكن، ثمّ حذف فعل الشرط</w:t>
      </w:r>
      <w:r>
        <w:rPr>
          <w:rFonts w:eastAsia="Amiri" w:cs="Amiri" w:ascii="Amiri" w:hAnsi="Amiri"/>
          <w:color w:val="111111"/>
          <w:sz w:val="28"/>
          <w:szCs w:val="28"/>
          <w:rtl w:val="true"/>
          <w:lang w:bidi="ar-SA"/>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في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فقراءة عاصم برواية حفص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فيكون مشتقاً من أنسى ينسي و صيغة المتكلّم مع الغير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فإذا ورد عليه الجزم يحذف حرف العلة،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 من آخرها، فإذا أُضيف إلى مفعوله الضمير 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إذهاب الشيء عن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قراءة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ننسئها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النسيء بمعنى التأخير،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النَّسِيءُ زِيادَةٌ فِي الْكُفْرِ يُضَلُّ بِهِ الَّذِينَ كَفَرُوا يُحِلُّونَهُ عاماً وَ يُحَرِّمُونَهُ عاماً </w:t>
      </w:r>
      <w:r>
        <w:rPr>
          <w:rFonts w:eastAsia="Amiri" w:cs="Amiri" w:ascii="Amiri" w:hAnsi="Amiri"/>
          <w:color w:val="111111"/>
          <w:sz w:val="28"/>
          <w:szCs w:val="28"/>
          <w:rtl w:val="true"/>
          <w:lang w:bidi="ar-SA"/>
        </w:rPr>
        <w:t xml:space="preserve">) </w:t>
      </w:r>
      <w:r>
        <w:rPr>
          <w:rStyle w:val="FootnoteAnchor"/>
          <w:rtl w:val="true"/>
        </w:rPr>
        <w:footnoteReference w:id="472"/>
      </w:r>
      <w:r>
        <w:rPr>
          <w:rFonts w:ascii="Amiri" w:hAnsi="Amiri" w:eastAsia="Amiri" w:cs="Amiri"/>
          <w:color w:val="111111"/>
          <w:sz w:val="28"/>
          <w:sz w:val="28"/>
          <w:szCs w:val="28"/>
          <w:rtl w:val="true"/>
          <w:lang w:bidi="ar-SA"/>
        </w:rPr>
        <w:t>و المراد تأخير أشهر الحرم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النسيئة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البيع المتأخر ثمنه عن وقت البيع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هو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كلتا القراءتين؟ أمّا القراءة الأُولى فمعنى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إذهاب الآية عن الأذهان و إنّما الكلام في تبيين المراد منه، ففسّره بعض السُّذّج من العامّة، بنسخ الحكم و التلاوة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 إزالة الآية من ذاكرة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أنّ السيوطي روى في أسباب النزول انّ الآية كانت تنزل على النبي ليلاً فينساها نهاراً، فحزن لذلك،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 نعلّق على هذه الرواية و لا على هذا التفسير شيئاً، و يكفي في ذلك قول صاحب المنار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عندي في أنّ هذه الرواية مكذوبة، و أنّ مثل هذا النسيان محال على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لأنّهم معصومون في التبليغ، و الآيات الكريمة ناطقة بذلك،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الذِّكْرَ وَ إِنّا لَهُ لَحافِظُونَ </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الآية مدنية، و قد أخبر سبحانه في سورة مكية بأنّ النبي لا ينسى،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يَعْلَمُ الْجَهْرَ وَ ما يَخْفى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ما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وقوع المشيئة، بل هذا الاستثناء نظير الاستثناء عن خلود أهل الجنة و النار فيهما،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الَّذِينَ سُعِدُوا فَفِي الْجَنَّةِ خالِدِينَ فِيها ما دامَتِ السَّماواتُ وَ الْأَرْضُ إِلاّ ما شاءَ رَبُّكَ عَطاءً غَيْرَ مَجْذُوذٍ </w:t>
      </w:r>
      <w:r>
        <w:rPr>
          <w:rFonts w:eastAsia="Amiri" w:cs="Amiri" w:ascii="Amiri" w:hAnsi="Amiri"/>
          <w:color w:val="111111"/>
          <w:sz w:val="28"/>
          <w:szCs w:val="28"/>
          <w:rtl w:val="true"/>
          <w:lang w:bidi="ar-SA"/>
        </w:rPr>
        <w:t>).</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الغاية من ورود الاستثناء في هذه الآية و نظائرها هو بيان انّ الحكم بخلودهما فيهما لا يعني خروج الأمر من يده سبحانه، بل الأمر بعدُ بيده، و هو قادر على إنجاز خلاف ما وعد أو أوعد</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ضوء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بمعنى الإذهاب عن الذهن، لكنّه كناية عن ترك الآية و عدم نسخها، إذ كثيراً ما يطلق النسيان و يراد به الترك لا الذهول، أي تركها على ما هي عليه بلا تغيير و تبديل حيث يصحّ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نسيت الشيء و أنت تريد تركه على حاله،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الفعل الفلاني أي تركته، فتدلّ الآية على أنّ نسخها و عدم نسخها كلاهما يتبعان المصلحة، فلو </w:t>
      </w:r>
    </w:p>
    <w:p>
      <w:pPr>
        <w:pStyle w:val="BookText"/>
        <w:rPr/>
      </w:pPr>
      <w:r>
        <w:rPr>
          <w:rFonts w:ascii="Amiri" w:hAnsi="Amiri" w:eastAsia="Amiri" w:cs="Amiri"/>
          <w:color w:val="111111"/>
          <w:sz w:val="28"/>
          <w:sz w:val="28"/>
          <w:szCs w:val="28"/>
          <w:rtl w:val="true"/>
          <w:lang w:bidi="ar-SA"/>
        </w:rPr>
        <w:t>اقتضت المصلحة نسخ الآية، تُنْسخ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اقتضت إبقاءها، تترك بلا تبديل و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النسيان على الترك مجاز، لأنّ المنسي يكون متروكاً، فلمّا كان الترك من لوازم النسيان أطلقوا اسم الملزوم على اللازم</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و يدلّ على ما ذكرنا من أنّ النسيان يطلق و يراد به لازمه، لفيف من الآيات نحو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نَسُوا ما ذُكِّرُوا بِهِ أَنْجَيْنَا الَّذِينَ يَنْهَوْنَ عَنِ السُّوءِ </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أي تركوا ما أمروا به من عدم الصيد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قِيلَ الْيَوْمَ نَنْساكُمْ كَما نَسِيتُمْ لِقاءَ يَوْمِكُمْ هذا </w:t>
      </w:r>
      <w:r>
        <w:rPr>
          <w:rFonts w:eastAsia="Amiri" w:cs="Amiri" w:ascii="Amiri" w:hAnsi="Amiri"/>
          <w:color w:val="111111"/>
          <w:sz w:val="28"/>
          <w:szCs w:val="28"/>
          <w:rtl w:val="true"/>
          <w:lang w:bidi="ar-SA"/>
        </w:rPr>
        <w:t>).</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فَنَسِيَ وَ لَمْ نَجِدْ لَهُ عَزْماً </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فَقالُوا هذا إِلهُكُمْ وَ إِلهُ مُوسى فَنَسِيَ </w:t>
      </w:r>
      <w:r>
        <w:rPr>
          <w:rFonts w:eastAsia="Amiri" w:cs="Amiri" w:ascii="Amiri" w:hAnsi="Amiri"/>
          <w:color w:val="111111"/>
          <w:sz w:val="28"/>
          <w:szCs w:val="28"/>
          <w:rtl w:val="true"/>
          <w:lang w:bidi="ar-SA"/>
        </w:rPr>
        <w:t>).</w:t>
      </w:r>
      <w:r>
        <w:rPr>
          <w:rStyle w:val="FootnoteAnchor"/>
          <w:rtl w:val="true"/>
        </w:rPr>
        <w:footnoteReference w:id="482"/>
      </w:r>
    </w:p>
    <w:p>
      <w:pPr>
        <w:pStyle w:val="BookText"/>
        <w:rPr/>
      </w:pPr>
      <w:r>
        <w:rPr>
          <w:rFonts w:ascii="Amiri" w:hAnsi="Amiri" w:eastAsia="Amiri" w:cs="Amiri"/>
          <w:color w:val="111111"/>
          <w:sz w:val="28"/>
          <w:sz w:val="28"/>
          <w:szCs w:val="28"/>
          <w:rtl w:val="true"/>
          <w:lang w:bidi="ar-SA"/>
        </w:rPr>
        <w:t>و أوضح دليل على أنّ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الترك، وجود التقابل بينه و 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الأوّل بمعنى الإزالة، فالفعل الثاني بمعنى الإبقاء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القراءة الثانية، فهي قراءة من قرأ بالهمز أي ننسئها، فهي قراءة غير معروفة، فيكون المراد هو التأخير في النزول أو النسخ، و يؤوّل معنى الآية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نَنْسَخْ مِنْ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ننسئها، أي نؤخّر نزولها أو نسخها، فالكلّ من التقديم و التأخير تابع لمصلحة</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الآيات تدلّ على إمكان النسخ، بل وقوعه في القرآن</w:t>
      </w:r>
      <w:r>
        <w:rPr>
          <w:rFonts w:eastAsia="Amiri" w:cs="Amiri" w:ascii="Amiri" w:hAnsi="Amiri"/>
          <w:color w:val="111111"/>
          <w:sz w:val="28"/>
          <w:szCs w:val="28"/>
          <w:rtl w:val="true"/>
          <w:lang w:bidi="ar-SA"/>
        </w:rPr>
        <w:t xml:space="preserve">. </w:t>
      </w:r>
      <w:bookmarkStart w:id="1412" w:name="pg14356_187228"/>
    </w:p>
    <w:p>
      <w:pPr>
        <w:pStyle w:val="Heading5"/>
        <w:numPr>
          <w:ilvl w:val="4"/>
          <w:numId w:val="1"/>
        </w:numPr>
        <w:rPr/>
      </w:pPr>
      <w:bookmarkStart w:id="1413" w:name="__RefHeading___Toc7305634_3381743652"/>
      <w:bookmarkStart w:id="1414" w:name="_Toc538"/>
      <w:bookmarkEnd w:id="1412"/>
      <w:bookmarkEnd w:id="1413"/>
      <w:r>
        <w:rPr>
          <w:rtl w:val="true"/>
        </w:rPr>
        <w:t>الخامس</w:t>
      </w:r>
      <w:r>
        <w:rPr>
          <w:rtl w:val="true"/>
        </w:rPr>
        <w:t xml:space="preserve">: </w:t>
      </w:r>
      <w:r>
        <w:rPr>
          <w:rtl w:val="true"/>
        </w:rPr>
        <w:t>أقسام النسخ</w:t>
      </w:r>
      <w:bookmarkEnd w:id="1414"/>
    </w:p>
    <w:p>
      <w:pPr>
        <w:pStyle w:val="BookText"/>
        <w:rPr/>
      </w:pPr>
      <w:r>
        <w:rPr>
          <w:rFonts w:ascii="Amiri" w:hAnsi="Amiri" w:eastAsia="Amiri" w:cs="Amiri"/>
          <w:color w:val="111111"/>
          <w:sz w:val="28"/>
          <w:sz w:val="28"/>
          <w:szCs w:val="28"/>
          <w:rtl w:val="true"/>
          <w:lang w:bidi="ar-SA"/>
        </w:rPr>
        <w:t>قسّم أهل السنّة النسخ إلى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تُنسخ الآية تلاوة و حكماً بحيث يرتفع لفظها و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تنسخ تلاوة لا حكماً، أي يرتفع لفظها، و يبقى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تنسخ حكماً لا تلاوة، أي تثبت، و لكن لا يؤخذ بظاهرها بعد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فلا وجود له في الخارج، لأنّ المفروض انّ الآية رفعت بلفظها و حكمها فلم تبق بين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 يكون منسوخ الحكم و التلاوة فهو ما روت عائشة أنّ القرآن قد نزل في الرضاع بعشر معلومات ثمّ نسخن بخمس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فالعشر مرفوع التلاوة و الحكم، و الخمس مرفوع التلاوة باقي الحكم</w:t>
      </w:r>
      <w:r>
        <w:rPr>
          <w:rFonts w:eastAsia="Amiri" w:cs="Amiri" w:ascii="Amiri" w:hAnsi="Amiri"/>
          <w:color w:val="111111"/>
          <w:sz w:val="28"/>
          <w:szCs w:val="28"/>
          <w:rtl w:val="true"/>
          <w:lang w:bidi="ar-SA"/>
        </w:rPr>
        <w:t>.</w:t>
      </w:r>
      <w:r>
        <w:rPr>
          <w:rStyle w:val="FootnoteAnchor"/>
          <w:rtl w:val="true"/>
        </w:rPr>
        <w:footnoteReference w:id="483"/>
      </w:r>
    </w:p>
    <w:p>
      <w:pPr>
        <w:pStyle w:val="BookText"/>
        <w:rPr/>
      </w:pPr>
      <w:r>
        <w:rPr>
          <w:rFonts w:ascii="Amiri" w:hAnsi="Amiri" w:eastAsia="Amiri" w:cs="Amiri"/>
          <w:color w:val="111111"/>
          <w:sz w:val="28"/>
          <w:sz w:val="28"/>
          <w:szCs w:val="28"/>
          <w:rtl w:val="true"/>
          <w:lang w:bidi="ar-SA"/>
        </w:rPr>
        <w:t>و أمّا الثاني، ففسروه بمنسوخ التلاوة، و هو ما رفعت تلاوته و بقي معناه، و مثّلوا لذلك ما روي عن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آية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و الشيخة إذا زنيا فارجموهما البتة نكالاً من اللّه و اللّه عزيز حكيم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لابن آدم واديان من مال لابتغى إليهما ثالثاً و لا يملأ جوف ابن آدم إلاّ التراب و يتوب اللّه على من 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لفظ الآيتين المزعومتين يحكي عن أنّهما ليستا من القرآن الكريم، لأنّهما عاريتان عن البلاغة و الفصاحة</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الآية الأُولى نسجت على منوال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اَلزّانِيَةُ وَ الزّانِي </w:t>
      </w:r>
      <w:bookmarkStart w:id="1415" w:name="pg14356_187229"/>
    </w:p>
    <w:p>
      <w:pPr>
        <w:pStyle w:val="BookText"/>
        <w:rPr/>
      </w:pPr>
      <w:bookmarkEnd w:id="1415"/>
      <w:r>
        <w:rPr>
          <w:rFonts w:ascii="Amiri" w:hAnsi="Amiri" w:eastAsia="Amiri" w:cs="Amiri"/>
          <w:color w:val="111111"/>
          <w:sz w:val="28"/>
          <w:sz w:val="28"/>
          <w:szCs w:val="28"/>
          <w:rtl w:val="true"/>
          <w:lang w:bidi="ar-SA"/>
        </w:rPr>
        <w:t xml:space="preserve">فَاجْلِدُوا كُلَّ واحِدٍ مِنْهُما مِائَةَ جَلْدَةٍ وَ لا تَأْخُذْكُمْ بِهِما رَأْفَةٌ فِي دِينِ اللّهِ </w:t>
      </w:r>
      <w:r>
        <w:rPr>
          <w:rFonts w:eastAsia="Amiri" w:cs="Amiri" w:ascii="Amiri" w:hAnsi="Amiri"/>
          <w:color w:val="111111"/>
          <w:sz w:val="28"/>
          <w:szCs w:val="28"/>
          <w:rtl w:val="true"/>
          <w:lang w:bidi="ar-SA"/>
        </w:rPr>
        <w:t>).</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و الظاهر أنّ من جوّز نسخ التلاوة حاول بذلك تبرير ما ورد في الصحاح و السنن و المسانيد ممّا يدلّ على التحريف، فجعلوه من قبيل منسوخ التلاوة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سؤال و هو انّ المفروض في منسوخ التلاوة انّ المعنى ثابت و هو رجم الشيخ و الشيخة، دون اللفظ، و اللفظ القرآني يجب أن يكون على حد يمتنع على الآخرين مقابلته حتّى يكون على القمة من الجزالة و الحلاوة، و عندئذ يُسأل لما ذا نسخت تلاوة الآية، و ما هو السبب في نسخها؟ أ فهل كان العيب في المعنى و المفروض انّه ثابت، أم في اللفظ و المفروض انّه على درجة سائر الآيات في البلاغة؟</w:t>
      </w:r>
    </w:p>
    <w:p>
      <w:pPr>
        <w:pStyle w:val="Heading5"/>
        <w:numPr>
          <w:ilvl w:val="4"/>
          <w:numId w:val="1"/>
        </w:numPr>
        <w:rPr/>
      </w:pPr>
      <w:bookmarkStart w:id="1416" w:name="__RefHeading___Toc7305636_3381743652"/>
      <w:bookmarkStart w:id="1417" w:name="_Toc539"/>
      <w:bookmarkEnd w:id="1416"/>
      <w:r>
        <w:rPr>
          <w:rtl w:val="true"/>
        </w:rPr>
        <w:t>السادس</w:t>
      </w:r>
      <w:r>
        <w:rPr>
          <w:rtl w:val="true"/>
        </w:rPr>
        <w:t xml:space="preserve">: </w:t>
      </w:r>
      <w:r>
        <w:rPr>
          <w:rtl w:val="true"/>
        </w:rPr>
        <w:t>الآيات المنسوخة في القرآن الكريم</w:t>
      </w:r>
      <w:bookmarkEnd w:id="1417"/>
    </w:p>
    <w:p>
      <w:pPr>
        <w:pStyle w:val="Heading6"/>
        <w:numPr>
          <w:ilvl w:val="5"/>
          <w:numId w:val="1"/>
        </w:numPr>
        <w:rPr/>
      </w:pPr>
      <w:bookmarkStart w:id="1418" w:name="__RefHeading___Toc7305638_3381743652"/>
      <w:bookmarkStart w:id="1419" w:name="_Toc540"/>
      <w:bookmarkEnd w:id="1418"/>
      <w:r>
        <w:rPr>
          <w:rtl w:val="true"/>
        </w:rPr>
        <w:t>اشارة</w:t>
      </w:r>
      <w:bookmarkEnd w:id="1419"/>
    </w:p>
    <w:p>
      <w:pPr>
        <w:pStyle w:val="BookText"/>
        <w:rPr/>
      </w:pPr>
      <w:r>
        <w:rPr>
          <w:rFonts w:ascii="Amiri" w:hAnsi="Amiri" w:eastAsia="Amiri" w:cs="Amiri"/>
          <w:color w:val="111111"/>
          <w:sz w:val="28"/>
          <w:sz w:val="28"/>
          <w:szCs w:val="28"/>
          <w:rtl w:val="true"/>
          <w:lang w:bidi="ar-SA"/>
        </w:rPr>
        <w:t>اختلف المسلمون في وجود النسخ في القرآن، و المشهور وجوده، و لكنّهم بين مقلّ و مكثر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فالنحاس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الناسخ و المنسوخ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المكثرين، فقد أدرج كثيراً من الآيات في عداد الناسخ و المنسوخ و ليس منها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السيد المحقّق الخوئي من المقلّين لو لم نقل من المنكرين إلاّ في مورد واحد، و هو مورد الصدقة عند النجوى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في تفسير القرآن </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ها نحن نذكر الموارد التي دلّ الدليل القطعي على تطرّق النسخ إليها</w:t>
      </w:r>
      <w:r>
        <w:rPr>
          <w:rFonts w:eastAsia="Amiri" w:cs="Amiri" w:ascii="Amiri" w:hAnsi="Amiri"/>
          <w:color w:val="111111"/>
          <w:sz w:val="28"/>
          <w:szCs w:val="28"/>
          <w:rtl w:val="true"/>
          <w:lang w:bidi="ar-SA"/>
        </w:rPr>
        <w:t xml:space="preserve">. </w:t>
      </w:r>
      <w:bookmarkStart w:id="1420" w:name="pg14356_187230"/>
    </w:p>
    <w:p>
      <w:pPr>
        <w:pStyle w:val="Heading6"/>
        <w:numPr>
          <w:ilvl w:val="5"/>
          <w:numId w:val="1"/>
        </w:numPr>
        <w:rPr/>
      </w:pPr>
      <w:bookmarkStart w:id="1421" w:name="__RefHeading___Toc7305640_3381743652"/>
      <w:bookmarkStart w:id="1422" w:name="_Toc541"/>
      <w:bookmarkEnd w:id="1420"/>
      <w:bookmarkEnd w:id="1421"/>
      <w:r>
        <w:rPr/>
        <w:t>1</w:t>
      </w:r>
      <w:r>
        <w:rPr>
          <w:rtl w:val="true"/>
        </w:rPr>
        <w:t xml:space="preserve">. </w:t>
      </w:r>
      <w:r>
        <w:rPr>
          <w:rtl w:val="true"/>
        </w:rPr>
        <w:t>عدّة الوفاة</w:t>
      </w:r>
      <w:bookmarkEnd w:id="1422"/>
    </w:p>
    <w:p>
      <w:pPr>
        <w:pStyle w:val="BookText"/>
        <w:rPr/>
      </w:pPr>
      <w:r>
        <w:rPr>
          <w:rFonts w:ascii="Amiri" w:hAnsi="Amiri" w:eastAsia="Amiri" w:cs="Amiri"/>
          <w:color w:val="111111"/>
          <w:sz w:val="28"/>
          <w:sz w:val="28"/>
          <w:szCs w:val="28"/>
          <w:rtl w:val="true"/>
          <w:lang w:bidi="ar-SA"/>
        </w:rPr>
        <w:t>كانت عدّة الوفاة بين العرب قبل الإسلام حولاً و قد أمضاها سبحانه بالآية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يُتَوَفَّوْنَ مِنْكُمْ وَ يَذَرُونَ أَزْواجاً وَصِيَّةً لِأَزْواجِهِمْ مَتاعاً إِلَى الْحَوْلِ غَيْرَ إِخْراجٍ فَإِنْ خَرَجْنَ فَلا جُناحَ عَلَيْكُمْ فِي ما فَعَلْنَ فِي أَنْفُسِهِنَّ مِنْ مَعْرُوفٍ وَ اللّهُ عَزِيزٌ حَكِيمٌ </w:t>
      </w:r>
      <w:r>
        <w:rPr>
          <w:rFonts w:eastAsia="Amiri" w:cs="Amiri" w:ascii="Amiri" w:hAnsi="Amiri"/>
          <w:color w:val="111111"/>
          <w:sz w:val="28"/>
          <w:szCs w:val="28"/>
          <w:rtl w:val="true"/>
          <w:lang w:bidi="ar-SA"/>
        </w:rPr>
        <w:t>).</w:t>
      </w:r>
      <w:r>
        <w:rPr>
          <w:rStyle w:val="FootnoteAnchor"/>
          <w:rtl w:val="true"/>
        </w:rPr>
        <w:footnoteReference w:id="485"/>
      </w:r>
    </w:p>
    <w:p>
      <w:pPr>
        <w:pStyle w:val="BookText"/>
        <w:rPr/>
      </w:pPr>
      <w:r>
        <w:rPr>
          <w:rFonts w:ascii="Amiri" w:hAnsi="Amiri" w:eastAsia="Amiri" w:cs="Amiri"/>
          <w:color w:val="111111"/>
          <w:sz w:val="28"/>
          <w:sz w:val="28"/>
          <w:szCs w:val="28"/>
          <w:rtl w:val="true"/>
          <w:lang w:bidi="ar-SA"/>
        </w:rPr>
        <w:t>فإنّ تعريف الحول للأُمّ إشارة إلى الحول الرائج بين العرب قبل الإسلام و هو حول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دالّة على وجوب الإنفاق عليها في حول و هو عدّتها ما لم تخرج، فإن خرجت تنقضي عدّتها و لا شيء لها</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لكن نسخت الآية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w:t>
      </w:r>
      <w:r>
        <w:rPr>
          <w:rFonts w:eastAsia="Amiri" w:cs="Amiri" w:ascii="Amiri" w:hAnsi="Amiri"/>
          <w:color w:val="111111"/>
          <w:sz w:val="28"/>
          <w:szCs w:val="28"/>
          <w:rtl w:val="true"/>
          <w:lang w:bidi="ar-SA"/>
        </w:rPr>
        <w:t>).</w:t>
      </w:r>
      <w:r>
        <w:rPr>
          <w:rStyle w:val="FootnoteAnchor"/>
          <w:rtl w:val="true"/>
        </w:rPr>
        <w:footnoteReference w:id="487"/>
      </w:r>
    </w:p>
    <w:p>
      <w:pPr>
        <w:pStyle w:val="BookText"/>
        <w:rPr/>
      </w:pPr>
      <w:r>
        <w:rPr>
          <w:rFonts w:ascii="Amiri" w:hAnsi="Amiri" w:eastAsia="Amiri" w:cs="Amiri"/>
          <w:color w:val="111111"/>
          <w:sz w:val="28"/>
          <w:sz w:val="28"/>
          <w:szCs w:val="28"/>
          <w:rtl w:val="true"/>
          <w:lang w:bidi="ar-SA"/>
        </w:rPr>
        <w:t>و ربّما يتصوّر انّ الآية الأُولى تدلّ على حكم تكليفي للزوج في حقّ الزوجة، و هو انّه يجب على الزوج أن يوصي لزوجته بسكنى الدار إلى حول، و انّه لا يحق للورثة إخراجها من بيتها إلاّ باختيارها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هذا، فلا منافاة بينها و بين آية العدة التي تحدّدها بأربعة أشهر و عشراً</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المقصود مجرّد بيان الحكم التكليفي و انّ المرأة لها حقّ السكنى في دار الزوج إلى حول كان اللازم تنكير الحول مع أنّه ذكره معرّفاً </w:t>
      </w:r>
      <w:bookmarkStart w:id="1423" w:name="pg14356_187231"/>
    </w:p>
    <w:p>
      <w:pPr>
        <w:pStyle w:val="BookText"/>
        <w:rPr/>
      </w:pPr>
      <w:bookmarkEnd w:id="1423"/>
      <w:r>
        <w:rPr>
          <w:rFonts w:ascii="Amiri" w:hAnsi="Amiri" w:eastAsia="Amiri" w:cs="Amiri"/>
          <w:color w:val="111111"/>
          <w:sz w:val="28"/>
          <w:sz w:val="28"/>
          <w:szCs w:val="28"/>
          <w:rtl w:val="true"/>
          <w:lang w:bidi="ar-SA"/>
        </w:rPr>
        <w:t>باللام مشيراً إلى حول خاص معروف بين العرب، و ما ذلك الحول إلاّ حول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ما نقله العياشي عن أبي بكر الحضرمي،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يُتَوَفَّوْنَ مِنْكُمْ وَ يَذَرُونَ أَزْواجاً يَتَرَبَّصْنَ بِأَنْفُسِهِنَّ أَرْبَعَةَ أَشْهُرٍ وَ 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 النساء يخاصمن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نصبر، فقال لهن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إحداكنّ إذا مات زوجها، أخذت بعرة فألقتها خلفها في دويرها في حذرها، ثمّ قعدت، فإذا كان مثل ذلك اليوم من الحول، أخذتها ففتتها، ثمّ اكتحلت بها، ثمّ تزوجت، فوضع اللّه عنكنّ ثمانية أشهر</w:t>
      </w:r>
      <w:r>
        <w:rPr>
          <w:rFonts w:eastAsia="Amiri" w:cs="Amiri" w:ascii="Amiri" w:hAnsi="Amiri"/>
          <w:color w:val="111111"/>
          <w:sz w:val="28"/>
          <w:szCs w:val="28"/>
          <w:rtl w:val="true"/>
          <w:lang w:bidi="ar-SA"/>
        </w:rPr>
        <w:t>.</w:t>
      </w:r>
      <w:r>
        <w:rPr>
          <w:rStyle w:val="FootnoteAnchor"/>
          <w:rtl w:val="true"/>
        </w:rPr>
        <w:footnoteReference w:id="488"/>
      </w:r>
    </w:p>
    <w:p>
      <w:pPr>
        <w:pStyle w:val="Heading6"/>
        <w:numPr>
          <w:ilvl w:val="5"/>
          <w:numId w:val="1"/>
        </w:numPr>
        <w:rPr/>
      </w:pPr>
      <w:bookmarkStart w:id="1424" w:name="__RefHeading___Toc7305642_3381743652"/>
      <w:bookmarkStart w:id="1425" w:name="_Toc542"/>
      <w:bookmarkEnd w:id="1424"/>
      <w:r>
        <w:rPr/>
        <w:t>2</w:t>
      </w:r>
      <w:r>
        <w:rPr>
          <w:rtl w:val="true"/>
        </w:rPr>
        <w:t xml:space="preserve">. </w:t>
      </w:r>
      <w:r>
        <w:rPr>
          <w:rtl w:val="true"/>
        </w:rPr>
        <w:t>الصدقة قبل النجوى</w:t>
      </w:r>
      <w:bookmarkEnd w:id="1425"/>
    </w:p>
    <w:p>
      <w:pPr>
        <w:pStyle w:val="BookText"/>
        <w:rPr/>
      </w:pPr>
      <w:r>
        <w:rPr>
          <w:rFonts w:ascii="Amiri" w:hAnsi="Amiri" w:eastAsia="Amiri" w:cs="Amiri"/>
          <w:color w:val="111111"/>
          <w:sz w:val="28"/>
          <w:sz w:val="28"/>
          <w:szCs w:val="28"/>
          <w:rtl w:val="true"/>
          <w:lang w:bidi="ar-SA"/>
        </w:rPr>
        <w:t>أمر اللّه سبحانه المؤمنين بتقديم الصدقة قبل نجوى الرسول،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 أَطْهَرُ فَإِنْ لَمْ تَجِدُوا فَإِنَّ اللّهَ غَفُورٌ رَحِيمٌ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و لما امتنع المسلمون من تقديم الصدقة تفرقت الصحابة من حول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فنسخت الآية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أَشْفَقْتُمْ أَنْ تُقَدِّمُوا بَيْنَ يَدَيْ نَجْواكُمْ صَدَقاتٍ فَإِذْ لَمْ تَفْعَلُوا وَ تابَ اللّهُ عَلَيْكُمْ فَأَقِيمُوا الصَّلاةَ</w:t>
      </w:r>
      <w:r>
        <w:rPr>
          <w:rFonts w:eastAsia="Amiri" w:cs="Amiri" w:ascii="Amiri" w:hAnsi="Amiri"/>
          <w:color w:val="111111"/>
          <w:sz w:val="28"/>
          <w:szCs w:val="28"/>
          <w:rtl w:val="true"/>
          <w:lang w:bidi="ar-SA"/>
        </w:rPr>
        <w:t>...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و كانت الغاية من تشريع إيجاب الصدقة هي تمييز من يؤثر نجوى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دنياه عمّن لا يؤثر</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روي أنّ علياً تصدّق بدرهم و ناجى الرسول</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روى ابن جرير باسناده عن مجاهد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من كتاب اللّه لم يعمل بها أحد قبلي و لا يعمل بها أحد بعدي، كان عندي دينار فصرّفته بعشرة دراهم، فكنت إذا جئت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تصدّقت بدرهم، فنسخت، فلم يعمل بها أحد قبلي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ناجَيْتُمُ </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 عبد الرزاق، و عبد بن حميد، و ابن المنذر، و ابن أبي حاتم، و ابن مردويه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 بها أحد غيري حتّى نسخت، و ما كانت إلاّ ساعة،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النجوى</w:t>
      </w:r>
      <w:r>
        <w:rPr>
          <w:rFonts w:eastAsia="Amiri" w:cs="Amiri" w:ascii="Amiri" w:hAnsi="Amiri"/>
          <w:color w:val="111111"/>
          <w:sz w:val="28"/>
          <w:szCs w:val="28"/>
          <w:rtl w:val="true"/>
          <w:lang w:bidi="ar-SA"/>
        </w:rPr>
        <w:t>.</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دلّت الآية المباركة على أنّ تقديم الصدقة بين يدي مناجاة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و تطهير للنفوس، و الأمر به أمر بما فيه مصلحة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دلّت على أنّ هذا الحكم إنّما يتوجّه على من يجد ما يتصدّق به، أمّا من لا يجد شيئاً فانّ اللّه 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ذلك ممّا يستقلّ العقل بحسنه ويحكم الوجدان بصحّته، فإنّ في الحكم المذكور نفعاً للفقراء، لأنّهم المستحقّون للصدقات، و فيه تخفيف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يوجب قلّة مناجاته من الناس، و انّه لا يقدم على مناجاته بعد هذا الحكم إلاّ من كان حبّه لمناجاة الرسول أكثر من حبّه للمال</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أيضاً في أنّ حسن ذلك لا يختصّ بوقت دون وقت، و دلّت الآية الثانية على أنّ عامّة المسلمين غير علي بن أبي طالب أعرضوا عن مناجاة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اشفاقاً من الصدقة و حرصاً على المال</w:t>
      </w:r>
      <w:r>
        <w:rPr>
          <w:rFonts w:eastAsia="Amiri" w:cs="Amiri" w:ascii="Amiri" w:hAnsi="Amiri"/>
          <w:color w:val="111111"/>
          <w:sz w:val="28"/>
          <w:szCs w:val="28"/>
          <w:rtl w:val="true"/>
          <w:lang w:bidi="ar-SA"/>
        </w:rPr>
        <w:t>.</w:t>
      </w:r>
      <w:r>
        <w:rPr>
          <w:rStyle w:val="FootnoteAnchor"/>
          <w:rtl w:val="true"/>
        </w:rPr>
        <w:footnoteReference w:id="494"/>
      </w:r>
      <w:bookmarkStart w:id="1426" w:name="pg14356_187233"/>
    </w:p>
    <w:p>
      <w:pPr>
        <w:pStyle w:val="Heading6"/>
        <w:numPr>
          <w:ilvl w:val="5"/>
          <w:numId w:val="1"/>
        </w:numPr>
        <w:rPr/>
      </w:pPr>
      <w:bookmarkStart w:id="1427" w:name="__RefHeading___Toc7305644_3381743652"/>
      <w:bookmarkStart w:id="1428" w:name="_Toc543"/>
      <w:bookmarkEnd w:id="1426"/>
      <w:bookmarkEnd w:id="1427"/>
      <w:r>
        <w:rPr/>
        <w:t>3</w:t>
      </w:r>
      <w:r>
        <w:rPr>
          <w:rtl w:val="true"/>
        </w:rPr>
        <w:t xml:space="preserve">. </w:t>
      </w:r>
      <w:r>
        <w:rPr>
          <w:rtl w:val="true"/>
        </w:rPr>
        <w:t>الإمساك في البيوت بدل الحد</w:t>
      </w:r>
      <w:bookmarkEnd w:id="1428"/>
    </w:p>
    <w:p>
      <w:pPr>
        <w:pStyle w:val="BookText"/>
        <w:rPr/>
      </w:pPr>
      <w:r>
        <w:rPr>
          <w:rFonts w:ascii="Amiri" w:hAnsi="Amiri" w:eastAsia="Amiri" w:cs="Amiri"/>
          <w:color w:val="111111"/>
          <w:sz w:val="28"/>
          <w:sz w:val="28"/>
          <w:szCs w:val="28"/>
          <w:rtl w:val="true"/>
          <w:lang w:bidi="ar-SA"/>
        </w:rPr>
        <w:t>كان حد الزانية هو حبسها في البيت،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اللاّتِي يَأْتِينَ الْفاحِشَةَ مِنْ نِسائِكُمْ فَاسْتَشْهِدُوا عَلَيْهِنَّ أَرْبَعَةً مِنْكُمْ فَإِنْ شَهِدُوا فَأَمْسِكُوهُنَّ فِي الْبُيُوتِ حَتّى يَتَوَفّاهُنَّ الْمَوْتُ أَوْ يَجْعَلَ اللّهُ لَهُنَّ سَبِيلاً </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فنسخت بجلد الزانية مائة جلدة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اَلزّانِيَةُ وَ الزّانِي فَاجْلِدُوا كُلَّ واحِدٍ مِنْهُما مِائَةَ جَلْدَةٍ </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rtl w:val="true"/>
          <w:lang w:bidi="ar-SA"/>
        </w:rPr>
        <w:t>ثمّ إنّ السيد المحقّق الخوئي أنكر وجود النسخ في الآية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لفظ الفاحشة ما تزايد قبحه و تفاحش، و ذلك قد يكون بين امرأتين فيكون مساحقة، و قد يكون بين ذكرين فيكون لواطاً، و قد يكون بين ذكر و أُنثى فيكون زنا، و لا ظهور للفظ الفاحشة في خصوص الزنا لا وضعاً و لا انصرافاً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الالتزام بالنسخ في الآية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الإمساك في البيوت حدّ لارتكاب الفاحشة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من جعل السبيل هو ثبوت الرجم و الجلد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هذين الأمرين لا يمكن إثباتهما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الظاهر من الآية المباركة انّ إمساك المرأة في البيت إنّما هو لتعجيزها عن ارتكاب الفاحشة مرة ثانية</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الظاهر من جعل السبيل للمرأة التي ارتكبت الفاحشة هو جعل طريق لها تتخلص به من العذاب، فهل يكون الجلد أو الرجم سبيلاً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خرج بالنتيجة التالية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الفاحشة خصوص المساحقة أو الأعمّ منها و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الفاحشة أُطلقت في القرآن و أُريد بها الزنا، نعم ربّما أُطلقت و أُريد بها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تَقْرَبُوا الزِّنى إِنَّهُ كانَ فاحِشَةً وَ ساءَ سَبِيلاً </w:t>
      </w:r>
      <w:r>
        <w:rPr>
          <w:rFonts w:eastAsia="Amiri" w:cs="Amiri" w:ascii="Amiri" w:hAnsi="Amiri"/>
          <w:color w:val="111111"/>
          <w:sz w:val="28"/>
          <w:szCs w:val="28"/>
          <w:rtl w:val="true"/>
          <w:lang w:bidi="ar-SA"/>
        </w:rPr>
        <w:t>).</w:t>
      </w:r>
      <w:r>
        <w:rPr>
          <w:rStyle w:val="FootnoteAnchor"/>
          <w:rtl w:val="true"/>
        </w:rPr>
        <w:footnoteReference w:id="497"/>
      </w:r>
    </w:p>
    <w:p>
      <w:pPr>
        <w:pStyle w:val="BookText"/>
        <w:rPr/>
      </w:pPr>
      <w:r>
        <w:rPr>
          <w:rFonts w:ascii="Amiri" w:hAnsi="Amiri" w:eastAsia="Amiri" w:cs="Amiri"/>
          <w:color w:val="111111"/>
          <w:sz w:val="28"/>
          <w:sz w:val="28"/>
          <w:szCs w:val="28"/>
          <w:rtl w:val="true"/>
          <w:lang w:bidi="ar-SA"/>
        </w:rPr>
        <w:t>و قال في سورة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كَذلِكَ لِنَصْرِفَ عَنْهُ السُّوءَ وَ الْفَحْشاءَ إِنَّهُ مِنْ عِبادِنَا الْمُخْلَصِينَ </w:t>
      </w:r>
      <w:r>
        <w:rPr>
          <w:rFonts w:eastAsia="Amiri" w:cs="Amiri" w:ascii="Amiri" w:hAnsi="Amiri"/>
          <w:color w:val="111111"/>
          <w:sz w:val="28"/>
          <w:szCs w:val="28"/>
          <w:rtl w:val="true"/>
          <w:lang w:bidi="ar-SA"/>
        </w:rPr>
        <w:t>).</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و أمّا الثاني أي كيف يكون الجلد و الرجم سبيلاً لصالحهنّ، فيلاحظ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الإمساك في البيوت هو الحبس الدائم، و المراد من السبيل خصوص الجلد و هو أهون من الحبس الدائم، و ليس الرجم داخلاً في السبيل بشهادة انّ الآية منسوخة بآية الجلد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العياشي في تفسيره عن جابر،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اللاّتِي يَأْتِينَ الْفاحِشَةَ مِنْ نِسائِكُمْ إلى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و السبيل هو الحدود</w:t>
      </w:r>
      <w:r>
        <w:rPr>
          <w:rFonts w:eastAsia="Amiri" w:cs="Amiri" w:ascii="Amiri" w:hAnsi="Amiri"/>
          <w:color w:val="111111"/>
          <w:sz w:val="28"/>
          <w:szCs w:val="28"/>
          <w:rtl w:val="true"/>
          <w:lang w:bidi="ar-SA"/>
        </w:rPr>
        <w:t>.</w:t>
      </w:r>
      <w:r>
        <w:rPr>
          <w:rStyle w:val="FootnoteAnchor"/>
          <w:rtl w:val="true"/>
        </w:rPr>
        <w:footnoteReference w:id="499"/>
      </w:r>
    </w:p>
    <w:p>
      <w:pPr>
        <w:pStyle w:val="BookText"/>
        <w:rPr/>
      </w:pPr>
      <w:r>
        <w:rPr>
          <w:rFonts w:ascii="Amiri" w:hAnsi="Amiri" w:eastAsia="Amiri" w:cs="Amiri"/>
          <w:color w:val="111111"/>
          <w:sz w:val="28"/>
          <w:sz w:val="28"/>
          <w:szCs w:val="28"/>
          <w:rtl w:val="true"/>
          <w:lang w:bidi="ar-SA"/>
        </w:rPr>
        <w:t>و عن أبي بصير،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اللاّتِي يَأْتِينَ الْفاحِشَةَ مِنْ نِسائِكُمْ إلى سَبِيلاً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منسوخة </w:t>
      </w:r>
      <w:r>
        <w:rPr>
          <w:rFonts w:eastAsia="Amiri" w:cs="Amiri" w:ascii="Amiri" w:hAnsi="Amiri"/>
          <w:color w:val="111111"/>
          <w:sz w:val="28"/>
          <w:szCs w:val="28"/>
          <w:rtl w:val="true"/>
          <w:lang w:bidi="ar-SA"/>
        </w:rPr>
        <w:t>«.</w:t>
      </w:r>
      <w:r>
        <w:rPr>
          <w:rStyle w:val="FootnoteAnchor"/>
          <w:rtl w:val="true"/>
        </w:rPr>
        <w:footnoteReference w:id="500"/>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الموارد التي دلّ الدليل القطعي على تطرق النسخ إلى الآيات </w:t>
      </w:r>
    </w:p>
    <w:p>
      <w:pPr>
        <w:pStyle w:val="BookText"/>
        <w:rPr/>
      </w:pPr>
      <w:r>
        <w:rPr>
          <w:rFonts w:ascii="Amiri" w:hAnsi="Amiri" w:eastAsia="Amiri" w:cs="Amiri"/>
          <w:color w:val="111111"/>
          <w:sz w:val="28"/>
          <w:sz w:val="28"/>
          <w:szCs w:val="28"/>
          <w:rtl w:val="true"/>
          <w:lang w:bidi="ar-SA"/>
        </w:rPr>
        <w:t>القرآنية، و لعلّ هناك موارد أُخرى لم نشر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البحث في المقام هو نسخ الحكم الشرعي الوارد في القرآن بالقرآن، و هناك قسم آخر، و هو ما يكون الناسخ آية قرآنية و المنسوخ سنّة نبوية، و هذا كنسخ وجوب الصلاة إلى بيت المقدس بالتوجّه إلى 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المسلمون بالصلاة إلى بيت المقدس، و صلّى النبي و المسلمون إليها حوالي سبعة عشر شهراً، ثمّ نسخ الحكم الشرعي بآية قرآنية،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نَرى تَقَلُّبَ وَجْهِكَ فِي السَّماءِ فَلَنُوَلِّيَنَّكَ قِبْلَةً تَرْضاها فَوَلِّ وَجْهَكَ شَطْرَ الْمَسْجِدِ الْحَرامِ وَ حَيْثُ ما كُنْتُمْ فَوَلُّوا وُجُوهَكُمْ شَطْرَهُ </w:t>
      </w:r>
      <w:r>
        <w:rPr>
          <w:rFonts w:eastAsia="Amiri" w:cs="Amiri" w:ascii="Amiri" w:hAnsi="Amiri"/>
          <w:color w:val="111111"/>
          <w:sz w:val="28"/>
          <w:szCs w:val="28"/>
          <w:rtl w:val="true"/>
          <w:lang w:bidi="ar-SA"/>
        </w:rPr>
        <w:t>).</w:t>
      </w:r>
      <w:r>
        <w:rPr>
          <w:rStyle w:val="FootnoteAnchor"/>
          <w:rtl w:val="true"/>
        </w:rPr>
        <w:footnoteReference w:id="501"/>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بعض الكلام في النسخ، و لنعطف عنان القلم إلى بحث آخر و هو البداء</w:t>
      </w:r>
      <w:r>
        <w:rPr>
          <w:rFonts w:eastAsia="Amiri" w:cs="Amiri" w:ascii="Amiri" w:hAnsi="Amiri"/>
          <w:color w:val="111111"/>
          <w:sz w:val="28"/>
          <w:szCs w:val="28"/>
          <w:rtl w:val="true"/>
          <w:lang w:bidi="ar-SA"/>
        </w:rPr>
        <w:t xml:space="preserve">. </w:t>
      </w:r>
      <w:bookmarkStart w:id="1429" w:name="pg14356_187236"/>
    </w:p>
    <w:p>
      <w:pPr>
        <w:pStyle w:val="Heading4"/>
        <w:numPr>
          <w:ilvl w:val="3"/>
          <w:numId w:val="1"/>
        </w:numPr>
        <w:rPr/>
      </w:pPr>
      <w:bookmarkStart w:id="1430" w:name="__RefHeading___Toc7305646_3381743652"/>
      <w:bookmarkStart w:id="1431" w:name="_Toc544"/>
      <w:bookmarkEnd w:id="1429"/>
      <w:bookmarkEnd w:id="1430"/>
      <w:r>
        <w:rPr>
          <w:rtl w:val="true"/>
        </w:rPr>
        <w:t>الأمر الثالث البداء</w:t>
      </w:r>
      <w:bookmarkEnd w:id="1431"/>
    </w:p>
    <w:p>
      <w:pPr>
        <w:pStyle w:val="Heading5"/>
        <w:numPr>
          <w:ilvl w:val="4"/>
          <w:numId w:val="1"/>
        </w:numPr>
        <w:rPr/>
      </w:pPr>
      <w:bookmarkStart w:id="1432" w:name="__RefHeading___Toc7305648_3381743652"/>
      <w:bookmarkStart w:id="1433" w:name="_Toc545"/>
      <w:bookmarkEnd w:id="1432"/>
      <w:r>
        <w:rPr>
          <w:rtl w:val="true"/>
        </w:rPr>
        <w:t>اشارة</w:t>
      </w:r>
      <w:bookmarkEnd w:id="1433"/>
    </w:p>
    <w:p>
      <w:pPr>
        <w:pStyle w:val="BookText"/>
        <w:rPr/>
      </w:pPr>
      <w:r>
        <w:rPr>
          <w:rFonts w:ascii="Amiri" w:hAnsi="Amiri" w:eastAsia="Amiri" w:cs="Amiri"/>
          <w:color w:val="111111"/>
          <w:sz w:val="28"/>
          <w:sz w:val="28"/>
          <w:szCs w:val="28"/>
          <w:rtl w:val="true"/>
          <w:lang w:bidi="ar-SA"/>
        </w:rPr>
        <w:t>البداء مسألة كلامية لا صلة له بعلم الأُصول، و الفرق بين النسخ و البداء أنّ الأوّل نسخ في التشريع و الثاني نسخ في التكوين، و لأجل ذلك ناسب أن نردف البحث في النسخ، بالبحث في البداء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البداء من المسائل الشائكة لمن لم يتدبّر فيها، و من المطالب الواضحة لمن تدبّر، و سيظهر أنّ النزاع فيها لفظي لا معنوي كما سيوافيك، و تحقيق البحث ضمن أُمور</w:t>
      </w:r>
      <w:r>
        <w:rPr>
          <w:rFonts w:eastAsia="Amiri" w:cs="Amiri" w:ascii="Amiri" w:hAnsi="Amiri"/>
          <w:color w:val="111111"/>
          <w:sz w:val="28"/>
          <w:szCs w:val="28"/>
          <w:rtl w:val="true"/>
          <w:lang w:bidi="ar-SA"/>
        </w:rPr>
        <w:t>:</w:t>
      </w:r>
    </w:p>
    <w:p>
      <w:pPr>
        <w:pStyle w:val="Heading5"/>
        <w:numPr>
          <w:ilvl w:val="4"/>
          <w:numId w:val="1"/>
        </w:numPr>
        <w:rPr/>
      </w:pPr>
      <w:bookmarkStart w:id="1434" w:name="__RefHeading___Toc7305650_3381743652"/>
      <w:bookmarkStart w:id="1435" w:name="_Toc546"/>
      <w:bookmarkEnd w:id="1434"/>
      <w:r>
        <w:rPr/>
        <w:t>1</w:t>
      </w:r>
      <w:r>
        <w:rPr>
          <w:rtl w:val="true"/>
        </w:rPr>
        <w:t xml:space="preserve">. </w:t>
      </w:r>
      <w:r>
        <w:rPr>
          <w:rtl w:val="true"/>
        </w:rPr>
        <w:t>البداء في اللغة</w:t>
      </w:r>
      <w:bookmarkEnd w:id="1435"/>
    </w:p>
    <w:p>
      <w:pPr>
        <w:pStyle w:val="BookText"/>
        <w:rPr/>
      </w:pPr>
      <w:r>
        <w:rPr>
          <w:rFonts w:ascii="Amiri" w:hAnsi="Amiri" w:eastAsia="Amiri" w:cs="Amiri"/>
          <w:color w:val="111111"/>
          <w:sz w:val="28"/>
          <w:sz w:val="28"/>
          <w:szCs w:val="28"/>
          <w:rtl w:val="true"/>
          <w:lang w:bidi="ar-SA"/>
        </w:rPr>
        <w:t>البداء في اللغة هو ظهور ما خفي، و قد اتّفق عليه أصحاب معاجم اللغة، و يدلّ عليه قوله سبحانه في حقّ المشركين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بَدا لَهُمْ سَيِّئاتُ ما عَمِلُوا وَ حاقَ بِهِمْ ما كانُوا بِهِ يَسْتَهْزِؤُنَ </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أي ظهر لهم آثار ما عملوا من السيِّئات بعد ما خفيت عليهم، و أحاط بهم ما كانوا به يستهزءون</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بَدا لَهُمْ مِنْ بَعْدِ ما رَأَوُا الْآياتِ لَيَسْجُنُنَّهُ حَتّى </w:t>
      </w:r>
      <w:bookmarkStart w:id="1436" w:name="pg14356_187237"/>
    </w:p>
    <w:p>
      <w:pPr>
        <w:pStyle w:val="BookText"/>
        <w:rPr/>
      </w:pPr>
      <w:bookmarkEnd w:id="1436"/>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Style w:val="FootnoteAnchor"/>
          <w:rtl w:val="true"/>
        </w:rPr>
        <w:footnoteReference w:id="503"/>
      </w:r>
      <w:r>
        <w:rPr>
          <w:rFonts w:ascii="Amiri" w:hAnsi="Amiri" w:eastAsia="Amiri" w:cs="Amiri"/>
          <w:color w:val="111111"/>
          <w:sz w:val="28"/>
          <w:sz w:val="28"/>
          <w:szCs w:val="28"/>
          <w:rtl w:val="true"/>
          <w:lang w:bidi="ar-SA"/>
        </w:rPr>
        <w:t>أي ظهر لهم بعد ما رأوا الآيات الدالّة على براءة يوسف أن يسجنوه إلى حين ينقطع فيه كلام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فالبداء بهذا المعنى من خصائص من كان جاهلاً بعواقب الأُمور ثمّ يبدو له ما خفي عليه، و لأجل ذلك لم يُنسَب البداءُ في القرآن إلى اللّه سبحانه، بل إلى غيره، لأنّه استعمل في الكتاب العزيز بالمعنى الحقيقي، و يستحيل أن يوصف به العالم بعواقب الأُمور</w:t>
      </w:r>
      <w:r>
        <w:rPr>
          <w:rFonts w:eastAsia="Amiri" w:cs="Amiri" w:ascii="Amiri" w:hAnsi="Amiri"/>
          <w:color w:val="111111"/>
          <w:sz w:val="28"/>
          <w:szCs w:val="28"/>
          <w:rtl w:val="true"/>
          <w:lang w:bidi="ar-SA"/>
        </w:rPr>
        <w:t>.</w:t>
      </w:r>
    </w:p>
    <w:p>
      <w:pPr>
        <w:pStyle w:val="Heading5"/>
        <w:numPr>
          <w:ilvl w:val="4"/>
          <w:numId w:val="1"/>
        </w:numPr>
        <w:rPr/>
      </w:pPr>
      <w:bookmarkStart w:id="1437" w:name="__RefHeading___Toc7305652_3381743652"/>
      <w:bookmarkStart w:id="1438" w:name="_Toc547"/>
      <w:bookmarkEnd w:id="1437"/>
      <w:r>
        <w:rPr/>
        <w:t>2</w:t>
      </w:r>
      <w:r>
        <w:rPr>
          <w:rtl w:val="true"/>
        </w:rPr>
        <w:t xml:space="preserve">. </w:t>
      </w:r>
      <w:r>
        <w:rPr>
          <w:rtl w:val="true"/>
        </w:rPr>
        <w:t>إحاطة علمه سبحانه بعامّة الأشياء</w:t>
      </w:r>
      <w:bookmarkEnd w:id="1438"/>
    </w:p>
    <w:p>
      <w:pPr>
        <w:pStyle w:val="BookText"/>
        <w:rPr/>
      </w:pPr>
      <w:r>
        <w:rPr>
          <w:rFonts w:ascii="Amiri" w:hAnsi="Amiri" w:eastAsia="Amiri" w:cs="Amiri"/>
          <w:color w:val="111111"/>
          <w:sz w:val="28"/>
          <w:sz w:val="28"/>
          <w:szCs w:val="28"/>
          <w:rtl w:val="true"/>
          <w:lang w:bidi="ar-SA"/>
        </w:rPr>
        <w:t>اتّفق الإلهيون إلاّ الشاذّ منهم على أنّه سبحانه عالم بما وقع و ما يقع قبل وقوعه، و هو بقيوميته و إحاطته بالأشياء لا يتصوّر في حقّه الجهل أو الظهور بعد الخفاء، و أظهر آية تدلّ على ذلك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Fonts w:eastAsia="Amiri" w:cs="Amiri" w:ascii="Amiri" w:hAnsi="Amiri"/>
          <w:color w:val="111111"/>
          <w:sz w:val="28"/>
          <w:szCs w:val="28"/>
          <w:rtl w:val="true"/>
          <w:lang w:bidi="ar-SA"/>
        </w:rPr>
        <w:t>).</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ثمّ إنّ البحث في البداء يقع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 الثبوت، و مقام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الكلام في المقام الأوّل</w:t>
      </w:r>
      <w:r>
        <w:rPr>
          <w:rFonts w:eastAsia="Amiri" w:cs="Amiri" w:ascii="Amiri" w:hAnsi="Amiri"/>
          <w:color w:val="111111"/>
          <w:sz w:val="28"/>
          <w:szCs w:val="28"/>
          <w:rtl w:val="true"/>
          <w:lang w:bidi="ar-SA"/>
        </w:rPr>
        <w:t>:</w:t>
      </w:r>
    </w:p>
    <w:p>
      <w:pPr>
        <w:pStyle w:val="Heading5"/>
        <w:numPr>
          <w:ilvl w:val="4"/>
          <w:numId w:val="1"/>
        </w:numPr>
        <w:rPr/>
      </w:pPr>
      <w:bookmarkStart w:id="1439" w:name="__RefHeading___Toc7305654_3381743652"/>
      <w:bookmarkStart w:id="1440" w:name="_Toc548"/>
      <w:bookmarkEnd w:id="1439"/>
      <w:r>
        <w:rPr/>
        <w:t>3</w:t>
      </w:r>
      <w:r>
        <w:rPr>
          <w:rtl w:val="true"/>
        </w:rPr>
        <w:t xml:space="preserve">. </w:t>
      </w:r>
      <w:r>
        <w:rPr>
          <w:rtl w:val="true"/>
        </w:rPr>
        <w:t>البداء في مقام الثبوت</w:t>
      </w:r>
      <w:bookmarkEnd w:id="1440"/>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اتّفق الإلهيون على أنّ للإنسان أن يغيّر ما قُدِّر له، و لم يخالف في ذلك إلاّ اليهود حيث ذهبوا إلى استحالة تعلّق مشيئة اللّه بغير ما جرى به قلم القضاء و القدر، و قد تبلورت تلك العقيدة في كلامهم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مَغْلُولة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سبحانه حاكياً </w:t>
      </w:r>
    </w:p>
    <w:p>
      <w:pPr>
        <w:pStyle w:val="BookText"/>
        <w:rPr/>
      </w:pP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قالَتِ الْيَهُودُ يَدُ اللّهِ مَغْلُولَةٌ غُلَّتْ أَيْدِيهِمْ وَ لُعِنُوا بِما قالُوا بَلْ يَداهُ مَبْسُوطَتانِ يُنْفِقُ كَيْفَ يَشاءُ وَ لَيَزِيدَنَّ كَثِيراً مِنْهُمْ ما أُنْزِلَ إِلَيْكَ مِنْ رَبِّكَ طُغْياناً وَ كُفْراً </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 إنّ كثيراً من المفسّرين و إن خصصوا مضمون الآية بالعطاء و السعة في الرزق، و لكنّ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فسّروا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مَغْلُولة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بالفراغ عن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هشام بن سالم،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الآية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يقولون قد فرغ من الأمر </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فالمعروف عن اليهود 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سبحانه قد فرغ من الأمر لا يبدل و لا يغير ما قُدِّر فلا يزاد في العمر و لا 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فاستنتجوا من هذا الأصل امتناع نسخ الأحكام أوّلاً، و نسخ التكوين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نسخ الأحكام فقد مرّ جوازه و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نسخ التكوين فاللّه سبحانه يرد على هذه العقيدة من أنّ التقدير الأوّل لا يغيّر و لا يبدّل في ضمن آيات، و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فاطِرِ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فِي الْخَلْقِ ما يَشاءُ إِنَّ اللّهَ عَلى كُلِّ شَيْ‌ءٍ قَدِيرٌ </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تَحْمِلُ مِنْ أُنْثى وَ لا تَضَعُ إِلاّ بِعِلْمِهِ وَ ما يُعَمَّرُ مِنْ مُعَمَّرٍ وَ لا يُنْقَصُ مِنْ عُمُرِهِ إِلاّ فِي كِتابٍ إِنَّ ذلِكَ عَلَى اللّهِ يَسِيرٌ </w:t>
      </w:r>
      <w:r>
        <w:rPr>
          <w:rFonts w:eastAsia="Amiri" w:cs="Amiri" w:ascii="Amiri" w:hAnsi="Amiri"/>
          <w:color w:val="111111"/>
          <w:sz w:val="28"/>
          <w:szCs w:val="28"/>
          <w:rtl w:val="true"/>
          <w:lang w:bidi="ar-SA"/>
        </w:rPr>
        <w:t>).</w:t>
      </w:r>
      <w:r>
        <w:rPr>
          <w:rStyle w:val="FootnoteAnchor"/>
          <w:rtl w:val="true"/>
        </w:rPr>
        <w:footnoteReference w:id="508"/>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فاللّه سبحانه كما هو المقدّر للمصير الأوّل، هو المقدّر للمصير الثاني أيضاً </w:t>
      </w:r>
    </w:p>
    <w:p>
      <w:pPr>
        <w:pStyle w:val="BookText"/>
        <w:rPr/>
      </w:pPr>
      <w:r>
        <w:rPr>
          <w:rFonts w:ascii="Amiri" w:hAnsi="Amiri" w:eastAsia="Amiri" w:cs="Amiri"/>
          <w:color w:val="111111"/>
          <w:sz w:val="28"/>
          <w:sz w:val="28"/>
          <w:szCs w:val="28"/>
          <w:rtl w:val="true"/>
          <w:lang w:bidi="ar-SA"/>
        </w:rPr>
        <w:t>فهو في كلّ يوم في شأن، و انّه جلّ و علا يبدأ و يعيد، يزيد في الرزق و العمر و ينقص، كلّ ذلك حسب مشيئته الحكمية و المصالح الكامنة، فكما هو عالم بالتقدير الأوّل عالم في نفس الوقت بأنّه سوف يزول و يخلفه تقدير آخر لكن لا بمعنى وجود الفوضى في التقدير، بل بتبعية كلّ تقدير لملاكه و 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الآيات الدالّة على أنّ التقدير يغيّر بصالح الأعمال و صالحها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يؤكد على الضابطة، و أُخرى يعيّن الموضوع الذي به يتغيّر ما هو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 اللّهَ لَمْ يَكُ مُغَيِّراً نِعْمَةً أَنْعَمَها عَلى قَوْمٍ حَتّى يُغَيِّرُوا ما بِأَنْفُسِهِمْ </w:t>
      </w:r>
      <w:r>
        <w:rPr>
          <w:rFonts w:eastAsia="Amiri" w:cs="Amiri" w:ascii="Amiri" w:hAnsi="Amiri"/>
          <w:color w:val="111111"/>
          <w:sz w:val="28"/>
          <w:szCs w:val="28"/>
          <w:rtl w:val="true"/>
          <w:lang w:bidi="ar-SA"/>
        </w:rPr>
        <w:t>).</w:t>
      </w:r>
      <w:r>
        <w:rPr>
          <w:rStyle w:val="FootnoteAnchor"/>
          <w:rtl w:val="true"/>
        </w:rPr>
        <w:footnoteReference w:id="509"/>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أَنَّ أَهْلَ الْقُرى آمَنُوا وَ اتَّقَوْا لَفَتَحْنا عَلَيْهِمْ بَرَكاتٍ مِنَ السَّماءِ وَ الْأَرْضِ وَ لكِنْ كَذَّبُوا فَأَخَذْناهُمْ بِما كانُوا يَكْسِبُونَ </w:t>
      </w:r>
      <w:r>
        <w:rPr>
          <w:rFonts w:eastAsia="Amiri" w:cs="Amiri" w:ascii="Amiri" w:hAnsi="Amiri"/>
          <w:color w:val="111111"/>
          <w:sz w:val="28"/>
          <w:szCs w:val="28"/>
          <w:rtl w:val="true"/>
          <w:lang w:bidi="ar-SA"/>
        </w:rPr>
        <w:t>).</w:t>
      </w:r>
      <w:r>
        <w:rPr>
          <w:rStyle w:val="FootnoteAnchor"/>
          <w:rtl w:val="true"/>
        </w:rPr>
        <w:footnoteReference w:id="511"/>
      </w:r>
    </w:p>
    <w:p>
      <w:pPr>
        <w:pStyle w:val="BookText"/>
        <w:rPr/>
      </w:pPr>
      <w:r>
        <w:rPr>
          <w:rFonts w:ascii="Amiri" w:hAnsi="Amiri" w:eastAsia="Amiri" w:cs="Amiri"/>
          <w:color w:val="111111"/>
          <w:sz w:val="28"/>
          <w:sz w:val="28"/>
          <w:szCs w:val="28"/>
          <w:rtl w:val="true"/>
          <w:lang w:bidi="ar-SA"/>
        </w:rPr>
        <w:t>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يَشاءُ وَ يُثْبِتُ وَ عِنْدَهُ أُمُّ الْكِتابِ </w:t>
      </w:r>
      <w:r>
        <w:rPr>
          <w:rFonts w:eastAsia="Amiri" w:cs="Amiri" w:ascii="Amiri" w:hAnsi="Amiri"/>
          <w:color w:val="111111"/>
          <w:sz w:val="28"/>
          <w:szCs w:val="28"/>
          <w:rtl w:val="true"/>
          <w:lang w:bidi="ar-SA"/>
        </w:rPr>
        <w:t>).</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إلى غير ذلك من الآيات المؤكدة على انّ العمل يغيّر ما قُدِّر، سواء أ كان صالحاً أم طالحاً</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القسم الثاني ما يؤكّد على أنّ عملاً خاصاً مثلاً يغيّر المصير، و هذا كالاستغفار و التسبيح و الكفران بنعمة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الاستغفار، فكقوله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وَ يَجْعَلْ لَكُمْ جَنّاتٍ وَ يَجْعَلْ لَكُمْ أَنْهاراً </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و أمّا التسبيح، فكقوله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فَنَبَذْناهُ بِالْعَراءِ وَ هُوَ سَقِيمٌ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أَنْبَتْنا عَلَيْهِ شَجَرَةً مِنْ يَقْطِينٍ </w:t>
      </w:r>
      <w:r>
        <w:rPr>
          <w:rFonts w:eastAsia="Amiri" w:cs="Amiri" w:ascii="Amiri" w:hAnsi="Amiri"/>
          <w:color w:val="111111"/>
          <w:sz w:val="28"/>
          <w:szCs w:val="28"/>
          <w:rtl w:val="true"/>
          <w:lang w:bidi="ar-SA"/>
        </w:rPr>
        <w:t>).</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و أمّا الكفران،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ضَرَبَ اللّهُ مَثَلاً قَرْيَةً كانَتْ آمِنَةً مُطْمَئِنَّةً يَأْتِيها رِزْقُها رَغَداً مِنْ كُلِّ مَكانٍ فَكَفَرَتْ بِأَنْعُمِ اللّهِ فَأَذاقَهَا اللّهُ لِباسَ الْجُوعِ وَ الْخَوْفِ بِما كانُوا يَصْنَعُونَ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هذا كلّه في القرآن الكريم، و أمّا الروايات فقد روى الفريقان أثر الدعاء و الصدقة في تغيير المصير، و رفع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الحاكم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 الحذر من القدر و لكن اللّه يمحو بالدعاء ما يشاء من القدر</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روى الكليني عن حماد بن عثمان،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الدعاء يرد القضاء، ينقضه كما ينقض السلك و قد أبرم إبراماً </w:t>
      </w:r>
      <w:r>
        <w:rPr>
          <w:rFonts w:eastAsia="Amiri" w:cs="Amiri" w:ascii="Amiri" w:hAnsi="Amiri"/>
          <w:color w:val="111111"/>
          <w:sz w:val="28"/>
          <w:szCs w:val="28"/>
          <w:rtl w:val="true"/>
          <w:lang w:bidi="ar-SA"/>
        </w:rPr>
        <w:t>«.</w:t>
      </w:r>
      <w:r>
        <w:rPr>
          <w:rStyle w:val="FootnoteAnchor"/>
          <w:rtl w:val="true"/>
        </w:rPr>
        <w:footnoteReference w:id="517"/>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الصدقة فقد روى السيوطي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يَمْحُوا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لأقرّنّ عينيك بتفسيرها، و لأقرّنّ عين </w:t>
      </w:r>
      <w:bookmarkStart w:id="1441" w:name="pg14356_187241"/>
    </w:p>
    <w:p>
      <w:pPr>
        <w:pStyle w:val="BookText"/>
        <w:rPr/>
      </w:pPr>
      <w:bookmarkEnd w:id="1441"/>
      <w:r>
        <w:rPr>
          <w:rFonts w:ascii="Amiri" w:hAnsi="Amiri" w:eastAsia="Amiri" w:cs="Amiri"/>
          <w:color w:val="111111"/>
          <w:sz w:val="28"/>
          <w:sz w:val="28"/>
          <w:szCs w:val="28"/>
          <w:rtl w:val="true"/>
          <w:lang w:bidi="ar-SA"/>
        </w:rPr>
        <w:t>أُمّتي بعدي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على وجهها و برّ الوالدين و اصطناع المعروف، يحوّل الشقاء سعادة، و يزيد في العمر، و يقي مصارع السوء </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و قد كان الصحابة يدعون اللّه سبحانه بتغيير مصيرهم، هذا هو الطبري ينقل في تفسير الآية بأنّ عمر بن الخطاب يقول و هو يطوف بالكعبة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كتبتني في أهل السعادة فأثبتني فيها، و إن كنت كتبتني على الذنب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فامحني و أثبتني في أهل السعادة، فإنّك تمحو ما تشاء و تثبت و عندك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نظير هذا الكلام عن ابن مسعود و ابن عباس و شقيق و أبي وائل</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هاتان الآيتان تدلاّن بوضوح على أنّ الأمر لم يُفرغ عنه، و انّ اللّه سبحانه يمحو ما يشاء ممّا قدّر، كلّ ذلك معلوم له سبحانه من أوّل الأمر</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7305656_3381743652"/>
      <w:bookmarkStart w:id="1443" w:name="_Toc549"/>
      <w:bookmarkEnd w:id="1442"/>
      <w:r>
        <w:rPr/>
        <w:t>4</w:t>
      </w:r>
      <w:r>
        <w:rPr>
          <w:rtl w:val="true"/>
        </w:rPr>
        <w:t xml:space="preserve">. </w:t>
      </w:r>
      <w:r>
        <w:rPr>
          <w:rtl w:val="true"/>
        </w:rPr>
        <w:t>البداء في الإثبات</w:t>
      </w:r>
      <w:bookmarkEnd w:id="1443"/>
    </w:p>
    <w:p>
      <w:pPr>
        <w:pStyle w:val="Heading6"/>
        <w:numPr>
          <w:ilvl w:val="5"/>
          <w:numId w:val="1"/>
        </w:numPr>
        <w:rPr/>
      </w:pPr>
      <w:bookmarkStart w:id="1444" w:name="__RefHeading___Toc7305658_3381743652"/>
      <w:bookmarkStart w:id="1445" w:name="_Toc550"/>
      <w:bookmarkEnd w:id="1444"/>
      <w:r>
        <w:rPr>
          <w:rtl w:val="true"/>
        </w:rPr>
        <w:t>اشارة</w:t>
      </w:r>
      <w:bookmarkEnd w:id="1445"/>
    </w:p>
    <w:p>
      <w:pPr>
        <w:pStyle w:val="BookText"/>
        <w:rPr/>
      </w:pPr>
      <w:r>
        <w:rPr>
          <w:rFonts w:ascii="Amiri" w:hAnsi="Amiri" w:eastAsia="Amiri" w:cs="Amiri"/>
          <w:color w:val="111111"/>
          <w:sz w:val="28"/>
          <w:sz w:val="28"/>
          <w:szCs w:val="28"/>
          <w:rtl w:val="true"/>
          <w:lang w:bidi="ar-SA"/>
        </w:rPr>
        <w:t>البداء في الإثبات عبارة عن إخبار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بوقوع شيء لأجل الاطّلاع على المقتضى له، و لكنّه لا يقع لأجل وجود المانع من تأثير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على وقوع الشيء و لكن لا يطّلع على كونه معلّقاً على أمر غير واقع أو عدم أمر هو واقع، فلذلك يخبر عن الشيء و لا يتحقّق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في هذه الواقعة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فيقع الكلام في أُمور</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أن يخبر النبيّ أو الإمام عن وقوع الشيء أو عدم وقوعه </w:t>
      </w:r>
    </w:p>
    <w:p>
      <w:pPr>
        <w:pStyle w:val="BookText"/>
        <w:rPr/>
      </w:pPr>
      <w:r>
        <w:rPr>
          <w:rFonts w:ascii="Amiri" w:hAnsi="Amiri" w:eastAsia="Amiri" w:cs="Amiri"/>
          <w:color w:val="111111"/>
          <w:sz w:val="28"/>
          <w:sz w:val="28"/>
          <w:szCs w:val="28"/>
          <w:rtl w:val="true"/>
          <w:lang w:bidi="ar-SA"/>
        </w:rPr>
        <w:t>و تكون النتيجة على العكس، و مع ذلك لا يلزم كذب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ورد في الذكر الحكيم أو السنّة الشريفة نماذج من هذا النوع من الإخبار؟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نسبة البداء إلى اللّه سبحانه، و قد تقدّم من أنّ مورد استعماله هو الجهل بعواقب الأُمور؟ أمّا 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فإمكانه بمكان من الوضوح، مثلاً إذا اطّلع النبي على المقتضي دون شرطه أو مانعه، فيخبر عن وقوعه نظراً إلى المقتضي، و لا يتحقّق نظراً إلى عدم وجود شرطه أو وجود مانعه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الخراساني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البداء في التكوينيات بغير ذاك المعنى فهو ممّا دلّ عليه الروايات المتواترات كما لا يخفى، و مجمله انّ اللّه تبارك و تعالى إذا تعلّقت مشيئته تعالى بإظهار ثبوت ما يمحوه، لحكمة داعية إلى إظهاره لهم، أو أوحى إلى نبيّه أو وليّه أن يخبر به مع علمه بأنّه يمحوه أو مع عدم علمه به لما أُشير إليه من عدم الإحاطة بتمام ما جرى في علمه و إنّما يخبر به لأنّه حال الوحي و الإلهام لارتقاء نفسه الزكية و اتصاله بعالم لوح المحو و الإثبات اطّلع على ثبوته و لم يطّلع على كونه معلّقاً على أمر غير واقع أو عدم الموانع، قال اللّه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يَمْحُوا اللّهُ ما يَشاءُ وَ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اتّصل النبي بصحيفة المحو و 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اتّصل بصحيفة اللوح المحفوظ الذي يتكشف فيه الواقعيات على ما هي عليها، فيقف </w:t>
      </w:r>
    </w:p>
    <w:p>
      <w:pPr>
        <w:pStyle w:val="BookText"/>
        <w:rPr/>
      </w:pPr>
      <w:r>
        <w:rPr>
          <w:rFonts w:ascii="Amiri" w:hAnsi="Amiri" w:eastAsia="Amiri" w:cs="Amiri"/>
          <w:color w:val="111111"/>
          <w:sz w:val="28"/>
          <w:sz w:val="28"/>
          <w:szCs w:val="28"/>
          <w:rtl w:val="true"/>
          <w:lang w:bidi="ar-SA"/>
        </w:rPr>
        <w:t>على المقتضي و شرطه و مانعه، و يميّز ما هو الواقع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فنذكر فيه بعض ما ورد في الذكر الحكيم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أخبر يونس قومه بنزول العذاب، ثمّ ترك القوم، و كان في وعده صادقاً معتمداً على مقتضى العذاب الذي اطّلع عليه، لكن نزول العذاب كان مشروطاً بعدم المانع،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 التضرع،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كانَتْ قَرْيَةٌ آمَنَتْ فَنَفَعَها إِيمانُها إِلاّ قَوْمَ يُونُسَ لَمّا آمَنُوا كَشَفْنا عَنْهُمْ عَذابَ الْخِزْيِ فِي الْحَياةِ الدُّنْيا وَ مَتَّعْناهُمْ إِلى حِينٍ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أخرج عبد الرزاق، عن طاووس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يُونُسَ لَمِنَ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أَبَقَ إِلَى الْفُلْكِ الْمَشْحُونِ </w:t>
      </w:r>
      <w:r>
        <w:rPr>
          <w:rFonts w:eastAsia="Amiri" w:cs="Amiri" w:ascii="Amiri" w:hAnsi="Amiri"/>
          <w:color w:val="111111"/>
          <w:sz w:val="28"/>
          <w:szCs w:val="28"/>
          <w:rtl w:val="true"/>
          <w:lang w:bidi="ar-SA"/>
        </w:rPr>
        <w:t>).</w:t>
      </w:r>
      <w:r>
        <w:rPr>
          <w:rStyle w:val="FootnoteAnchor"/>
          <w:rtl w:val="true"/>
        </w:rPr>
        <w:footnoteReference w:id="521"/>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قومك يأتيهم العذاب يوم كذا و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يومئذ خرج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ففقده قومه، فخرجوا بالصغير و الكبير و الدواب و كلّ شيء، ثمّ عزلوا الوالدة عن ولدها، و الشاة عن ولدها، و الناقة و البقرة عن ولدها، فسمعت لهم عجيجاً، فأتاهم العذاب حتى نظروا إليه ثمّ صرف عنهم، فلمّا لم يصبهم العذاب ذهب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مغاضباً، فركب في العير في سفينة مع أناس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المفسّرون انّه سبحانه واعد موسى ثلاثين ليلة، فصامها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طواها، فلمّا تم الميقات استاك بلحاء شجرة، فأمره اللّه تعالى أن يكمل بعشر، يقول سبحانه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واعَدْنا مُوسى ثَلاثِينَ لَيْلَةً وَ أَتْمَمْناها بِعَشْرٍ فَتَمَّ مِيقاتُ رَبِّهِ أَرْبَعِينَ لَيْلَةً </w:t>
      </w:r>
    </w:p>
    <w:p>
      <w:pPr>
        <w:pStyle w:val="BookText"/>
        <w:rPr/>
      </w:pPr>
      <w:r>
        <w:rPr>
          <w:rFonts w:ascii="Amiri" w:hAnsi="Amiri" w:eastAsia="Amiri" w:cs="Amiri"/>
          <w:color w:val="111111"/>
          <w:sz w:val="28"/>
          <w:sz w:val="28"/>
          <w:szCs w:val="28"/>
          <w:rtl w:val="true"/>
          <w:lang w:bidi="ar-SA"/>
        </w:rPr>
        <w:t xml:space="preserve">وَ قالَ مُوسى لِأَخِيهِ هارُونَ اخْلُفْنِي فِي قَوْمِي وَ أَصْلِحْ وَ لا تَتَّبِعْ سَبِيلَ الْمُفْسِدِينَ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Amiri" w:hAnsi="Amiri" w:eastAsia="Amiri" w:cs="Amiri"/>
          <w:color w:val="111111"/>
          <w:sz w:val="28"/>
          <w:sz w:val="28"/>
          <w:szCs w:val="28"/>
          <w:rtl w:val="true"/>
          <w:lang w:bidi="ar-SA"/>
        </w:rPr>
        <w:t>إنّه سبحانه لمّا واعد موسى ثلاثين ليلة، كلّم بما وعده اللّه سبحانه قومه الذين صحبوه إلى الميقات، فلمّا طوى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ليلة أُمر بإكمال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ابن المنذر و ابن أبي حاتم عن ابن عباس في تفسير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قال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ربّي وعدني ثلاثين ليلة أن ألقاه و أخلف هارون فيكم، فلمّا فصل موسى إلى ربّه زاده اللّه عشراً، فكانت فتنتهم في العشر التي زاده اللّه</w:t>
      </w:r>
      <w:r>
        <w:rPr>
          <w:rFonts w:eastAsia="Amiri" w:cs="Amiri" w:ascii="Amiri" w:hAnsi="Amiri"/>
          <w:color w:val="111111"/>
          <w:sz w:val="28"/>
          <w:szCs w:val="28"/>
          <w:rtl w:val="true"/>
          <w:lang w:bidi="ar-SA"/>
        </w:rPr>
        <w:t>.</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فكان هناك إخباران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 يمكث في الميقات ثلاثين ليلة، ثمّ نسخه خبر آخر بأنّه يمكث أربعين ليلة، و كان موسى صادقاً في كلا الإخبارين، حيث كان الخبر الأوّل مستنداً إلى جهات يقتضي إقامة ثلاثين ليلة، لو لا طروء ملاك آخر يقتضي أن يكون الوقوف أزيد من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الحوادث التي تنبّأ أنبياء اللّه بوقوعها في الذكر الحكيم إلاّ أنّها لم تقع، و هذا ممّا يعبر عنه بانّه بدا للّه فيها</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يعلم أنّ عدم وقوع ما أخبر بوقوعه لا يكون دليلاً على كذب المخبر، لأنّ القرائن دلّت على صدق ما أخبر به و انّه كان مقدراً كما هو الحال في حادثة يونس، حيث إنّ العذاب أقبل و لكنّهم استقبلوه بالالتجاء إلى اللّه و الدعاء و التضرع و البكاء بحالة يرثى لهم، فصرف عنهم العذاب</w:t>
      </w:r>
      <w:r>
        <w:rPr>
          <w:rFonts w:eastAsia="Amiri" w:cs="Amiri" w:ascii="Amiri" w:hAnsi="Amiri"/>
          <w:color w:val="111111"/>
          <w:sz w:val="28"/>
          <w:szCs w:val="28"/>
          <w:rtl w:val="true"/>
          <w:lang w:bidi="ar-SA"/>
        </w:rPr>
        <w:t xml:space="preserve">. </w:t>
      </w:r>
      <w:bookmarkStart w:id="1446" w:name="pg14356_187245"/>
    </w:p>
    <w:p>
      <w:pPr>
        <w:pStyle w:val="Heading6"/>
        <w:numPr>
          <w:ilvl w:val="5"/>
          <w:numId w:val="1"/>
        </w:numPr>
        <w:rPr/>
      </w:pPr>
      <w:bookmarkStart w:id="1447" w:name="__RefHeading___Toc7305660_3381743652"/>
      <w:bookmarkStart w:id="1448" w:name="_Toc551"/>
      <w:bookmarkEnd w:id="1446"/>
      <w:bookmarkEnd w:id="1447"/>
      <w:r>
        <w:rPr>
          <w:rtl w:val="true"/>
        </w:rPr>
        <w:t>البداء في الأحاديث</w:t>
      </w:r>
      <w:bookmarkEnd w:id="1448"/>
    </w:p>
    <w:p>
      <w:pPr>
        <w:pStyle w:val="BookText"/>
        <w:rPr/>
      </w:pPr>
      <w:r>
        <w:rPr>
          <w:rFonts w:ascii="Amiri" w:hAnsi="Amiri" w:eastAsia="Amiri" w:cs="Amiri"/>
          <w:color w:val="111111"/>
          <w:sz w:val="28"/>
          <w:sz w:val="28"/>
          <w:szCs w:val="28"/>
          <w:rtl w:val="true"/>
          <w:lang w:bidi="ar-SA"/>
        </w:rPr>
        <w:t>و يؤيد ما ذكرنا ما ورد في أحاديث كثيرة نذكر منها حديثين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يهوديّ بالنبي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سلّم عليك بالموت،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عليك؟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كذلك رددت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اليهودي يعضّه أسود في قفاه فيقتله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اليهودي فاحتطب حطباً كثيراً فاحتمله، ثمّ لم يلبث أن 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فوضع الحطب فإذا أسود في جوف الحطب عاض على 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يهوديّ ما عملت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عملت عملاً إلاّ حطبي هذا حملته فجئت به، و كان معي كعكتان فأكلت واحدة و تصدّقت بواحدة على مسكين،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دفع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تدفع ميتة السوء عن الإنسان </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المسيح مرّ بقوم مجلبين،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فلانة بنت فلانة تُهدى إلى فلان في ليلته هذه،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يُجلَبُون اليوم و يَبكون غداً،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صاحبتهم ميتة في ليلتها هذه، فلمّا أصبحوا وجدوها على حالها، ليس بها شيء،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 التي اخبرتَنا أمس انّها ميتة لم تمت، فدخل المسيح دارها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ليلتك هذه؟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أصنع شيئاً إلاّ و كنت أصنعه فيما مضى، انّه كان يعترينا سائل في كلّ ليلة جمعة فننيله ما يقوته إلى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المسيح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 مجلسك فإذا تحت ثيابها أفعى مثل جذعة،</w:t>
      </w:r>
    </w:p>
    <w:p>
      <w:pPr>
        <w:pStyle w:val="BookText"/>
        <w:rPr/>
      </w:pPr>
      <w:r>
        <w:rPr>
          <w:rFonts w:ascii="Amiri" w:hAnsi="Amiri" w:eastAsia="Amiri" w:cs="Amiri"/>
          <w:color w:val="111111"/>
          <w:sz w:val="28"/>
          <w:sz w:val="28"/>
          <w:szCs w:val="28"/>
          <w:rtl w:val="true"/>
          <w:lang w:bidi="ar-SA"/>
        </w:rPr>
        <w:t>عاضّ على ذنبه،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صنعت، صرف عنك هذا</w:t>
      </w:r>
      <w:r>
        <w:rPr>
          <w:rFonts w:eastAsia="Amiri" w:cs="Amiri" w:ascii="Amiri" w:hAnsi="Amiri"/>
          <w:color w:val="111111"/>
          <w:sz w:val="28"/>
          <w:szCs w:val="28"/>
          <w:rtl w:val="true"/>
          <w:lang w:bidi="ar-SA"/>
        </w:rPr>
        <w:t>.</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و أمّا الأمر الثالث، فقد تقدّم انّ البداء هو ظهور ما خفي، و على ضوء ذلك كيف يصحّ نسبة البداء إلى اللّه سبحانه، مع أنّ القائلين بالبداء يتكرر على ألسنتهم بدا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الإجابة على هذا السؤال واضحة، و هي انّ وصْفَه سبحانه بهذا الوصف من باب المشاكلة، و هو باب واسع في كلام العرب، فانّه سبحانه في مجالات خاصة يعبّر عن فعل نفسه بما يعبر به الناس عن فعل أنفسهم، و ما ذلك إلاّ لأجل المشاكلة الظاهرية، و قد صرّح بها القرآن الكريم في مواطن عديدة نذكر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الْمُنافِقِينَ يُخادِعُونَ اللّهَ وَ هُوَ خادِعُهُمْ </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مَكَرُوا وَ مَكَرَ اللّهُ وَ اللّهُ خَيْرُ الْماكِرِينَ </w:t>
      </w:r>
      <w:r>
        <w:rPr>
          <w:rFonts w:eastAsia="Amiri" w:cs="Amiri" w:ascii="Amiri" w:hAnsi="Amiri"/>
          <w:color w:val="111111"/>
          <w:sz w:val="28"/>
          <w:szCs w:val="28"/>
          <w:rtl w:val="true"/>
          <w:lang w:bidi="ar-SA"/>
        </w:rPr>
        <w:t>).</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و قال عزّ من قائل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يَمْكُرُونَ وَ يَمْكُرُ اللّهُ وَ اللّهُ خَيْرُ الْماكِرِينَ </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و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فَالْيَوْمَ نَنْساهُمْ كَما نَسُوا لِقاءَ يَوْمِهِمْ هذا </w:t>
      </w:r>
      <w:r>
        <w:rPr>
          <w:rFonts w:eastAsia="Amiri" w:cs="Amiri" w:ascii="Amiri" w:hAnsi="Amiri"/>
          <w:color w:val="111111"/>
          <w:sz w:val="28"/>
          <w:szCs w:val="28"/>
          <w:rtl w:val="true"/>
          <w:lang w:bidi="ar-SA"/>
        </w:rPr>
        <w:t>).</w:t>
      </w:r>
      <w:r>
        <w:rPr>
          <w:rStyle w:val="FootnoteAnchor"/>
          <w:rtl w:val="true"/>
        </w:rPr>
        <w:footnoteReference w:id="530"/>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شكّ انّه سبحانه لا يَخدع و لا يَمْكر و لا ينسى، لأنّها من صفات الإنسان الضعيف، و لكنّه سبحانه وصف أفعاله بما وصف به أفعال الإنسان من باب المشاكلة، و الجميع كناية عن إبطال خدعهم و مكرهم و حرمانهم من مغفرة اللّه سبحانه و بالتالي عن جنته و نعيمها</w:t>
      </w:r>
      <w:r>
        <w:rPr>
          <w:rFonts w:eastAsia="Amiri" w:cs="Amiri" w:ascii="Amiri" w:hAnsi="Amiri"/>
          <w:color w:val="111111"/>
          <w:sz w:val="28"/>
          <w:szCs w:val="28"/>
          <w:rtl w:val="true"/>
          <w:lang w:bidi="ar-SA"/>
        </w:rPr>
        <w:t xml:space="preserve">. </w:t>
      </w:r>
      <w:bookmarkStart w:id="1449" w:name="pg14356_187247"/>
    </w:p>
    <w:p>
      <w:pPr>
        <w:pStyle w:val="Heading6"/>
        <w:numPr>
          <w:ilvl w:val="5"/>
          <w:numId w:val="1"/>
        </w:numPr>
        <w:rPr/>
      </w:pPr>
      <w:bookmarkStart w:id="1450" w:name="__RefHeading___Toc7305662_3381743652"/>
      <w:bookmarkStart w:id="1451" w:name="_Toc552"/>
      <w:bookmarkEnd w:id="1449"/>
      <w:bookmarkEnd w:id="1450"/>
      <w:r>
        <w:rPr>
          <w:rtl w:val="true"/>
        </w:rPr>
        <w:t>ورود</w:t>
      </w:r>
      <w:r>
        <w:rPr>
          <w:rtl w:val="true"/>
        </w:rPr>
        <w:t xml:space="preserve">» </w:t>
      </w:r>
      <w:r>
        <w:rPr>
          <w:rtl w:val="true"/>
        </w:rPr>
        <w:t xml:space="preserve">بدا للّه </w:t>
      </w:r>
      <w:r>
        <w:rPr>
          <w:rtl w:val="true"/>
        </w:rPr>
        <w:t>«</w:t>
      </w:r>
      <w:r>
        <w:rPr>
          <w:rtl w:val="true"/>
        </w:rPr>
        <w:t>في كلام النبي</w:t>
      </w:r>
      <w:r>
        <w:rPr>
          <w:rtl w:val="true"/>
        </w:rPr>
        <w:t xml:space="preserve">) </w:t>
      </w:r>
      <w:r>
        <w:rPr>
          <w:rtl w:val="true"/>
        </w:rPr>
        <w:t xml:space="preserve">صلى الله عليه و آله و سلم </w:t>
      </w:r>
      <w:r>
        <w:rPr>
          <w:rtl w:val="true"/>
        </w:rPr>
        <w:t>(</w:t>
      </w:r>
      <w:bookmarkEnd w:id="1451"/>
    </w:p>
    <w:p>
      <w:pPr>
        <w:pStyle w:val="BookText"/>
        <w:rPr/>
      </w:pPr>
      <w:r>
        <w:rPr>
          <w:rFonts w:ascii="Amiri" w:hAnsi="Amiri" w:eastAsia="Amiri" w:cs="Amiri"/>
          <w:color w:val="111111"/>
          <w:sz w:val="28"/>
          <w:sz w:val="28"/>
          <w:szCs w:val="28"/>
          <w:rtl w:val="true"/>
          <w:lang w:bidi="ar-SA"/>
        </w:rPr>
        <w:t>كما نرى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يستعمل كلمة البداء و ينسبها إلى اللّه سبحانه، فقد أخرج البخاري في صحيحه عن أبي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سمع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ثلاثة في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أبرص و أقرع و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يبتليهم، فبعث إليهم ملكاً فأتى الأبرصَ،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لون حسن، و جلد حسن، قد قذّرني الناس، قال فمسحه فذهب عنه فأُعطي لوناً حسناً و جلداً حسناً،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هو شك في ذلك أنّ الأبرص و الأقرع،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فأُعطي ناقة عُشراء،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يبارك اللّه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الأقرع،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حسن و يذهب عنّي هذا قد قذرني الناس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فمسحه، فذهب، و أُعطي شعراً حسناً،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بقرة حاملاً،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يبارك 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الأعمى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اللّه إليّ بصري، فأبصر به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فمسحه فردّ اللّه إليه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أحب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فأعطاه شاة والداً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فأُنتج هذان و ولّد هذا، فكان لهذا واد من إبل، و لهذا واد من بقر، و لهذا واد من الغنم</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أتى الأبرص في صورته و هيئته،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مسكين تقطّعت بي الحبال في سفري، فلابلاغ اليوم إلاّ باللّه ثمّ بك، أسألك بالذي أعطاك اللون الحسن و الجلد الحسن و المال، بعيراً أتبلّغ عليه في سفري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الحقوق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أعرفك أ لم تكن يقذرك الناس، فقيراً فأعطاك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ورثت لكابر عن كابر؟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فصيّرك اللّه إلى 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الأقرع في صورته و هيئته فقال له مثل ما قال لهذا، فردّ عليه مثلما رد عليه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كاذباً فصيّرك اللّه إلى ما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أتى الأعمى في صورته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مسكين و ابن سبيل و تقطّعت بي الحبال في سفري، فلابلاغ اليوم إلاّ باللّه، ثمّ بك، أسألك بالذي رد عليك بصرك، شاة أتبلّغ بها في سفري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أعمى فرد اللّه بصري، و فقيراً فقد أغناني، فخذ ما شئت، فو اللّه لا أجحدك اليوم بشيء أخذته 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مالك فإنّما ابتليتم فقد رضي اللّه عنك و سخط على صاحبيك</w:t>
      </w:r>
      <w:r>
        <w:rPr>
          <w:rFonts w:eastAsia="Amiri" w:cs="Amiri" w:ascii="Amiri" w:hAnsi="Amiri"/>
          <w:color w:val="111111"/>
          <w:sz w:val="28"/>
          <w:szCs w:val="28"/>
          <w:rtl w:val="true"/>
          <w:lang w:bidi="ar-SA"/>
        </w:rPr>
        <w:t>.</w:t>
      </w:r>
      <w:r>
        <w:rPr>
          <w:rStyle w:val="FootnoteAnchor"/>
          <w:rtl w:val="true"/>
        </w:rPr>
        <w:footnoteReference w:id="531"/>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كلام الرسول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استعمل لفظ البداء في حقّه سبحانه، و من الطبيعي انّ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يستعمل هذا اللفظ في معناه اللغوي لاستلزامه و العياذ باللّه الجهل على اللّه سبحانه، بل استعمله في معنى آخر لمناسبة بينه و بين المعنى اللغوي</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ضوء ذلك فلا غرو في أن نعبر عن فعله بما نعبر به عن أفعالنا، إذا كان التعبير مقروناً بالقرينة الدالة على المراد، فإذا ظهر الشيء بعد الخفاء، فبما انّه بداء بالنسبة إلينا نوصف فعله سبحانه به أيضاً وفقاً للمشاكلة، و إلاّ فهو في الحقيقة بداء من اللّه للناس، و لكنّه يتوسع كما يتوسّع في غيره من الألفاظ، و يقال بدا للّه تمشياً مع ما في حسبان الناس و أذهانهم و قياس أمره سبحانه بأمرهم، و لا </w:t>
      </w:r>
    </w:p>
    <w:p>
      <w:pPr>
        <w:pStyle w:val="BookText"/>
        <w:rPr/>
      </w:pPr>
      <w:r>
        <w:rPr>
          <w:rFonts w:ascii="Amiri" w:hAnsi="Amiri" w:eastAsia="Amiri" w:cs="Amiri"/>
          <w:color w:val="111111"/>
          <w:sz w:val="28"/>
          <w:sz w:val="28"/>
          <w:szCs w:val="28"/>
          <w:rtl w:val="true"/>
          <w:lang w:bidi="ar-SA"/>
        </w:rPr>
        <w:t>غرو في ذلك إذا كانت هناك قرينة على المجاز و المشاكلة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أنّ النزاع في البداء أمر لفظي لا معنوي، و أنّ الفريقين متّفقان على البداء ثبوتاً و إثباتاً، و الذي صار سبباً لإنكار البداء و طعن الشيعة به هو تصور انّ المراد منه هو الظهور بعد الخفاء، و قد عرفت أنّ المراد هو الإظهار بعد الإخفاء و انّ إطلاق البداء في المقام من باب المشاكلة</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الكلام في مبحث العام و الخاص و النسخ و البداء و يليه البحث في المطلق و المقيد و المجمل و المبين </w:t>
      </w:r>
    </w:p>
    <w:p>
      <w:pPr>
        <w:pStyle w:val="BookText"/>
        <w:rPr/>
      </w:pPr>
      <w:r>
        <w:rPr>
          <w:rFonts w:ascii="Amiri" w:hAnsi="Amiri" w:eastAsia="Amiri" w:cs="Amiri"/>
          <w:color w:val="111111"/>
          <w:sz w:val="28"/>
          <w:sz w:val="28"/>
          <w:szCs w:val="28"/>
          <w:rtl w:val="true"/>
          <w:lang w:bidi="ar-SA"/>
        </w:rPr>
        <w:t>المقصد الخامس في المطلق و المقيّد و المجمل و المبيّن و فيه فصول</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ألفاظ المطلق 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تقييد المطلق لا يستلزم المجازية 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مقدمات الحكمة 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حمل المطلق على المقيّد 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المجمل و المتشابه و تأويله </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2" w:name="pg14356_187252"/>
      <w:bookmarkStart w:id="1453" w:name="pg14356_187252"/>
      <w:bookmarkEnd w:id="1453"/>
    </w:p>
    <w:p>
      <w:pPr>
        <w:pStyle w:val="Heading2"/>
        <w:numPr>
          <w:ilvl w:val="1"/>
          <w:numId w:val="1"/>
        </w:numPr>
        <w:rPr/>
      </w:pPr>
      <w:bookmarkStart w:id="1454" w:name="pg14356_187252"/>
      <w:bookmarkStart w:id="1455" w:name="__RefHeading___Toc7305664_3381743652"/>
      <w:bookmarkStart w:id="1456" w:name="_Toc553"/>
      <w:bookmarkEnd w:id="1454"/>
      <w:bookmarkEnd w:id="1455"/>
      <w:r>
        <w:rPr>
          <w:rtl w:val="true"/>
        </w:rPr>
        <w:t>المقصد الخامس في المطلق و المقيّد و المجمل و المبيّن</w:t>
      </w:r>
      <w:bookmarkEnd w:id="1456"/>
    </w:p>
    <w:p>
      <w:pPr>
        <w:pStyle w:val="Heading3"/>
        <w:numPr>
          <w:ilvl w:val="2"/>
          <w:numId w:val="1"/>
        </w:numPr>
        <w:rPr/>
      </w:pPr>
      <w:bookmarkStart w:id="1457" w:name="__RefHeading___Toc7305666_3381743652"/>
      <w:bookmarkStart w:id="1458" w:name="_Toc554"/>
      <w:bookmarkEnd w:id="1457"/>
      <w:r>
        <w:rPr>
          <w:rtl w:val="true"/>
        </w:rPr>
        <w:t>اشارة</w:t>
      </w:r>
      <w:bookmarkEnd w:id="1458"/>
    </w:p>
    <w:p>
      <w:pPr>
        <w:pStyle w:val="BookText"/>
        <w:rPr/>
      </w:pPr>
      <w:r>
        <w:rPr>
          <w:rFonts w:ascii="Amiri" w:hAnsi="Amiri" w:eastAsia="Amiri" w:cs="Amiri"/>
          <w:color w:val="111111"/>
          <w:sz w:val="28"/>
          <w:sz w:val="28"/>
          <w:szCs w:val="28"/>
          <w:rtl w:val="true"/>
          <w:lang w:bidi="ar-SA"/>
        </w:rPr>
        <w:t>عرّف المطلق بتعاريف مختلفة نذكر منها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المطلق ما دلّ على شائع في جنسه، و المقيّد بخلافه</w:t>
      </w:r>
      <w:r>
        <w:rPr>
          <w:rFonts w:eastAsia="Amiri" w:cs="Amiri" w:ascii="Amiri" w:hAnsi="Amiri"/>
          <w:color w:val="111111"/>
          <w:sz w:val="28"/>
          <w:szCs w:val="28"/>
          <w:rtl w:val="true"/>
          <w:lang w:bidi="ar-SA"/>
        </w:rPr>
        <w:t>.</w:t>
      </w:r>
      <w:r>
        <w:rPr>
          <w:rStyle w:val="FootnoteAnchor"/>
          <w:rtl w:val="true"/>
        </w:rPr>
        <w:footnoteReference w:id="5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المطلق ما دلّ على حصّة محتملة الصدق مندرجة تحت جنس تلك الحصة، و هو المفهوم الكلّي الذي يصدق على هذه الحصة و غيرها من الحصص</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المطلق هو اللفظ الدالّ على الماهية من حيث هي لا بقيد وحدة و لا تعدد، و المقيّد بخلافه</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Amiri" w:hAnsi="Amiri" w:eastAsia="Amiri" w:cs="Amiri"/>
          <w:color w:val="111111"/>
          <w:sz w:val="28"/>
          <w:sz w:val="28"/>
          <w:szCs w:val="28"/>
          <w:rtl w:val="true"/>
          <w:lang w:bidi="ar-SA"/>
        </w:rPr>
        <w:t>و لنقتصر على هذه التعاريف الثلاثة، و لنأخذ كلّ واحد بالنقض و الإبرام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التعريف الأوّل فالمقصود من الموصول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اللفظ، كما أنّ المقصود من قوله</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الفرد الشائع، و على هذا ينطبق المطلق على النكرة،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اعتق رقبة، يدلّ على لزوم عتق فرد من أفراد الرقبة التي لها أفراد </w:t>
      </w:r>
    </w:p>
    <w:p>
      <w:pPr>
        <w:pStyle w:val="BookText"/>
        <w:rPr/>
      </w:pPr>
      <w:r>
        <w:rPr>
          <w:rFonts w:ascii="Amiri" w:hAnsi="Amiri" w:eastAsia="Amiri" w:cs="Amiri"/>
          <w:color w:val="111111"/>
          <w:sz w:val="28"/>
          <w:sz w:val="28"/>
          <w:szCs w:val="28"/>
          <w:rtl w:val="true"/>
          <w:lang w:bidi="ar-SA"/>
        </w:rPr>
        <w:t>متعددة، فعدم تعيّن الفرد من بين الأفراد هو المقصود من قوله شائع في جنسه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تبعه المحقّق القمي في تعريفه الثاني فانّه نفس التعريف الأوّل غير أنّه عبّر عن الفرد الشائع، بالحصة، محتملة الصدق على حصص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التعبير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يناسب نظرية الرجل الهمداني في تفسير الكلّي الطبيعي، فانّه كان يعتقد أنّ الإنسان الطبيعي واحد شخصي و الأفراد الموجودة حصص منه، فكأنّ لكلّ فرد جزءاً من الإنسانية لا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تبيّن بطلان تلك العقيدة، و أنّ الطبيعي واحد بالنوع، و أنّ المصاديق هي الأفراد لا الحصص، فكلّ فرد نفس الإنسان لا جزءه، و كلّ مصداق إنسان كامل ليس بإنسان ناقص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التعريف الأوّل غير جامع، لخروج اسم الجنس عن تحته لما سيتبين انّ أسماء الأجناس عند القوم وضعت للماهية من حيث هي هي غير المقيّدة بشيء حتّى الشمول و الشيوع، عدل الشهيد الثاني إلى التعريف الثالث حتّى يدخل أسماء الأجناس في تعريف المطلق مثل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البيع وضع للماهية المعراة عن كلّ 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من حيث هي هي، فليس هناك ما يدلّ على الفرد حتّى تستتبعه الدلالة على الشيوع</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بتعريفه هذا و إن أدخل اسم الجنس في تعريف المطلق لكنّه أخرج النكرة عن تحت المطلق مع أنّها من مصاديقه،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رجلاً أو طالباً إلى غير ذلك، فانّ المفهوم من النكرة غير المفهوم من اسم الجنس فالتنوين آية الوحدة</w:t>
      </w:r>
      <w:r>
        <w:rPr>
          <w:rFonts w:eastAsia="Amiri" w:cs="Amiri" w:ascii="Amiri" w:hAnsi="Amiri"/>
          <w:color w:val="111111"/>
          <w:sz w:val="28"/>
          <w:szCs w:val="28"/>
          <w:rtl w:val="true"/>
          <w:lang w:bidi="ar-SA"/>
        </w:rPr>
        <w:t xml:space="preserve">. </w:t>
      </w:r>
      <w:bookmarkStart w:id="1459" w:name="pg14356_187254"/>
    </w:p>
    <w:p>
      <w:pPr>
        <w:pStyle w:val="Heading3"/>
        <w:numPr>
          <w:ilvl w:val="2"/>
          <w:numId w:val="1"/>
        </w:numPr>
        <w:rPr/>
      </w:pPr>
      <w:bookmarkStart w:id="1460" w:name="__RefHeading___Toc7305668_3381743652"/>
      <w:bookmarkStart w:id="1461" w:name="_Toc555"/>
      <w:bookmarkEnd w:id="1459"/>
      <w:bookmarkEnd w:id="1460"/>
      <w:r>
        <w:rPr>
          <w:rtl w:val="true"/>
        </w:rPr>
        <w:t>جولة حول التعاريف</w:t>
      </w:r>
      <w:bookmarkEnd w:id="1461"/>
    </w:p>
    <w:p>
      <w:pPr>
        <w:pStyle w:val="Heading4"/>
        <w:numPr>
          <w:ilvl w:val="3"/>
          <w:numId w:val="1"/>
        </w:numPr>
        <w:rPr/>
      </w:pPr>
      <w:bookmarkStart w:id="1462" w:name="__RefHeading___Toc7305670_3381743652"/>
      <w:bookmarkStart w:id="1463" w:name="_Toc556"/>
      <w:bookmarkEnd w:id="1462"/>
      <w:r>
        <w:rPr>
          <w:rtl w:val="true"/>
        </w:rPr>
        <w:t>اشارة</w:t>
      </w:r>
      <w:bookmarkEnd w:id="14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هذه التعاريف تعرب عن أنّ الإطلاق و التقييد من أوصاف الألفاظ، سواء أتعلق بها حكم مولوي أم لا؟ فهاهنا لفظ مطلق و ها هنا لفظ مقيّد نظير البحث في العموم و الخصوص، فهناك لفظ دالّ على العموم و لفظ دالّ على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النمط من البحث يناسب الأبحاث الأدبية و اللغوية التي لا همّ لأصحابها إلاّ التعرف على معاني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الباحث الأُصولي فالتعرف على معاني الألفاظ أمر خارج عن غرضه و لو بحث فيها فإنّما هو لغاية كونها مقدّمة لاستنباط الحكم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الغاية من هذه البحوث هو استنباط الحكم الشرعي، فيجب أن يفسر المطلق و المقيد بنحو يناسب الغاية المتوخاة لا على النحو الذي مرّ فانّه يناسب غرض الأديب و اللغوي لا غرض الأُصولي الذي هو بصدد تمهيد مقدّمات للفقه، و سيوافيك التعريف الصحيح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التعريف الأوّل الذي اعتمد عليه القدماء يركز على وجود الشيوع في المطلق، فعندئذ نسأل عن كيفية دلالة المطلق على الشيوع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المطلق يدلّ على الشيوع بالدلالة المطابقية أو التضمنية فيرد عليه خروج أسماء الأجناس لما عرفت من أنّها عند القوم موضوعة للماهية المعراة من كلّ شيء، غير الملحوظ معها شيء حتّى هذا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لحاظ شيء </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تخرج الأعلام إذ ليس فيها الشيوع مع أنّها قد تقع مصب الإطلاق كما في </w:t>
      </w:r>
      <w:bookmarkStart w:id="1464" w:name="pg14356_187255"/>
    </w:p>
    <w:p>
      <w:pPr>
        <w:pStyle w:val="BookText"/>
        <w:rPr/>
      </w:pPr>
      <w:bookmarkEnd w:id="1464"/>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لْيَطَّوَّفُوا بِالْبَيْتِ الْعَتِيقِ </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فإذا شكّ في أنّ الموضوع للطواف هل هو البيت بما هو هو، أو بشرط أن يكون مكشوفاً أو مستوراً، فيتمسّك بإطلاق الآية و يدفع باحتمال قيدية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الشيوع في الاعلام أحوالي و ليس بأفرادي، و لكنّه خلاف المتبادر من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اعتذر عن الإشكالات الواردة على هذه التعاريف بأنّها من قبيل شرح الاسم و هو ممّا يجوز أن لا يكون بمطرد و لا بمنعكس، و لكنّه كلام عار عن التحقيق فانّ نفس النقض و الإبرام دليل واضح على أنّ المعرف أو المعرفين كانوا بصدد التعريف الحقيقي</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7305672_3381743652"/>
      <w:bookmarkStart w:id="1466" w:name="_Toc557"/>
      <w:bookmarkEnd w:id="1465"/>
      <w:r>
        <w:rPr>
          <w:rtl w:val="true"/>
        </w:rPr>
        <w:t>المختار في تعريف المطلق</w:t>
      </w:r>
      <w:bookmarkEnd w:id="1466"/>
    </w:p>
    <w:p>
      <w:pPr>
        <w:pStyle w:val="BookText"/>
        <w:rPr/>
      </w:pPr>
      <w:r>
        <w:rPr>
          <w:rFonts w:ascii="Amiri" w:hAnsi="Amiri" w:eastAsia="Amiri" w:cs="Amiri"/>
          <w:color w:val="111111"/>
          <w:sz w:val="28"/>
          <w:sz w:val="28"/>
          <w:szCs w:val="28"/>
          <w:rtl w:val="true"/>
          <w:lang w:bidi="ar-SA"/>
        </w:rPr>
        <w:t>قد علمت أنّ الغاية من الخوض في هذه المباحث هو تمهيد مقدّمات لاستنباط الحكم الشرعي و ليس التعرف على مفاد لفظ بما هو هو غاية للأُصول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هذه هي الغاية فالأولى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اللفظ في مقام الموضوعية للحكم مرسلاً عن القيد فهو مطلق و إن كان مزدوجاً مع شيء آخر فهو 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ما وقع تحت دائرة الطلب تمام الموضوع فهو مطلق أي مرسل عن القيد، و أمّا إذا كان جزء الموضوع و كان معه جزء آخر فهو مقيد بالقيد</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يعلم أنّ المطلق و المقيد أطلقا بنفس المعنى اللغوي حيث إنّ </w:t>
      </w:r>
    </w:p>
    <w:p>
      <w:pPr>
        <w:pStyle w:val="BookText"/>
        <w:rPr/>
      </w:pPr>
      <w:r>
        <w:rPr>
          <w:rFonts w:ascii="Amiri" w:hAnsi="Amiri" w:eastAsia="Amiri" w:cs="Amiri"/>
          <w:color w:val="111111"/>
          <w:sz w:val="28"/>
          <w:sz w:val="28"/>
          <w:szCs w:val="28"/>
          <w:rtl w:val="true"/>
          <w:lang w:bidi="ar-SA"/>
        </w:rPr>
        <w:t>المطلق بمعنى المرسل،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سراح فلان كما يقال قُيّد رِجْل فلان بقيد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التعريف تترتّب نتائج باهرة في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المقوم للإطلاق هو كون الشيء تمام الموضوع من غير فرق بين كونه اسم جنس أو نكرة أو علماً، فالشيوع و عدم الشيوع بالنسبة إلى الإطلاق كالحجر في جنب الإنسان، بل يكفي كون الشيء قابلاً للتقييد، فالقابل للتقييد إذا جرد عن القيد فهو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خلافاً للتعاريف السابقة ليس من المداليل اللفظية كما هو الحال في التعاريف السابقة، بل هو من المداليل العقلية حيث إنّ المتكلّم إذا كان في مقام بيان الموضوع و كان حكيماً غير ناقض لغرضه فأخذ لفظاً موضوعاً لحكمه و جرده عن القيد فالعقل يحكم بأنّه تمام الموضوع، و إلاّ لما ترك المتكلّم الحكيم القيد اللازم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جعل مبحث الإطلاق و التقييد من المباحث اللفظية فلأجل انّ مصب الإطلاق هو اللفظ و إلاّ فاستنباط الإطلاق بمعنى كون ما وقع تحت دائرة الطلب تمام الموضوع إنّما هو بالعقل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مصب الإطلاق أعمّ من أن يكون اسم جنس أو نكرة أو معرّفاً باللام حيث ينعقد الإطلاق في الأعلام الشخصية،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و احتملنا كون الموضوع هو زيد متقيداً بالتعمّم فيتمسك بالإطلاق و يدفع كون التعمّم مؤثراً في الموضوع، كما عرفت نظيره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لْيَطَّوَّفُوا بِالْبَيْتِ الْعَتِيقِ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التقابل بين الإطلاق و التقييد، شبيه تقابل العدم </w:t>
      </w:r>
    </w:p>
    <w:p>
      <w:pPr>
        <w:pStyle w:val="BookText"/>
        <w:rPr/>
      </w:pPr>
      <w:r>
        <w:rPr>
          <w:rFonts w:ascii="Amiri" w:hAnsi="Amiri" w:eastAsia="Amiri" w:cs="Amiri"/>
          <w:color w:val="111111"/>
          <w:sz w:val="28"/>
          <w:sz w:val="28"/>
          <w:szCs w:val="28"/>
          <w:rtl w:val="true"/>
          <w:lang w:bidi="ar-SA"/>
        </w:rPr>
        <w:t>و الملكة حيث إنّ المطلق فاقد لما يكون المقيد واجداً له و إنّما قلنا شبه التقابل، لأنّ تقابل العدم و الملكة يطلق على المورد الذي من شأنه أن يكون فيه الملكة كالعمى بالنسبة إلى البصر و ليس كلّ مطلق من شأنه أن يكون مقيداً، بل يكفي كونه قابلاً للتقييد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الإطلاق و التقييد أمران إضافيان، فالدليل الواحد يمكن أن يكون مطلقاً من جهة و مقيداً من جهة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إنساناً في المسجد فهو مطلق من حيث الموضوع و مقيد من حيث ظرف الإكرام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القوم لمّا فسّروا المطلق بما دلّ على شائع في جنسه بحثوا في ألفاظ يترقب فيها الدلالة على الشيوع كاسم الجنس و علمه و الفرد المحلى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على المختار بأنّ هذا النمط من البحث شأن الأديب و ليس من شأن الأُصولي، فالبحث في معاني هذه الأصناف من الألفاظ ساقط لما عرفت أنّ مقوم الإطلاق تمامية الشيء للموضوع و عدمها، سواء أ كان اسم جنس أو علم جنس أو محلّى باللام، فاشتراط المطلق بكونه اسم جنس أو نظيريه كالحجر في جنب الإنسان و ليس لها أي دخل في تكوين الإطلاق</w:t>
      </w:r>
      <w:r>
        <w:rPr>
          <w:rFonts w:eastAsia="Amiri" w:cs="Amiri" w:ascii="Amiri" w:hAnsi="Amiri"/>
          <w:color w:val="111111"/>
          <w:sz w:val="28"/>
          <w:szCs w:val="28"/>
          <w:rtl w:val="true"/>
          <w:lang w:bidi="ar-SA"/>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فنحن بالنسبة إلى هذه البحوث التي شغلت بال الأُصوليين في المقام لفي فسحة، غير أنّا نتبع القوم في هذه البحوث استطراداً بل استجراراً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الكلام في ضمن فصول</w:t>
      </w:r>
      <w:r>
        <w:rPr>
          <w:rFonts w:eastAsia="Amiri" w:cs="Amiri" w:ascii="Amiri" w:hAnsi="Amiri"/>
          <w:color w:val="111111"/>
          <w:sz w:val="28"/>
          <w:szCs w:val="28"/>
          <w:rtl w:val="true"/>
          <w:lang w:bidi="ar-SA"/>
        </w:rPr>
        <w:t xml:space="preserve">: </w:t>
      </w:r>
      <w:bookmarkStart w:id="1467" w:name="pg14356_187258"/>
    </w:p>
    <w:p>
      <w:pPr>
        <w:pStyle w:val="Heading3"/>
        <w:numPr>
          <w:ilvl w:val="2"/>
          <w:numId w:val="1"/>
        </w:numPr>
        <w:rPr/>
      </w:pPr>
      <w:bookmarkStart w:id="1468" w:name="__RefHeading___Toc7305674_3381743652"/>
      <w:bookmarkStart w:id="1469" w:name="_Toc558"/>
      <w:bookmarkEnd w:id="1467"/>
      <w:bookmarkEnd w:id="1468"/>
      <w:r>
        <w:rPr>
          <w:rtl w:val="true"/>
        </w:rPr>
        <w:t>الفصل الأوّل في ألفاظ المطلق</w:t>
      </w:r>
      <w:bookmarkEnd w:id="1469"/>
    </w:p>
    <w:p>
      <w:pPr>
        <w:pStyle w:val="Heading4"/>
        <w:numPr>
          <w:ilvl w:val="3"/>
          <w:numId w:val="1"/>
        </w:numPr>
        <w:rPr/>
      </w:pPr>
      <w:bookmarkStart w:id="1470" w:name="__RefHeading___Toc7305676_3381743652"/>
      <w:bookmarkStart w:id="1471" w:name="_Toc559"/>
      <w:bookmarkEnd w:id="1470"/>
      <w:r>
        <w:rPr/>
        <w:t>1</w:t>
      </w:r>
      <w:r>
        <w:rPr>
          <w:rtl w:val="true"/>
        </w:rPr>
        <w:t xml:space="preserve">. </w:t>
      </w:r>
      <w:r>
        <w:rPr>
          <w:rtl w:val="true"/>
        </w:rPr>
        <w:t>اسم الجنس</w:t>
      </w:r>
      <w:bookmarkEnd w:id="1471"/>
    </w:p>
    <w:p>
      <w:pPr>
        <w:pStyle w:val="Heading5"/>
        <w:numPr>
          <w:ilvl w:val="4"/>
          <w:numId w:val="1"/>
        </w:numPr>
        <w:rPr/>
      </w:pPr>
      <w:bookmarkStart w:id="1472" w:name="__RefHeading___Toc7305678_3381743652"/>
      <w:bookmarkStart w:id="1473" w:name="_Toc560"/>
      <w:bookmarkEnd w:id="1472"/>
      <w:r>
        <w:rPr>
          <w:rtl w:val="true"/>
        </w:rPr>
        <w:t>اشارة</w:t>
      </w:r>
      <w:bookmarkEnd w:id="1473"/>
    </w:p>
    <w:p>
      <w:pPr>
        <w:pStyle w:val="BookText"/>
        <w:rPr/>
      </w:pPr>
      <w:r>
        <w:rPr>
          <w:rFonts w:ascii="IRNazanin" w:hAnsi="IRNazanin" w:eastAsia="IRNazanin"/>
          <w:color w:val="111111"/>
          <w:sz w:val="28"/>
          <w:sz w:val="28"/>
          <w:szCs w:val="28"/>
          <w:rtl w:val="true"/>
          <w:lang w:bidi="fa-IR"/>
        </w:rPr>
        <w:t>قد عدّ من ألفاظ المطلق اسم الجنس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الأجناس من جواهرها و أعراضها و عرضياتها</w:t>
      </w:r>
      <w:r>
        <w:rPr>
          <w:rStyle w:val="FootnoteAnchor"/>
          <w:rtl w:val="true"/>
        </w:rPr>
        <w:footnoteReference w:id="536"/>
      </w:r>
      <w:r>
        <w:rPr>
          <w:rFonts w:ascii="Amiri" w:hAnsi="Amiri" w:eastAsia="Amiri" w:cs="Amiri"/>
          <w:color w:val="111111"/>
          <w:sz w:val="28"/>
          <w:sz w:val="28"/>
          <w:szCs w:val="28"/>
          <w:rtl w:val="true"/>
          <w:lang w:bidi="ar-SA"/>
        </w:rPr>
        <w:t>موضوعة لمفاهيمها بما هي هي مبهمة مهملة بلا شرط ملحوظ معها أصلاً حتّى لحاظ انّها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كلام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أسماء الأجناس موضوعة للماهية المهملة المبهمة من كلّ جهة تفقد كلّ شيء إلاّ ذاتها و ذاتياتها و لا يلاحظ معها شيء حتّى هذا اللحاظ، أي عدم لحاظ شيء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أفاض الكلام في البرهنة على ذلك، و قال ما هذا حاصله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الموضوع له في أسماء الأجناس هو نفس الماهية بما هي هي</w:t>
      </w:r>
      <w:r>
        <w:rPr>
          <w:rFonts w:eastAsia="Amiri" w:cs="Amiri" w:ascii="Amiri" w:hAnsi="Amiri"/>
          <w:color w:val="111111"/>
          <w:sz w:val="28"/>
          <w:szCs w:val="28"/>
          <w:rtl w:val="true"/>
          <w:lang w:bidi="ar-SA"/>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بشرط الإرسال و العموم البدلي حتّى يكون بشرط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عدم لحاظ شيء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يكون 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لأنّه لو كان من قبيل القسم الأوّل أي مأخوذاً فيه الشمول لما صحّ حمله على فرد خارجي كقولنا زيد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من قبيل القسم الثاني أي مأخوذاً فيها 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لحاظ شيء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يحمل أيضاً على الخارج، لأنّ جزء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لحاظ عدم اللحاظ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ذهني لا ينطبق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من كلامه الإشارة إلى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اللابشرط المقسمي و هي التي وضع اللفظ بازائها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بشرط شيء و هي الماهية بشرط الشمول و الشيوع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اللابشرط القسمي و هي الماهية الملحوظة بعدم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إجمال ما ذكره، إذ كان عليه أوّلاً ان يشرح تقسيم الماهية إلى الأقسام الثلاثة،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اللابشرط و بشرط لا و بشرط شيء، ثمّ يحكم على أسماء الأجناس بأنّها موضوعة لمقسم هذه الأقسام لا لواحد منها، و لأجل إيقاف القارئ على حقيقة التقسيم و إن كانت خارجة عن علم الأُصول نذكر تقسيم الماهية إلى الأقسام الثلاثة و نبيّن الفرق بين اللابشرط المقسمي و 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أهل المعقول الماهية إلى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مطلقة و هي اللابشرط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مخلوطة و هي البشرط شيء</w:t>
      </w:r>
      <w:r>
        <w:rPr>
          <w:rFonts w:eastAsia="Amiri" w:cs="Amiri" w:ascii="Amiri" w:hAnsi="Amiri"/>
          <w:color w:val="111111"/>
          <w:sz w:val="28"/>
          <w:szCs w:val="28"/>
          <w:rtl w:val="true"/>
          <w:lang w:bidi="ar-SA"/>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و هي البشرطلا</w:t>
      </w:r>
      <w:r>
        <w:rPr>
          <w:rFonts w:eastAsia="Amiri" w:cs="Amiri" w:ascii="Amiri" w:hAnsi="Amiri"/>
          <w:color w:val="111111"/>
          <w:sz w:val="28"/>
          <w:szCs w:val="28"/>
          <w:rtl w:val="true"/>
          <w:lang w:bidi="ar-SA"/>
        </w:rPr>
        <w:t xml:space="preserve">. </w:t>
      </w:r>
      <w:bookmarkStart w:id="1474" w:name="pg14356_187260"/>
    </w:p>
    <w:p>
      <w:pPr>
        <w:pStyle w:val="BookText"/>
        <w:rPr/>
      </w:pPr>
      <w:bookmarkEnd w:id="1474"/>
      <w:r>
        <w:rPr>
          <w:rFonts w:ascii="Amiri" w:hAnsi="Amiri" w:eastAsia="Amiri" w:cs="Amiri"/>
          <w:color w:val="111111"/>
          <w:sz w:val="28"/>
          <w:sz w:val="28"/>
          <w:szCs w:val="28"/>
          <w:rtl w:val="true"/>
          <w:lang w:bidi="ar-SA"/>
        </w:rPr>
        <w:t>قال الحكيم السبزواري</w:t>
      </w:r>
      <w:r>
        <w:rPr>
          <w:rFonts w:eastAsia="Amiri" w:cs="Amiri" w:ascii="Amiri" w:hAnsi="Amiri"/>
          <w:color w:val="111111"/>
          <w:sz w:val="28"/>
          <w:szCs w:val="28"/>
          <w:rtl w:val="true"/>
          <w:lang w:bidi="ar-SA"/>
        </w:rPr>
        <w:t>:</w:t>
      </w:r>
      <w:r>
        <w:rPr>
          <w:rStyle w:val="FootnoteAnchor"/>
          <w:rtl w:val="true"/>
        </w:rPr>
        <w:footnoteReference w:id="537"/>
      </w:r>
    </w:p>
    <w:p>
      <w:pPr>
        <w:pStyle w:val="BookText"/>
        <w:rPr/>
      </w:pPr>
      <w:r>
        <w:rPr>
          <w:rFonts w:ascii="Amiri" w:hAnsi="Amiri" w:eastAsia="Amiri" w:cs="Amiri"/>
          <w:color w:val="111111"/>
          <w:sz w:val="28"/>
          <w:sz w:val="28"/>
          <w:szCs w:val="28"/>
          <w:rtl w:val="true"/>
          <w:lang w:bidi="ar-SA"/>
        </w:rPr>
        <w:t>مطلقة، مخلوطة، مجردة عند اعتبارات عليها موردة فالحكيم السبزواري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اعتبارات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أنّ التقسيم ليس للماهية بما هي هي بل للماهية الملحوظة، و ذلك لأنّ الماهية ما لم تقع في أُفق اللحاظ و لم تر نوراً بالوجود الخارجي أو الذهني يساوق العدم فهي كالمعدوم المطلق لا يخبر عنها فلذلك قال الشيخ الرئيس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وجود له لا ماهية له، فأي حكم على الماهية فرع تنوّرها بنور الوجود و لو وجوداً ذهنياً غاية الأمر يكون الوجود الذهني مغفولاً عنه، و الإنسان يحكم عليها بواسطة تنوّرها بالوجود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هنا مقسماً باسم اللابشرط المقسمي و أقساماً ثلاثة و إليك بيانها</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7305680_3381743652"/>
      <w:bookmarkStart w:id="1476" w:name="_Toc561"/>
      <w:bookmarkEnd w:id="1475"/>
      <w:r>
        <w:rPr>
          <w:rtl w:val="true"/>
        </w:rPr>
        <w:t>اللابشرط المقسمي</w:t>
      </w:r>
      <w:bookmarkEnd w:id="1476"/>
    </w:p>
    <w:p>
      <w:pPr>
        <w:pStyle w:val="Heading6"/>
        <w:numPr>
          <w:ilvl w:val="5"/>
          <w:numId w:val="1"/>
        </w:numPr>
        <w:rPr/>
      </w:pPr>
      <w:bookmarkStart w:id="1477" w:name="__RefHeading___Toc7305682_3381743652"/>
      <w:bookmarkStart w:id="1478" w:name="_Toc562"/>
      <w:bookmarkEnd w:id="1477"/>
      <w:r>
        <w:rPr>
          <w:rtl w:val="true"/>
        </w:rPr>
        <w:t>اشارة</w:t>
      </w:r>
      <w:bookmarkEnd w:id="1478"/>
    </w:p>
    <w:p>
      <w:pPr>
        <w:pStyle w:val="BookText"/>
        <w:rPr/>
      </w:pPr>
      <w:r>
        <w:rPr>
          <w:rFonts w:ascii="Amiri" w:hAnsi="Amiri" w:eastAsia="Amiri" w:cs="Amiri"/>
          <w:color w:val="111111"/>
          <w:sz w:val="28"/>
          <w:sz w:val="28"/>
          <w:szCs w:val="28"/>
          <w:rtl w:val="true"/>
          <w:lang w:bidi="ar-SA"/>
        </w:rPr>
        <w:t>و هي عبارة عن لحاظ الماهية بذاتها و ذاتياتها مع قطع النظر عن كلّ شيء معها حتّى الوجود الذهني الذي به ظهرت، و الماهية بهذا المعنى ليست إلاّ هي لا موجودة و لا معدومة بمعنى لا انّ الوجود جزؤها و لا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الماهية بهذا المعنى مقسم للأقسام الثلاثة الآتية</w:t>
      </w:r>
      <w:r>
        <w:rPr>
          <w:rFonts w:eastAsia="Amiri" w:cs="Amiri" w:ascii="Amiri" w:hAnsi="Amiri"/>
          <w:color w:val="111111"/>
          <w:sz w:val="28"/>
          <w:szCs w:val="28"/>
          <w:rtl w:val="true"/>
          <w:lang w:bidi="ar-SA"/>
        </w:rPr>
        <w:t>:</w:t>
      </w:r>
    </w:p>
    <w:p>
      <w:pPr>
        <w:pStyle w:val="Heading6"/>
        <w:numPr>
          <w:ilvl w:val="5"/>
          <w:numId w:val="1"/>
        </w:numPr>
        <w:rPr/>
      </w:pPr>
      <w:bookmarkStart w:id="1479" w:name="__RefHeading___Toc7305684_3381743652"/>
      <w:bookmarkStart w:id="1480" w:name="_Toc563"/>
      <w:bookmarkEnd w:id="1479"/>
      <w:r>
        <w:rPr/>
        <w:t>1</w:t>
      </w:r>
      <w:r>
        <w:rPr>
          <w:rtl w:val="true"/>
        </w:rPr>
        <w:t xml:space="preserve">. </w:t>
      </w:r>
      <w:r>
        <w:rPr>
          <w:rtl w:val="true"/>
        </w:rPr>
        <w:t>الماهية البشرط شيء</w:t>
      </w:r>
      <w:bookmarkEnd w:id="1480"/>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لوحظت تلك الماهية بهذا المعنى السابق مقيسة إلى الخارج مقترنة بشيء من عوارضها كالإنسان بقيد الوجود، و الرقبة بقيد الإيمان، و العبد بشرط الكتابة، فهذا هو المسمّى بالماهية بشرط شيء</w:t>
      </w:r>
      <w:r>
        <w:rPr>
          <w:rFonts w:eastAsia="Amiri" w:cs="Amiri" w:ascii="Amiri" w:hAnsi="Amiri"/>
          <w:color w:val="111111"/>
          <w:sz w:val="28"/>
          <w:szCs w:val="28"/>
          <w:rtl w:val="true"/>
          <w:lang w:bidi="ar-SA"/>
        </w:rPr>
        <w:t xml:space="preserve">. </w:t>
      </w:r>
      <w:bookmarkStart w:id="1481" w:name="pg14356_187261"/>
    </w:p>
    <w:p>
      <w:pPr>
        <w:pStyle w:val="Heading6"/>
        <w:numPr>
          <w:ilvl w:val="5"/>
          <w:numId w:val="1"/>
        </w:numPr>
        <w:rPr/>
      </w:pPr>
      <w:bookmarkStart w:id="1482" w:name="__RefHeading___Toc7305686_3381743652"/>
      <w:bookmarkStart w:id="1483" w:name="_Toc564"/>
      <w:bookmarkEnd w:id="1481"/>
      <w:bookmarkEnd w:id="1482"/>
      <w:r>
        <w:rPr/>
        <w:t>2</w:t>
      </w:r>
      <w:r>
        <w:rPr>
          <w:rtl w:val="true"/>
        </w:rPr>
        <w:t xml:space="preserve">. </w:t>
      </w:r>
      <w:r>
        <w:rPr>
          <w:rtl w:val="true"/>
        </w:rPr>
        <w:t>الماهية البشرطلا</w:t>
      </w:r>
      <w:bookmarkEnd w:id="1483"/>
    </w:p>
    <w:p>
      <w:pPr>
        <w:pStyle w:val="BookText"/>
        <w:rPr/>
      </w:pPr>
      <w:r>
        <w:rPr>
          <w:rFonts w:ascii="Amiri" w:hAnsi="Amiri" w:eastAsia="Amiri" w:cs="Amiri"/>
          <w:color w:val="111111"/>
          <w:sz w:val="28"/>
          <w:sz w:val="28"/>
          <w:szCs w:val="28"/>
          <w:rtl w:val="true"/>
          <w:lang w:bidi="ar-SA"/>
        </w:rPr>
        <w:t>فإذا لوحظت الماهية مقيسة إلى الخارج مشروطة بعدم مقارن خاص كالإنسان بقيد عدم الوجود و الرقبة بقيد عدم الإيمان و العبد بقيد عدم الكتابة فالماهية بشرط لا</w:t>
      </w:r>
      <w:r>
        <w:rPr>
          <w:rFonts w:eastAsia="Amiri" w:cs="Amiri" w:ascii="Amiri" w:hAnsi="Amiri"/>
          <w:color w:val="111111"/>
          <w:sz w:val="28"/>
          <w:szCs w:val="28"/>
          <w:rtl w:val="true"/>
          <w:lang w:bidi="ar-SA"/>
        </w:rPr>
        <w:t>.</w:t>
      </w:r>
    </w:p>
    <w:p>
      <w:pPr>
        <w:pStyle w:val="Heading6"/>
        <w:numPr>
          <w:ilvl w:val="5"/>
          <w:numId w:val="1"/>
        </w:numPr>
        <w:rPr/>
      </w:pPr>
      <w:bookmarkStart w:id="1484" w:name="__RefHeading___Toc7305688_3381743652"/>
      <w:bookmarkStart w:id="1485" w:name="_Toc565"/>
      <w:bookmarkEnd w:id="1484"/>
      <w:r>
        <w:rPr/>
        <w:t>3</w:t>
      </w:r>
      <w:r>
        <w:rPr>
          <w:rtl w:val="true"/>
        </w:rPr>
        <w:t xml:space="preserve">. </w:t>
      </w:r>
      <w:r>
        <w:rPr>
          <w:rtl w:val="true"/>
        </w:rPr>
        <w:t>الماهية اللابشرط القسمي</w:t>
      </w:r>
      <w:bookmarkEnd w:id="1485"/>
    </w:p>
    <w:p>
      <w:pPr>
        <w:pStyle w:val="BookText"/>
        <w:rPr/>
      </w:pPr>
      <w:r>
        <w:rPr>
          <w:rFonts w:ascii="Amiri" w:hAnsi="Amiri" w:eastAsia="Amiri" w:cs="Amiri"/>
          <w:color w:val="111111"/>
          <w:sz w:val="28"/>
          <w:sz w:val="28"/>
          <w:szCs w:val="28"/>
          <w:rtl w:val="true"/>
          <w:lang w:bidi="ar-SA"/>
        </w:rPr>
        <w:t>و أمّا إذا لوحظت الماهية مقيسة إلى الخارج بلحاظ عدم شيء معها على نحو يكون ذلك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لحاظ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قيداً له فهذه هي الماهية على نحو اللابشرط القسمي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اختاره المحقّق الخراساني، و نحن نمشي في تفسير هذه المصطلحات الثلاثة في المقام على 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انّ 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بشرطاً مقسمياً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له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بشرط شيء، بشرط لا، و لا 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اللابشرط المقسمي و القسمي واضح، فانّ الأوّل عار عن كلّ قيد حتّى لحاظها في الذهن و ليست إلاّ هي هي، و لكن القسمي هي الماهية بلحاظ عدم قيد معه فيصير لحاظ عدم القيد قيداً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التشبيه فقس الفرق بينهما بالفرق بين مطلق المفعول و المفعول المطلق، فالإطلاق في القسم الأوّل ليس بقيد بل رمز عدم القيد، و لذلك يشمل الأقسام الخمسة للمفعول، بخلاف الثاني فانّ الإطلاق هناك قيد، أي تعرّيه عن كلّ قيد، قيد كقولك ضربت ضرباً، فقوله ضرباً مفعول مطلق ملحوظ بلحاظ عدم كونه مقترناً بالباء أو بمع أو بفي أو باللام أو غير ذلك</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اللابشرط القسمي هو الماهية المشروطة بلحاظ عدم </w:t>
      </w:r>
      <w:bookmarkStart w:id="1486" w:name="pg14356_187262"/>
    </w:p>
    <w:p>
      <w:pPr>
        <w:pStyle w:val="BookText"/>
        <w:rPr/>
      </w:pPr>
      <w:bookmarkEnd w:id="1486"/>
      <w:r>
        <w:rPr>
          <w:rFonts w:ascii="Amiri" w:hAnsi="Amiri" w:eastAsia="Amiri" w:cs="Amiri"/>
          <w:color w:val="111111"/>
          <w:sz w:val="28"/>
          <w:sz w:val="28"/>
          <w:szCs w:val="28"/>
          <w:rtl w:val="true"/>
          <w:lang w:bidi="ar-SA"/>
        </w:rPr>
        <w:t>لحاظ شيء، فهو يكون من أقسام الماهية بشرط شيء و الشرط هو لحاظ عدم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التقسيم الثلاثي لما كان باعتبار إضافة الماهية إلى خارجها كالوجود و الإيمان و الكتابة و غير ذلك، يكون المراد من الشيء هو الأمر الخارجي، و لا يعمّ القيد الذهني كاعتبار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لحاظ شيء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قيداً، فالماهية اللاّبشرط عارية عن القيود الخارجية و إن كانت تحمل قيداً ذهنياً، كالإطلاق، و 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لحاظ شيء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معنى الماهية البشرطلا، هو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قيداً يكون هذا القسم أيضاً داخلاً في الماهية البشرط شيء، إذ الشيء أعمّ من القيد الذهني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عن هذا الاعتراض نفس الجواب عن الاعتراض السابق، لأنّ المراد من القيود هو القيود الخارجية بشهادة انّ هذا التقسيم بلحاظ إضافة الماهية إلى خارجها التكويني، فالشيء في هذا القسم هو القيد الطارئ الخارجي فلا يعمّ القيد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بشرط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لحاظ عدم اللحاظ أو لحاظ عدم الشيء غير داخلين في لفظ الشيء الوارد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الماهية بشرط شيء </w:t>
      </w:r>
      <w:r>
        <w:rPr>
          <w:rFonts w:eastAsia="Amiri" w:cs="Amiri" w:ascii="Amiri" w:hAnsi="Amiri"/>
          <w:color w:val="111111"/>
          <w:sz w:val="28"/>
          <w:szCs w:val="28"/>
          <w:rtl w:val="true"/>
          <w:lang w:bidi="ar-SA"/>
        </w:rPr>
        <w:t>«.</w:t>
      </w:r>
    </w:p>
    <w:p>
      <w:pPr>
        <w:pStyle w:val="Heading5"/>
        <w:numPr>
          <w:ilvl w:val="4"/>
          <w:numId w:val="1"/>
        </w:numPr>
        <w:rPr/>
      </w:pPr>
      <w:bookmarkStart w:id="1487" w:name="__RefHeading___Toc7305690_3381743652"/>
      <w:bookmarkStart w:id="1488" w:name="_Toc566"/>
      <w:bookmarkEnd w:id="1487"/>
      <w:r>
        <w:rPr>
          <w:rtl w:val="true"/>
        </w:rPr>
        <w:t>تفسير السيّد الأُستاذ لتقسيم الماهية</w:t>
      </w:r>
      <w:bookmarkEnd w:id="1488"/>
    </w:p>
    <w:p>
      <w:pPr>
        <w:pStyle w:val="Heading6"/>
        <w:numPr>
          <w:ilvl w:val="5"/>
          <w:numId w:val="1"/>
        </w:numPr>
        <w:rPr/>
      </w:pPr>
      <w:bookmarkStart w:id="1489" w:name="__RefHeading___Toc7305692_3381743652"/>
      <w:bookmarkStart w:id="1490" w:name="_Toc567"/>
      <w:bookmarkEnd w:id="1489"/>
      <w:r>
        <w:rPr>
          <w:rtl w:val="true"/>
        </w:rPr>
        <w:t>اشارة</w:t>
      </w:r>
      <w:bookmarkEnd w:id="1490"/>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 تقسيم الماهيات الملحوظة إلى الأقسام الثلاثة بوجه آخر، و أفاد أنّ التقسيم ليس بحسب الماهية في مقام ذاتها، بل التقسيم باعتبار مرتبة وجودها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الموجودة إذا قيست إلى أيّ شيء فإمّا أن يكون الشيء لازم الالتحاق بها كالتحيّز بالنسبة إلى الجسمية، و الزوجية بالنسبة إلى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يكون ممتنع الالتحاق، كالتجرّد عن المكان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ممكن الالتحاق، كالبياض بالنسبة إلى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هي الماهية بشرط شيء، و الثاني هي الماهية بشرط لا، و الثالثة هي الماهية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راجع إلى تقسيم عوارض الوجود و أنّها لا تخلو عن حالات ثلاث، من ممكن الالتحاق، إلى ممتنعه و لازمه، و البحث في تقسيم الماهية إلى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البحث في تقسيم نفس الماهية أو الملحوظة لا في الماهية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التقسيم ليس تلاعباً بالألفاظ كما حسبه، بل هذا التقسيم لأجل إيجاد الفرق بين النوع و الجنس و الفصل و المادة و الصورة و إلاّ يلزم أن يكون جميع المباحث الدارجة في باب الماهيات تلاعباً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الحيوان على فرض اللابشرط جنس، و على فرض بشرط لا مادة، و على فرض بشرط شيء نوع و المفهوم منه في كلّ موطن، يغاير المفهوم منه في موطن آخر، كما أنّ الناطق على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و على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بشرط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صورة، و أمّا ما هو المراد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اللابشرط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الجنس و الفصل، 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البشرطلا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المادة و الصورة فموكول بيانه إلى محله</w:t>
      </w:r>
      <w:r>
        <w:rPr>
          <w:rFonts w:eastAsia="Amiri" w:cs="Amiri" w:ascii="Amiri" w:hAnsi="Amiri"/>
          <w:color w:val="111111"/>
          <w:sz w:val="28"/>
          <w:szCs w:val="28"/>
          <w:rtl w:val="true"/>
          <w:lang w:bidi="ar-SA"/>
        </w:rPr>
        <w:t>.</w:t>
      </w:r>
      <w:r>
        <w:rPr>
          <w:rStyle w:val="FootnoteAnchor"/>
          <w:rtl w:val="true"/>
        </w:rPr>
        <w:footnoteReference w:id="538"/>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ينبغي الكلام في موضعين</w:t>
      </w:r>
      <w:r>
        <w:rPr>
          <w:rFonts w:eastAsia="Amiri" w:cs="Amiri" w:ascii="Amiri" w:hAnsi="Amiri"/>
          <w:color w:val="111111"/>
          <w:sz w:val="28"/>
          <w:szCs w:val="28"/>
          <w:rtl w:val="true"/>
          <w:lang w:bidi="ar-SA"/>
        </w:rPr>
        <w:t xml:space="preserve">: </w:t>
      </w:r>
      <w:bookmarkStart w:id="1491" w:name="pg14356_187264"/>
    </w:p>
    <w:p>
      <w:pPr>
        <w:pStyle w:val="Heading6"/>
        <w:numPr>
          <w:ilvl w:val="5"/>
          <w:numId w:val="1"/>
        </w:numPr>
        <w:rPr/>
      </w:pPr>
      <w:bookmarkStart w:id="1492" w:name="__RefHeading___Toc7305694_3381743652"/>
      <w:bookmarkStart w:id="1493" w:name="_Toc568"/>
      <w:bookmarkEnd w:id="1491"/>
      <w:bookmarkEnd w:id="1492"/>
      <w:r>
        <w:rPr>
          <w:rtl w:val="true"/>
        </w:rPr>
        <w:t>الأوّل</w:t>
      </w:r>
      <w:r>
        <w:rPr>
          <w:rtl w:val="true"/>
        </w:rPr>
        <w:t xml:space="preserve">: </w:t>
      </w:r>
      <w:r>
        <w:rPr>
          <w:rtl w:val="true"/>
        </w:rPr>
        <w:t>ما هو الموضوع له لأسماء الأجناس؟</w:t>
      </w:r>
      <w:bookmarkEnd w:id="1493"/>
    </w:p>
    <w:p>
      <w:pPr>
        <w:pStyle w:val="BookText"/>
        <w:rPr/>
      </w:pPr>
      <w:r>
        <w:rPr>
          <w:rFonts w:ascii="Amiri" w:hAnsi="Amiri" w:eastAsia="Amiri" w:cs="Amiri"/>
          <w:color w:val="111111"/>
          <w:sz w:val="28"/>
          <w:sz w:val="28"/>
          <w:szCs w:val="28"/>
          <w:rtl w:val="true"/>
          <w:lang w:bidi="ar-SA"/>
        </w:rPr>
        <w:t>ذهب المشهور إلى أنّ أسماء الأجناس موضوعة للماهية المطلقة على وجه يكون الإطلاق قيداً للمعنى و رتّبوا على ذلك أنّ تقييد المطلق يستلزم المجازية، فإذا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مؤمنة فالقيد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تضيق دائرة المطلق و يخصّه بالمقيّد، و على هذا فالمطلق موضوع للا 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المعروف قبل السيد سلطان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من ردّ هذه النظرية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اسم الجنس موضوع للماهية من حيث هي هي دون أن يكون الإطلاق قيداً للمعنى فالمطلق عنده موضوع للا بشرط المقسمي، و قد أشار إلى ذلك في حاشيته على المعالم و نقله الشيخ في مطارحه بما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يمكن العمل بالمطلق و المقيد من دون إخراج عن حقيقته بأن يعمل بالمقيد و يبقى المطلق على إطلاقه، فلا يجب ارتكاب مجاز حتّى يجعل ذلك وظيفة المطلق، فانّ مدلول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صحّة العمل بأيّ فرد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ينافي مدلول المقيد، بل هو أعمّ منه و مما يصلح للتقييد، بل المقيد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معروض للقيد كقولنا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رقبة مؤمنة، و إلاّ لزم حصول المقيد بدون المطلق مع أنّه لا يصلح لأيّ رقبة كانت فظهر انّ مقتضى المطلق ليس ذلك و إلاّ لم يتخلّف فيه</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و رتّب على ذلك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تقييد المطلق لا يوجب المجازيّة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انعقاد الإطلاق فرع تمامية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أخذه المتأخرون بعد السلطان فقالوا بأنّ المطلق موضوع للاّبشرط المقسمي أي موضوع للماهية بما هي هي من دون أن يكون فيه قيد كالإطلاق، و ممن اختار هذا النظر المحقّق الخراساني فذهب إلى أنّ الوضع في أسماء الأجناس عام و الموضوع له عام و انّ الواضع لاحظ الماهية من حيث هي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اللفظ لها و قال ما هذا 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تفقد كلّ شيء إلاّ ذاته و ذاتياته فوضع اللفظ عليها و هي المعبر عنها باللابشرط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الموضوع هو الماهية الملحوظة بما هي هي التي ليست إلاّ هي، فيكون اللحاظ جزء المعنى و هو أمر ذهني، فيلزم عدم صحّة حمل الإنسان على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اللحاظ ليس جزء المعنى الموضوع، بل هو عبارة عن نفس الماهية لكنّها بما انّها لا تقع في أُفق الذهن، ما لم يتنوّر بنور الوجود، فالواضع يتوسل باللحاظ، لأجل تصورها و إدخالها من أُفق التصوّر، ثمّ يضع اللفظ لنفس الملحوظ، لا بقيد اللحاظ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أردت التنزيل و التشبيه فلاحظ لازم الماهية،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الزوجية بالنسبة إلى الأربعة، فانّ وجود الماهية في الخارج أو الذهن شرط لظهور الملازمة، لا لثبوتها فالزوجية أمر لا ينفك عن الأربعة في أي موطن من المواطن، لكن وجه اللزوم ليس دخيلاً في أصل الملازمة، بل دخيل في ظهورها و لو افترض انفكاك الأربعة عن الوجود مطلقاً، لكانت الزوجية معها</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أبطلوا القول بأنّ الزوجية من قبيل لازم الوجودين لا من قبيل لازم الماهية، ببيان أنّها من قبيل لازم الماهية، غاية الأمر انّ ظهور الملازمة رهن تنوّر </w:t>
      </w:r>
      <w:bookmarkStart w:id="1494" w:name="pg14356_187266"/>
    </w:p>
    <w:p>
      <w:pPr>
        <w:pStyle w:val="BookText"/>
        <w:rPr/>
      </w:pPr>
      <w:bookmarkEnd w:id="1494"/>
      <w:r>
        <w:rPr>
          <w:rFonts w:ascii="Amiri" w:hAnsi="Amiri" w:eastAsia="Amiri" w:cs="Amiri"/>
          <w:color w:val="111111"/>
          <w:sz w:val="28"/>
          <w:sz w:val="28"/>
          <w:szCs w:val="28"/>
          <w:rtl w:val="true"/>
          <w:lang w:bidi="ar-SA"/>
        </w:rPr>
        <w:t>الماهية بالوجود لا بثبوتها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المقام، فالموضوع هو ذات الماهية، لكن الطريق إلى تصورها عارية عن كلّ قيد، رهن لحاظها في الذهن على نحو يكون اللحاظ أمراً مغفولاً عنه، و غير المغفول، هو ذاتها من حيث هي هي</w:t>
      </w:r>
      <w:r>
        <w:rPr>
          <w:rFonts w:eastAsia="Amiri" w:cs="Amiri" w:ascii="Amiri" w:hAnsi="Amiri"/>
          <w:color w:val="111111"/>
          <w:sz w:val="28"/>
          <w:szCs w:val="28"/>
          <w:rtl w:val="true"/>
          <w:lang w:bidi="ar-SA"/>
        </w:rPr>
        <w:t>.</w:t>
      </w:r>
    </w:p>
    <w:p>
      <w:pPr>
        <w:pStyle w:val="Heading6"/>
        <w:numPr>
          <w:ilvl w:val="5"/>
          <w:numId w:val="1"/>
        </w:numPr>
        <w:rPr/>
      </w:pPr>
      <w:bookmarkStart w:id="1495" w:name="__RefHeading___Toc7305696_3381743652"/>
      <w:bookmarkStart w:id="1496" w:name="_Toc569"/>
      <w:bookmarkEnd w:id="1495"/>
      <w:r>
        <w:rPr>
          <w:rtl w:val="true"/>
        </w:rPr>
        <w:t>الثاني</w:t>
      </w:r>
      <w:r>
        <w:rPr>
          <w:rtl w:val="true"/>
        </w:rPr>
        <w:t xml:space="preserve">: </w:t>
      </w:r>
      <w:r>
        <w:rPr>
          <w:rtl w:val="true"/>
        </w:rPr>
        <w:t>ما هو المراد من الكلّي الطبيعي؟</w:t>
      </w:r>
      <w:bookmarkEnd w:id="1496"/>
    </w:p>
    <w:p>
      <w:pPr>
        <w:pStyle w:val="BookText"/>
        <w:rPr/>
      </w:pPr>
      <w:r>
        <w:rPr>
          <w:rFonts w:ascii="Amiri" w:hAnsi="Amiri" w:eastAsia="Amiri" w:cs="Amiri"/>
          <w:color w:val="111111"/>
          <w:sz w:val="28"/>
          <w:sz w:val="28"/>
          <w:szCs w:val="28"/>
          <w:rtl w:val="true"/>
          <w:lang w:bidi="ar-SA"/>
        </w:rPr>
        <w:t>إنّ علماء المنطق قسّموا الكلّي إلى أقسام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 منطقي، و هو مفهوم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يصدق على كثيرين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 طبيعي، و هو مصداق الكلّي المنطقي كالإنسان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كلّي عقلي و هو المجموع من الكلّي المنطقي و الطبيعي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فعندئذ يقع السؤال في أنّ الكلّي الطبيعي هل هو نفس اللابشرط المقسمي، أو نفس اللابشرط القسمي؟ الظاهر من الحكيم السبزواري هو الأوّل،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بكلّ طبيعي وُصف و كونه من كون قسميه كُشف أي نحن نستكشف من وجود القسمين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بشرط شيء و الماهية اللابشرط دليل واضح على وجود المقسم و هو اللابشرط المقسمي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فالكلّي الطبيعي هو الماهية الملحوظة في الذهن بما هي هي، أي بذاتها و ذاتياتها دون لحاظ أي شيء معها حتّى هذا اللحاظ</w:t>
      </w:r>
      <w:r>
        <w:rPr>
          <w:rFonts w:eastAsia="Amiri" w:cs="Amiri" w:ascii="Amiri" w:hAnsi="Amiri"/>
          <w:color w:val="111111"/>
          <w:sz w:val="28"/>
          <w:szCs w:val="28"/>
          <w:rtl w:val="true"/>
          <w:lang w:bidi="ar-SA"/>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المحقّق النائيني إلى أنّ المراد منه هو اللابشرط القسمي، و لا يمكن جعله من اللابشرط المقسمي، و ذلك لأنّ الكلّي الطبيعي عبارة عن حقيقة الشيء الذي يقال في جواب ما هو و الجامع بين جميع المتّفقة الحقيقة من الأفراد الخارجيّة </w:t>
      </w:r>
    </w:p>
    <w:p>
      <w:pPr>
        <w:pStyle w:val="BookText"/>
        <w:rPr/>
      </w:pPr>
      <w:r>
        <w:rPr>
          <w:rFonts w:ascii="Amiri" w:hAnsi="Amiri" w:eastAsia="Amiri" w:cs="Amiri"/>
          <w:color w:val="111111"/>
          <w:sz w:val="28"/>
          <w:sz w:val="28"/>
          <w:szCs w:val="28"/>
          <w:rtl w:val="true"/>
          <w:lang w:bidi="ar-SA"/>
        </w:rPr>
        <w:t>الفعليّة و ما يفرض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الماهيّة بشرط لا عبارة عن الماهيّة المجرّدة عن كلّ خصوصيّة حتّى خصوصيّة وجوده الذّهني، و ليست الماهيّة بشرط لا من أفراد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الكلّي الطّبيعي هو اللاّبشرط المقسمي يلزم أن تكون الماهيّة بشرط لا من أفراد الحقيقة، لما عرفت من أنّ الكلّي الطّبيعيّ عبارة عن الحقيقة الجامعة بين الأفراد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الإنسان بشرط لا، مثلاً من أفراد حقيقة الإنسان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المقسم هي الحقيقة الجامعة، و أفرادها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الماهيّة بشرط لا، و بشرط شيء، و لا بشرط، فلا بدّ أن يكون الكلّي الطّبيعي هو اللاّبشرط القسمي الّذي يكون تمام حقيقة الأفراد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بحث آخر لا يرتبط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يمنع عن صدق الكلّي الطبيعي على الأفراد الخارجية هو القيد المأخوذ فيه،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كونه مجرّداً عن الوجود، و الماهية بهذا القيد يمتنع صدقها على الأفراد، و هذا لا يمنع أن تكون بنفسها و مجرّدة عن ذاك، صادقة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القيد المأخوذ في بعض الأقسام يمنع المقسم عن الانطباق على الخارج، و هذا لا يمنع عن كون المقسم قابلاً له في حدّ ذاته، هذا واضح لا سترة عليه</w:t>
      </w:r>
      <w:r>
        <w:rPr>
          <w:rFonts w:eastAsia="Amiri" w:cs="Amiri" w:ascii="Amiri" w:hAnsi="Amiri"/>
          <w:color w:val="111111"/>
          <w:sz w:val="28"/>
          <w:szCs w:val="28"/>
          <w:rtl w:val="true"/>
          <w:lang w:bidi="ar-SA"/>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المراد من الجامع ليس هو الجامع الخارجي، بداهة أنّ الشيء الخارجي بوصف الوجود يمتنع أن يكون جامعاً إذ الوجود، ملاك التشخّص و الوحدة، و الجامع على الطرف النقيض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 اشتراك زيد و عمرو في الإنسانية هو الاشتراك في مفهوم الإنسان الصادق على كلّ واحد، لا الاشتراك في الإنسانية المشخَّصة</w:t>
      </w:r>
      <w:r>
        <w:rPr>
          <w:rFonts w:eastAsia="Amiri" w:cs="Amiri" w:ascii="Amiri" w:hAnsi="Amiri"/>
          <w:color w:val="111111"/>
          <w:sz w:val="28"/>
          <w:szCs w:val="28"/>
          <w:rtl w:val="true"/>
          <w:lang w:bidi="ar-SA"/>
        </w:rPr>
        <w:t xml:space="preserve">. </w:t>
      </w:r>
      <w:bookmarkStart w:id="1497" w:name="pg14356_187268"/>
    </w:p>
    <w:p>
      <w:pPr>
        <w:pStyle w:val="Heading5"/>
        <w:numPr>
          <w:ilvl w:val="4"/>
          <w:numId w:val="1"/>
        </w:numPr>
        <w:rPr/>
      </w:pPr>
      <w:bookmarkStart w:id="1498" w:name="__RefHeading___Toc7305698_3381743652"/>
      <w:bookmarkStart w:id="1499" w:name="_Toc570"/>
      <w:bookmarkEnd w:id="1497"/>
      <w:bookmarkEnd w:id="1498"/>
      <w:r>
        <w:rPr>
          <w:rtl w:val="true"/>
        </w:rPr>
        <w:t>نظرنا في أسماء الأجناس</w:t>
      </w:r>
      <w:bookmarkEnd w:id="1499"/>
    </w:p>
    <w:p>
      <w:pPr>
        <w:pStyle w:val="BookText"/>
        <w:rPr/>
      </w:pPr>
      <w:r>
        <w:rPr>
          <w:rFonts w:ascii="Amiri" w:hAnsi="Amiri" w:eastAsia="Amiri" w:cs="Amiri"/>
          <w:color w:val="111111"/>
          <w:sz w:val="28"/>
          <w:sz w:val="28"/>
          <w:szCs w:val="28"/>
          <w:rtl w:val="true"/>
          <w:lang w:bidi="ar-SA"/>
        </w:rPr>
        <w:t>إنّ مختار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الأجناس موضوعة للماهية بما هي هي مجرّدة عن الوجود و العدم و عن عامة العوارض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يخلو عن إشكال، و يعلم ذلك مَن وقف على نشوء اللغات في المجتمع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وضع اللفظ للماهية بالنحو المذكور عمل الحكيم و الفيلسوف الذي يستطيع أن يتصوّر الموضوع له عارياً عن كلّ قيد ثمّ يضع اللفظ بازائها، و الظاهر انّ الواضع في أكثر اللغات لم يكن إنساناً حكيماً عارفاً بتجريد الماهية عن الوجود و تصوّرها عن كلّ قيد، بل الظاهر أنّ أسماء الأجناس من يومها الأوّل وضع لفرد خارجي ثمّ إذا قابل الواضع بفرد هو نظيره، يطلقُ عليه ذلك اللفظ لما بينهما من المشابهة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يستمر الأمر حتّى يحصل له وضع ثانوي حسب كثرة الاستعمالات فينقل اللفظ من المعنى الأوّل إلى الجامع بين هذه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في شكّ من ذلك فلاحظ ألفاظ أرباب الاختراع كالسيارة و المذياع و التلفاز إلى غير ذلك، فانّ المخترع ينتخب لفظاً لما اخترعه فيكون الوضع خاصاً لكون الملحوظ خاصاً و يضع اللفظ لما اخترعه و يكون الموضوع له خاصاً أيضاً، لكن حسب تكرر الاستعمال في أشباه ما وضع له، يحصل الوضع التعيني للجامع بين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تعرف انّ الموضوع له كالوضع كان خاصاً و لكن مرور الزمان و كثرة الاستعمال صار سبباً لنقله القهري من الموضوع له الخاص إلى الموضوع له العام</w:t>
      </w:r>
      <w:r>
        <w:rPr>
          <w:rFonts w:eastAsia="Amiri" w:cs="Amiri" w:ascii="Amiri" w:hAnsi="Amiri"/>
          <w:color w:val="111111"/>
          <w:sz w:val="28"/>
          <w:szCs w:val="28"/>
          <w:rtl w:val="true"/>
          <w:lang w:bidi="ar-SA"/>
        </w:rPr>
        <w:t>.</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احتمال آخر و هو أن يكون الوضع خاصاً و الموضوع له عاماً من أوّل </w:t>
      </w:r>
      <w:bookmarkStart w:id="1500" w:name="pg14356_187269"/>
    </w:p>
    <w:p>
      <w:pPr>
        <w:pStyle w:val="BookText"/>
        <w:rPr/>
      </w:pPr>
      <w:bookmarkEnd w:id="1500"/>
      <w:r>
        <w:rPr>
          <w:rFonts w:ascii="Amiri" w:hAnsi="Amiri" w:eastAsia="Amiri" w:cs="Amiri"/>
          <w:color w:val="111111"/>
          <w:sz w:val="28"/>
          <w:sz w:val="28"/>
          <w:szCs w:val="28"/>
          <w:rtl w:val="true"/>
          <w:lang w:bidi="ar-SA"/>
        </w:rPr>
        <w:t>الأمر، و قد أثبتنا إمكانه في محلّه بمعنى أن يكون الملحوظ شيئاً معيّناً و لكن الموضوع له أمراً عاماً،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يتصوّر المخترعُ المذياع الماثل أمامه و يضع تلك اللفظة لكلّ ما يماثله في الهيئة و الأثر، فيكون استعماله في غير الماثل أمامَه حقيقياً أيضاً</w:t>
      </w:r>
      <w:r>
        <w:rPr>
          <w:rFonts w:eastAsia="Amiri" w:cs="Amiri" w:ascii="Amiri" w:hAnsi="Amiri"/>
          <w:color w:val="111111"/>
          <w:sz w:val="28"/>
          <w:szCs w:val="28"/>
          <w:rtl w:val="true"/>
          <w:lang w:bidi="ar-SA"/>
        </w:rPr>
        <w:t>.</w:t>
      </w:r>
    </w:p>
    <w:p>
      <w:pPr>
        <w:pStyle w:val="Heading5"/>
        <w:numPr>
          <w:ilvl w:val="4"/>
          <w:numId w:val="1"/>
        </w:numPr>
        <w:rPr/>
      </w:pPr>
      <w:bookmarkStart w:id="1501" w:name="__RefHeading___Toc7305700_3381743652"/>
      <w:bookmarkStart w:id="1502" w:name="_Toc571"/>
      <w:bookmarkEnd w:id="1501"/>
      <w:r>
        <w:rPr>
          <w:rtl w:val="true"/>
        </w:rPr>
        <w:t>اسم الجنس موضوع للماهية الموجودة</w:t>
      </w:r>
      <w:bookmarkEnd w:id="1502"/>
    </w:p>
    <w:p>
      <w:pPr>
        <w:pStyle w:val="BookText"/>
        <w:rPr/>
      </w:pPr>
      <w:r>
        <w:rPr>
          <w:rFonts w:ascii="Amiri" w:hAnsi="Amiri" w:eastAsia="Amiri" w:cs="Amiri"/>
          <w:color w:val="111111"/>
          <w:sz w:val="28"/>
          <w:sz w:val="28"/>
          <w:szCs w:val="28"/>
          <w:rtl w:val="true"/>
          <w:lang w:bidi="ar-SA"/>
        </w:rPr>
        <w:t>و هذه هي النظرية الثالثة في تصوير اسم الجنس و هي انّ الإنسان و الشجر و الغنم موضوع للماهية الموجودة من هذا النوع، لأنّ الغاية من الوضع هو إلفات ذهن المخاطب إلى ما يرفع حاجته و يسدّ خُلّته، و الماهية المجردة لا تسمن و لا تغني من جوع، فالذي يسدّ خُلَّة المخاطب هو الفرد الموجود من الماء و النار و غيرهما لا المفهوم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الغاية من الوضع تُحدِّد الموضوعَ له و الغاية من الوضع في قسم من المحاورات هو احضار الأشياء التي ترفع الحاجة،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فهو يطلب الماء الذي يرفع عطشه و ليس إلاّ الماء الموجود بوجوده السّعِيّ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الوجود جزء الموضوع له يلزم انقلاب القضايا الممكنة إلى الضرورية، فإذا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موجود، يكون معناه الإنسان الموجود موجود و يكون من قبيل الضرورة بشرط المحمول فمثله ليس موجوداً بالإمكان، بل موجود بالضرورة مع أنّا نرى أنّ جهة الحمل في هذه القضايا هي الإمكان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مناص في هذه القضايا من تجريد المبتدأ عن الوجود عند حمل الموجود عليه</w:t>
      </w:r>
      <w:r>
        <w:rPr>
          <w:rFonts w:eastAsia="Amiri" w:cs="Amiri" w:ascii="Amiri" w:hAnsi="Amiri"/>
          <w:color w:val="111111"/>
          <w:sz w:val="28"/>
          <w:szCs w:val="28"/>
          <w:rtl w:val="true"/>
          <w:lang w:bidi="ar-SA"/>
        </w:rPr>
        <w:t>.</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التجريد خلاف الوجدان أوّلاً و يلزم المجازية في ناحية الموضوع له، لأنّ اللفظ الموضوع للكلّ استعمل في الجزء و ذلك خلاف الوجدان</w:t>
      </w:r>
      <w:r>
        <w:rPr>
          <w:rFonts w:eastAsia="Amiri" w:cs="Amiri" w:ascii="Amiri" w:hAnsi="Amiri"/>
          <w:color w:val="111111"/>
          <w:sz w:val="28"/>
          <w:szCs w:val="28"/>
          <w:rtl w:val="true"/>
          <w:lang w:bidi="ar-SA"/>
        </w:rPr>
        <w:t xml:space="preserve">. </w:t>
      </w:r>
      <w:bookmarkStart w:id="1503" w:name="pg14356_187270"/>
    </w:p>
    <w:p>
      <w:pPr>
        <w:pStyle w:val="BookText"/>
        <w:rPr/>
      </w:pPr>
      <w:bookmarkEnd w:id="1503"/>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الغاية و إن كان صحيحاً و لكنّه لا يكون دليلاً على أخذ الوجود في الموضوع له، بل يكفي أن يكون الإيجاد غاية للأمر،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فهو قرينة على أنّ طلب السقي أو البعث إلى السقي لغاية تحصيله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فالبعث يتعلّق بالماهية المعرّاة عن الوجود لكن لغاية إيجاده، و قد مرّ الكلام فيه، في مبحث تعلّق الأحكام بالطبائع</w:t>
      </w:r>
      <w:r>
        <w:rPr>
          <w:rFonts w:eastAsia="Amiri" w:cs="Amiri" w:ascii="Amiri" w:hAnsi="Amiri"/>
          <w:color w:val="111111"/>
          <w:sz w:val="28"/>
          <w:szCs w:val="28"/>
          <w:rtl w:val="true"/>
          <w:lang w:bidi="ar-SA"/>
        </w:rPr>
        <w:t>.</w:t>
      </w:r>
    </w:p>
    <w:p>
      <w:pPr>
        <w:pStyle w:val="Heading4"/>
        <w:numPr>
          <w:ilvl w:val="3"/>
          <w:numId w:val="1"/>
        </w:numPr>
        <w:rPr/>
      </w:pPr>
      <w:bookmarkStart w:id="1504" w:name="__RefHeading___Toc7305702_3381743652"/>
      <w:bookmarkStart w:id="1505" w:name="_Toc572"/>
      <w:bookmarkEnd w:id="1504"/>
      <w:r>
        <w:rPr/>
        <w:t>2</w:t>
      </w:r>
      <w:r>
        <w:rPr>
          <w:rtl w:val="true"/>
        </w:rPr>
        <w:t xml:space="preserve">. </w:t>
      </w:r>
      <w:r>
        <w:rPr>
          <w:rtl w:val="true"/>
        </w:rPr>
        <w:t>علم الجنس</w:t>
      </w:r>
      <w:bookmarkEnd w:id="1505"/>
    </w:p>
    <w:p>
      <w:pPr>
        <w:pStyle w:val="Heading5"/>
        <w:numPr>
          <w:ilvl w:val="4"/>
          <w:numId w:val="1"/>
        </w:numPr>
        <w:rPr/>
      </w:pPr>
      <w:bookmarkStart w:id="1506" w:name="__RefHeading___Toc7305704_3381743652"/>
      <w:bookmarkStart w:id="1507" w:name="_Toc573"/>
      <w:bookmarkEnd w:id="1506"/>
      <w:r>
        <w:rPr>
          <w:rtl w:val="true"/>
        </w:rPr>
        <w:t>اشارة</w:t>
      </w:r>
      <w:bookmarkEnd w:id="1507"/>
    </w:p>
    <w:p>
      <w:pPr>
        <w:pStyle w:val="BookText"/>
        <w:rPr/>
      </w:pPr>
      <w:r>
        <w:rPr>
          <w:rFonts w:ascii="Amiri" w:hAnsi="Amiri" w:eastAsia="Amiri" w:cs="Amiri"/>
          <w:color w:val="111111"/>
          <w:sz w:val="28"/>
          <w:sz w:val="28"/>
          <w:szCs w:val="28"/>
          <w:rtl w:val="true"/>
          <w:lang w:bidi="ar-SA"/>
        </w:rPr>
        <w:t>إنّ في لغة العرب أسماءً ترادف أسماء الأجناس مفهوماً و لكن يعامل معها معاملة المعرفة فتقع مبتدأ، و ذا حال و من المعلوم اشتراط التعريف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كالثعلب و الثعالة، و الأسد و أُسامة، و العقرب و أُم عريط حيث إنّ الثاني يقع مبتدأ و يجيء منه الحال بخلاف الأوّل، و هذا ما دعاهم إلى تسمية هذا النوع من الألفاظ بعلم الجنس، و في الوقت نفسه عدّها من ألفاظ المطلق كاسم الجنس يقول ابن مالك في ألفيته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وضعوا لبعض الأجناس علم كاعلم الأشخاص لفظاً و هو عمّ</w:t>
      </w:r>
    </w:p>
    <w:p>
      <w:pPr>
        <w:pStyle w:val="BookText"/>
        <w:rPr/>
      </w:pPr>
      <w:r>
        <w:rPr>
          <w:rFonts w:ascii="Amiri" w:hAnsi="Amiri" w:eastAsia="Amiri" w:cs="Amiri"/>
          <w:color w:val="111111"/>
          <w:sz w:val="28"/>
          <w:sz w:val="28"/>
          <w:szCs w:val="28"/>
          <w:rtl w:val="true"/>
          <w:lang w:bidi="ar-SA"/>
        </w:rPr>
        <w:t>من ذاك أُم عريط للعقرب و هكذا ثعالة للثعلب</w:t>
      </w:r>
    </w:p>
    <w:p>
      <w:pPr>
        <w:pStyle w:val="BookText"/>
        <w:rPr/>
      </w:pPr>
      <w:r>
        <w:rPr>
          <w:rFonts w:ascii="Amiri" w:hAnsi="Amiri" w:eastAsia="Amiri" w:cs="Amiri"/>
          <w:color w:val="111111"/>
          <w:sz w:val="28"/>
          <w:sz w:val="28"/>
          <w:szCs w:val="28"/>
          <w:rtl w:val="true"/>
          <w:lang w:bidi="ar-SA"/>
        </w:rPr>
        <w:t>و مثله بَرّة للمبرّة كذا فجارُ علم للفجْرة</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و قد وقع الكلام في سبب عد علم الجنس معرفة و ما هو الفارق بين اسم الجنس و علمه حتّى يوصف الثاني بالمعرفة دون الأوّل، فهناك أقوال</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7305706_3381743652"/>
      <w:bookmarkStart w:id="1509" w:name="_Toc574"/>
      <w:bookmarkEnd w:id="1508"/>
      <w:r>
        <w:rPr>
          <w:rtl w:val="true"/>
        </w:rPr>
        <w:t>الأوّل</w:t>
      </w:r>
      <w:r>
        <w:rPr>
          <w:rtl w:val="true"/>
        </w:rPr>
        <w:t xml:space="preserve">: </w:t>
      </w:r>
      <w:r>
        <w:rPr>
          <w:rtl w:val="true"/>
        </w:rPr>
        <w:t>التعريف لفظي،</w:t>
      </w:r>
      <w:bookmarkEnd w:id="1509"/>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خيرة الرضي في شرحه على الكافية،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1510" w:name="pg14356_187271"/>
    </w:p>
    <w:p>
      <w:pPr>
        <w:pStyle w:val="BookText"/>
        <w:rPr/>
      </w:pPr>
      <w:bookmarkEnd w:id="1510"/>
      <w:r>
        <w:rPr>
          <w:rFonts w:ascii="Amiri" w:hAnsi="Amiri" w:eastAsia="Amiri" w:cs="Amiri"/>
          <w:color w:val="111111"/>
          <w:sz w:val="28"/>
          <w:sz w:val="28"/>
          <w:szCs w:val="28"/>
          <w:rtl w:val="true"/>
          <w:lang w:bidi="ar-SA"/>
        </w:rPr>
        <w:t>كون علم الجنس معرفة مثل كون الشمس مؤنثاً، فكما أنّ التأنيث ينقسم إلى حقيقي و مجازي، كذلك التعريف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كالأعلام الشخصية، و مجازي كعلم الجنس، أي يعاملون معه معاملة المعرفة من صحّة وقوعه مبتدأ و ذا حال</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لعلم الشخص حكمين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معنوي، و الآخر لفظي، و الأوّل و هو انّه يطلق و يراد به واحد بعينه كزيد و أحمد، و الثاني صحّة مجيء الحال متأخرة عنه كما يقال جاءني زيد ضاحكاً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الجنس له الحكم الثاني فقط فهو نكرة و لكن يجيء منه الحال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أُسامة مقبلاً، و لا تدخل عليه الألف و اللام فلا تقول هذه الأُسامة، و يقع مبتدأ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مقبل و ثعالة هارب، كما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حاضر و خالد مسافر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التأنيث على قسمين فهكذا التعريف على قسمين، و هذا هو المفهوم من كتب الأدب</w:t>
      </w:r>
      <w:r>
        <w:rPr>
          <w:rFonts w:eastAsia="Amiri" w:cs="Amiri" w:ascii="Amiri" w:hAnsi="Amiri"/>
          <w:color w:val="111111"/>
          <w:sz w:val="28"/>
          <w:szCs w:val="28"/>
          <w:rtl w:val="true"/>
          <w:lang w:bidi="ar-SA"/>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 لو اقتصر الأُصوليون في مقام التفريق بين اسم الجنس و علم الجنس على ما ذكره الأُدباء لكان أحسن غير أنّهم ذكروا في وجه تعريفه وجوهاً أُخرى نأتي بها تباعاً</w:t>
      </w:r>
      <w:r>
        <w:rPr>
          <w:rFonts w:eastAsia="Amiri" w:cs="Amiri" w:ascii="Amiri" w:hAnsi="Amiri"/>
          <w:color w:val="111111"/>
          <w:sz w:val="28"/>
          <w:szCs w:val="28"/>
          <w:rtl w:val="true"/>
          <w:lang w:bidi="ar-SA"/>
        </w:rPr>
        <w:t>.</w:t>
      </w:r>
    </w:p>
    <w:p>
      <w:pPr>
        <w:pStyle w:val="Heading5"/>
        <w:numPr>
          <w:ilvl w:val="4"/>
          <w:numId w:val="1"/>
        </w:numPr>
        <w:rPr/>
      </w:pPr>
      <w:bookmarkStart w:id="1511" w:name="__RefHeading___Toc7305708_3381743652"/>
      <w:bookmarkStart w:id="1512" w:name="_Toc575"/>
      <w:bookmarkEnd w:id="1511"/>
      <w:r>
        <w:rPr>
          <w:rtl w:val="true"/>
        </w:rPr>
        <w:t>الثاني</w:t>
      </w:r>
      <w:r>
        <w:rPr>
          <w:rtl w:val="true"/>
        </w:rPr>
        <w:t xml:space="preserve">: </w:t>
      </w:r>
      <w:r>
        <w:rPr>
          <w:rtl w:val="true"/>
        </w:rPr>
        <w:t>أنّه موضوع للطبيعة المتعيّنة في الذهن</w:t>
      </w:r>
      <w:bookmarkEnd w:id="1512"/>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ربما يقال انّه موضوع للطبيعة لا بما هي هي، بل بما هي متعيّنة بالتعيّن الذهني، و لذا يعامل معه معاملة المعرفة بدون أداة التعريف، و العجب انّ المحقّق </w:t>
      </w:r>
      <w:bookmarkStart w:id="1513" w:name="pg14356_187272"/>
    </w:p>
    <w:p>
      <w:pPr>
        <w:pStyle w:val="BookText"/>
        <w:rPr/>
      </w:pPr>
      <w:bookmarkEnd w:id="1513"/>
      <w:r>
        <w:rPr>
          <w:rFonts w:ascii="Amiri" w:hAnsi="Amiri" w:eastAsia="Amiri" w:cs="Amiri"/>
          <w:color w:val="111111"/>
          <w:sz w:val="28"/>
          <w:sz w:val="28"/>
          <w:szCs w:val="28"/>
          <w:rtl w:val="true"/>
          <w:lang w:bidi="ar-SA"/>
        </w:rPr>
        <w:t>الخراساني نسب هذا إلى أهل العربية مع أنّ المختار عندهم هو الوجه السابق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المحقّق الخراساني بأنّ الموضوع له في اسم الجنس و علم الجنس أمر واحد و القول بأنّ الثاني موضوع للماهية المتعيّنة يستلزم عدم صدقه على الخارج، فلا يصحّ أن يقال هذا أُسامة، لأنّ المفروض انّ التعيّن جزء الموضوع و هو قائم بالذهن، فلا محيص في الحمل إلاّ عن التجريد، و هو أمر على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فائدة في الوضع على الماهية المتعيّنة ثمّ تجريده عن التعيّن في عامة الاستعمالات، و معنى ذلك كون الوضع للمعنى المتعيّن أمراً لغواً</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7305710_3381743652"/>
      <w:bookmarkStart w:id="1515" w:name="_Toc576"/>
      <w:bookmarkEnd w:id="1514"/>
      <w:r>
        <w:rPr>
          <w:rtl w:val="true"/>
        </w:rPr>
        <w:t>الثالث</w:t>
      </w:r>
      <w:r>
        <w:rPr>
          <w:rtl w:val="true"/>
        </w:rPr>
        <w:t xml:space="preserve">: </w:t>
      </w:r>
      <w:r>
        <w:rPr>
          <w:rtl w:val="true"/>
        </w:rPr>
        <w:t>علم الجنس موضوع للطبيعة في حال التعيّن</w:t>
      </w:r>
      <w:bookmarkEnd w:id="1515"/>
    </w:p>
    <w:p>
      <w:pPr>
        <w:pStyle w:val="BookText"/>
        <w:rPr/>
      </w:pPr>
      <w:r>
        <w:rPr>
          <w:rFonts w:ascii="Amiri" w:hAnsi="Amiri" w:eastAsia="Amiri" w:cs="Amiri"/>
          <w:color w:val="111111"/>
          <w:sz w:val="28"/>
          <w:sz w:val="28"/>
          <w:szCs w:val="28"/>
          <w:rtl w:val="true"/>
          <w:lang w:bidi="ar-SA"/>
        </w:rPr>
        <w:t>إنّ الموضوع له هو الماهية في حال خاص و هو كون المعنى متصوّراً في الذهن لا على نحو المشروطة حتّى يرجع إلى كونه قيداً للمعنى، و لا على نحو المطلقة حتّى يكون الموضوع له عارياً عن كلّ قيد، بل الموضوع هو ذات الطبيعة لكن مقارناً بهذا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ذلك ينظر كلام صاحب المحاضرات و هو أنّ الإشكال إنّما يلزم إذا أخذ التعيين الذهني جزءاً أو شرطاً لا ما إذا أخذ على نحو المرآتية و المعرّفية فحسب من دون دخله في المعنى الموضوع له لا بنحو الجزئية و لا بنحو الشرطية</w:t>
      </w:r>
      <w:r>
        <w:rPr>
          <w:rFonts w:eastAsia="Amiri" w:cs="Amiri" w:ascii="Amiri" w:hAnsi="Amiri"/>
          <w:color w:val="111111"/>
          <w:sz w:val="28"/>
          <w:szCs w:val="28"/>
          <w:rtl w:val="true"/>
          <w:lang w:bidi="ar-SA"/>
        </w:rPr>
        <w:t>.</w:t>
      </w:r>
      <w:r>
        <w:rPr>
          <w:rStyle w:val="FootnoteAnchor"/>
          <w:rtl w:val="true"/>
        </w:rPr>
        <w:footnoteReference w:id="543"/>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هذين الوجهين جوهري، حيث إنّ الوجه الثاني مبنيّ على أساس قبول كون التعيّن جزءاً أو شرطاً لكن أخذ مرآة، بخلاف الوجه الثالث فإنّه </w:t>
      </w:r>
      <w:bookmarkStart w:id="1516" w:name="pg14356_187273"/>
    </w:p>
    <w:p>
      <w:pPr>
        <w:pStyle w:val="BookText"/>
        <w:rPr/>
      </w:pPr>
      <w:bookmarkEnd w:id="1516"/>
      <w:r>
        <w:rPr>
          <w:rFonts w:ascii="Amiri" w:hAnsi="Amiri" w:eastAsia="Amiri" w:cs="Amiri"/>
          <w:color w:val="111111"/>
          <w:sz w:val="28"/>
          <w:sz w:val="28"/>
          <w:szCs w:val="28"/>
          <w:rtl w:val="true"/>
          <w:lang w:bidi="ar-SA"/>
        </w:rPr>
        <w:t>مبني على إلغاء أخذ القيد في الموضوع له، و انّه من حالاته شبيه القضية الحينية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الحالة إمّا أن تكون دخيلة في الموضوع له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يعود الإشكال فلا ينطبق على الخارج، و على الثاني يتحد علم الجنس مع اسم الجنس معنى و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الأمر دائر بين الدخل و عدمه، فعلى الأوّل يلزم عدم الانطباق، و على الثاني يعود عدم التفاوت</w:t>
      </w:r>
      <w:r>
        <w:rPr>
          <w:rFonts w:eastAsia="Amiri" w:cs="Amiri" w:ascii="Amiri" w:hAnsi="Amiri"/>
          <w:color w:val="111111"/>
          <w:sz w:val="28"/>
          <w:szCs w:val="28"/>
          <w:rtl w:val="true"/>
          <w:lang w:bidi="ar-SA"/>
        </w:rPr>
        <w:t>.</w:t>
      </w:r>
    </w:p>
    <w:p>
      <w:pPr>
        <w:pStyle w:val="Heading5"/>
        <w:numPr>
          <w:ilvl w:val="4"/>
          <w:numId w:val="1"/>
        </w:numPr>
        <w:rPr/>
      </w:pPr>
      <w:bookmarkStart w:id="1517" w:name="__RefHeading___Toc7305712_3381743652"/>
      <w:bookmarkStart w:id="1518" w:name="_Toc577"/>
      <w:bookmarkEnd w:id="1517"/>
      <w:r>
        <w:rPr>
          <w:rtl w:val="true"/>
        </w:rPr>
        <w:t>الرابع</w:t>
      </w:r>
      <w:r>
        <w:rPr>
          <w:rtl w:val="true"/>
        </w:rPr>
        <w:t xml:space="preserve">: </w:t>
      </w:r>
      <w:r>
        <w:rPr>
          <w:rtl w:val="true"/>
        </w:rPr>
        <w:t>الماهية في رتبة متأخرة متعيّنة بذاتها</w:t>
      </w:r>
      <w:bookmarkEnd w:id="1518"/>
    </w:p>
    <w:p>
      <w:pPr>
        <w:pStyle w:val="BookText"/>
        <w:rPr/>
      </w:pPr>
      <w:r>
        <w:rPr>
          <w:rFonts w:ascii="Amiri" w:hAnsi="Amiri" w:eastAsia="Amiri" w:cs="Amiri"/>
          <w:color w:val="111111"/>
          <w:sz w:val="28"/>
          <w:sz w:val="28"/>
          <w:szCs w:val="28"/>
          <w:rtl w:val="true"/>
          <w:lang w:bidi="ar-SA"/>
        </w:rPr>
        <w:t>ذهب سيّدنا الأُستاذ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الماهية في حدّ ذاتها و في وعائها و تقررها الماهوي عارية عن كلّ شيء سوى ذاتها و ذاتياتها حتّى كونها نكرة فضلاً عن كونها معرفة و بالجملة الماهية في مرتبة ذاتها ليست إلاّ هي ليس فيها شيء من التعريف و التنكير و إلاّ يمتنع أن تتصف بخلافه فاسم الجنس موضوع لهذا المعنى بما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انّ الماهية في رتبة متأخرة متعيّنة بذاتها و متميزة عن سائر المعاني بجوهرها، و 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يعرضها التعيّن في مقابل اللاتعيّن و يعرضها التميز من عند نفسها بين المفاهيم فيوضع عليه اسم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يرد عليه ما أُورد على الوجه الثاني و الثالث، لأنّ التعيّن فيهما عرضيّ، بخلافه في هذا الوجه، لأنّ التعيّن نابع عن ذات الشيء، لاحظه أحد أو لا</w:t>
      </w:r>
      <w:r>
        <w:rPr>
          <w:rFonts w:eastAsia="Amiri" w:cs="Amiri" w:ascii="Amiri" w:hAnsi="Amiri"/>
          <w:color w:val="111111"/>
          <w:sz w:val="28"/>
          <w:szCs w:val="28"/>
          <w:rtl w:val="true"/>
          <w:lang w:bidi="ar-SA"/>
        </w:rPr>
        <w:t>.</w:t>
      </w:r>
      <w:r>
        <w:rPr>
          <w:rStyle w:val="FootnoteAnchor"/>
          <w:rtl w:val="true"/>
        </w:rPr>
        <w:footnoteReference w:id="544"/>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صحيح و لكن أنّى للواضع هذا الإدراك المخصوص بالحكيم</w:t>
      </w:r>
      <w:r>
        <w:rPr>
          <w:rFonts w:eastAsia="Amiri" w:cs="Amiri" w:ascii="Amiri" w:hAnsi="Amiri"/>
          <w:color w:val="111111"/>
          <w:sz w:val="28"/>
          <w:szCs w:val="28"/>
          <w:rtl w:val="true"/>
          <w:lang w:bidi="ar-SA"/>
        </w:rPr>
        <w:t>.</w:t>
      </w:r>
      <w:bookmarkStart w:id="1519" w:name="pg14356_187274"/>
    </w:p>
    <w:p>
      <w:pPr>
        <w:pStyle w:val="Heading4"/>
        <w:numPr>
          <w:ilvl w:val="3"/>
          <w:numId w:val="1"/>
        </w:numPr>
        <w:rPr/>
      </w:pPr>
      <w:bookmarkStart w:id="1520" w:name="__RefHeading___Toc7305714_3381743652"/>
      <w:bookmarkStart w:id="1521" w:name="_Toc578"/>
      <w:bookmarkEnd w:id="1519"/>
      <w:bookmarkEnd w:id="1520"/>
      <w:r>
        <w:rPr/>
        <w:t>3</w:t>
      </w:r>
      <w:r>
        <w:rPr>
          <w:rtl w:val="true"/>
        </w:rPr>
        <w:t xml:space="preserve">. </w:t>
      </w:r>
      <w:r>
        <w:rPr>
          <w:rtl w:val="true"/>
        </w:rPr>
        <w:t>المعرف باللام</w:t>
      </w:r>
      <w:bookmarkEnd w:id="1521"/>
    </w:p>
    <w:p>
      <w:pPr>
        <w:pStyle w:val="Heading5"/>
        <w:numPr>
          <w:ilvl w:val="4"/>
          <w:numId w:val="1"/>
        </w:numPr>
        <w:rPr/>
      </w:pPr>
      <w:bookmarkStart w:id="1522" w:name="__RefHeading___Toc7305716_3381743652"/>
      <w:bookmarkStart w:id="1523" w:name="_Toc579"/>
      <w:bookmarkEnd w:id="1522"/>
      <w:r>
        <w:rPr>
          <w:rtl w:val="true"/>
        </w:rPr>
        <w:t>اشارة</w:t>
      </w:r>
      <w:bookmarkEnd w:id="1523"/>
    </w:p>
    <w:p>
      <w:pPr>
        <w:pStyle w:val="BookText"/>
        <w:rPr/>
      </w:pPr>
      <w:r>
        <w:rPr>
          <w:rFonts w:ascii="Amiri" w:hAnsi="Amiri" w:eastAsia="Amiri" w:cs="Amiri"/>
          <w:color w:val="111111"/>
          <w:sz w:val="28"/>
          <w:sz w:val="28"/>
          <w:szCs w:val="28"/>
          <w:rtl w:val="true"/>
          <w:lang w:bidi="ar-SA"/>
        </w:rPr>
        <w:t>ينقسم اللفظ إلى معرب و مبنيّ، و المعرب ما يختلف آخره باختلاف العوامل و لا يستعمل إلاّ بالتنوين أو اللام أو 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اللام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الجنس، و لام الاستغراق، و لام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 الاستغراق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استغراق الأفراد، و استغراق خصائصها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لام العهد ينقسم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ذهني، أو ذكري، أو حضوري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الأقسام ستة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بلام الجنس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Style w:val="FootnoteAnchor"/>
          <w:rtl w:val="true"/>
        </w:rPr>
        <w:footnoteReference w:id="545"/>
      </w:r>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التمرة خير من جرادة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بلام استغراق الأفراد،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الأمير الصاغة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بلام استغراق خصائص الأفراد، مثل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الشجاع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بلام العهد الذهني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أمرّ على اللئيم يسبّني فمررتُ ثمة قلت لا يعنيني</w:t>
      </w:r>
    </w:p>
    <w:p>
      <w:pPr>
        <w:pStyle w:val="BookText"/>
        <w:rPr/>
      </w:pPr>
      <w:r>
        <w:rPr>
          <w:rFonts w:ascii="Amiri" w:hAnsi="Amiri" w:eastAsia="Amiri" w:cs="Amiri"/>
          <w:color w:val="111111"/>
          <w:sz w:val="28"/>
          <w:sz w:val="28"/>
          <w:szCs w:val="28"/>
          <w:rtl w:val="true"/>
          <w:lang w:bidi="ar-SA"/>
        </w:rPr>
        <w:t>و المعروف أنّه بمنزلة النكرة، و الفرق بينهما انّ القصد في الأوّل إلى نفس الطبيعة من حيث هي هي، و في الثاني إلى الطبيعة من حيث وجودها في فرد،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 مِنْ أَقْصَا الْمَدِينَةِ رَجُلٌ يَسْعى </w:t>
      </w:r>
      <w:r>
        <w:rPr>
          <w:rFonts w:eastAsia="Amiri" w:cs="Amiri" w:ascii="Amiri" w:hAnsi="Amiri"/>
          <w:color w:val="111111"/>
          <w:sz w:val="28"/>
          <w:szCs w:val="28"/>
          <w:rtl w:val="true"/>
          <w:lang w:bidi="ar-SA"/>
        </w:rPr>
        <w:t>).</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بالعهد الذكري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فَأَخَذْناهُ أَخْذاً وَبِيلاً </w:t>
      </w:r>
      <w:r>
        <w:rPr>
          <w:rFonts w:eastAsia="Amiri" w:cs="Amiri" w:ascii="Amiri" w:hAnsi="Amiri"/>
          <w:color w:val="111111"/>
          <w:sz w:val="28"/>
          <w:szCs w:val="28"/>
          <w:rtl w:val="true"/>
          <w:lang w:bidi="ar-SA"/>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1524" w:name="pg14356_187275"/>
    </w:p>
    <w:p>
      <w:pPr>
        <w:pStyle w:val="BookText"/>
        <w:rPr/>
      </w:pPr>
      <w:bookmarkEnd w:id="1524"/>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بلام العهد الحضوري، مثل قول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بهذا الجالس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مشيراً إلى زرارة بن أعين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على القول بأنّ اللام للتعريف، فما هو الدالّ على هذه الخصوصيات؟ فهناك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الدالّ عليها هو اللام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الدالّ عليها هو المدخول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الدالّ عليها هو المجموع منهما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الدالّ عليها هو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 هو المتعيّن، يظهر ذلك بملاحظة الأمثلة المتقدّمة مثلاً استفادة العهد الذكري لأجل تقدّم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استفادة العهد الحضوري لأجل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استفادة استغراق الأفراد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الأمير الصاغة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لأجل كون الجامع هو الأمير و هو لا يكتفي بصائغ دون صائغ في ضرب الدرهم و الدينار</w:t>
      </w:r>
      <w:r>
        <w:rPr>
          <w:rFonts w:eastAsia="Amiri" w:cs="Amiri" w:ascii="Amiri" w:hAnsi="Amiri"/>
          <w:color w:val="111111"/>
          <w:sz w:val="28"/>
          <w:szCs w:val="28"/>
          <w:rtl w:val="true"/>
          <w:lang w:bidi="ar-SA"/>
        </w:rPr>
        <w:t>.</w:t>
      </w:r>
    </w:p>
    <w:p>
      <w:pPr>
        <w:pStyle w:val="Heading5"/>
        <w:numPr>
          <w:ilvl w:val="4"/>
          <w:numId w:val="1"/>
        </w:numPr>
        <w:rPr/>
      </w:pPr>
      <w:bookmarkStart w:id="1525" w:name="__RefHeading___Toc7305718_3381743652"/>
      <w:bookmarkStart w:id="1526" w:name="_Toc580"/>
      <w:bookmarkEnd w:id="1525"/>
      <w:r>
        <w:rPr>
          <w:rtl w:val="true"/>
        </w:rPr>
        <w:t xml:space="preserve">إنّما المهم في بيان ما وضع له </w:t>
      </w:r>
      <w:r>
        <w:rPr>
          <w:rtl w:val="true"/>
        </w:rPr>
        <w:t>«</w:t>
      </w:r>
      <w:r>
        <w:rPr>
          <w:rtl w:val="true"/>
        </w:rPr>
        <w:t>اللام</w:t>
      </w:r>
      <w:r>
        <w:rPr>
          <w:rtl w:val="true"/>
        </w:rPr>
        <w:t>»</w:t>
      </w:r>
      <w:bookmarkEnd w:id="1526"/>
    </w:p>
    <w:p>
      <w:pPr>
        <w:pStyle w:val="Heading6"/>
        <w:numPr>
          <w:ilvl w:val="5"/>
          <w:numId w:val="1"/>
        </w:numPr>
        <w:rPr/>
      </w:pPr>
      <w:bookmarkStart w:id="1527" w:name="__RefHeading___Toc7305720_3381743652"/>
      <w:bookmarkStart w:id="1528" w:name="_Toc581"/>
      <w:bookmarkEnd w:id="1527"/>
      <w:r>
        <w:rPr>
          <w:rtl w:val="true"/>
        </w:rPr>
        <w:t>اشارة</w:t>
      </w:r>
      <w:bookmarkEnd w:id="1528"/>
    </w:p>
    <w:p>
      <w:pPr>
        <w:pStyle w:val="BookText"/>
        <w:rPr/>
      </w:pPr>
      <w:r>
        <w:rPr>
          <w:rFonts w:ascii="Amiri" w:hAnsi="Amiri" w:eastAsia="Amiri" w:cs="Amiri"/>
          <w:color w:val="111111"/>
          <w:sz w:val="28"/>
          <w:sz w:val="28"/>
          <w:szCs w:val="28"/>
          <w:rtl w:val="true"/>
          <w:lang w:bidi="ar-SA"/>
        </w:rPr>
        <w:t>في هذه الموارد فهناك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اللام وضع لتعريف المدخول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اللام للزينة كما في الحسن و 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التعريف لفظي كالتأنيث اللفظي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اللام للإشارة إلى الموضوع و هو المختار</w:t>
      </w:r>
      <w:r>
        <w:rPr>
          <w:rFonts w:eastAsia="Amiri" w:cs="Amiri" w:ascii="Amiri" w:hAnsi="Amiri"/>
          <w:color w:val="111111"/>
          <w:sz w:val="28"/>
          <w:szCs w:val="28"/>
          <w:rtl w:val="true"/>
          <w:lang w:bidi="ar-SA"/>
        </w:rPr>
        <w:t xml:space="preserve">. </w:t>
      </w:r>
      <w:bookmarkStart w:id="1529" w:name="pg14356_187276"/>
    </w:p>
    <w:p>
      <w:pPr>
        <w:pStyle w:val="Heading6"/>
        <w:numPr>
          <w:ilvl w:val="5"/>
          <w:numId w:val="1"/>
        </w:numPr>
        <w:rPr/>
      </w:pPr>
      <w:bookmarkStart w:id="1530" w:name="__RefHeading___Toc7305722_3381743652"/>
      <w:bookmarkStart w:id="1531" w:name="_Toc582"/>
      <w:bookmarkEnd w:id="1529"/>
      <w:bookmarkEnd w:id="1530"/>
      <w:r>
        <w:rPr>
          <w:rtl w:val="true"/>
        </w:rPr>
        <w:t>أ</w:t>
      </w:r>
      <w:r>
        <w:rPr>
          <w:rtl w:val="true"/>
        </w:rPr>
        <w:t xml:space="preserve">. </w:t>
      </w:r>
      <w:r>
        <w:rPr>
          <w:rtl w:val="true"/>
        </w:rPr>
        <w:t>اللام للتعريف</w:t>
      </w:r>
      <w:bookmarkEnd w:id="1531"/>
    </w:p>
    <w:p>
      <w:pPr>
        <w:pStyle w:val="BookText"/>
        <w:rPr/>
      </w:pPr>
      <w:r>
        <w:rPr>
          <w:rFonts w:ascii="Amiri" w:hAnsi="Amiri" w:eastAsia="Amiri" w:cs="Amiri"/>
          <w:color w:val="111111"/>
          <w:sz w:val="28"/>
          <w:sz w:val="28"/>
          <w:szCs w:val="28"/>
          <w:rtl w:val="true"/>
          <w:lang w:bidi="ar-SA"/>
        </w:rPr>
        <w:t>المعروف أنّ اللام وضعت لتعريف المدخول قال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 حرف تعريف أم اللام فقط فنمط عرّفتَ قل فيه النمط</w:t>
      </w:r>
    </w:p>
    <w:p>
      <w:pPr>
        <w:pStyle w:val="BookText"/>
        <w:rPr/>
      </w:pPr>
      <w:r>
        <w:rPr>
          <w:rFonts w:ascii="Amiri" w:hAnsi="Amiri" w:eastAsia="Amiri" w:cs="Amiri"/>
          <w:color w:val="111111"/>
          <w:sz w:val="28"/>
          <w:sz w:val="28"/>
          <w:szCs w:val="28"/>
          <w:rtl w:val="true"/>
          <w:lang w:bidi="ar-SA"/>
        </w:rPr>
        <w:t>و أورد عليه المحقّق الخراساني بالبيان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تعيّن في تعريف الجنس إلاّ الإشارة إلى المعنى المتميز بنفسه من بين المعاني ذهناً و لازمه أن لا يصحّ حمل المعرف باللام بما هو معرف على الأفراد لامتناع الاتحاد مع ما لا موطن له إلاّ الذهن إلاّ بالتجريد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التجريد لا فائدة في التقييد مع أنّ التأويل و التصرف في القضايا المتداولة في العرف غير خال عن التعسف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الوضع لما لا حاجة إليه، بل لا بدّ من التجريد عنه و إلغائه في الاستعمالات المتعارفة المشتملة على حمل المعرف باللام أو الحمل عليه، كان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كلامه يرجع إلى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كون اللام للتعريف يستلزم كون اللحاظ في الذهن جزء الموضوع أو المحمول و معه لا ينطبق على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التخلص من الإشكال بالتجريد حين العمل ينتهي إلى لغوية الوضع للتعريف، لأنّ الغاية من الوضع هو استعمال اللفظ في الموضوع له و المفروض انّه لا يستعمل فيه إلاّ بالتجريد</w:t>
      </w:r>
      <w:r>
        <w:rPr>
          <w:rFonts w:eastAsia="Amiri" w:cs="Amiri" w:ascii="Amiri" w:hAnsi="Amiri"/>
          <w:color w:val="111111"/>
          <w:sz w:val="28"/>
          <w:szCs w:val="28"/>
          <w:rtl w:val="true"/>
          <w:lang w:bidi="ar-SA"/>
        </w:rPr>
        <w:t>.</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من التعريف هو الإشارة إلى المدخول كما هو القول الرابع، و سيوافيك انّ القول بدلالة اللام إلى الإشارة خال عن الإشكالين المذكورين، فانتظر</w:t>
      </w:r>
      <w:r>
        <w:rPr>
          <w:rFonts w:eastAsia="Amiri" w:cs="Amiri" w:ascii="Amiri" w:hAnsi="Amiri"/>
          <w:color w:val="111111"/>
          <w:sz w:val="28"/>
          <w:szCs w:val="28"/>
          <w:rtl w:val="true"/>
          <w:lang w:bidi="ar-SA"/>
        </w:rPr>
        <w:t xml:space="preserve">. </w:t>
      </w:r>
      <w:bookmarkStart w:id="1532" w:name="pg14356_187277"/>
    </w:p>
    <w:p>
      <w:pPr>
        <w:pStyle w:val="Heading6"/>
        <w:numPr>
          <w:ilvl w:val="5"/>
          <w:numId w:val="1"/>
        </w:numPr>
        <w:rPr/>
      </w:pPr>
      <w:bookmarkStart w:id="1533" w:name="__RefHeading___Toc7305724_3381743652"/>
      <w:bookmarkStart w:id="1534" w:name="_Toc583"/>
      <w:bookmarkEnd w:id="1532"/>
      <w:bookmarkEnd w:id="1533"/>
      <w:r>
        <w:rPr>
          <w:rtl w:val="true"/>
        </w:rPr>
        <w:t>ب</w:t>
      </w:r>
      <w:r>
        <w:rPr>
          <w:rtl w:val="true"/>
        </w:rPr>
        <w:t xml:space="preserve">. </w:t>
      </w:r>
      <w:r>
        <w:rPr>
          <w:rtl w:val="true"/>
        </w:rPr>
        <w:t>اللام للتزيين</w:t>
      </w:r>
      <w:bookmarkEnd w:id="1534"/>
    </w:p>
    <w:p>
      <w:pPr>
        <w:pStyle w:val="BookText"/>
        <w:rPr/>
      </w:pPr>
      <w:r>
        <w:rPr>
          <w:rFonts w:ascii="Amiri" w:hAnsi="Amiri" w:eastAsia="Amiri" w:cs="Amiri"/>
          <w:color w:val="111111"/>
          <w:sz w:val="28"/>
          <w:sz w:val="28"/>
          <w:szCs w:val="28"/>
          <w:rtl w:val="true"/>
          <w:lang w:bidi="ar-SA"/>
        </w:rPr>
        <w:t>ذهب المحقّق الخراساني بعد إبطال كون اللام للتعريف إلى أنّه للتزيين مطلقاً، كما في لفظي الحسن و الحسين و استفادة الخصوصيات إنّما تكون بالقرائن التي لا بدّ منها لتعيّنها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لام التزيين يختص بالأعلام المنقولة من الوصف إلى العلمية، و الهدف من اللام الإشارة إلى كونه منقولاً كلفظي الحسن و الحسين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الأعلام عليه دخلا للمح ما قد كان عنه نُقلا</w:t>
      </w:r>
    </w:p>
    <w:p>
      <w:pPr>
        <w:pStyle w:val="Heading6"/>
        <w:numPr>
          <w:ilvl w:val="5"/>
          <w:numId w:val="1"/>
        </w:numPr>
        <w:rPr/>
      </w:pPr>
      <w:bookmarkStart w:id="1535" w:name="__RefHeading___Toc7305726_3381743652"/>
      <w:bookmarkStart w:id="1536" w:name="_Toc584"/>
      <w:bookmarkEnd w:id="1535"/>
      <w:r>
        <w:rPr>
          <w:rtl w:val="true"/>
        </w:rPr>
        <w:t>ج</w:t>
      </w:r>
      <w:r>
        <w:rPr>
          <w:rtl w:val="true"/>
        </w:rPr>
        <w:t xml:space="preserve">. </w:t>
      </w:r>
      <w:r>
        <w:rPr>
          <w:rtl w:val="true"/>
        </w:rPr>
        <w:t>التعريف لفظي</w:t>
      </w:r>
      <w:bookmarkEnd w:id="1536"/>
    </w:p>
    <w:p>
      <w:pPr>
        <w:pStyle w:val="BookText"/>
        <w:rPr/>
      </w:pPr>
      <w:r>
        <w:rPr>
          <w:rFonts w:ascii="Amiri" w:hAnsi="Amiri" w:eastAsia="Amiri" w:cs="Amiri"/>
          <w:color w:val="111111"/>
          <w:sz w:val="28"/>
          <w:sz w:val="28"/>
          <w:szCs w:val="28"/>
          <w:rtl w:val="true"/>
          <w:lang w:bidi="ar-SA"/>
        </w:rPr>
        <w:t>ذهب المحقّق البروجردي إلى أنّ التعريف لفظي كالتأنيث اللفظي، فكما أنّ المؤنث حقيقي و مجازي فهكذا المعرف حقيقي كزيد و مجازي كمدخول 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ادّعاء بلا دليل، بل مع قيام الدليل على خلافه، فإنّ اللام في العهد الذكري أو الحضوري للتعريف قطعاً، فكيف يقول التعريف لفظي لا حقيقي؟</w:t>
      </w:r>
      <w:r>
        <w:rPr>
          <w:rFonts w:eastAsia="Amiri" w:cs="Amiri" w:ascii="Amiri" w:hAnsi="Amiri"/>
          <w:color w:val="111111"/>
          <w:sz w:val="28"/>
          <w:szCs w:val="28"/>
          <w:rtl w:val="true"/>
          <w:lang w:bidi="ar-SA"/>
        </w:rPr>
        <w:t>!</w:t>
      </w:r>
    </w:p>
    <w:p>
      <w:pPr>
        <w:pStyle w:val="Heading6"/>
        <w:numPr>
          <w:ilvl w:val="5"/>
          <w:numId w:val="1"/>
        </w:numPr>
        <w:rPr/>
      </w:pPr>
      <w:bookmarkStart w:id="1537" w:name="__RefHeading___Toc7305728_3381743652"/>
      <w:bookmarkStart w:id="1538" w:name="_Toc585"/>
      <w:bookmarkEnd w:id="1537"/>
      <w:r>
        <w:rPr>
          <w:rtl w:val="true"/>
        </w:rPr>
        <w:t>د</w:t>
      </w:r>
      <w:r>
        <w:rPr>
          <w:rtl w:val="true"/>
        </w:rPr>
        <w:t xml:space="preserve">. </w:t>
      </w:r>
      <w:r>
        <w:rPr>
          <w:rtl w:val="true"/>
        </w:rPr>
        <w:t>اللام للإشارة</w:t>
      </w:r>
      <w:bookmarkEnd w:id="1538"/>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أظن انّ مرادهم من التعريف و التعيين باللام هو كون اللام إشارة إلى المعنى المراد من المدخول، فإن كان جنساً فهي إشارة إلى ذات الطبيعة،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خير من المرأة، فإن كان جمعاً فهو إشارة إلى مدلوله الجمعي، مثل قوله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إن كان فرداً فهو إشارة إلى ذاك الفرد،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فَأَخَذْناهُ أَخْذاً وَبِيلاً </w:t>
      </w:r>
      <w:r>
        <w:rPr>
          <w:rFonts w:eastAsia="Amiri" w:cs="Amiri" w:ascii="Amiri" w:hAnsi="Amiri"/>
          <w:color w:val="111111"/>
          <w:sz w:val="28"/>
          <w:szCs w:val="28"/>
          <w:rtl w:val="true"/>
          <w:lang w:bidi="ar-SA"/>
        </w:rPr>
        <w:t>).</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و هذا خيرة صاحب القوانين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للإشارة إلى شيء يتّصف بمدخولها، و اختاره أيضاً صاحب الفصول عند بيان الفرق بين علم الجنس و المحلّى باللام كالأسد بأنّ الثاني يتضمن الإشارة إلى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اللام موضوعاً للإشارة يرد عليهما ما ذكره المحقّق الخراساني، و هو إذا كان اللام موضوعاً للإشارة إلى المعنى فمع الدلالة عليه بتلك الخصوصيات لا حاجة إلى تلك الإشارة لو لم تكن مخلة، و قد عرفت إخلالها</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 حاصل ما ذكره يرجع إلى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كانت الخصوصيات مفهومة من القرائن فلا حاجة للإشارة إليها باللام ثانياً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كانت الإشارة مأخوذة في الموضوع له لم ينطبق على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يلزم التكرار إذا كان اللام إشارة إلى عامة الخصوصيات، بل هو إشارة إلى معنى المدخول، و أمّا سائر الخصوصيات من الجنسية و العهدية فإنّما تستفاد من القرائن</w:t>
      </w:r>
      <w:r>
        <w:rPr>
          <w:rFonts w:eastAsia="Amiri" w:cs="Amiri" w:ascii="Amiri" w:hAnsi="Amiri"/>
          <w:color w:val="111111"/>
          <w:sz w:val="28"/>
          <w:szCs w:val="28"/>
          <w:rtl w:val="true"/>
          <w:lang w:bidi="ar-SA"/>
        </w:rPr>
        <w:t>.</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يلاحظ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اللام للإشارة بمعنى أنّه وضع لواقع الإشارة لا لمفهوم الإشارة، و واقع الإشارة أمر خارجي و هو ليس أمراً ذهنياً نظير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إنسان </w:t>
      </w:r>
      <w:r>
        <w:rPr>
          <w:rFonts w:eastAsia="Amiri" w:cs="Amiri" w:ascii="Amiri" w:hAnsi="Amiri"/>
          <w:color w:val="111111"/>
          <w:sz w:val="28"/>
          <w:szCs w:val="28"/>
          <w:rtl w:val="true"/>
          <w:lang w:bidi="ar-SA"/>
        </w:rPr>
        <w:t xml:space="preserve">«. </w:t>
      </w:r>
      <w:bookmarkStart w:id="1539" w:name="pg14356_187279"/>
    </w:p>
    <w:p>
      <w:pPr>
        <w:pStyle w:val="BookText"/>
        <w:rPr/>
      </w:pPr>
      <w:bookmarkEnd w:id="1539"/>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اللام إشارة إلى واقع المدلول و حقيقته التي لها واقعية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المراد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اللام للتعريف، أي الإشارة إلى المدلول بما هو مدلول</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7305730_3381743652"/>
      <w:bookmarkStart w:id="1541" w:name="_Toc586"/>
      <w:bookmarkEnd w:id="1540"/>
      <w:r>
        <w:rPr>
          <w:rtl w:val="true"/>
        </w:rPr>
        <w:t>الجمع المحلّى باللام</w:t>
      </w:r>
      <w:bookmarkEnd w:id="1541"/>
    </w:p>
    <w:p>
      <w:pPr>
        <w:pStyle w:val="BookText"/>
        <w:rPr/>
      </w:pPr>
      <w:r>
        <w:rPr>
          <w:rFonts w:ascii="Amiri" w:hAnsi="Amiri" w:eastAsia="Amiri" w:cs="Amiri"/>
          <w:color w:val="111111"/>
          <w:sz w:val="28"/>
          <w:sz w:val="28"/>
          <w:szCs w:val="28"/>
          <w:rtl w:val="true"/>
          <w:lang w:bidi="ar-SA"/>
        </w:rPr>
        <w:t>لا شكّ أنّ الجمع المحلّى باللام يفيد العموم و عدّه من ألفاظ الإطلاق خلط بين العموم و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ربّما يستدلّ على أنّ اللام موضوعة للدلالة على التعيّن، باستفادة العموم من الجمع المحلّى باللام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المرتبة المستغرقة للمراتب متعيّنة من بين جميع المراتب، فلو كانت اللام موضوعة للإشارة، و هي تلازم تعيّن المشار إليه، تصحّ استفادة العموم منه، و إلاّ فليس هنا دالّ على العموم مع عدم دلالة المدخول عليه</w:t>
      </w:r>
      <w:r>
        <w:rPr>
          <w:rFonts w:eastAsia="Amiri" w:cs="Amiri" w:ascii="Amiri" w:hAnsi="Amiri"/>
          <w:color w:val="111111"/>
          <w:sz w:val="28"/>
          <w:szCs w:val="28"/>
          <w:rtl w:val="true"/>
          <w:lang w:bidi="ar-SA"/>
        </w:rPr>
        <w:t>.</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أورد عليه المحقّق الخراساني بأنّه لا دلالة فيها على أنّ استفادة العموم لأجل دلالة اللام على التعيّن، و ذلك لتعيّن المرتبة الأُخرى و هي أقلّ مراتب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تكون دلالته على الاستغراق مستندة إلى وضع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مع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للاستغراق لا إلى دلالة اللام على الإشارة إلى المعين</w:t>
      </w:r>
      <w:r>
        <w:rPr>
          <w:rFonts w:eastAsia="Amiri" w:cs="Amiri" w:ascii="Amiri" w:hAnsi="Amiri"/>
          <w:color w:val="111111"/>
          <w:sz w:val="28"/>
          <w:szCs w:val="28"/>
          <w:rtl w:val="true"/>
          <w:lang w:bidi="ar-SA"/>
        </w:rPr>
        <w:t xml:space="preserve">. </w:t>
      </w:r>
      <w:bookmarkStart w:id="1542" w:name="pg14356_187280"/>
    </w:p>
    <w:p>
      <w:pPr>
        <w:pStyle w:val="BookText"/>
        <w:rPr/>
      </w:pPr>
      <w:bookmarkEnd w:id="1542"/>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المتعيّن هو المرتبة المستغرقة لجميع الأفراد، و أمّا أقلّ المراتب فهو و إن كان معيّناً مفهوماً لكنّه غير معيّن مصداقاً، لتردّده بين هذا الأقل، و ذاك الأقل، و ذلك الأقل، فالمتعيّن هو الاستغراق و اللام إشارة إلى هذا المعيّن</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7305732_3381743652"/>
      <w:bookmarkStart w:id="1544" w:name="_Toc587"/>
      <w:bookmarkEnd w:id="1543"/>
      <w:r>
        <w:rPr/>
        <w:t>4</w:t>
      </w:r>
      <w:r>
        <w:rPr>
          <w:rtl w:val="true"/>
        </w:rPr>
        <w:t xml:space="preserve">. </w:t>
      </w:r>
      <w:r>
        <w:rPr>
          <w:rtl w:val="true"/>
        </w:rPr>
        <w:t>النكرة</w:t>
      </w:r>
      <w:bookmarkEnd w:id="1544"/>
    </w:p>
    <w:p>
      <w:pPr>
        <w:pStyle w:val="BookText"/>
        <w:rPr/>
      </w:pPr>
      <w:r>
        <w:rPr>
          <w:rFonts w:ascii="Amiri" w:hAnsi="Amiri" w:eastAsia="Amiri" w:cs="Amiri"/>
          <w:color w:val="111111"/>
          <w:sz w:val="28"/>
          <w:sz w:val="28"/>
          <w:szCs w:val="28"/>
          <w:rtl w:val="true"/>
          <w:lang w:bidi="ar-SA"/>
        </w:rPr>
        <w:t>إنّ مقوم النكرة هو التنوين الواقع في آخره، سواء أخبر عنه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 مِنْ أَقْصَا الْمَدِينَةِ رَجُلٌ يَسْعى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وقع تحت دائرة الانشاء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برجل، فقد اختلف في مفهوم النكرة على أقوال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موضوع للفرد المردد بين عدّة أفراد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انّه موضوع للفرد المنتشر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انّه موضوع لفرد ما من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فغير صحيح، لأنّ الفرد المردّد غير قابل للامتثال، إذ الامتثال يتحقّق بالفرد المشخّص لا بالفرد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 المنتشر فليس له مفهوم صحيح إلاّ أن يرجع إلى القول الثالث و هو انّه موضوع لفرد ما من الطبيعة و هو قابل للانطباق على 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المدخول بدون اللام يدلّ على الطبيعة، و مع التنوين يدلّ على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أنّ النكرة لا يخرج عن الكلية حتّى فيما إذا وقع تحت الإخبار، مثل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 مِنْ أَقْصَا الْمَدِينَةِ رَجُلٌ يَسْعى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يخرج عن الكلية و هو متعيّن في الواقع؟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بوجهين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التعيّن مستفاد من نسبة الفعل إليه لا من نفس الكلمة، فالكلمة مستعملة في الفرد غير المعيّن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أُريد من التعيّن هو التعيّن في عالم الثبوت فلا نزاع فيه، لكنّه ليس محوراً للوصف بالكلية و الجزئية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أراد عالم الإثبات و مقام الدلالة فهو كلّي قابل للانطباق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برجل قد سلم عليّ أمس قبل كلّ أحد، فهو حسب الواقع متعيّن، و لكنّه حسب الإثبات أمر كلّي قابل للانطباق على كلّ فرد 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 مشايخنا العلاّمة الحائري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إلى أنّه جزئي في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النكرة مستعملة في كلا الموردين بمعنى واحد و انّه في كليهما جزئي 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إشكال في أنّ الجزئية و الكلية من صفات المعقول في الذهن و هو ان امتنع فرض صدقه على كثيرين فجزئي و إلاّ فكليّ، و جزئية المعنى في الذهن لا تتوقّف على تصوّره بتمام تشخصاته الواقعية، و لذا لو رأى الإنسان شبحاً من بعيد و تردد في أنّه زيد أو عمرو بل إنسان أو غيره لا يخرجه هذا التردد عن الجزئية و كون أحد الأشياء ثابتاً في الواقع لا دخل له بالصورة المنتقشة في الذهن فإذا كانت هذه الصورة جزئيّة كما في القضية الأُولى فكذلك الصورة المتصورة في القضية الثانية إذ لا فرق بينهما إلاّ انّ التعيين في الأوّل واقعي و في الثانية بيد المكلّف</w:t>
      </w:r>
      <w:r>
        <w:rPr>
          <w:rFonts w:eastAsia="Amiri" w:cs="Amiri" w:ascii="Amiri" w:hAnsi="Amiri"/>
          <w:color w:val="111111"/>
          <w:sz w:val="28"/>
          <w:szCs w:val="28"/>
          <w:rtl w:val="true"/>
          <w:lang w:bidi="ar-SA"/>
        </w:rPr>
        <w:t>.</w:t>
      </w:r>
      <w:r>
        <w:rPr>
          <w:rStyle w:val="FootnoteAnchor"/>
          <w:rtl w:val="true"/>
        </w:rPr>
        <w:footnoteReference w:id="549"/>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خلط بين كون الصورة الذهنية بما انّها موجودة في الذهن و الوجود عين التشخّص، و بين كونه مفهوماً قابلاً للانطباق على كثيرين، و الجزئية </w:t>
      </w:r>
    </w:p>
    <w:p>
      <w:pPr>
        <w:pStyle w:val="BookText"/>
        <w:rPr/>
      </w:pPr>
      <w:r>
        <w:rPr>
          <w:rFonts w:ascii="Amiri" w:hAnsi="Amiri" w:eastAsia="Amiri" w:cs="Amiri"/>
          <w:color w:val="111111"/>
          <w:sz w:val="28"/>
          <w:sz w:val="28"/>
          <w:szCs w:val="28"/>
          <w:rtl w:val="true"/>
          <w:lang w:bidi="ar-SA"/>
        </w:rPr>
        <w:t>بالمعنى الأوّل، لا ينافي الكلّية بالمعنى الثاني و إلاّ فلا يوجد مصداق للكلّي، لأنّه بما هو موجود ذهني متشخص جزئي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الشبح المردّد بين آحاد في الخارج فهو جزئي حقيقي و كونه كلّياً أمر وهمي، لا واقعي بخلاف الصورة الذهنية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إكمال لو قلنا بأنّ المطلق هو الشائع في جنسه و الساري في أفراده أو المفيد بالإطلاق على نحو لا بشرط القسمي، فتخرج الألفاظ التالية عن تعريف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اسم الجنس الموضوع للماهية بما هي هي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الجنس الموضوع للماهية بما هي متعيّنة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النكرة الدالّة على الطبيعة بقيد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يبق ما يعد من ألفاظ المطلق إلاّ المحلّى بلام الاستغراق</w:t>
      </w:r>
      <w:r>
        <w:rPr>
          <w:rFonts w:eastAsia="Amiri" w:cs="Amiri" w:ascii="Amiri" w:hAnsi="Amiri"/>
          <w:color w:val="111111"/>
          <w:sz w:val="28"/>
          <w:szCs w:val="28"/>
          <w:rtl w:val="true"/>
          <w:lang w:bidi="ar-SA"/>
        </w:rPr>
        <w:t>.</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تردّد المحقّق الخراساني في صدق النسبة أي أنّ المطلق عند المشهور هو ما قيّد بالإرسال و الشمول البدلي، لاستلزامه خروج ما أُريد منه الجنس أو الحصّة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علم الجنس، و لكن لا وجه للشكّ في صحّة النسبة، و قد عرفت ما هو المعروف عند مشهور الأُصوليّين</w:t>
      </w:r>
      <w:r>
        <w:rPr>
          <w:rFonts w:eastAsia="Amiri" w:cs="Amiri" w:ascii="Amiri" w:hAnsi="Amiri"/>
          <w:color w:val="111111"/>
          <w:sz w:val="28"/>
          <w:szCs w:val="28"/>
          <w:rtl w:val="true"/>
          <w:lang w:bidi="ar-SA"/>
        </w:rPr>
        <w:t xml:space="preserve">. </w:t>
      </w:r>
      <w:bookmarkStart w:id="1545" w:name="pg14356_187283"/>
    </w:p>
    <w:p>
      <w:pPr>
        <w:pStyle w:val="Heading3"/>
        <w:numPr>
          <w:ilvl w:val="2"/>
          <w:numId w:val="1"/>
        </w:numPr>
        <w:rPr/>
      </w:pPr>
      <w:bookmarkStart w:id="1546" w:name="__RefHeading___Toc7305734_3381743652"/>
      <w:bookmarkStart w:id="1547" w:name="_Toc588"/>
      <w:bookmarkEnd w:id="1545"/>
      <w:bookmarkEnd w:id="1546"/>
      <w:r>
        <w:rPr>
          <w:rtl w:val="true"/>
        </w:rPr>
        <w:t>الفصل الثاني تقييد المطلق لا يستلزم المجازية</w:t>
      </w:r>
      <w:bookmarkEnd w:id="1547"/>
    </w:p>
    <w:p>
      <w:pPr>
        <w:pStyle w:val="BookText"/>
        <w:rPr/>
      </w:pPr>
      <w:r>
        <w:rPr>
          <w:rFonts w:ascii="Amiri" w:hAnsi="Amiri" w:eastAsia="Amiri" w:cs="Amiri"/>
          <w:color w:val="111111"/>
          <w:sz w:val="28"/>
          <w:sz w:val="28"/>
          <w:szCs w:val="28"/>
          <w:rtl w:val="true"/>
          <w:lang w:bidi="ar-SA"/>
        </w:rPr>
        <w:t>قد عرفت أنّ المطلق عند المشهور هو ما دلّ على الشياع و السريان و الإطلاق على نحو اللابشرط القسمي، و كأنّ المطلق عندهم من أقسام اللابشرط القسمي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أثار هذا التفسير رد فعل في الأوساط العلمية، و ممن قام بوجه هذا التفسير هو المحقّق سلطان العلماء حيث رد دلالة المطلق على السريان و الشيوع، و قال في كلمته التي تقدّمت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صحة العمل بكلّ فرد مدلولاً لفظياً للمطلق، بل مدلول المطلق أعمّ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إلاّ فلو قلنا بدلالته على السريان يترتّب عليه أُمور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كون تقييد المطلق مجازاً، لأنّ القيد ينافي مدلول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لا يكون اسم الجنس و علم الجنس و النكرة من مصاديق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الخلط بين المطلق و العام، إذ لو كان الشيوع مدلولاً لفظياً للمطلق لم يبق فرق بين المطلق و العام</w:t>
      </w:r>
      <w:r>
        <w:rPr>
          <w:rFonts w:eastAsia="Amiri" w:cs="Amiri" w:ascii="Amiri" w:hAnsi="Amiri"/>
          <w:color w:val="111111"/>
          <w:sz w:val="28"/>
          <w:szCs w:val="28"/>
          <w:rtl w:val="true"/>
          <w:lang w:bidi="ar-SA"/>
        </w:rPr>
        <w:t>.</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بعض هذه المضاعفات دفع سلطان العلماء إلى القول بأنّ المطلق موضوع للماهية المبهمة التي لا تجد إلاّ نفسها و ذاتها و ذاتياتها و ليس في مدلولها أي </w:t>
      </w:r>
    </w:p>
    <w:p>
      <w:pPr>
        <w:pStyle w:val="BookText"/>
        <w:rPr/>
      </w:pPr>
      <w:r>
        <w:rPr>
          <w:rFonts w:ascii="Amiri" w:hAnsi="Amiri" w:eastAsia="Amiri" w:cs="Amiri"/>
          <w:color w:val="111111"/>
          <w:sz w:val="28"/>
          <w:sz w:val="28"/>
          <w:szCs w:val="28"/>
          <w:rtl w:val="true"/>
          <w:lang w:bidi="ar-SA"/>
        </w:rPr>
        <w:t>شيوع و سريان، و عندئذ ترتفع المضاعفات الثلاث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تلزم المجازية من تقييد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يلزم خروج اسم الجنس و علم الجنس و النكرة من مصاديق المطلق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يلزم عدم الفرق بين المطلق و العام، فإنّ الشمول مدلول لفظي للعام بخلاف المطلق فانّ الشيوع فيه مستفاد من العقل ببركة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ليعلم أنّ سلطان العلماء و إن أوجد ثورة عارمة في باب المطلق حيث نفى دلالة المطلق على السريان و الشيوع بالدلالة اللفظية، لكنّه التزم به عقلاً و زعم أنّ نتيجة مقدّمات الحكمة هو سريان الحكم إلى كلّ واحد واحد من أفراده، فالدلالة على إجزاء كلّ فرد دلالة لفظية عند القدماء و عقلية عند سلطان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المستفاد من كلمات القوم لا سيّما سلطان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نلفت نظر القارئ إلى 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تقييد المطلق لا يستلزم المجازية حتّى على القول بدلالة المطلق على الشيوع دلالة لفظية، و ذلك لأنّ المطلق بهذا المعنى يكون من أقسام العام، و قد تقدّم أنّ العام بعد التخصيص حقيقة لا مجاز، و أوضحنا هناك ما هذا خلاصته</w:t>
      </w:r>
      <w:r>
        <w:rPr>
          <w:rFonts w:eastAsia="Amiri" w:cs="Amiri" w:ascii="Amiri" w:hAnsi="Amiri"/>
          <w:color w:val="111111"/>
          <w:sz w:val="28"/>
          <w:szCs w:val="28"/>
          <w:rtl w:val="true"/>
          <w:lang w:bidi="ar-SA"/>
        </w:rPr>
        <w:t>:</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المتكلّم يستعمل العام في المعنى الموضوع له بالدلالة الاستعمالية فإن كانت الإرادة الاستعمالية موافقة للإرادة الجدية سكت عن التخصيص و التقييد، و إن كانت مخالفة لها يُخرج ما لم تتعلّق به الإرادة الجديّة بالتخصيص و التقييد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العدول، أو اعتق رقبة مؤمنة، فالتخصيص و التقييد لا يوجبان استعمالهما في غير ما وضع له و لا يوجدان ضيقاً في المعنى المستعمل فيه و إنّما يحدثان ضيقاً في متعلّق الإرادة الجديّة، و مناط الحقيقة و المجاز هو الإرادة الاستعمالية و المفروض انّ اللفظ حسب تلك الإرادة مستعمل في المعنى </w:t>
      </w:r>
    </w:p>
    <w:p>
      <w:pPr>
        <w:pStyle w:val="BookText"/>
        <w:rPr/>
      </w:pPr>
      <w:r>
        <w:rPr>
          <w:rFonts w:ascii="IRNazanin" w:hAnsi="IRNazanin" w:eastAsia="IRNazanin"/>
          <w:color w:val="111111"/>
          <w:sz w:val="28"/>
          <w:sz w:val="28"/>
          <w:szCs w:val="28"/>
          <w:rtl w:val="true"/>
          <w:lang w:bidi="fa-IR"/>
        </w:rPr>
        <w:t>الشائع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من غير فرق بين العام،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العدول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المطلق أعتق رقبة مؤمنة، فلا يلزم من القول بكون المطلق موضوعاً للسريان و الشيوع كون التقييد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المطلق موضوع للشيوع يبقى الإشكالان الآخران على حالهما و هما خروج اسم الجنس و علم الجنس و النكرة عن تعريف المطلق أوّلاً، و الخلط بين العام و المطلق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ذهب إليه سلطان العلماء من عدم دلالة المطلق على السريان و إن كان حقاً لكن ما توهم من استلزام نقيضه مجازية المطلق ليس في محله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 سلطان العلماء و إن أتى بقول بديع في باب المطلق و لكنّه شارك القوم في استفادة الشيوع و السريان من المطلق بالدلالة العقلية، و انّ نتيجة مقدّمات الحكمة هي الشيوع و السريان، و لكنّه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غاية ما تثبته مقدّمات الحكمة كون ما وقع تحت دائرة الطلب هو تمام الموضوع، سواء أمكن فيه الشيوع كما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 رقبة، أو لم يمكن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w:t>
      </w:r>
      <w:r>
        <w:rPr>
          <w:rFonts w:eastAsia="Amiri" w:cs="Amiri" w:ascii="Amiri" w:hAnsi="Amiri"/>
          <w:color w:val="111111"/>
          <w:sz w:val="28"/>
          <w:szCs w:val="28"/>
          <w:rtl w:val="true"/>
          <w:lang w:bidi="ar-SA"/>
        </w:rPr>
        <w:t>.</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على سلطان العلماء أن ينكر السريان و الشيوع في الدلالة الإطلاقية مطلقاً، سواء أ كان مستفاداً من اللفظ أم العقل، و أمّا على المختار فالحديث عن الشيوع و السريان باطل من رأسه، و أمّا لزوم جريان مقدّمات الحكمة فهو و إن كان صحيحاً لكنّه لا لغاية إثبات الشيوع، بل لغاية كون ما وقع تحت دائرة الطلب تمام الموضوع كما سيوافيك في الفصل التالي</w:t>
      </w:r>
      <w:r>
        <w:rPr>
          <w:rFonts w:eastAsia="Amiri" w:cs="Amiri" w:ascii="Amiri" w:hAnsi="Amiri"/>
          <w:color w:val="111111"/>
          <w:sz w:val="28"/>
          <w:szCs w:val="28"/>
          <w:rtl w:val="true"/>
          <w:lang w:bidi="ar-SA"/>
        </w:rPr>
        <w:t xml:space="preserve">. </w:t>
      </w:r>
      <w:bookmarkStart w:id="1548" w:name="pg14356_187286"/>
    </w:p>
    <w:p>
      <w:pPr>
        <w:pStyle w:val="Heading3"/>
        <w:numPr>
          <w:ilvl w:val="2"/>
          <w:numId w:val="1"/>
        </w:numPr>
        <w:rPr/>
      </w:pPr>
      <w:bookmarkStart w:id="1549" w:name="__RefHeading___Toc7305736_3381743652"/>
      <w:bookmarkStart w:id="1550" w:name="_Toc589"/>
      <w:bookmarkEnd w:id="1548"/>
      <w:bookmarkEnd w:id="1549"/>
      <w:r>
        <w:rPr>
          <w:rtl w:val="true"/>
        </w:rPr>
        <w:t>الفصل الثالث مقدّمات الحكمة</w:t>
      </w:r>
      <w:bookmarkEnd w:id="1550"/>
    </w:p>
    <w:p>
      <w:pPr>
        <w:pStyle w:val="Heading4"/>
        <w:numPr>
          <w:ilvl w:val="3"/>
          <w:numId w:val="1"/>
        </w:numPr>
        <w:rPr/>
      </w:pPr>
      <w:bookmarkStart w:id="1551" w:name="__RefHeading___Toc7305738_3381743652"/>
      <w:bookmarkStart w:id="1552" w:name="_Toc590"/>
      <w:bookmarkEnd w:id="1551"/>
      <w:r>
        <w:rPr>
          <w:rtl w:val="true"/>
        </w:rPr>
        <w:t>اشارة</w:t>
      </w:r>
      <w:bookmarkEnd w:id="1552"/>
    </w:p>
    <w:p>
      <w:pPr>
        <w:pStyle w:val="BookText"/>
        <w:rPr/>
      </w:pPr>
      <w:r>
        <w:rPr>
          <w:rFonts w:ascii="Amiri" w:hAnsi="Amiri" w:eastAsia="Amiri" w:cs="Amiri"/>
          <w:color w:val="111111"/>
          <w:sz w:val="28"/>
          <w:sz w:val="28"/>
          <w:szCs w:val="28"/>
          <w:rtl w:val="true"/>
          <w:lang w:bidi="ar-SA"/>
        </w:rPr>
        <w:t>قد عرفت أنّ التمسّك بالإطلاق فرع جريان مقدّمات الحكمة، إمّا لغاية إثبات الشيوع و السريان في الموضوع، أو لغاية إثبات أنّ ما وقع تحت دائرة الطلب هو تمام الموضوع فلا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تبيين ما هي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ذهب المحقّق الخراساني إلى أنّها مؤلّفة من مقدّمات ثلاث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المتكلّم في مقام بيان تمام المراد لا الإهمال أو الإجمال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انتفاء ما يوجب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انتفاء القدر المخاطب في مقام التخاطب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يُزاد عليها عدم وجود الانصراف إلى صنف و هو ليس بمقدّمة رابعة، لأنّه داخل في المقدّمة الثانية، أي انتفاء ما يوجب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اقتصر المحقّق النائيني على الأوليين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المقدّمات مقوّم للإطلاق على نحو لولاه لما انعقد الإطلاق و بعضها الآخر شرط للتمسّك به</w:t>
      </w:r>
      <w:r>
        <w:rPr>
          <w:rFonts w:eastAsia="Amiri" w:cs="Amiri" w:ascii="Amiri" w:hAnsi="Amiri"/>
          <w:color w:val="111111"/>
          <w:sz w:val="28"/>
          <w:szCs w:val="28"/>
          <w:rtl w:val="true"/>
          <w:lang w:bidi="ar-SA"/>
        </w:rPr>
        <w:t>.</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تمكّن المولى من 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فخرج القيد الذي لا يتمكن </w:t>
      </w:r>
      <w:bookmarkStart w:id="1553" w:name="pg14356_187287"/>
    </w:p>
    <w:p>
      <w:pPr>
        <w:pStyle w:val="BookText"/>
        <w:rPr/>
      </w:pPr>
      <w:bookmarkEnd w:id="1553"/>
      <w:r>
        <w:rPr>
          <w:rFonts w:ascii="Amiri" w:hAnsi="Amiri" w:eastAsia="Amiri" w:cs="Amiri"/>
          <w:color w:val="111111"/>
          <w:sz w:val="28"/>
          <w:sz w:val="28"/>
          <w:szCs w:val="28"/>
          <w:rtl w:val="true"/>
          <w:lang w:bidi="ar-SA"/>
        </w:rPr>
        <w:t>المولى من بيانه كقصد الأمر على القول بامتناع أخذه في المتعلق كما عليه الشيخ الأعظم و المحقّق الخراساني على ما مرّ في مبحث التوصلي و التعبدي و إن كان المختار عندنا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عدم القرينة فإنّ وجود القرينة يمنع من انعقاد الإطلاق، و أمّا القسم الثاني، أي كونه شرطاً للتمسّك ككونه في مقام البيان أو عدم القدر المتيقّن على القول بشرطيته، فعلى الباحث أن يميز المقوّم عمّا هو شرط للتمسّك، فلنرجع إلى توضيح المقدّمات الثلاث</w:t>
      </w:r>
      <w:r>
        <w:rPr>
          <w:rFonts w:eastAsia="Amiri" w:cs="Amiri" w:ascii="Amiri" w:hAnsi="Amiri"/>
          <w:color w:val="111111"/>
          <w:sz w:val="28"/>
          <w:szCs w:val="28"/>
          <w:rtl w:val="true"/>
          <w:lang w:bidi="ar-SA"/>
        </w:rPr>
        <w:t>:</w:t>
      </w:r>
    </w:p>
    <w:p>
      <w:pPr>
        <w:pStyle w:val="Heading4"/>
        <w:numPr>
          <w:ilvl w:val="3"/>
          <w:numId w:val="1"/>
        </w:numPr>
        <w:rPr/>
      </w:pPr>
      <w:bookmarkStart w:id="1554" w:name="__RefHeading___Toc7305740_3381743652"/>
      <w:bookmarkStart w:id="1555" w:name="_Toc591"/>
      <w:bookmarkEnd w:id="1554"/>
      <w:r>
        <w:rPr>
          <w:rtl w:val="true"/>
        </w:rPr>
        <w:t>المقدّمة الأُولى</w:t>
      </w:r>
      <w:r>
        <w:rPr>
          <w:rtl w:val="true"/>
        </w:rPr>
        <w:t xml:space="preserve">: </w:t>
      </w:r>
      <w:r>
        <w:rPr>
          <w:rtl w:val="true"/>
        </w:rPr>
        <w:t>إحراز كون المتكلّم في مقام بيان كلّ ما هو دخيل في متعلّق حكمه بحيث يكون الإخلال ببيان الأجزاء و الشرائط منافياً للحكمة لافتراض انّه في مقام بيان تمام ما هو الموضوع للحكم</w:t>
      </w:r>
      <w:r>
        <w:rPr>
          <w:rtl w:val="true"/>
        </w:rPr>
        <w:t>.</w:t>
      </w:r>
      <w:bookmarkEnd w:id="1555"/>
    </w:p>
    <w:p>
      <w:pPr>
        <w:pStyle w:val="Heading5"/>
        <w:numPr>
          <w:ilvl w:val="4"/>
          <w:numId w:val="1"/>
        </w:numPr>
        <w:rPr/>
      </w:pPr>
      <w:bookmarkStart w:id="1556" w:name="__RefHeading___Toc7305742_3381743652"/>
      <w:bookmarkStart w:id="1557" w:name="_Toc592"/>
      <w:bookmarkEnd w:id="1556"/>
      <w:r>
        <w:rPr>
          <w:rtl w:val="true"/>
        </w:rPr>
        <w:t>اشارة</w:t>
      </w:r>
      <w:bookmarkEnd w:id="1557"/>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المتكلّم قد يكون في مقام بيان أصل المقصود لا في مقام بيان خصوصياته، فلنفرض طبيباً رأى صديقه في الشارع فانتقل من صفرة وجهه إلى انّه مريض و بحاجة إلى تناول الدواء، فيقول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لك من تعاطي الدواء، ففي هذا المقام لا يصحّ للمريض التمسّك بإطلاق كلام الطبيب و يتناول كلّ دواء وقع بين يديه، و قد يكون في مقام بيان خصوصيات المقصود، كما إذا دخل المريض المذكور إلى عيادة الطبيب، فأجرى الطبيب عليه الفحوصات اللازمة و بعد ذلك كتب له و صفة، ففي هذا المقام يصحّ التمسّك بإطلاق ما كتب</w:t>
      </w:r>
      <w:r>
        <w:rPr>
          <w:rFonts w:eastAsia="Amiri" w:cs="Amiri" w:ascii="Amiri" w:hAnsi="Amiri"/>
          <w:color w:val="111111"/>
          <w:sz w:val="28"/>
          <w:szCs w:val="28"/>
          <w:rtl w:val="true"/>
          <w:lang w:bidi="ar-SA"/>
        </w:rPr>
        <w:t>.</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انّ كثيراً من المشايخ يتمسّكون في نفي بعض الاجزاء و الشرائط للبيع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أَحَلَّ اللّهُ الْبَيْعَ وَ حَرَّمَ الرِّبا </w:t>
      </w:r>
      <w:r>
        <w:rPr>
          <w:rFonts w:eastAsia="Amiri" w:cs="Amiri" w:ascii="Amiri" w:hAnsi="Amiri"/>
          <w:color w:val="111111"/>
          <w:sz w:val="28"/>
          <w:szCs w:val="28"/>
          <w:rtl w:val="true"/>
          <w:lang w:bidi="ar-SA"/>
        </w:rPr>
        <w:t xml:space="preserve">) </w:t>
      </w:r>
      <w:r>
        <w:rPr>
          <w:rStyle w:val="FootnoteAnchor"/>
          <w:rtl w:val="true"/>
        </w:rPr>
        <w:footnoteReference w:id="550"/>
      </w:r>
      <w:r>
        <w:rPr>
          <w:rFonts w:ascii="Amiri" w:hAnsi="Amiri" w:eastAsia="Amiri" w:cs="Amiri"/>
          <w:color w:val="111111"/>
          <w:sz w:val="28"/>
          <w:sz w:val="28"/>
          <w:szCs w:val="28"/>
          <w:rtl w:val="true"/>
          <w:lang w:bidi="ar-SA"/>
        </w:rPr>
        <w:t xml:space="preserve">و لكن التأمل في سياق الآية يثبت انّها ليست في مقام بيان شرائط أجزاء البيع و شرائطه، بل هو في مقام بيان </w:t>
      </w:r>
    </w:p>
    <w:p>
      <w:pPr>
        <w:pStyle w:val="BookText"/>
        <w:rPr/>
      </w:pPr>
      <w:r>
        <w:rPr>
          <w:rFonts w:ascii="Amiri" w:hAnsi="Amiri" w:eastAsia="Amiri" w:cs="Amiri"/>
          <w:color w:val="111111"/>
          <w:sz w:val="28"/>
          <w:sz w:val="28"/>
          <w:szCs w:val="28"/>
          <w:rtl w:val="true"/>
          <w:lang w:bidi="ar-SA"/>
        </w:rPr>
        <w:t>ردّ التسوية التي كان المشركون يتبنونها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الْبَيْعُ مِثْلُ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يسوّون بين البيع و الربا، بل كانوا يجعلون الربا أصلاً و البيع فرعاً، و لذلك شبهوا البيع بالربا، فردّ اللّه سبحانه هذه التسوية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أَحَلَّ اللّهُ الْبَيْعَ وَ حَرَّمَ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فالتسوية غير صحيحة، فالآية عند الإمعان ليست في مقام بيان أجزاء البيع و شرائطه، فلو شككنا في شرطية العربية للصيغة لا يصحّ لنا التمسّك بإطلاقها، بل الآية في مقام نفي التسوية و أمّا انّ للبيع شرائط أو لا فالآية ساكتة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شيخ مشايخنا العلاّمة الحائري أنكر هذه المقدّمة،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المهملة مردّدة بين المطلق و المقيّد و لا ثالث، و لا إشكال أنّه لو كان المراد هو المقيّد تكون الإرادة متعلّقة بالمقيّد أصالة و إنّما تُنسب إلى الطبيعة بالتبع لمكان الاتحاد، مع أنّ ظاهر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الإرادة متعلّقة بالذات بنفس الطبيعة، لا انّ المراد هو المقيّد و إنّما أُضيف الحكم إلى الطبيعة لمكان الاتّحاد، و مع تسليم هذا الظهور تسري الإرادة إلى تمام الأفراد و هذا معنى الإطلاق</w:t>
      </w:r>
      <w:r>
        <w:rPr>
          <w:rFonts w:eastAsia="Amiri" w:cs="Amiri" w:ascii="Amiri" w:hAnsi="Amiri"/>
          <w:color w:val="111111"/>
          <w:sz w:val="28"/>
          <w:szCs w:val="28"/>
          <w:rtl w:val="true"/>
          <w:lang w:bidi="ar-SA"/>
        </w:rPr>
        <w:t>.</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 المتكلّم في مقام بيان ما هو دخيل في موضوع الحكم يصحّ لنا الأخذ بهذا الظهور دون ما إذا كان في مقام الإهمال و الإجمال فلا يصحّ أن يؤخذ بهذا الظهور، مثلاً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حلال، و الكلب حرام، فهل يمكن لنا الأخذ بإطلاق القضية الأُولى و الحكم بأنّ الغنم الموطوء أو الجلاّل حلال كلا 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إلاّ لأنّ الظهور عندئذ بدوي يزول بالتأمل إذا أحرزنا انّ المتكلّم في مقام الإجمال و الاهمال</w:t>
      </w:r>
      <w:r>
        <w:rPr>
          <w:rFonts w:eastAsia="Amiri" w:cs="Amiri" w:ascii="Amiri" w:hAnsi="Amiri"/>
          <w:color w:val="111111"/>
          <w:sz w:val="28"/>
          <w:szCs w:val="28"/>
          <w:rtl w:val="true"/>
          <w:lang w:bidi="ar-SA"/>
        </w:rPr>
        <w:t>.</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ظاهر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برجل، إنّ الإرادة متعلّقة بالذات بنفس الطبيعة لا انّ المراد هو المقيّد و إنّما أُضيف الحكم إلى الطبيعة لمكان </w:t>
      </w:r>
      <w:bookmarkStart w:id="1558" w:name="pg14356_187289"/>
    </w:p>
    <w:p>
      <w:pPr>
        <w:pStyle w:val="BookText"/>
        <w:rPr/>
      </w:pPr>
      <w:bookmarkEnd w:id="1558"/>
      <w:r>
        <w:rPr>
          <w:rFonts w:ascii="Amiri" w:hAnsi="Amiri" w:eastAsia="Amiri" w:cs="Amiri"/>
          <w:color w:val="111111"/>
          <w:sz w:val="28"/>
          <w:sz w:val="28"/>
          <w:szCs w:val="28"/>
          <w:rtl w:val="true"/>
          <w:lang w:bidi="ar-SA"/>
        </w:rPr>
        <w:t xml:space="preserve">الاتحاد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ظهور بدوي غير مستقر إذا أحرز انّ المتكلّم في مقام الاهمال، إذ يكون الإهمال في البيان مبرراً لنسبة الحكم إلى المطلق مع كونه للمقيد،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الغنم حلال مع أنّ الحلال هو الغنم غير الموطوء و غير 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لا محيص عن الأخذ بهذه المقدّمة</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7305744_3381743652"/>
      <w:bookmarkStart w:id="1560" w:name="_Toc593"/>
      <w:bookmarkEnd w:id="1559"/>
      <w:r>
        <w:rPr>
          <w:rtl w:val="true"/>
        </w:rPr>
        <w:t>كون المتكلّم في مقام البيان لجهة دون جهة</w:t>
      </w:r>
      <w:bookmarkEnd w:id="1560"/>
    </w:p>
    <w:p>
      <w:pPr>
        <w:pStyle w:val="BookText"/>
        <w:rPr/>
      </w:pPr>
      <w:r>
        <w:rPr>
          <w:rFonts w:ascii="Amiri" w:hAnsi="Amiri" w:eastAsia="Amiri" w:cs="Amiri"/>
          <w:color w:val="111111"/>
          <w:sz w:val="28"/>
          <w:sz w:val="28"/>
          <w:szCs w:val="28"/>
          <w:rtl w:val="true"/>
          <w:lang w:bidi="ar-SA"/>
        </w:rPr>
        <w:t>قد يكون المتكلّم في مقام بيان جهة دون جهة، فلا يصحّ الإطلاق إلاّ في الجهة التي صار بصدد بيانها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فَكُلُوا مِمّا أَمْسَكْنَ عَلَيْكُمْ وَ اذْكُرُوا اسْمَ اللّهِ عَلَيْهِ وَ اتَّقُوا اللّهَ إِنَّ اللّهَ سَرِيعُ الْحِسابِ </w:t>
      </w:r>
      <w:r>
        <w:rPr>
          <w:rFonts w:eastAsia="Amiri" w:cs="Amiri" w:ascii="Amiri" w:hAnsi="Amiri"/>
          <w:color w:val="111111"/>
          <w:sz w:val="28"/>
          <w:szCs w:val="28"/>
          <w:rtl w:val="true"/>
          <w:lang w:bidi="ar-SA"/>
        </w:rPr>
        <w:t>)</w:t>
      </w:r>
      <w:r>
        <w:rPr>
          <w:rStyle w:val="FootnoteAnchor"/>
          <w:rtl w:val="true"/>
        </w:rPr>
        <w:footnoteReference w:id="552"/>
      </w:r>
      <w:r>
        <w:rPr>
          <w:rFonts w:ascii="Amiri" w:hAnsi="Amiri" w:eastAsia="Amiri" w:cs="Amiri"/>
          <w:color w:val="111111"/>
          <w:sz w:val="28"/>
          <w:sz w:val="28"/>
          <w:szCs w:val="28"/>
          <w:rtl w:val="true"/>
          <w:lang w:bidi="ar-SA"/>
        </w:rPr>
        <w:t>، تكون الآية ظاهرة في بيان انّ ما أمسكه الكلب بحكم المذكى إذا ذكر اسم اللّه عليه و ليس بميتة، فهي في المقام بيان حلية أكْلِ ما يصيد الصيود مطلقاً و إن مات قبل دركه، لأنّ إمساكه تذكية للصيد، و لكن لا يصحّ التمسّك بإطلاقها من جهة ريق فم الكلب حتّى يحكم بطهارته من خلال جواز أكله، فما نقل عن شيخ الطائفة في طهارة موضع العض أخذاً بإطلاق الآية موضع تأمّل</w:t>
      </w:r>
      <w:r>
        <w:rPr>
          <w:rFonts w:eastAsia="Amiri" w:cs="Amiri" w:ascii="Amiri" w:hAnsi="Amiri"/>
          <w:color w:val="111111"/>
          <w:sz w:val="28"/>
          <w:szCs w:val="28"/>
          <w:rtl w:val="true"/>
          <w:lang w:bidi="ar-SA"/>
        </w:rPr>
        <w:t>.</w:t>
      </w:r>
    </w:p>
    <w:p>
      <w:pPr>
        <w:pStyle w:val="Heading5"/>
        <w:numPr>
          <w:ilvl w:val="4"/>
          <w:numId w:val="1"/>
        </w:numPr>
        <w:rPr/>
      </w:pPr>
      <w:bookmarkStart w:id="1561" w:name="__RefHeading___Toc7305746_3381743652"/>
      <w:bookmarkStart w:id="1562" w:name="_Toc594"/>
      <w:bookmarkEnd w:id="1561"/>
      <w:r>
        <w:rPr>
          <w:rtl w:val="true"/>
        </w:rPr>
        <w:t>ما هو الأصل في كلام المتكلّم؟</w:t>
      </w:r>
      <w:bookmarkEnd w:id="1562"/>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شكّ في أنّ المتكلّم في مقام البيان أو الإهمال و الإجمال، فالأصل العقلائي المعتمد عليه بين العقلاء كونه في مقام البيان لا الإجمال و الإهمال، و ذلك لأنّ الأصل حمل كلّ فعل صادر من الإنسان على غايته الطبيعية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التكلّم بما انّه من فعل الإنسان يحمل على غايته الطبيعية و هي الإفادة و بيان المقصود لا </w:t>
      </w:r>
      <w:bookmarkStart w:id="1563" w:name="pg14356_187290"/>
    </w:p>
    <w:p>
      <w:pPr>
        <w:pStyle w:val="BookText"/>
        <w:rPr/>
      </w:pPr>
      <w:bookmarkEnd w:id="1563"/>
      <w:r>
        <w:rPr>
          <w:rFonts w:ascii="IRNazanin" w:hAnsi="IRNazanin" w:eastAsia="IRNazanin"/>
          <w:color w:val="111111"/>
          <w:sz w:val="28"/>
          <w:sz w:val="28"/>
          <w:szCs w:val="28"/>
          <w:rtl w:val="true"/>
          <w:lang w:bidi="fa-IR"/>
        </w:rPr>
        <w:t>الإجمال و الإهمال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أُمور ثلاثة يطلب كلّ غايته الطبيعية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التكلّم بما هو فعل صادر من الفاعل العاقل يطلب غاية عقلائية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التكلّم بما هو فعل صادر عن الفاعل المختار يطلب غاية اختيارية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التكلّم بما أنّه فعل خاص يطلب غاية مناسبة لسنخ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الغاية المتناسبة لفعل التكلّم بما هو هو، إفهام المراد الجدي في مقام التخاطب لا إفهام بعضه دون بعض فيحمل على أنّ المتكلّم في مقام بيان تمام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ضوء ذلك فلو عثرنا على المقيد يعد معارضاً للمطلق كما هو الحال في المحاورات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في المحاورات التي تدور حول التقنين و التشريع يؤخذ بكلا الدليلين لجريان السيرة على فصل الخاص عن العام و المقيد عن المطلق</w:t>
      </w:r>
      <w:r>
        <w:rPr>
          <w:rFonts w:eastAsia="Amiri" w:cs="Amiri" w:ascii="Amiri" w:hAnsi="Amiri"/>
          <w:color w:val="111111"/>
          <w:sz w:val="28"/>
          <w:szCs w:val="28"/>
          <w:rtl w:val="true"/>
          <w:lang w:bidi="ar-SA"/>
        </w:rPr>
        <w:t>.</w:t>
      </w:r>
    </w:p>
    <w:p>
      <w:pPr>
        <w:pStyle w:val="Heading5"/>
        <w:numPr>
          <w:ilvl w:val="4"/>
          <w:numId w:val="1"/>
        </w:numPr>
        <w:rPr/>
      </w:pPr>
      <w:bookmarkStart w:id="1564" w:name="__RefHeading___Toc7305748_3381743652"/>
      <w:bookmarkStart w:id="1565" w:name="_Toc595"/>
      <w:bookmarkEnd w:id="1564"/>
      <w:r>
        <w:rPr>
          <w:rtl w:val="true"/>
        </w:rPr>
        <w:t>العثور على القيد لا يبطل الإطلاق</w:t>
      </w:r>
      <w:bookmarkEnd w:id="1565"/>
    </w:p>
    <w:p>
      <w:pPr>
        <w:pStyle w:val="BookText"/>
        <w:rPr/>
      </w:pPr>
      <w:r>
        <w:rPr>
          <w:rFonts w:ascii="Amiri" w:hAnsi="Amiri" w:eastAsia="Amiri" w:cs="Amiri"/>
          <w:color w:val="111111"/>
          <w:sz w:val="28"/>
          <w:sz w:val="28"/>
          <w:szCs w:val="28"/>
          <w:rtl w:val="true"/>
          <w:lang w:bidi="ar-SA"/>
        </w:rPr>
        <w:t>العثور على القيد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يعثر الإنسان على القيد في المحاورات العرفية فيستدلّ به على حصول البداء له، فأعرض عن المطلق إلى جانب المقيد</w:t>
      </w:r>
      <w:r>
        <w:rPr>
          <w:rFonts w:eastAsia="Amiri" w:cs="Amiri" w:ascii="Amiri" w:hAnsi="Amiri"/>
          <w:color w:val="111111"/>
          <w:sz w:val="28"/>
          <w:szCs w:val="28"/>
          <w:rtl w:val="true"/>
          <w:lang w:bidi="ar-SA"/>
        </w:rPr>
        <w:t>.</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 في كلام المقنّن و المشرّع من غير فرق بين العرفي و الإلهي، فالعثور على القيد يكشف عن كون الإطلاق حكماً قانونياً لأجل ضرب القاعدة، و لذلك يجب على المكلّف أن لا يحكم بكون المطلق تمام المراد إلاّ بعد الفحص عن القيد و اليأس منه، و أمّا بعده فيحكم به من غير فرق بين مقنن و مقنن، لوجود الأصل العقلائي و هو تطابق الإرادتين في جميع الموارد إلاّ ما قام الدليل على خلافه</w:t>
      </w:r>
      <w:r>
        <w:rPr>
          <w:rFonts w:eastAsia="Amiri" w:cs="Amiri" w:ascii="Amiri" w:hAnsi="Amiri"/>
          <w:color w:val="111111"/>
          <w:sz w:val="28"/>
          <w:szCs w:val="28"/>
          <w:rtl w:val="true"/>
          <w:lang w:bidi="ar-SA"/>
        </w:rPr>
        <w:t xml:space="preserve">. </w:t>
      </w:r>
      <w:bookmarkStart w:id="1566" w:name="pg14356_187291"/>
    </w:p>
    <w:p>
      <w:pPr>
        <w:pStyle w:val="Heading4"/>
        <w:numPr>
          <w:ilvl w:val="3"/>
          <w:numId w:val="1"/>
        </w:numPr>
        <w:rPr/>
      </w:pPr>
      <w:bookmarkStart w:id="1567" w:name="__RefHeading___Toc7305750_3381743652"/>
      <w:bookmarkStart w:id="1568" w:name="_Toc596"/>
      <w:bookmarkEnd w:id="1566"/>
      <w:bookmarkEnd w:id="1567"/>
      <w:r>
        <w:rPr>
          <w:rtl w:val="true"/>
        </w:rPr>
        <w:t>المقدّمة الثانية</w:t>
      </w:r>
      <w:r>
        <w:rPr>
          <w:rtl w:val="true"/>
        </w:rPr>
        <w:t xml:space="preserve">: </w:t>
      </w:r>
      <w:r>
        <w:rPr>
          <w:rtl w:val="true"/>
        </w:rPr>
        <w:t>انتفاء القرينة</w:t>
      </w:r>
      <w:bookmarkEnd w:id="1568"/>
    </w:p>
    <w:p>
      <w:pPr>
        <w:pStyle w:val="BookText"/>
        <w:rPr/>
      </w:pPr>
      <w:r>
        <w:rPr>
          <w:rFonts w:ascii="Amiri" w:hAnsi="Amiri" w:eastAsia="Amiri" w:cs="Amiri"/>
          <w:color w:val="111111"/>
          <w:sz w:val="28"/>
          <w:sz w:val="28"/>
          <w:szCs w:val="28"/>
          <w:rtl w:val="true"/>
          <w:lang w:bidi="ar-SA"/>
        </w:rPr>
        <w:t>هذه هي المقدّمة الثانية، و ربّما يعبّر عنها بانتفاء ما يوجب التعيين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فالقرينة المتّصلة تمنع عن انعقاد الإطلاق، و المنفصلة تمنع عن حجّيته، بعد انعقاده، و هذا نظير المخصِّص المتّصل و المنفصل للعام، فالأوّل منهما يمنع عن انعقاد العموم، و الثاني يمنع عن حجّيته كما مرّ تفصيله في مبحث العام 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الانصراف إلى فرد أو صنف فهو داخل تحت هذه المقدّمة، و ذلك لأنّ الانصراف ينقسم إلى بَدئيّ، و غير بَدئيّ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يزول بالتأمّل كالقول بأنّ الأكل و الشرب من المفطِّرات فهو ينصرف في بدء الأمر إلى ما هو المأكول و المشروب عادة، و لكنّه بَدئيّ يزول بالتأمّل، بل المبطل مطلق الأكل و الشرب و إن كان غير متعارف كأكل ورق الشجر و شرب بول ما يؤكل لحمه، فهو لا يمنع عن حجّية الإطلاق، فضلاً عن انعقاده، إذ لا يصحّ أن يُعتمد على مثل ذلك الانصراف البدئي المتزلزل غير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البدئيّ فهو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الانصراف على حدّ يوجب مهجورية المعنى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متروكيته، و أُخرى لا يكون على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فيمنع عن انعقاد الإطلاق كما هو الحال في ألفاظ الصلاة و الزكاة و الحجّ في عصر الصادقين عليهما السَّلام</w:t>
      </w:r>
      <w:r>
        <w:rPr>
          <w:rFonts w:eastAsia="Amiri" w:cs="Amiri" w:ascii="Amiri" w:hAnsi="Amiri"/>
          <w:color w:val="111111"/>
          <w:sz w:val="28"/>
          <w:szCs w:val="28"/>
          <w:rtl w:val="true"/>
          <w:lang w:bidi="ar-SA"/>
        </w:rPr>
        <w:t>.</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الثاني، فيكون من قبيل القرينة المنفصلة فهو يمنع عن حجّية الإطلاق لا عن انعقاده، و هذا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فانّه و إن كان يشمل الإنسان لغة، </w:t>
      </w:r>
      <w:bookmarkStart w:id="1569" w:name="pg14356_187292"/>
    </w:p>
    <w:p>
      <w:pPr>
        <w:pStyle w:val="BookText"/>
        <w:rPr/>
      </w:pPr>
      <w:bookmarkEnd w:id="1569"/>
      <w:r>
        <w:rPr>
          <w:rFonts w:ascii="Amiri" w:hAnsi="Amiri" w:eastAsia="Amiri" w:cs="Amiri"/>
          <w:color w:val="111111"/>
          <w:sz w:val="28"/>
          <w:sz w:val="28"/>
          <w:szCs w:val="28"/>
          <w:rtl w:val="true"/>
          <w:lang w:bidi="ar-SA"/>
        </w:rPr>
        <w:t>لكنّه منصرف إلى خصوص الحيوان، فإذا قيل الصلاة في وبر كلّ شيء حرام أكله فالصلاة في وبره و شعره، و جلده و بوله و روثه و كلّ شيء منه فاسد</w:t>
      </w:r>
      <w:r>
        <w:rPr>
          <w:rFonts w:eastAsia="Amiri" w:cs="Amiri" w:ascii="Amiri" w:hAnsi="Amiri"/>
          <w:color w:val="111111"/>
          <w:sz w:val="28"/>
          <w:szCs w:val="28"/>
          <w:rtl w:val="true"/>
          <w:lang w:bidi="ar-SA"/>
        </w:rPr>
        <w:t>.</w:t>
      </w:r>
      <w:r>
        <w:rPr>
          <w:rStyle w:val="FootnoteAnchor"/>
          <w:rtl w:val="true"/>
        </w:rPr>
        <w:footnoteReference w:id="553"/>
      </w:r>
      <w:r>
        <w:rPr>
          <w:rFonts w:ascii="Amiri" w:hAnsi="Amiri" w:eastAsia="Amiri" w:cs="Amiri"/>
          <w:color w:val="111111"/>
          <w:sz w:val="28"/>
          <w:sz w:val="28"/>
          <w:szCs w:val="28"/>
          <w:rtl w:val="true"/>
          <w:lang w:bidi="ar-SA"/>
        </w:rPr>
        <w:t>فهو ينصرف إلى الحيوان المصطلح لا إلى الحيوان اللغوي الذي يشمل الإنسان أيضاً</w:t>
      </w:r>
      <w:r>
        <w:rPr>
          <w:rFonts w:eastAsia="Amiri" w:cs="Amiri" w:ascii="Amiri" w:hAnsi="Amiri"/>
          <w:color w:val="111111"/>
          <w:sz w:val="28"/>
          <w:szCs w:val="28"/>
          <w:rtl w:val="true"/>
          <w:lang w:bidi="ar-SA"/>
        </w:rPr>
        <w:t>.</w:t>
      </w:r>
    </w:p>
    <w:p>
      <w:pPr>
        <w:pStyle w:val="Heading4"/>
        <w:numPr>
          <w:ilvl w:val="3"/>
          <w:numId w:val="1"/>
        </w:numPr>
        <w:rPr/>
      </w:pPr>
      <w:bookmarkStart w:id="1570" w:name="__RefHeading___Toc7305752_3381743652"/>
      <w:bookmarkStart w:id="1571" w:name="_Toc597"/>
      <w:bookmarkEnd w:id="1570"/>
      <w:r>
        <w:rPr>
          <w:rtl w:val="true"/>
        </w:rPr>
        <w:t>المقدّمة الثالثة</w:t>
      </w:r>
      <w:r>
        <w:rPr>
          <w:rtl w:val="true"/>
        </w:rPr>
        <w:t xml:space="preserve">: </w:t>
      </w:r>
      <w:r>
        <w:rPr>
          <w:rtl w:val="true"/>
        </w:rPr>
        <w:t>انتفاء القدر المتيقّن في مقام التخاطب</w:t>
      </w:r>
      <w:bookmarkEnd w:id="1571"/>
    </w:p>
    <w:p>
      <w:pPr>
        <w:pStyle w:val="BookText"/>
        <w:rPr/>
      </w:pPr>
      <w:r>
        <w:rPr>
          <w:rFonts w:ascii="Amiri" w:hAnsi="Amiri" w:eastAsia="Amiri" w:cs="Amiri"/>
          <w:color w:val="111111"/>
          <w:sz w:val="28"/>
          <w:sz w:val="28"/>
          <w:szCs w:val="28"/>
          <w:rtl w:val="true"/>
          <w:lang w:bidi="ar-SA"/>
        </w:rPr>
        <w:t>و قد عدّ انتفاء القدر المتيقّن من مقدمات الحكمة، و استدلّ المحقّق الخراساني على لزوم انتفائه بأنّه لو كان المتيقّن تمام مراده فان الفرض انّه بصدد بيان تمامه و قد بيّنه لا بصدد بيان انّه تمامه كي أخلّ ببيانه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الفرد المتيقّن تمامَ مراده، لم يلزم إخلال بالغرض، لأنّه بيّنه بواسطة كونه متيقناً، و لو كان مراده الأعم منه و من الفرد المشكوك فقد أخلّ بغرضه حيث لا بيان له، و إنّما البيان للفرد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بيّن تمام المراد بالحمل الشائع، و إن لم يبيّنه بوصف انّه تمام المراد و إنّما يتعلّق الغرض بالأوّل و قد بيّنه و لا يتعلّق بالثاني فلا يضرّ عدم بيان وصفه بأنّه تمام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يراد من القدر المتيقّن الذي يُعد وجوده مانعاً عن التمسّك بالإطلاق، فإن أُريد به انصراف المطلق إليه عند الإطلاق في ذهن المخاطب فلا كلام في أنّه مانع عن التمسّك به، إذ هو يُصبح كالقرينة المنفصلة المانعة من حجيّة الإطلاق، الوارد في الكلام</w:t>
      </w:r>
      <w:r>
        <w:rPr>
          <w:rFonts w:eastAsia="Amiri" w:cs="Amiri" w:ascii="Amiri" w:hAnsi="Amiri"/>
          <w:color w:val="111111"/>
          <w:sz w:val="28"/>
          <w:szCs w:val="28"/>
          <w:rtl w:val="true"/>
          <w:lang w:bidi="ar-SA"/>
        </w:rPr>
        <w:t>.</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أُريد به غير صورة الانصراف، فلا يضرّ بالإطلاق لا انعقاداً و لا تمسّكاً، لأنّ المانع هو بيان تمام المقصود مع التفات المكلّف إلى أنّه بيّن تمام المراد، </w:t>
      </w:r>
    </w:p>
    <w:p>
      <w:pPr>
        <w:pStyle w:val="BookText"/>
        <w:rPr/>
      </w:pPr>
      <w:r>
        <w:rPr>
          <w:rFonts w:ascii="Amiri" w:hAnsi="Amiri" w:eastAsia="Amiri" w:cs="Amiri"/>
          <w:color w:val="111111"/>
          <w:sz w:val="28"/>
          <w:sz w:val="28"/>
          <w:szCs w:val="28"/>
          <w:rtl w:val="true"/>
          <w:lang w:bidi="ar-SA"/>
        </w:rPr>
        <w:t>إذ عندئذ يصدق بأنّه لم يخل بغرضه، و أمّا بيان تمام المراد من دون وقوف المخاطب على أنّ المتكلّم بيّن تمام المراد، بل احتمل أنّ تمامه هو الجامع بين المورد المتيقّن و المشكوك، ففي مثله يصدق أنّه أخلّ ببيان تمام المراد عند المخاطب، لأنّ المدار في صدق عدم الإخلال و الإخلال، هو التفات المخاطب بأنّه بيّن تمام المراد، و عدم التفاته، لا بيانه واقعاً و إن لم يلتفت إليه المخاطب، فلو اعتمد في مقام بيان المراد، على وجود القدر المتيقّن في ذهن المخاطب حين الخطاب، مع وجود الشكّ في ذهن المخاطب في أنّه تمامه أو بعضه، فقد أخلّ بالغرض، إذ لم يصدر منه بيان، يوقف المخاطب على أنّه تمام المراد فقط، بل صار متحيّراً في أنّه تمام المقصود أو بعضه، فلا يصحّ في منطق العقل الاكتفاء بهذا البيان الذي لم يلتفت إليه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ذهب شيخ مشايخنا العلاّمة الحائري إلى عدم اعتبار هذه المقدّمة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أن يكون اللفظ الملقى إلى المخاطب كاشفاً عن تمام مراده، و هذا ملازم لصحّة حكم المخاطب أنّ هذا تمام مراده، و المفروض عدم صحّة حكم المخاطب بكون القدر المتيقّن تمام مراده،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مراده مقصوراً على المتيقّن لبيّنه لكونه في مقام البيان</w:t>
      </w:r>
      <w:r>
        <w:rPr>
          <w:rFonts w:eastAsia="Amiri" w:cs="Amiri" w:ascii="Amiri" w:hAnsi="Amiri"/>
          <w:color w:val="111111"/>
          <w:sz w:val="28"/>
          <w:szCs w:val="28"/>
          <w:rtl w:val="true"/>
          <w:lang w:bidi="ar-SA"/>
        </w:rPr>
        <w:t>.</w:t>
      </w:r>
      <w:r>
        <w:rPr>
          <w:rStyle w:val="FootnoteAnchor"/>
          <w:rtl w:val="true"/>
        </w:rPr>
        <w:footnoteReference w:id="554"/>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القدر المتيقّن في زمان التخاطب مانعاً عن انعقاد الإطلاق بحجّة أنّ المولى بيّن اعتماداً عليه تمام المراد و إن لم يصرّح بأنّه 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كذلك إذا كان هناك قدر متيقّن و لو بعد التأمّل خارج التخاطب فإنّه أيضاً ممّا يمكن أن يقال إنّ المولى بيّن المراد اعتماداً على تلك القرينة المنفصلة و إن لم يصرّح بأنّه تمام المراد، فإذا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العلماء فالقدر المتيقّن هو العالم الهاشمي </w:t>
      </w:r>
    </w:p>
    <w:p>
      <w:pPr>
        <w:pStyle w:val="BookText"/>
        <w:rPr/>
      </w:pPr>
      <w:r>
        <w:rPr>
          <w:rFonts w:ascii="Amiri" w:hAnsi="Amiri" w:eastAsia="Amiri" w:cs="Amiri"/>
          <w:color w:val="111111"/>
          <w:sz w:val="28"/>
          <w:sz w:val="28"/>
          <w:szCs w:val="28"/>
          <w:rtl w:val="true"/>
          <w:lang w:bidi="ar-SA"/>
        </w:rPr>
        <w:t>التقي، بعد التأمّل خارج الخطاب كما أنّ المتيقّن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هو البيع المنشأ بالصيغة العربية الماضية التي يتقدّم الإيجاب فيها على القبول بلا تعليق، مع أنّ مانعية ذلك القدر المتيقّن بمعزل من الكلام، و إلاّ لما صحّ التمسّك في مورد بإطلاق الكتاب و السنّة، إذ ما من إطلاق إلاّ و له قدر متيقّن، إذا تأمّل فيه المخاطب خارج مجلس التخاطب</w:t>
      </w:r>
      <w:r>
        <w:rPr>
          <w:rFonts w:eastAsia="Amiri" w:cs="Amiri" w:ascii="Amiri" w:hAnsi="Amiri"/>
          <w:color w:val="111111"/>
          <w:sz w:val="28"/>
          <w:szCs w:val="28"/>
          <w:rtl w:val="true"/>
          <w:lang w:bidi="ar-SA"/>
        </w:rPr>
        <w:t>.</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اشتهر بأنّ المورد غير مخصّص لا في الآيات و لا في الروايات</w:t>
      </w:r>
      <w:r>
        <w:rPr>
          <w:rFonts w:eastAsia="Amiri" w:cs="Amiri" w:ascii="Amiri" w:hAnsi="Amiri"/>
          <w:color w:val="111111"/>
          <w:sz w:val="28"/>
          <w:szCs w:val="28"/>
          <w:rtl w:val="true"/>
          <w:lang w:bidi="ar-SA"/>
        </w:rPr>
        <w:t xml:space="preserve">. </w:t>
      </w:r>
      <w:bookmarkStart w:id="1572" w:name="pg14356_187295"/>
    </w:p>
    <w:p>
      <w:pPr>
        <w:pStyle w:val="Heading3"/>
        <w:numPr>
          <w:ilvl w:val="2"/>
          <w:numId w:val="1"/>
        </w:numPr>
        <w:rPr/>
      </w:pPr>
      <w:bookmarkStart w:id="1573" w:name="__RefHeading___Toc7305754_3381743652"/>
      <w:bookmarkStart w:id="1574" w:name="_Toc598"/>
      <w:bookmarkEnd w:id="1572"/>
      <w:bookmarkEnd w:id="1573"/>
      <w:r>
        <w:rPr>
          <w:rtl w:val="true"/>
        </w:rPr>
        <w:t>الفصل الرابع في حمل المطلق على المقيّد</w:t>
      </w:r>
      <w:bookmarkEnd w:id="1574"/>
    </w:p>
    <w:p>
      <w:pPr>
        <w:pStyle w:val="Heading4"/>
        <w:numPr>
          <w:ilvl w:val="3"/>
          <w:numId w:val="1"/>
        </w:numPr>
        <w:rPr/>
      </w:pPr>
      <w:bookmarkStart w:id="1575" w:name="__RefHeading___Toc7305756_3381743652"/>
      <w:bookmarkStart w:id="1576" w:name="_Toc599"/>
      <w:bookmarkEnd w:id="1575"/>
      <w:r>
        <w:rPr>
          <w:rtl w:val="true"/>
        </w:rPr>
        <w:t>اشارة</w:t>
      </w:r>
      <w:bookmarkEnd w:id="1576"/>
    </w:p>
    <w:p>
      <w:pPr>
        <w:pStyle w:val="BookText"/>
        <w:rPr/>
      </w:pPr>
      <w:r>
        <w:rPr>
          <w:rFonts w:ascii="Amiri" w:hAnsi="Amiri" w:eastAsia="Amiri" w:cs="Amiri"/>
          <w:color w:val="111111"/>
          <w:sz w:val="28"/>
          <w:sz w:val="28"/>
          <w:szCs w:val="28"/>
          <w:rtl w:val="true"/>
          <w:lang w:bidi="ar-SA"/>
        </w:rPr>
        <w:t>إنّ هذا الفصل هو بيت القصيد في المقصد الخامس و يعدّ كالنتيجة لما سبق من المباحث، و لنقدّم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محطّ الكلام في حمل المطلق على المقيّد فيما إذا كان القيد منفصلاً عن المطلق، و أمّا إذا كان متّصلاً به فهو خارج عن محلّ البحث، لما عرفت من أنّ وجود القيد المتصل يلازم عدم انعقاد الإطلاق فلا يكون هنا إطلاق حتّى يحمل على المقيّد، بخلاف القيد المنفصل، إذ الإطلاق ينعقد عند وجود مقدّمات الحكمة و يكون المقيّد مزاحماً لحجيّة الإطلاق لكون ظهوره في مدخلية القيد في المطلوب أقوى من ظهور المطلق</w:t>
      </w:r>
      <w:r>
        <w:rPr>
          <w:rFonts w:eastAsia="Amiri" w:cs="Amiri" w:ascii="Amiri" w:hAnsi="Amiri"/>
          <w:color w:val="111111"/>
          <w:sz w:val="28"/>
          <w:szCs w:val="28"/>
          <w:rtl w:val="true"/>
          <w:lang w:bidi="ar-SA"/>
        </w:rPr>
        <w:t>.</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تقدّم ظهور القرينة على ظهور ذيها أشبه بالورود، لما عرفت من أنّ الإطلاق ليس من المداليل اللفظية، بل من المداليل العقليّة، يُعتمد فيها على كون المتكلّم حكيماً غير مناقض لمراده، فلو أمر بالمطلق، كشف عن كونه تمام الموضوع حسب الإرادة الاستعمالية، هذا من جانب، و من جانب آخر، الأصل تطابق الإرادة الاستعمالية مع الإرادة الجدّية، و من المعلوم أنّ هذا الأصل حجّة إذا لم يكن دليل على المخالفة، فإذا ورد المقيّد كشف عن عدم التطابق في هذا المورد الخاص </w:t>
      </w:r>
    </w:p>
    <w:p>
      <w:pPr>
        <w:pStyle w:val="BookText"/>
        <w:rPr/>
      </w:pPr>
      <w:r>
        <w:rPr>
          <w:rFonts w:ascii="Amiri" w:hAnsi="Amiri" w:eastAsia="Amiri" w:cs="Amiri"/>
          <w:color w:val="111111"/>
          <w:sz w:val="28"/>
          <w:sz w:val="28"/>
          <w:szCs w:val="28"/>
          <w:rtl w:val="true"/>
          <w:lang w:bidi="ar-SA"/>
        </w:rPr>
        <w:t>فيرتفع موضوع الأصل، و إن لم يكشف عن عدم كونه في مقام البيان كما مرّ، و هذا أشبه بتقدّم الدليل الاجتهاديّ على الدليل الفقاهي، نظير تقدّم الدليل الاجتهادي على الأصل العملي كالبراءة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يظهر من المحقّق النائيني أنّ التقديم من باب الحكومة كتقديم الأصل السببي على الأصل المسبّبي، ببيان أنّ الشكّ في إرادة ما يكون ذو القرينة ظاهراً فيه و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يكون مسبّباً عن الشكّ في إرادة ما تكون القرينة ظاهرة فيه و عدمها، بداهة أنّ الأخذ بظاهر القرينة يوجب رفع الشكّ فيما أُريد بذي القرينة و لزوم حمله على غير ما يكون ظاهراً فيه لو لا القرينة</w:t>
      </w:r>
      <w:r>
        <w:rPr>
          <w:rFonts w:eastAsia="Amiri" w:cs="Amiri" w:ascii="Amiri" w:hAnsi="Amiri"/>
          <w:color w:val="111111"/>
          <w:sz w:val="28"/>
          <w:szCs w:val="28"/>
          <w:rtl w:val="true"/>
          <w:lang w:bidi="ar-SA"/>
        </w:rPr>
        <w:t>.</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وجود الفرق بين المقيس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المقيس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السببي و المسببي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موضوع الأصلين أي الشكّ محفوظ، لكن يقدّم أحد الأصلين على الآخر، بحجّة انّ التعبّد بمضمون الأصل السببي، يلازم رفع اليد عن التعبّد بمضمون الأصل المسببيّ بخلاف المقام فإنّ موضوع أصالة التطابق الذي هو عدم ورود البيان على خلافها، يرتفع بالمقيّد، و معه لا يبقى للأصل 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قوام الإطلاق بأمرين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كونه في مقام البيان حسب الإرادة الاستعمالية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الأصل الحاكم على تطابق الإرادتين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العثور على القرينة و إن لم يكشف عن عدم كونه في مقام البيان، لكنّه يكشف عن عدم الموضوع لأصالة التطابق</w:t>
      </w:r>
      <w:r>
        <w:rPr>
          <w:rFonts w:eastAsia="Amiri" w:cs="Amiri" w:ascii="Amiri" w:hAnsi="Amiri"/>
          <w:color w:val="111111"/>
          <w:sz w:val="28"/>
          <w:szCs w:val="28"/>
          <w:rtl w:val="true"/>
          <w:lang w:bidi="ar-SA"/>
        </w:rPr>
        <w:t>.</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المحقّق الخراساني أنّ قضيّة مقدّمات الحكمة تختلف حسب اختلاف المقامات،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نتيجتها تارة يكون حملها على العموم البدلي، </w:t>
      </w:r>
    </w:p>
    <w:p>
      <w:pPr>
        <w:pStyle w:val="BookText"/>
        <w:rPr/>
      </w:pPr>
      <w:r>
        <w:rPr>
          <w:rFonts w:ascii="Amiri" w:hAnsi="Amiri" w:eastAsia="Amiri" w:cs="Amiri"/>
          <w:color w:val="111111"/>
          <w:sz w:val="28"/>
          <w:sz w:val="28"/>
          <w:szCs w:val="28"/>
          <w:rtl w:val="true"/>
          <w:lang w:bidi="ar-SA"/>
        </w:rPr>
        <w:t xml:space="preserve">و أُخرى على العموم الاستيعابي، و ثالثة على نوع خاصّ ممّا ينطبق عليه حسب اقتضاء خصوص المقام و اختلاف الآثار و الأحكام كما هو الحال في سائر القرائن بلا كلام، فالحكمة في إطلاق صيغة الأمر تقتضي أن يكون المراد خصوص الوجوب التعييني العيني النفسي فإنّ إرادة غيره تحتاج إلى مزيد بيان و لا معنى لإرادة الشياع فيه فلا محيص عن الحمل عليه فيما إذا كان بصدد البيان، كما أنّها قد تقتضي العموم الاستيعابي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أَحَلَّ اللّهُ الْبَيْعَ وَ حَرَّمَ الرِّبا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إرادة البيع مهملاً أو مجملاً تنافي ما هو المفروض من كونه بصدد البيان، و إرادة العموم البدلي لا تناسب المقام و لا مجال لاحتمال إرادة بيع اختاره المكلّف أيّ بيع كان مع أنّها تحتاج إلى نصب دلالة عليها لا يكاد يفهم بدونها من الإطلاق، و لا يصحّ قياسه على ما إذا أخذ في متعلّق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جئني برجل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العموم الاستيعابي لا يمكن إرادته، فيحمل على العموم البدلي</w:t>
      </w:r>
      <w:r>
        <w:rPr>
          <w:rFonts w:eastAsia="Amiri" w:cs="Amiri" w:ascii="Amiri" w:hAnsi="Amiri"/>
          <w:color w:val="111111"/>
          <w:sz w:val="28"/>
          <w:szCs w:val="28"/>
          <w:rtl w:val="true"/>
          <w:lang w:bidi="ar-SA"/>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عبارته أنّ هذه النتائج، من ثمرات مقدّمات الحكمة و لكنّ الحقّ انّه ليس لمقدّمات الحكمة إلاّ ثمرة واحدة، و هي كون ما وقع تحت دائرة التشريع تمام الموضوع للحكم فقط، و أمّا غير ذلك من كون الأمر تعيينيّاً، لا تخييرياً، شموليّاً لا بدليّاً أو بالعكس فإنّما هي من مقتضيات اختلاف طبيعة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إذا وقعت الطبيعة تحت دائرة الطلب تكون النتيجة هي البدلية لسقوط الأمر بالامتثال بإيجاد الطبيعة في ضمن فرد</w:t>
      </w:r>
      <w:r>
        <w:rPr>
          <w:rFonts w:eastAsia="Amiri" w:cs="Amiri" w:ascii="Amiri" w:hAnsi="Amiri"/>
          <w:color w:val="111111"/>
          <w:sz w:val="28"/>
          <w:szCs w:val="28"/>
          <w:rtl w:val="true"/>
          <w:lang w:bidi="ar-SA"/>
        </w:rPr>
        <w:t>.</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وقعت الطبيعة في مقام التشريع تحت دائرة الامضاء،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النتيجة هي الشمول، إذ لا معنى لإمضاء بيع </w:t>
      </w:r>
      <w:bookmarkStart w:id="1577" w:name="pg14356_187298"/>
    </w:p>
    <w:p>
      <w:pPr>
        <w:pStyle w:val="BookText"/>
        <w:rPr/>
      </w:pPr>
      <w:bookmarkEnd w:id="1577"/>
      <w:r>
        <w:rPr>
          <w:rFonts w:ascii="Amiri" w:hAnsi="Amiri" w:eastAsia="Amiri" w:cs="Amiri"/>
          <w:color w:val="111111"/>
          <w:sz w:val="28"/>
          <w:sz w:val="28"/>
          <w:szCs w:val="28"/>
          <w:rtl w:val="true"/>
          <w:lang w:bidi="ar-SA"/>
        </w:rPr>
        <w:t>خاص مجملاً أو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وقعت الطبيعة مورداً للطلب دون أن يذكر له العدل تكون النتيجة هي التعيين، لأنّ التخيير يحتاج إلى البيان دون التعيين، و الحاصل أنّ النتائج المختلفة وليدة اختلاف المقامات لا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 تقسيم الإطلاق إلى بدليّ و شمولي و مجموعي ليس صحيحاً، إذ ليس للإطلاق إلاّ قسم واحد و هو كون ما وقع تحت دائرة الحكم تمام الموضوع، و أمّا الخصوصيات فإنّما تستفاد من القرائن و حسب اقتضاء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البحث في حمل المطلق على المقيّد فيما إذا اتّحد الحكم و اختلف الموضوع بالإطلاق و التقييد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و أعتق رقبة مؤمنة، و أمّا إذا اختلفا حكماً و موضوعاً فهو أجنبي عن الإطلاق و التقييد،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مؤمنة و سلّم على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الحكمين إمّا يكونان مثبتين أو نافيين أو مختلفين، و على كلّ تقدير فإمّا أن يكون السبب غير مذكور أو يكون مذكوراً، فتكون الأقسام حسب الظاهر ستّة، و إن كانت عند الدّقة أكثر فلنذكر القسم الأوّل بشقوقه الثلاثة</w:t>
      </w:r>
      <w:r>
        <w:rPr>
          <w:rFonts w:eastAsia="Amiri" w:cs="Amiri" w:ascii="Amiri" w:hAnsi="Amiri"/>
          <w:color w:val="111111"/>
          <w:sz w:val="28"/>
          <w:szCs w:val="28"/>
          <w:rtl w:val="true"/>
          <w:lang w:bidi="ar-SA"/>
        </w:rPr>
        <w:t>:</w:t>
      </w:r>
    </w:p>
    <w:p>
      <w:pPr>
        <w:pStyle w:val="Heading4"/>
        <w:numPr>
          <w:ilvl w:val="3"/>
          <w:numId w:val="1"/>
        </w:numPr>
        <w:rPr/>
      </w:pPr>
      <w:bookmarkStart w:id="1578" w:name="__RefHeading___Toc7305758_3381743652"/>
      <w:bookmarkStart w:id="1579" w:name="_Toc600"/>
      <w:bookmarkEnd w:id="1578"/>
      <w:r>
        <w:rPr>
          <w:rtl w:val="true"/>
        </w:rPr>
        <w:t>القسم الأوّل</w:t>
      </w:r>
      <w:r>
        <w:rPr>
          <w:rtl w:val="true"/>
        </w:rPr>
        <w:t xml:space="preserve">: </w:t>
      </w:r>
      <w:r>
        <w:rPr>
          <w:rtl w:val="true"/>
        </w:rPr>
        <w:t>فيما إذا لم يذكر السبب</w:t>
      </w:r>
      <w:bookmarkEnd w:id="1579"/>
    </w:p>
    <w:p>
      <w:pPr>
        <w:pStyle w:val="Heading5"/>
        <w:numPr>
          <w:ilvl w:val="4"/>
          <w:numId w:val="1"/>
        </w:numPr>
        <w:rPr/>
      </w:pPr>
      <w:bookmarkStart w:id="1580" w:name="__RefHeading___Toc7305760_3381743652"/>
      <w:bookmarkStart w:id="1581" w:name="_Toc601"/>
      <w:bookmarkEnd w:id="1580"/>
      <w:r>
        <w:rPr>
          <w:rtl w:val="true"/>
        </w:rPr>
        <w:t>اشارة</w:t>
      </w:r>
      <w:bookmarkEnd w:id="1581"/>
    </w:p>
    <w:p>
      <w:pPr>
        <w:pStyle w:val="BookText"/>
        <w:rPr/>
      </w:pPr>
      <w:r>
        <w:rPr>
          <w:rFonts w:ascii="Amiri" w:hAnsi="Amiri" w:eastAsia="Amiri" w:cs="Amiri"/>
          <w:color w:val="111111"/>
          <w:sz w:val="28"/>
          <w:sz w:val="28"/>
          <w:szCs w:val="28"/>
          <w:rtl w:val="true"/>
          <w:lang w:bidi="ar-SA"/>
        </w:rPr>
        <w:t>و فيه صور ثلاث</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7305762_3381743652"/>
      <w:bookmarkStart w:id="1583" w:name="_Toc602"/>
      <w:bookmarkEnd w:id="1582"/>
      <w:r>
        <w:rPr>
          <w:rtl w:val="true"/>
        </w:rPr>
        <w:t>الصورة الأُولى</w:t>
      </w:r>
      <w:r>
        <w:rPr>
          <w:rtl w:val="true"/>
        </w:rPr>
        <w:t xml:space="preserve">: </w:t>
      </w:r>
      <w:r>
        <w:rPr>
          <w:rtl w:val="true"/>
        </w:rPr>
        <w:t>إذا كانا مثبتين</w:t>
      </w:r>
      <w:bookmarkEnd w:id="1583"/>
    </w:p>
    <w:p>
      <w:pPr>
        <w:pStyle w:val="Heading6"/>
        <w:numPr>
          <w:ilvl w:val="5"/>
          <w:numId w:val="1"/>
        </w:numPr>
        <w:rPr/>
      </w:pPr>
      <w:bookmarkStart w:id="1584" w:name="__RefHeading___Toc7305764_3381743652"/>
      <w:bookmarkStart w:id="1585" w:name="_Toc603"/>
      <w:bookmarkEnd w:id="1584"/>
      <w:r>
        <w:rPr>
          <w:rtl w:val="true"/>
        </w:rPr>
        <w:t>اشارة</w:t>
      </w:r>
      <w:bookmarkEnd w:id="1585"/>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فهل يحمل المطلق على المقيّد </w:t>
      </w:r>
    </w:p>
    <w:p>
      <w:pPr>
        <w:pStyle w:val="BookText"/>
        <w:rPr/>
      </w:pPr>
      <w:r>
        <w:rPr>
          <w:rFonts w:ascii="Amiri" w:hAnsi="Amiri" w:eastAsia="Amiri" w:cs="Amiri"/>
          <w:color w:val="111111"/>
          <w:sz w:val="28"/>
          <w:sz w:val="28"/>
          <w:szCs w:val="28"/>
          <w:rtl w:val="true"/>
          <w:lang w:bidi="ar-SA"/>
        </w:rPr>
        <w:t>أو لا؟ لقد تكلّم فيه المحقّق الخراساني بنحو مفصّل نأتي بخلاصته،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يمكن الجمع بين المطلق و المقيّد بأحد الوجهين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المطلق على المقيّد، لأنّ فيه جمعاً بين الدليلين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المطلق على أفضل الأفراد، و فيه أيضاً جمعاً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الوجهُ الأوّل بأنّ حمل المطلق على المقيد لا يحدث تصرّفاً في المطلق لكشف المقيّد عن عدم وجود الإطلاق و أنّه كان تخيّليّاً بخلاف حمل المقيّد على الاستحباب فإنّه تصرّف في دلالة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ردّ هذا التأييد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حمل المطلق على المقيّد أيضاً تصرّف، و ذلك لما عرفت من أنّ العثور على المقيّد و إن كان لا يكشف عن عدم كون المطلق وارداً في مقام البيان كما هو ظاهر كلام المؤيّد، لكن يكون كاشفاً عن عدم كون الإطلاق بمراد جدّاً و انّ الإرادتين ليستا بمتطابقتين، و هذا أيضاً نوع 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المحقّق الخراساني بعد نقل هذه الوجوه رجّح الوجه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المطلق على المقيّد بوجه آخر،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إطلاق الصيغة في الإيجاب التعييني أقوى من ظهور المطلق في الإطلاق، و ذلك لأنّ الأمر دائر بين الأخذ بالمطلق و رفع اليد عن الوجوب التعييني في مورد المقيّد، و بين أن يكون المكلّف مخيّراً بين عتق المؤمنة و الكافرة و الأخذ بالظهور التعييني في جانب المقيّد، و تكون النتيجة لزوم الإتيان بالقيد، و لكن الظهور الثاني أقوى من الظهور الأوّل فيتصرّف فيه ببركة الظهور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يظهر وجه الأقوائيّة</w:t>
      </w:r>
      <w:r>
        <w:rPr>
          <w:rFonts w:eastAsia="Amiri" w:cs="Amiri" w:ascii="Amiri" w:hAnsi="Amiri"/>
          <w:color w:val="111111"/>
          <w:sz w:val="28"/>
          <w:szCs w:val="28"/>
          <w:rtl w:val="true"/>
          <w:lang w:bidi="ar-SA"/>
        </w:rPr>
        <w:t>.</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هنا أمرين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الظهور التعييني في جانب المقيّد و لزوم الإتيان بالقيد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تساوي الأفراد في مقام الامتثال لإطلاق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الأمرين من نتائج الإطلاق فلا وجه لتقديم أحدهما على الآخر بعد كون الجميع من نتائج شيء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أنّه يجب أن تحلّ العقدة من طريق آخر، و هو أنّه إذا كانا مثبتين، و مجرّدين عن ذكر السبب، تكون هنا صورتان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أحرزت وحدة الحكم و أنّ هنا وجوباً واحداً لا وجوبين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تحرز وحدة الحكم و احتملنا تعدّده و تعدّد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فما ذكر من أنّ هنا وجهين للجمع بين الدليلين، و إن كان صحيحاً لكن الجمع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المطلق على المقيّد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 من الجمع الثاني، أي حمل المقيد على أفضل الأفراد، و ذلك لجريان السيرة المستمرّة في مجالس التقنين على فصل المخصّص عن العام و المقيّد عن المطلق، و الداعي إليه في التقنين البشري هو عدم إحاطة علم أصحاب التشريع بالمفاسد و المصالح فيشرّعون حكماً مطلقاً ثمّ يعثرون على أنّ المصلحة في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التشريع السماوي فالوجه فيه هو وجود المصلحة الملزمة في تدريجية التشريع يقول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الَّذِينَ كَفَرُوا لَوْ لا نُزِّلَ عَلَيْهِ الْقُرْآنُ جُمْلَةً واحِدَةً كَذلِكَ لِنُثَبِّتَ بِهِ فُؤادَكَ وَ رَتَّلْناهُ تَرْتِيلاً </w:t>
      </w:r>
      <w:r>
        <w:rPr>
          <w:rFonts w:eastAsia="Amiri" w:cs="Amiri" w:ascii="Amiri" w:hAnsi="Amiri"/>
          <w:color w:val="111111"/>
          <w:sz w:val="28"/>
          <w:szCs w:val="28"/>
          <w:rtl w:val="true"/>
          <w:lang w:bidi="ar-SA"/>
        </w:rPr>
        <w:t>).</w:t>
      </w:r>
      <w:r>
        <w:rPr>
          <w:rStyle w:val="FootnoteAnchor"/>
          <w:rtl w:val="true"/>
        </w:rPr>
        <w:footnoteReference w:id="557"/>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السيرة كالقرينة على تعيّن الجمع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إذا لم تحرز وحدة التكليف، و الامتثال، فضلاً عمّا إذا أحرز تعدّدهما كما إذا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 بالماء، ثمّ قال بعد زمن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بالماء و احتملنا أنّ هناك غرضين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رفع العطش و الثاني غسل الثياب، غير أنّ الأوّل يشترط فيه كون الماء خالياً عن الأملاح، قابلاً للشرب بخلاف الثاني فإنّه يكفي فيه كون الماء مطلقاً، سواء أ كان قابلاً للشرب أم لا، فالجمع بين الدليلين يتحقّق بأُمور ثلاثة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المطلق على المقيّد و لزوم امتثالهما بعتق الرقبة المؤمنة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حمل المقيّد على أفضل الأفراد و التخيير في مقام الامتثال بين عتق المؤمنة و الكافرة و إن كان الأفضل هو عتق المؤمنة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التحفّظ على الوجوبين و القول بأنّ هنا تكليفين إلزاميين، و مقتضى ذلك لزوم القيام بعتق رقبتين يكفي في أحدهما عتق مطلق الرقبة مؤمنة كانت أم كافرة بخلاف الثاني و لا موجب للعدول عن الثالث إلى الوجهين الأوّلين، و بما أنّ الشكّ في المقام بعد عتق المؤمنة يرجع إلى الشكّ في سقوط التكليف المعلوم، و حصول الامتثال بالعمل بالمقيّد وحده، يتعيّن العمل بالوجه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أشبه بالأقل و الأكثر الاستقلاليّين، حيث إنّ الأمر يدور بين التكليف الواحد و الأكثر، و الأوّل متيقّن و الزائد مشكوك، كدوران الدين بين الأقل و الأكثر فالحكم في الجميع واحد</w:t>
      </w:r>
      <w:r>
        <w:rPr>
          <w:rFonts w:eastAsia="Amiri" w:cs="Amiri" w:ascii="Amiri" w:hAnsi="Amiri"/>
          <w:color w:val="111111"/>
          <w:sz w:val="28"/>
          <w:szCs w:val="28"/>
          <w:rtl w:val="true"/>
          <w:lang w:bidi="ar-SA"/>
        </w:rPr>
        <w:t>.</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المقامين واضح، فإنّ الوجوب في مورد الدين واحد فهو مخاطب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 دينك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نعم المتعلّق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مردّد بين الأقل و الأكثر، و هذا بخلاف المقام، فإنّ الخطاب متعدّد قطعاً،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فإذا أعتق رقبة مؤمنة، يشك حصول الامتثال بعتق الرقبة </w:t>
      </w:r>
      <w:bookmarkStart w:id="1586" w:name="pg14356_187302"/>
    </w:p>
    <w:p>
      <w:pPr>
        <w:pStyle w:val="BookText"/>
        <w:rPr/>
      </w:pPr>
      <w:bookmarkEnd w:id="1586"/>
      <w:r>
        <w:rPr>
          <w:rFonts w:ascii="Amiri" w:hAnsi="Amiri" w:eastAsia="Amiri" w:cs="Amiri"/>
          <w:color w:val="111111"/>
          <w:sz w:val="28"/>
          <w:sz w:val="28"/>
          <w:szCs w:val="28"/>
          <w:rtl w:val="true"/>
          <w:lang w:bidi="ar-SA"/>
        </w:rPr>
        <w:t>المؤمنة، و ذلك إذ لو كان الغرض واحداً لحصل الامتثال و لو كان الغرض متعدداً لما حصل، فيكون مرجع الشكّ إلى سقوط التكليف، و حصول الامتثال و المرجع في الجميع هو الاشتغال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فاتّضح من ذلك أنّ مفتاح الحلّ هو إحراز وحدة الحكم و عدمه، ففي الصورة الأُولى يحمل المطلق على المقيّد، و في الصورة الثانية يعمل بالاحتياط، فيكون أحد التكليفين مقيّداً بالإيمان و التكليف الثاني غير مقيّد به و يحصل الغرض بعتق أيّ رقبة من المؤمنة و الكافرة</w:t>
      </w:r>
      <w:r>
        <w:rPr>
          <w:rFonts w:eastAsia="Amiri" w:cs="Amiri" w:ascii="Amiri" w:hAnsi="Amiri"/>
          <w:color w:val="111111"/>
          <w:sz w:val="28"/>
          <w:szCs w:val="28"/>
          <w:rtl w:val="true"/>
          <w:lang w:bidi="ar-SA"/>
        </w:rPr>
        <w:t>.</w:t>
      </w:r>
    </w:p>
    <w:p>
      <w:pPr>
        <w:pStyle w:val="Heading6"/>
        <w:numPr>
          <w:ilvl w:val="5"/>
          <w:numId w:val="1"/>
        </w:numPr>
        <w:rPr/>
      </w:pPr>
      <w:bookmarkStart w:id="1587" w:name="__RefHeading___Toc7305766_3381743652"/>
      <w:bookmarkStart w:id="1588" w:name="_Toc604"/>
      <w:bookmarkEnd w:id="1587"/>
      <w:r>
        <w:rPr>
          <w:rtl w:val="true"/>
        </w:rPr>
        <w:t>تقريب للمحقّق النائيني لإحراز وحدة الحكم</w:t>
      </w:r>
      <w:bookmarkEnd w:id="1588"/>
    </w:p>
    <w:p>
      <w:pPr>
        <w:pStyle w:val="BookText"/>
        <w:rPr/>
      </w:pPr>
      <w:r>
        <w:rPr>
          <w:rFonts w:ascii="Amiri" w:hAnsi="Amiri" w:eastAsia="Amiri" w:cs="Amiri"/>
          <w:color w:val="111111"/>
          <w:sz w:val="28"/>
          <w:sz w:val="28"/>
          <w:szCs w:val="28"/>
          <w:rtl w:val="true"/>
          <w:lang w:bidi="ar-SA"/>
        </w:rPr>
        <w:t>لمّا وقف المحقّق النائيني على أنّ مفتاح الحل في المقام هو إحراز وحدة الحكم صار بصدد تقريبه في موارد الشكّ بالبيان التالي،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تكليفين مستقلّين ناشئين من ملاكين إلزاميّين، و ذلك لأنّ لهذا الغرض صورتين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الإتيان بالمقيّد وافياً بكلا الملاكين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وافياً بخصوص أحدهما دون الآخر، أي وافياً بملاك القيد وحده أو المطلق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سبيل إلى الثاني، لأنّه خلاف ظاهر الأمر المتعلّق بصرف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المنطبق على المقيّد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لوفائه بملاك المقيّد دون المطلق</w:t>
      </w:r>
      <w:r>
        <w:rPr>
          <w:rFonts w:eastAsia="Amiri" w:cs="Amiri" w:ascii="Amiri" w:hAnsi="Amiri"/>
          <w:color w:val="111111"/>
          <w:sz w:val="28"/>
          <w:szCs w:val="28"/>
          <w:rtl w:val="true"/>
          <w:lang w:bidi="ar-SA"/>
        </w:rPr>
        <w:t>.</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سبيل إلى الأوّل، لأنّه يستلزم كون الأمر المتعلّق بكلّ من المطلق و المقيّد تخييرياً من باب التخيير بين الأقل و الأكثر بأن يُخيّر المكلّف بين الإتيان بالمقيّد أوّلاً فيكون مجزياً عن كلا التكليفين، و بين الإتيان بغير المقيّد من أفراد </w:t>
      </w:r>
    </w:p>
    <w:p>
      <w:pPr>
        <w:pStyle w:val="BookText"/>
        <w:rPr/>
      </w:pPr>
      <w:r>
        <w:rPr>
          <w:rFonts w:ascii="Amiri" w:hAnsi="Amiri" w:eastAsia="Amiri" w:cs="Amiri"/>
          <w:color w:val="111111"/>
          <w:sz w:val="28"/>
          <w:sz w:val="28"/>
          <w:szCs w:val="28"/>
          <w:rtl w:val="true"/>
          <w:lang w:bidi="ar-SA"/>
        </w:rPr>
        <w:t>المطلق أوّلاً، ثمّ الإتيان بالمقيّد بعده ثانياً، إذ بعد فرض لزوم الإتيان بالمقيّد بعينه و وفائه بكلا الملاكين لا يبقى موجب للأمر بالمطلق إلاّ بعد تقييده بالإتيان به أوّلاً في غير ضمن المقيّد مع الترخيص في تركه بالإتيان بالمقيّد ابتداء، و من الواضح أنّ هذا تكلّف زائد لا سبيل إلى الالتزام به مع عدم القرينة عليه</w:t>
      </w:r>
      <w:r>
        <w:rPr>
          <w:rFonts w:eastAsia="Amiri" w:cs="Amiri" w:ascii="Amiri" w:hAnsi="Amiri"/>
          <w:color w:val="111111"/>
          <w:sz w:val="28"/>
          <w:szCs w:val="28"/>
          <w:rtl w:val="true"/>
          <w:lang w:bidi="ar-SA"/>
        </w:rPr>
        <w:t>.</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بأنّا نختار الشق الثاني و لكن لا بمعنى وفاقه بملاك المقيّد دون ملاك المطلق حتّى يقال بأنّه غير معقول، لأنّ المطلق موجود في ضمن المقيّد فكيف يكون وافياً بملاك المقيد دون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بمعنى أنّ الإتيان بالمقيّد يلازم حصول أحد الغرضين لا بعينه، دون الغرضين معاً، مثلاً لو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اسقني،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جئني بالماء، فأحضر الماء القابل للشرب، فقد حصل أحد الغرضين و هو التمكن من الشرب و الغسل، و لكنّه لا يفي إلاّ بأحدهما إمّا الشرب أو الغسل و يبقى الغرض الآخر بحاله، و لا يتحقق إلاّ بإحضار ماء ثان غير مشروط بكونه قابلاً للشرب، و إن أحضره يكون أيضاً وافياً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احتمال أن يكون المورد من هذا القبيل كاف في الحكم بالاشتغال و لزوم عتق رقبتين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إثبات وحدة التكليف بهذه الاعتبارات العقلية بعيد عن الأذهان الساذجة التي هي المرجع في تشخيص وحدة التكليف عن تعدّده</w:t>
      </w:r>
      <w:r>
        <w:rPr>
          <w:rFonts w:eastAsia="Amiri" w:cs="Amiri" w:ascii="Amiri" w:hAnsi="Amiri"/>
          <w:color w:val="111111"/>
          <w:sz w:val="28"/>
          <w:szCs w:val="28"/>
          <w:rtl w:val="true"/>
          <w:lang w:bidi="ar-SA"/>
        </w:rPr>
        <w:t>.</w: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فاتّضح بذلك أنّ الطريق لإحراز وحدة التكليف الملازم لوجود المنافاة بين الكلامين، الباعث إلى التصرّف بأحد الوجهين من حمل المطلق على المقيّد أو حمل المقيّد على أفضل الأفراد هو دلالة القرائن على أنّ القضيتين ناظرتان إلى حكم واحد، لا هذا الوجه البعيد عن الأذهان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المفروض في المقام عدمها فلا وجه </w:t>
      </w:r>
      <w:bookmarkStart w:id="1589" w:name="pg14356_187304"/>
    </w:p>
    <w:p>
      <w:pPr>
        <w:pStyle w:val="BookText"/>
        <w:rPr/>
      </w:pPr>
      <w:bookmarkEnd w:id="1589"/>
      <w:r>
        <w:rPr>
          <w:rFonts w:ascii="Amiri" w:hAnsi="Amiri" w:eastAsia="Amiri" w:cs="Amiri"/>
          <w:color w:val="111111"/>
          <w:sz w:val="28"/>
          <w:sz w:val="28"/>
          <w:szCs w:val="28"/>
          <w:rtl w:val="true"/>
          <w:lang w:bidi="ar-SA"/>
        </w:rPr>
        <w:t>للتصرّف في أحدهما بأحد الوجهين، بل المتعيّن هو الوجه الثالث من إبقائهما على كونهما تكليفين إلزاميين يطلب كلّ واحد امتثالاً مستقلاً</w:t>
      </w:r>
      <w:r>
        <w:rPr>
          <w:rFonts w:eastAsia="Amiri" w:cs="Amiri" w:ascii="Amiri" w:hAnsi="Amiri"/>
          <w:color w:val="111111"/>
          <w:sz w:val="28"/>
          <w:szCs w:val="28"/>
          <w:rtl w:val="true"/>
          <w:lang w:bidi="ar-SA"/>
        </w:rPr>
        <w:t>.</w:t>
      </w:r>
    </w:p>
    <w:p>
      <w:pPr>
        <w:pStyle w:val="Heading5"/>
        <w:numPr>
          <w:ilvl w:val="4"/>
          <w:numId w:val="1"/>
        </w:numPr>
        <w:rPr/>
      </w:pPr>
      <w:bookmarkStart w:id="1590" w:name="__RefHeading___Toc7305768_3381743652"/>
      <w:bookmarkStart w:id="1591" w:name="_Toc605"/>
      <w:bookmarkEnd w:id="1590"/>
      <w:r>
        <w:rPr>
          <w:rtl w:val="true"/>
        </w:rPr>
        <w:t>الصورة الثانية</w:t>
      </w:r>
      <w:r>
        <w:rPr>
          <w:rtl w:val="true"/>
        </w:rPr>
        <w:t xml:space="preserve">: </w:t>
      </w:r>
      <w:r>
        <w:rPr>
          <w:rtl w:val="true"/>
        </w:rPr>
        <w:t>إذا كانا نافيين</w:t>
      </w:r>
      <w:bookmarkEnd w:id="1591"/>
    </w:p>
    <w:p>
      <w:pPr>
        <w:pStyle w:val="BookText"/>
        <w:rPr/>
      </w:pPr>
      <w:r>
        <w:rPr>
          <w:rFonts w:ascii="Amiri" w:hAnsi="Amiri" w:eastAsia="Amiri" w:cs="Amiri"/>
          <w:color w:val="111111"/>
          <w:sz w:val="28"/>
          <w:sz w:val="28"/>
          <w:szCs w:val="28"/>
          <w:rtl w:val="true"/>
          <w:lang w:bidi="ar-SA"/>
        </w:rPr>
        <w:t>إذا كان الدليلان نافيين،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الخمر الذي هو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تشرب المسكر المأخوذ من العنب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تشرب المسكر، فلا وجه لحمل المطلق على المقيّد، لعدم التنافي بين الدليلين، غاية الأمر يحمل النهي عن شرب الخمر على الحرمة المؤكّدة</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7305770_3381743652"/>
      <w:bookmarkStart w:id="1593" w:name="_Toc606"/>
      <w:bookmarkEnd w:id="1592"/>
      <w:r>
        <w:rPr>
          <w:rtl w:val="true"/>
        </w:rPr>
        <w:t>الصورة الثالثة</w:t>
      </w:r>
      <w:r>
        <w:rPr>
          <w:rtl w:val="true"/>
        </w:rPr>
        <w:t xml:space="preserve">: </w:t>
      </w:r>
      <w:r>
        <w:rPr>
          <w:rtl w:val="true"/>
        </w:rPr>
        <w:t>أن يكون أحدهما مثبتاً و الآخر نافياً</w:t>
      </w:r>
      <w:bookmarkEnd w:id="1593"/>
    </w:p>
    <w:p>
      <w:pPr>
        <w:pStyle w:val="BookText"/>
        <w:rPr/>
      </w:pPr>
      <w:r>
        <w:rPr>
          <w:rFonts w:ascii="Amiri" w:hAnsi="Amiri" w:eastAsia="Amiri" w:cs="Amiri"/>
          <w:color w:val="111111"/>
          <w:sz w:val="28"/>
          <w:sz w:val="28"/>
          <w:szCs w:val="28"/>
          <w:rtl w:val="true"/>
          <w:lang w:bidi="ar-SA"/>
        </w:rPr>
        <w:t>و لها شقّان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المطلق نافياً و المقيّد مثبتاً،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تعتق رقبة و أعتق رقبة مؤمنة، فالتنافي بين الدليلين واضح، إذ لا يمكن تحريم عتق مطلق الرقبة مع إيجاب عتق الرقبة المؤمنة، كما لا يمكن كراهة عتق مطلق الرقبة و رجحان عتق الرقبة المؤمنة، فلا محيص في رفع التنافي من حمل المطلق على المقيّد من غير فرق بين حمل الأمر على الإيجاب أو الاستحباب أو حمل النهي على التحريم أو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المطلق مثبتاً و النافي مقيّداً،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و لا تعتق رقبة كافرة، فهنا شقوق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 أنّ النهي تحريمي</w:t>
      </w:r>
      <w:r>
        <w:rPr>
          <w:rFonts w:eastAsia="Amiri" w:cs="Amiri" w:ascii="Amiri" w:hAnsi="Amiri"/>
          <w:color w:val="111111"/>
          <w:sz w:val="28"/>
          <w:szCs w:val="28"/>
          <w:rtl w:val="true"/>
          <w:lang w:bidi="ar-SA"/>
        </w:rPr>
        <w:t>.</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أحرز أنّ النهي تنزيهيّ</w:t>
      </w:r>
      <w:r>
        <w:rPr>
          <w:rFonts w:eastAsia="Amiri" w:cs="Amiri" w:ascii="Amiri" w:hAnsi="Amiri"/>
          <w:color w:val="111111"/>
          <w:sz w:val="28"/>
          <w:szCs w:val="28"/>
          <w:rtl w:val="true"/>
          <w:lang w:bidi="ar-SA"/>
        </w:rPr>
        <w:t xml:space="preserve">. </w:t>
      </w:r>
      <w:bookmarkStart w:id="1594" w:name="pg14356_187305"/>
    </w:p>
    <w:p>
      <w:pPr>
        <w:pStyle w:val="BookText"/>
        <w:rPr/>
      </w:pPr>
      <w:bookmarkEnd w:id="1594"/>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تردّد بين الاحتمالين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فالتنافي محرز، إذ لا يصحّ إيجاب عتق مطلق الرقبة الذي يشمل الكافر مع تحريم عتق خصوص الرقبة الكافرة، لأنّ الخاص الحرام قسم من العام الواجب، فلا يرتفع التنافي إلاّ بحمل المطلق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النهي تنزيهياً،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تصلّ في الحمّام، فلا مجال للحمل، إذ لا تنافي بين إيجاب الصلاة في مطلق الأمكنة و النهي عن الصلاة في الحمّام إذا كان النهي إرشاداً إلى أقليّة الثواب، كما هو معنى الكراهة في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النهي بمعنى المرجوحية الذاتية يعود التنافي بين الأمر بالصلاة في كلّ مكان الذي هو بمعنى رجحان الصلاة في كلّ مكان و الزجر عن الصلاة في الحمام بمعنى خصاصة الصلاة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يحرز أنّ النهي تحريمي أو تنزيهي كالنهي عن الصلاة في مواضع التهمة، إذ على الأوّل لا بدّ من الحمل و على الثاني لا وجه له، و الحقّ أنّ هنا ظهورين 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الإطلاق في جواز الصلاة في تمام الأمكنة حتّى مواضع التهم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النهي عن الصلاة في موضع التهمة، في التحريم، فكلّ من الظهورين يصلح للتصرف في الآخر، فإطلاق الدليل الأوّل يقتضي حمل النهي على الكراهة بمعنى أقلّية الثواب لا مرجوحية الفعل، كما أنّ ظهور النهي في الحرمة يقتضي تقييد إطلاق المطلق، و بما أنّ الرائج فصل المقيّد عن المطلق و هذا يقتضي رفع التنافي بهذا الطريق</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7305772_3381743652"/>
      <w:bookmarkStart w:id="1596" w:name="_Toc607"/>
      <w:bookmarkEnd w:id="1595"/>
      <w:r>
        <w:rPr>
          <w:rtl w:val="true"/>
        </w:rPr>
        <w:t>و ينبغي التنبيه على أمرين</w:t>
      </w:r>
      <w:r>
        <w:rPr>
          <w:rtl w:val="true"/>
        </w:rPr>
        <w:t>:</w:t>
      </w:r>
      <w:bookmarkEnd w:id="1596"/>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597" w:name="__RefHeading___Toc7305774_3381743652"/>
      <w:bookmarkStart w:id="1598" w:name="_Toc608"/>
      <w:bookmarkEnd w:id="1597"/>
      <w:r>
        <w:rPr>
          <w:rtl w:val="true"/>
        </w:rPr>
        <w:t>اشارة</w:t>
      </w:r>
      <w:bookmarkStart w:id="1599" w:name="pg14356_187306"/>
      <w:bookmarkEnd w:id="1598"/>
    </w:p>
    <w:p>
      <w:pPr>
        <w:pStyle w:val="Heading6"/>
        <w:numPr>
          <w:ilvl w:val="5"/>
          <w:numId w:val="1"/>
        </w:numPr>
        <w:rPr/>
      </w:pPr>
      <w:bookmarkStart w:id="1600" w:name="__RefHeading___Toc7305776_3381743652"/>
      <w:bookmarkStart w:id="1601" w:name="_Toc609"/>
      <w:bookmarkEnd w:id="1599"/>
      <w:bookmarkEnd w:id="1600"/>
      <w:r>
        <w:rPr>
          <w:rtl w:val="true"/>
        </w:rPr>
        <w:t>الأوّل</w:t>
      </w:r>
      <w:r>
        <w:rPr>
          <w:rtl w:val="true"/>
        </w:rPr>
        <w:t xml:space="preserve">: </w:t>
      </w:r>
      <w:r>
        <w:rPr>
          <w:rtl w:val="true"/>
        </w:rPr>
        <w:t>حكم الأحكام الوضعية</w:t>
      </w:r>
      <w:bookmarkEnd w:id="1601"/>
    </w:p>
    <w:p>
      <w:pPr>
        <w:pStyle w:val="BookText"/>
        <w:rPr/>
      </w:pPr>
      <w:r>
        <w:rPr>
          <w:rFonts w:ascii="Amiri" w:hAnsi="Amiri" w:eastAsia="Amiri" w:cs="Amiri"/>
          <w:color w:val="111111"/>
          <w:sz w:val="28"/>
          <w:sz w:val="28"/>
          <w:szCs w:val="28"/>
          <w:rtl w:val="true"/>
          <w:lang w:bidi="ar-SA"/>
        </w:rPr>
        <w:t>لا فرق بين الأحكام التكليفية و الوضعية في أنّ مدار الحمل هو وجود التنافي بين حكمي المطلق و المقيّد، أي التنافي الذي هو لازم وحدة الحكم، فلو كان هذا الشرط موجوداً في الأحكام الوضعية، يحمل الوضعي المطلق على الوضعيّ المقيّد،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وبر ما لا يؤكل 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 في جلد السنجاب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انتفى التنافي يبقى الحكمان على حالهما،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أجزاء ما لا يؤكل لحمه، ثمّ قال في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تصلّ في وبر ما لا يؤكل لحمه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مانع من أن تكون الصلاة في مطلق ما لا يؤكل لحمه فاسدة، و في خصوص وبره أيضاً كذلك، و إنّما خصّ الوبر لسبب خاص</w:t>
      </w:r>
      <w:r>
        <w:rPr>
          <w:rFonts w:eastAsia="Amiri" w:cs="Amiri" w:ascii="Amiri" w:hAnsi="Amiri"/>
          <w:color w:val="111111"/>
          <w:sz w:val="28"/>
          <w:szCs w:val="28"/>
          <w:rtl w:val="true"/>
          <w:lang w:bidi="ar-SA"/>
        </w:rPr>
        <w:t>.</w:t>
      </w:r>
    </w:p>
    <w:p>
      <w:pPr>
        <w:pStyle w:val="Heading6"/>
        <w:numPr>
          <w:ilvl w:val="5"/>
          <w:numId w:val="1"/>
        </w:numPr>
        <w:rPr/>
      </w:pPr>
      <w:bookmarkStart w:id="1602" w:name="__RefHeading___Toc7305778_3381743652"/>
      <w:bookmarkStart w:id="1603" w:name="_Toc610"/>
      <w:bookmarkEnd w:id="1602"/>
      <w:r>
        <w:rPr>
          <w:rtl w:val="true"/>
        </w:rPr>
        <w:t>الثاني</w:t>
      </w:r>
      <w:r>
        <w:rPr>
          <w:rtl w:val="true"/>
        </w:rPr>
        <w:t xml:space="preserve">: </w:t>
      </w:r>
      <w:r>
        <w:rPr>
          <w:rtl w:val="true"/>
        </w:rPr>
        <w:t>في حكم المستحبّات</w:t>
      </w:r>
      <w:bookmarkEnd w:id="1603"/>
    </w:p>
    <w:p>
      <w:pPr>
        <w:pStyle w:val="BookText"/>
        <w:rPr/>
      </w:pPr>
      <w:r>
        <w:rPr>
          <w:rFonts w:ascii="Amiri" w:hAnsi="Amiri" w:eastAsia="Amiri" w:cs="Amiri"/>
          <w:color w:val="111111"/>
          <w:sz w:val="28"/>
          <w:sz w:val="28"/>
          <w:szCs w:val="28"/>
          <w:rtl w:val="true"/>
          <w:lang w:bidi="ar-SA"/>
        </w:rPr>
        <w:t>قد اشتهر على الألسن أنّ القيود في المستحبّات ليست مقوّمة للعمل فلا يجب حمل المطلق على المقيّد،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الإمام الطاهر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السماء، ثمّ قال في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 الإمام الطاهر سيد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يحمل المطلق على المقيّد، بل يحمل المقيّد على كونه أفضل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المشهور بين الأصحاب، و إنّما الكلام في وجه هذا الحكم، فقد ذكروا هنا وجوهاً ثلاثة</w:t>
      </w:r>
      <w:r>
        <w:rPr>
          <w:rFonts w:eastAsia="Amiri" w:cs="Amiri" w:ascii="Amiri" w:hAnsi="Amiri"/>
          <w:color w:val="111111"/>
          <w:sz w:val="28"/>
          <w:szCs w:val="28"/>
          <w:rtl w:val="true"/>
          <w:lang w:bidi="ar-SA"/>
        </w:rPr>
        <w:t>:</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في باب المستحبّات هو تفاوت الأفراد بحسب مراتب المحبوبية </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xml:space="preserve">، فتكون تلك الغلبة قرينة على إرادة الأفضلية من القيد الوارد في </w:t>
      </w:r>
    </w:p>
    <w:p>
      <w:pPr>
        <w:pStyle w:val="BookText"/>
        <w:rPr/>
      </w:pPr>
      <w:r>
        <w:rPr>
          <w:rFonts w:ascii="IRNazanin" w:hAnsi="IRNazanin" w:eastAsia="IRNazanin"/>
          <w:color w:val="111111"/>
          <w:sz w:val="28"/>
          <w:sz w:val="28"/>
          <w:szCs w:val="28"/>
          <w:rtl w:val="true"/>
          <w:lang w:bidi="fa-IR"/>
        </w:rPr>
        <w:t>المستحبّات، و انّ العمل معه من أفضل الأفراد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يراد من الغلبة؟ و هل المراد، هو الغلبة في الوجود و أنّ القيود في المستحبّات حسب التتبّع قيود لمراتب الفضيلة و تأكّد الاستحباب، فيكون ذلك دليلاً على حمل الأمر بالمقيّد على مورد الغلبة، و من المعلوم أنّ كثرة الوجود لا يوجب الانصراف؟ أو المراد كثرة استعمال المقيّد في المستحبّات في أفضل الأفراد لكن الكلام في إحراز هذه الكثرة بمعنى أنّ الفقيه تتبع موارد الاستعمالات فوقف على أنّ المتكلّم استعمل الأمر بالمقيّد في المستحبات في ذات المرتبة العليا؟ و أنّى لنا إثبات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مقتضى أدلّة التسامح في أدلّة المستحبات، و قد روى صفوان عن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بلغه شيء من الثواب على شيء من الخير فعمله كان له أجر ذلك و إن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القيد متصلاً بالمطلق فالحكم على إطلاقه لم يصل فلا يكون مورداً للرواية، و إن كان القيد منفصلاً، فالحكم على إطلاقه و إن وصل لكنّ أدلّة التسامح في السنن مختصّة بجبر السند لا جبر الدلالة، و المشكلة في المقام ليست في السند، و إنّما هي في الدلالة، بشهادة قوله في رواية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يقله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أفاده المحقّق النائيني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لم يكن الأمر إلزامياً فلا وجه لرفع اليد عن الإطلاق بحمله على المقيّد منهما، و الوجه في ذلك هو أنّه إذا كان الحكم المتعلّق بالمقيد غير إلزامي جازت مخالفته، فلا تكون منافاة حينئذ بينه و بين</w:t>
      </w:r>
      <w:bookmarkStart w:id="1604" w:name="pg14356_187308"/>
    </w:p>
    <w:p>
      <w:pPr>
        <w:pStyle w:val="BookText"/>
        <w:rPr/>
      </w:pPr>
      <w:bookmarkEnd w:id="1604"/>
      <w:r>
        <w:rPr>
          <w:rFonts w:ascii="Amiri" w:hAnsi="Amiri" w:eastAsia="Amiri" w:cs="Amiri"/>
          <w:color w:val="111111"/>
          <w:sz w:val="28"/>
          <w:sz w:val="28"/>
          <w:szCs w:val="28"/>
          <w:rtl w:val="true"/>
          <w:lang w:bidi="ar-SA"/>
        </w:rPr>
        <w:t>إطلاق متعلّق الحكم الآخر، المستلزم لجواز تطبيقه على كلّ فرد أراد المكلّف تطبيقه عليه في الخارج، و من الواضح أنّه مع عدم المنافاة بينهما لا موجب لرفع اليد عن الإطلاق بحمله على المقيّد، ضرورة أنّ المنافاة إنّما ترتفع بعدم الإلزام و بالترخيص في ترك امتثال الحكم المتعلّق به فلا يكون هناك مانع من التمسّك بإطلاق متعلّق الحكم الآخر، سواء كان إلزامياً أم كان غير إلزامي</w:t>
      </w:r>
      <w:r>
        <w:rPr>
          <w:rFonts w:eastAsia="Amiri" w:cs="Amiri" w:ascii="Amiri" w:hAnsi="Amiri"/>
          <w:color w:val="111111"/>
          <w:sz w:val="28"/>
          <w:szCs w:val="28"/>
          <w:rtl w:val="true"/>
          <w:lang w:bidi="ar-SA"/>
        </w:rPr>
        <w:t>.</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مجرّد كون الأمر بالمقيد غير إلزامي لا يكون سبباً للأخذ بالمطلق و إلغاء القيد بحجّة أنّ العمل بالمقيّد غير واجب، بل الحقّ هو التفصيل بين كون القيد إرشاداً إلى الشرطيّة أو الجزئية أو المانعيّة و غيره، ففي الصورة الأُولى لا محيص عن حمل المطلق على المقيّد إذ في هذه الصورة يكون القيد مقوّماً للعبادة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لا تصحّ صلاة الليل بلا طهور و لا قبلة، و ما ذلك إلاّ لأنّ أصل الصلاة و إن كان غير واجب لكن حقيقة الصلاة الليلية تنتفي بانتفاء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تردّد القيد بين كونه إرشاداً إلى الشرطية أو الجزئية أو المانعيّة أو كونه ناظراً لبيان الدرجة العليا من المستحب، فيتوقّف عن العمل فلا يصحّ الاكتفاء بالمطلق بإلغاء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الكلام في القسم الأوّل،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يذكر السبب في كلّ من المطلق و المقيّد و لنشرع لبيان أحكام القسم الثاني</w:t>
      </w:r>
      <w:r>
        <w:rPr>
          <w:rFonts w:eastAsia="Amiri" w:cs="Amiri" w:ascii="Amiri" w:hAnsi="Amiri"/>
          <w:color w:val="111111"/>
          <w:sz w:val="28"/>
          <w:szCs w:val="28"/>
          <w:rtl w:val="true"/>
          <w:lang w:bidi="ar-SA"/>
        </w:rPr>
        <w:t>.</w:t>
      </w:r>
    </w:p>
    <w:p>
      <w:pPr>
        <w:pStyle w:val="Heading4"/>
        <w:numPr>
          <w:ilvl w:val="3"/>
          <w:numId w:val="1"/>
        </w:numPr>
        <w:rPr/>
      </w:pPr>
      <w:bookmarkStart w:id="1605" w:name="__RefHeading___Toc7305780_3381743652"/>
      <w:bookmarkStart w:id="1606" w:name="_Toc611"/>
      <w:bookmarkEnd w:id="1605"/>
      <w:r>
        <w:rPr>
          <w:rtl w:val="true"/>
        </w:rPr>
        <w:t>القسم الثاني</w:t>
      </w:r>
      <w:r>
        <w:rPr>
          <w:rtl w:val="true"/>
        </w:rPr>
        <w:t xml:space="preserve">: </w:t>
      </w:r>
      <w:r>
        <w:rPr>
          <w:rtl w:val="true"/>
        </w:rPr>
        <w:t>ما إذا كان السبب مذكوراً</w:t>
      </w:r>
      <w:bookmarkEnd w:id="1606"/>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السبب مذكوراً فله 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السبب في أحدهما غيره في الآخر نوعاً،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أفطرت أعتق رقبة،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ظاهرت أعتق رقبة مؤمنة، فلا وجه للحمل، لعدم التنافي بين الحكمين، و بالتالي عدم وحدة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السبب مذكوراً فيهما، و يكونان متّحدين نوعاً،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أفطرت أعتق رقبة، و إذا أفطرت أعتق رقبة مؤمنة، فالجمع بين الدليلين و إن كان يمكن بحمل المقيّد على أفضل الأفراد، لكن الرائج في طرف التشريع هو حمل المقيّد على المطلق</w:t>
      </w:r>
      <w:r>
        <w:rPr>
          <w:rFonts w:eastAsia="Amiri" w:cs="Amiri" w:ascii="Amiri" w:hAnsi="Amiri"/>
          <w:color w:val="111111"/>
          <w:sz w:val="28"/>
          <w:szCs w:val="28"/>
          <w:rtl w:val="true"/>
          <w:lang w:bidi="ar-SA"/>
        </w:rPr>
        <w:t>.</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السبب مذكوراً في واحد منهما إذا كان السبب مذكوراً في أحدهما،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رقبة،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ظاهرت أعتق رقبة مؤمنة، فلو كان السبب مذكوراً في كليهما نستكشف من وحدة السبب وحدة الحكم، و أمّا إذا كان السبب مذكوراً في واحد دون الآخر، فبما أنّ وحدة الحكم ليست بمحرزة فنحتمل أن يكون هنا غرضان تامّان، أحدهما يتحقّق بعتق مطلق الرقبة، و الآخر بعتق الرقبة المؤمنة، فلا وجه للجمع كما لا وجه للاقتصار على خصوص عتق الرقبة المؤمنة، لما عرفت من أنّ مرجع الشكّ في حصول الامتثال و سقوط التكليف</w:t>
      </w:r>
      <w:r>
        <w:rPr>
          <w:rFonts w:eastAsia="Amiri" w:cs="Amiri" w:ascii="Amiri" w:hAnsi="Amiri"/>
          <w:color w:val="111111"/>
          <w:sz w:val="28"/>
          <w:szCs w:val="28"/>
          <w:rtl w:val="true"/>
          <w:lang w:bidi="ar-SA"/>
        </w:rPr>
        <w:t xml:space="preserve">. </w:t>
      </w:r>
      <w:bookmarkStart w:id="1607" w:name="pg14356_187310"/>
    </w:p>
    <w:p>
      <w:pPr>
        <w:pStyle w:val="Heading3"/>
        <w:numPr>
          <w:ilvl w:val="2"/>
          <w:numId w:val="1"/>
        </w:numPr>
        <w:rPr/>
      </w:pPr>
      <w:bookmarkStart w:id="1608" w:name="__RefHeading___Toc7305782_3381743652"/>
      <w:bookmarkStart w:id="1609" w:name="_Toc612"/>
      <w:bookmarkEnd w:id="1607"/>
      <w:bookmarkEnd w:id="1608"/>
      <w:r>
        <w:rPr>
          <w:rtl w:val="true"/>
        </w:rPr>
        <w:t>الفصل الخامس في المجمل و المبيّن و المحكم و المتشابه</w:t>
      </w:r>
      <w:bookmarkEnd w:id="1609"/>
    </w:p>
    <w:p>
      <w:pPr>
        <w:pStyle w:val="Heading4"/>
        <w:numPr>
          <w:ilvl w:val="3"/>
          <w:numId w:val="1"/>
        </w:numPr>
        <w:rPr/>
      </w:pPr>
      <w:bookmarkStart w:id="1610" w:name="__RefHeading___Toc7305784_3381743652"/>
      <w:bookmarkStart w:id="1611" w:name="_Toc613"/>
      <w:bookmarkEnd w:id="1610"/>
      <w:r>
        <w:rPr>
          <w:rtl w:val="true"/>
        </w:rPr>
        <w:t>اشارة</w:t>
      </w:r>
      <w:bookmarkEnd w:id="1611"/>
    </w:p>
    <w:p>
      <w:pPr>
        <w:pStyle w:val="BookText"/>
        <w:rPr/>
      </w:pPr>
      <w:r>
        <w:rPr>
          <w:rFonts w:ascii="Amiri" w:hAnsi="Amiri" w:eastAsia="Amiri" w:cs="Amiri"/>
          <w:color w:val="111111"/>
          <w:sz w:val="28"/>
          <w:sz w:val="28"/>
          <w:szCs w:val="28"/>
          <w:rtl w:val="true"/>
          <w:lang w:bidi="ar-SA"/>
        </w:rPr>
        <w:t>قد أردف الأُصوليّون البحثَ في المطلق و المقيّد بالبحث في المجمل و المبيّن، و كان الأنسبُ عطفَ المحكم و المتشابه عليهما ليبحث عن الجميع في مقام واحد، و لعلّ تركهم البحث عن الأخيرين لأجل أنّ آيات الأحكام كلّها محكمة و ليس فيها آية متشابهة بخلاف المجمل و المبيّن، و على كلّ تقدير فنحن نطرح الجميع لما بينها من الصلة،</w:t>
      </w:r>
    </w:p>
    <w:p>
      <w:pPr>
        <w:pStyle w:val="Heading4"/>
        <w:numPr>
          <w:ilvl w:val="3"/>
          <w:numId w:val="1"/>
        </w:numPr>
        <w:rPr/>
      </w:pPr>
      <w:bookmarkStart w:id="1612" w:name="__RefHeading___Toc7305786_3381743652"/>
      <w:bookmarkStart w:id="1613" w:name="_Toc614"/>
      <w:bookmarkEnd w:id="1612"/>
      <w:r>
        <w:rPr>
          <w:rtl w:val="true"/>
        </w:rPr>
        <w:t>و يقع الكلام في أُمور</w:t>
      </w:r>
      <w:r>
        <w:rPr>
          <w:rtl w:val="true"/>
        </w:rPr>
        <w:t>:</w:t>
      </w:r>
      <w:bookmarkEnd w:id="1613"/>
    </w:p>
    <w:p>
      <w:pPr>
        <w:pStyle w:val="Heading5"/>
        <w:numPr>
          <w:ilvl w:val="4"/>
          <w:numId w:val="1"/>
        </w:numPr>
        <w:rPr/>
      </w:pPr>
      <w:bookmarkStart w:id="1614" w:name="__RefHeading___Toc7305788_3381743652"/>
      <w:bookmarkStart w:id="1615" w:name="_Toc615"/>
      <w:bookmarkEnd w:id="1614"/>
      <w:r>
        <w:rPr/>
        <w:t>1</w:t>
      </w:r>
      <w:r>
        <w:rPr>
          <w:rtl w:val="true"/>
        </w:rPr>
        <w:t xml:space="preserve">. </w:t>
      </w:r>
      <w:r>
        <w:rPr>
          <w:rtl w:val="true"/>
        </w:rPr>
        <w:t>المجمل و المبيّن لغة و اصطلاحاً</w:t>
      </w:r>
      <w:bookmarkEnd w:id="1615"/>
    </w:p>
    <w:p>
      <w:pPr>
        <w:pStyle w:val="BookText"/>
        <w:rPr/>
      </w:pPr>
      <w:r>
        <w:rPr>
          <w:rFonts w:ascii="Amiri" w:hAnsi="Amiri" w:eastAsia="Amiri" w:cs="Amiri"/>
          <w:color w:val="111111"/>
          <w:sz w:val="28"/>
          <w:sz w:val="28"/>
          <w:szCs w:val="28"/>
          <w:rtl w:val="true"/>
          <w:lang w:bidi="ar-SA"/>
        </w:rPr>
        <w:t>الإجمال في اللغة هو الجمع بلا تفصيل، يقال أجملتُ الشيء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جمعتَه من غير تفصيل</w:t>
      </w:r>
      <w:r>
        <w:rPr>
          <w:rFonts w:eastAsia="Amiri" w:cs="Amiri" w:ascii="Amiri" w:hAnsi="Amiri"/>
          <w:color w:val="111111"/>
          <w:sz w:val="28"/>
          <w:szCs w:val="28"/>
          <w:rtl w:val="true"/>
          <w:lang w:bidi="ar-SA"/>
        </w:rPr>
        <w:t>.</w:t>
      </w:r>
      <w:r>
        <w:rPr>
          <w:rStyle w:val="FootnoteAnchor"/>
          <w:rtl w:val="true"/>
        </w:rPr>
        <w:footnoteReference w:id="561"/>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الَّذِينَ كَفَرُوا لَوْ لا نُزِّلَ عَلَيْهِ الْقُرْآنُ جُمْلَةً واحِدَةً </w:t>
      </w:r>
      <w:r>
        <w:rPr>
          <w:rFonts w:eastAsia="Amiri" w:cs="Amiri" w:ascii="Amiri" w:hAnsi="Amiri"/>
          <w:color w:val="111111"/>
          <w:sz w:val="28"/>
          <w:szCs w:val="28"/>
          <w:rtl w:val="true"/>
          <w:lang w:bidi="ar-SA"/>
        </w:rPr>
        <w:t>)</w:t>
      </w:r>
      <w:r>
        <w:rPr>
          <w:rStyle w:val="FootnoteAnchor"/>
          <w:rtl w:val="true"/>
        </w:rPr>
        <w:footnoteReference w:id="562"/>
      </w:r>
      <w:r>
        <w:rPr>
          <w:rFonts w:ascii="IRNazanin" w:hAnsi="IRNazanin" w:eastAsia="IRNazanin"/>
          <w:color w:val="111111"/>
          <w:sz w:val="28"/>
          <w:sz w:val="28"/>
          <w:szCs w:val="28"/>
          <w:rtl w:val="true"/>
          <w:lang w:bidi="fa-IR"/>
        </w:rPr>
        <w:t xml:space="preserve">، </w:t>
      </w:r>
      <w:bookmarkStart w:id="1616" w:name="pg14356_187311"/>
    </w:p>
    <w:p>
      <w:pPr>
        <w:pStyle w:val="BookText"/>
        <w:rPr/>
      </w:pPr>
      <w:bookmarkEnd w:id="1616"/>
      <w:r>
        <w:rPr>
          <w:rFonts w:ascii="Amiri" w:hAnsi="Amiri" w:eastAsia="Amiri" w:cs="Amiri"/>
          <w:color w:val="111111"/>
          <w:sz w:val="28"/>
          <w:sz w:val="28"/>
          <w:szCs w:val="28"/>
          <w:rtl w:val="true"/>
          <w:lang w:bidi="ar-SA"/>
        </w:rPr>
        <w:t>أي دفعة واحدة بلا فاصل زماني كنزول التوراة على الكليم في الميقات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يقابله المبيّن فمادته تحكي عن الوضوح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يبين، فهو بيّن، و أبان و استبان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للوضوح و الانكشاف</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و أمّا اصطلاحاً، فكلّ كلام يكون قالباً للمعنى فهو مبيّن، و خلافه مجمل، فكأنّ المبيّن فيه تفصيل، بخلاف المجمل فيه جمع</w:t>
      </w:r>
      <w:r>
        <w:rPr>
          <w:rFonts w:eastAsia="Amiri" w:cs="Amiri" w:ascii="Amiri" w:hAnsi="Amiri"/>
          <w:color w:val="111111"/>
          <w:sz w:val="28"/>
          <w:szCs w:val="28"/>
          <w:rtl w:val="true"/>
          <w:lang w:bidi="ar-SA"/>
        </w:rPr>
        <w:t>.</w:t>
      </w:r>
    </w:p>
    <w:p>
      <w:pPr>
        <w:pStyle w:val="Heading5"/>
        <w:numPr>
          <w:ilvl w:val="4"/>
          <w:numId w:val="1"/>
        </w:numPr>
        <w:rPr/>
      </w:pPr>
      <w:bookmarkStart w:id="1617" w:name="__RefHeading___Toc7305790_3381743652"/>
      <w:bookmarkStart w:id="1618" w:name="_Toc616"/>
      <w:bookmarkEnd w:id="1617"/>
      <w:r>
        <w:rPr/>
        <w:t>2</w:t>
      </w:r>
      <w:r>
        <w:rPr>
          <w:rtl w:val="true"/>
        </w:rPr>
        <w:t xml:space="preserve">. </w:t>
      </w:r>
      <w:r>
        <w:rPr>
          <w:rtl w:val="true"/>
        </w:rPr>
        <w:t>الإجمال و البيان وصفان نفسيان</w:t>
      </w:r>
      <w:bookmarkEnd w:id="1618"/>
    </w:p>
    <w:p>
      <w:pPr>
        <w:pStyle w:val="BookText"/>
        <w:rPr/>
      </w:pPr>
      <w:r>
        <w:rPr>
          <w:rFonts w:ascii="Amiri" w:hAnsi="Amiri" w:eastAsia="Amiri" w:cs="Amiri"/>
          <w:color w:val="111111"/>
          <w:sz w:val="28"/>
          <w:sz w:val="28"/>
          <w:szCs w:val="28"/>
          <w:rtl w:val="true"/>
          <w:lang w:bidi="ar-SA"/>
        </w:rPr>
        <w:t>إنّ الإجمال و البيان وصفان نفسيّان للكلام، يجمعهما كون اللفظ قالباً للمعنى و عدمه، و هذا شيء يوصف به الكلام بما هو هو من دون إضافة إلى شخص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المحقّق الخراساني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وصفان إضافيّان ربما يكون مجملاً عند واحد لعدم معرفته بالوضع، أو لتصادم ظهوره بما حَفَّ به لديه، و مبيّناً لدى الآخر لمعرفته و عدم التصادم بنظره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الملاك كونَ اللفظ على قَدَر المعنى و خلافه، يكون الإجمال و البيان وصفان نفسيّان للكلام سواء أ كان هناك مخاطب أو لا، أو كان المخاطب عالماً باللغة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انّه لو كان ملاك الإجمال جهل المخاطب باللغة، يلزم أن يكون القرآن كلّه مجملاً عند من لا يعرف لغته، و مبيّناً عند من يعرف، و من المقطوع عدم إرادة هذا منهما</w:t>
      </w:r>
      <w:r>
        <w:rPr>
          <w:rFonts w:eastAsia="Amiri" w:cs="Amiri" w:ascii="Amiri" w:hAnsi="Amiri"/>
          <w:color w:val="111111"/>
          <w:sz w:val="28"/>
          <w:szCs w:val="28"/>
          <w:rtl w:val="true"/>
          <w:lang w:bidi="ar-SA"/>
        </w:rPr>
        <w:t>.</w:t>
      </w:r>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وصف الإجمال و البيان بالنسبيّة لكن لا بهذا المعنى بل بمعنى آخر هو أن يكون الكلام مبيّناً من جهة و مجملاً من جهة أُخرى، فقوله سبحانه</w:t>
      </w:r>
      <w:r>
        <w:rPr>
          <w:rFonts w:eastAsia="Amiri" w:cs="Amiri" w:ascii="Amiri" w:hAnsi="Amiri"/>
          <w:color w:val="111111"/>
          <w:sz w:val="28"/>
          <w:szCs w:val="28"/>
          <w:rtl w:val="true"/>
          <w:lang w:bidi="ar-SA"/>
        </w:rPr>
        <w:t xml:space="preserve">: </w:t>
      </w:r>
      <w:bookmarkStart w:id="1619" w:name="pg14356_187312"/>
    </w:p>
    <w:p>
      <w:pPr>
        <w:pStyle w:val="BookText"/>
        <w:rPr/>
      </w:pPr>
      <w:bookmarkEnd w:id="16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السّارِقُ وَ 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مبين من حيث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مجمل من حيث المتعلّق، فإنّ اليد يطلق على أُصول الأصابع و الزند و المرفق و المنكب</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7305792_3381743652"/>
      <w:bookmarkStart w:id="1621" w:name="_Toc617"/>
      <w:bookmarkEnd w:id="1620"/>
      <w:r>
        <w:rPr/>
        <w:t>3</w:t>
      </w:r>
      <w:r>
        <w:rPr>
          <w:rtl w:val="true"/>
        </w:rPr>
        <w:t xml:space="preserve">. </w:t>
      </w:r>
      <w:r>
        <w:rPr>
          <w:rtl w:val="true"/>
        </w:rPr>
        <w:t>ما هو منشأ الإجمال؟</w:t>
      </w:r>
      <w:bookmarkEnd w:id="1621"/>
    </w:p>
    <w:p>
      <w:pPr>
        <w:pStyle w:val="BookText"/>
        <w:rPr/>
      </w:pPr>
      <w:r>
        <w:rPr>
          <w:rFonts w:ascii="Amiri" w:hAnsi="Amiri" w:eastAsia="Amiri" w:cs="Amiri"/>
          <w:color w:val="111111"/>
          <w:sz w:val="28"/>
          <w:sz w:val="28"/>
          <w:szCs w:val="28"/>
          <w:rtl w:val="true"/>
          <w:lang w:bidi="ar-SA"/>
        </w:rPr>
        <w:t>إنّ منشأ الإجمال غالباً أحد الأمرين التاليين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إجمال المفردات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الهيئة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كاليد في آية السرقة كما مرّت، و آية التيمم، أعني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فَامْسَحُوا بِوُجُوهِكُمْ وَ أَيْدِيكُمْ مِنْهُ </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و أمّا الثاني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إلاّ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لتردّد الهيئة بين نفي الحقيقة أو نفي الصحة أو نفي الكمال</w:t>
      </w:r>
      <w:r>
        <w:rPr>
          <w:rFonts w:eastAsia="Amiri" w:cs="Amiri" w:ascii="Amiri" w:hAnsi="Amiri"/>
          <w:color w:val="111111"/>
          <w:sz w:val="28"/>
          <w:szCs w:val="28"/>
          <w:rtl w:val="true"/>
          <w:lang w:bidi="ar-SA"/>
        </w:rPr>
        <w:t>.</w:t>
      </w:r>
    </w:p>
    <w:p>
      <w:pPr>
        <w:pStyle w:val="Heading5"/>
        <w:numPr>
          <w:ilvl w:val="4"/>
          <w:numId w:val="1"/>
        </w:numPr>
        <w:rPr/>
      </w:pPr>
      <w:bookmarkStart w:id="1622" w:name="__RefHeading___Toc7305794_3381743652"/>
      <w:bookmarkStart w:id="1623" w:name="_Toc618"/>
      <w:bookmarkEnd w:id="1622"/>
      <w:r>
        <w:rPr/>
        <w:t>4</w:t>
      </w:r>
      <w:r>
        <w:rPr>
          <w:rtl w:val="true"/>
        </w:rPr>
        <w:t xml:space="preserve">. </w:t>
      </w:r>
      <w:r>
        <w:rPr>
          <w:rtl w:val="true"/>
        </w:rPr>
        <w:t>ذكر نماذج من المجملات</w:t>
      </w:r>
      <w:bookmarkEnd w:id="1623"/>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طَلَّقْتُمُوهُنَّ مِنْ قَبْلِ أَنْ تَمَسُّوهُنَّ وَ قَدْ فَرَضْتُمْ لَهُنَّ فَرِيضَةً فَنِصْفُ ما فَرَضْتُمْ إِلاّ أَنْ يَعْفُونَ أَوْ يَعْفُوَا الَّذِي بِيَدِهِ عُقْدَةُ النِّكاحِ </w:t>
      </w:r>
      <w:r>
        <w:rPr>
          <w:rFonts w:eastAsia="Amiri" w:cs="Amiri" w:ascii="Amiri" w:hAnsi="Amiri"/>
          <w:color w:val="111111"/>
          <w:sz w:val="28"/>
          <w:szCs w:val="28"/>
          <w:rtl w:val="true"/>
          <w:lang w:bidi="ar-SA"/>
        </w:rPr>
        <w:t>).</w:t>
      </w:r>
      <w:r>
        <w:rPr>
          <w:rStyle w:val="FootnoteAnchor"/>
          <w:rtl w:val="true"/>
        </w:rPr>
        <w:footnoteReference w:id="566"/>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الإجمال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 بِيَدِهِ عُقْدَةُ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مردّد بين كون المراد منه وليّ الزوجة أو نفس الزوج، فلو أُريد الأوّل فمعنى ذلك أنّ الزوجة المطلّقة و وليّها يعفوان نصفَ المهر الواجب بالطلاق قبل المسّ، فيُفرضُ الكلام فيما إذا لم يدفع المهر لا كلاً و لا جزءاً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أُريد الثاني يكون المعنى أنّ الزوج لا يطلب النصف الباقي، فيفرض الكلام فيما إذا دفع جميع المهر و طلّق قبل المس فيعفو عن النصف الباقي و لا يأخذ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الْمَيْتَةُ وَ الدَّمُ وَ لَحْمُ الْخِنْزِيرِ </w:t>
      </w:r>
      <w:r>
        <w:rPr>
          <w:rFonts w:eastAsia="Amiri" w:cs="Amiri" w:ascii="Amiri" w:hAnsi="Amiri"/>
          <w:color w:val="111111"/>
          <w:sz w:val="28"/>
          <w:szCs w:val="28"/>
          <w:rtl w:val="true"/>
          <w:lang w:bidi="ar-SA"/>
        </w:rPr>
        <w:t>).</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عَلَيْكُمْ أُمَّهاتُكُمْ وَ بَناتُكُمْ وَ أَخَواتُكُمْ </w:t>
      </w:r>
      <w:r>
        <w:rPr>
          <w:rFonts w:eastAsia="Amiri" w:cs="Amiri" w:ascii="Amiri" w:hAnsi="Amiri"/>
          <w:color w:val="111111"/>
          <w:sz w:val="28"/>
          <w:szCs w:val="28"/>
          <w:rtl w:val="true"/>
          <w:lang w:bidi="ar-SA"/>
        </w:rPr>
        <w:t>).</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الْخَمْرُ وَ الْمَيْسِرُ وَ الْأَنْصابُ وَ الْأَزْلامُ رِجْسٌ مِنْ عَمَلِ الشَّيْطانِ فَاجْتَنِبُوهُ لَعَلَّكُمْ تُفْلِحُونَ </w:t>
      </w:r>
      <w:r>
        <w:rPr>
          <w:rFonts w:eastAsia="Amiri" w:cs="Amiri" w:ascii="Amiri" w:hAnsi="Amiri"/>
          <w:color w:val="111111"/>
          <w:sz w:val="28"/>
          <w:szCs w:val="28"/>
          <w:rtl w:val="true"/>
          <w:lang w:bidi="ar-SA"/>
        </w:rPr>
        <w:t>).</w:t>
      </w:r>
      <w:r>
        <w:rPr>
          <w:rStyle w:val="FootnoteAnchor"/>
          <w:rtl w:val="true"/>
        </w:rPr>
        <w:footnoteReference w:id="569"/>
      </w:r>
    </w:p>
    <w:p>
      <w:pPr>
        <w:pStyle w:val="BookText"/>
        <w:rPr/>
      </w:pPr>
      <w:r>
        <w:rPr>
          <w:rFonts w:ascii="Amiri" w:hAnsi="Amiri" w:eastAsia="Amiri" w:cs="Amiri"/>
          <w:color w:val="111111"/>
          <w:sz w:val="28"/>
          <w:sz w:val="28"/>
          <w:szCs w:val="28"/>
          <w:rtl w:val="true"/>
          <w:lang w:bidi="ar-SA"/>
        </w:rPr>
        <w:t>و إنّما عدّت هذه الآيات من المجمل لأجل أنّ التحريم فيها أسند إلى الأعيان مع أنّه من عوارض فعل المكلّف لا المتعلّق و لذلك طرأ الإجمال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الأظهر بمناسبة مقتضى الحكم و الموضوع هو أنّ المحرّم في هذه الآيات هو الأثر البارز المقصود من الشيء، و هو الأكل في المأكولات، و الشرب في المشروبات، و اللعب في آلات القمار، و العبادة في مظاهر الأُلوهية، و النكاح في النساء، و عند ذلك يرتفع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حُرِّمَ عَلَيْكُمْ صَيْدُ الْبَرِّ ما دُمْتُمْ حُرُماً وَ اتَّقُوا اللّهَ الَّذِي إِلَيْهِ تُحْشَرُونَ </w:t>
      </w:r>
      <w:r>
        <w:rPr>
          <w:rFonts w:eastAsia="Amiri" w:cs="Amiri" w:ascii="Amiri" w:hAnsi="Amiri"/>
          <w:color w:val="111111"/>
          <w:sz w:val="28"/>
          <w:szCs w:val="28"/>
          <w:rtl w:val="true"/>
          <w:lang w:bidi="ar-SA"/>
        </w:rPr>
        <w:t>).</w:t>
      </w:r>
      <w:r>
        <w:rPr>
          <w:rStyle w:val="FootnoteAnchor"/>
          <w:rtl w:val="true"/>
        </w:rPr>
        <w:footnoteReference w:id="570"/>
      </w:r>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المراد من الصيد هو فعل المكلّف فيكون هو حراماً لا الأكل من المصيد أو المراد نفس المصيد فيكون أكله أيضاً حراماً و إن صاده المحلّ فالمحرِم لا يأكل صيد البرّ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صاده المحرم أو المحلّ</w:t>
      </w:r>
      <w:r>
        <w:rPr>
          <w:rFonts w:eastAsia="Amiri" w:cs="Amiri" w:ascii="Amiri" w:hAnsi="Amiri"/>
          <w:color w:val="111111"/>
          <w:sz w:val="28"/>
          <w:szCs w:val="28"/>
          <w:rtl w:val="true"/>
          <w:lang w:bidi="ar-SA"/>
        </w:rPr>
        <w:t>.</w:t>
      </w:r>
      <w:r>
        <w:rPr>
          <w:rStyle w:val="FootnoteAnchor"/>
          <w:rtl w:val="true"/>
        </w:rPr>
        <w:footnoteReference w:id="571"/>
      </w:r>
      <w:bookmarkStart w:id="1624" w:name="pg14356_187314"/>
    </w:p>
    <w:p>
      <w:pPr>
        <w:pStyle w:val="Heading4"/>
        <w:numPr>
          <w:ilvl w:val="3"/>
          <w:numId w:val="1"/>
        </w:numPr>
        <w:rPr/>
      </w:pPr>
      <w:bookmarkStart w:id="1625" w:name="__RefHeading___Toc7305796_3381743652"/>
      <w:bookmarkStart w:id="1626" w:name="_Toc619"/>
      <w:bookmarkEnd w:id="1624"/>
      <w:bookmarkEnd w:id="1625"/>
      <w:r>
        <w:rPr>
          <w:rtl w:val="true"/>
        </w:rPr>
        <w:t>المحكم و المتشابه</w:t>
      </w:r>
      <w:bookmarkEnd w:id="1626"/>
    </w:p>
    <w:p>
      <w:pPr>
        <w:pStyle w:val="Heading5"/>
        <w:numPr>
          <w:ilvl w:val="4"/>
          <w:numId w:val="1"/>
        </w:numPr>
        <w:rPr/>
      </w:pPr>
      <w:bookmarkStart w:id="1627" w:name="__RefHeading___Toc7305798_3381743652"/>
      <w:bookmarkStart w:id="1628" w:name="_Toc620"/>
      <w:bookmarkEnd w:id="1627"/>
      <w:r>
        <w:rPr>
          <w:rtl w:val="true"/>
        </w:rPr>
        <w:t>اشارة</w:t>
      </w:r>
      <w:bookmarkEnd w:id="1628"/>
    </w:p>
    <w:p>
      <w:pPr>
        <w:pStyle w:val="BookText"/>
        <w:rPr/>
      </w:pPr>
      <w:r>
        <w:rPr>
          <w:rFonts w:ascii="Amiri" w:hAnsi="Amiri" w:eastAsia="Amiri" w:cs="Amiri"/>
          <w:color w:val="111111"/>
          <w:sz w:val="28"/>
          <w:sz w:val="28"/>
          <w:szCs w:val="28"/>
          <w:rtl w:val="true"/>
          <w:lang w:bidi="ar-SA"/>
        </w:rPr>
        <w:t>الأصل في تقسيم الآيات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و متشابه هو قوله سبحانه في سورة 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فَأَمَّا الَّذِينَ فِي قُلُوبِهِمْ زَيْغٌ فَيَتَّبِعُونَ ما تَشابَهَ مِنْهُ ابْتِغاءَ الْفِتْنَةِ وَ ابْتِغاءَ تَأْوِيلِهِ وَ ما يَعْلَمُ تَأْوِيلَهُ إِلاَّ اللّهُ وَ الرّاسِخُونَ فِي الْعِلْمِ يَقُولُونَ آمَنّا بِهِ كُلٌّ مِنْ عِنْدِ رَبِّنا وَ ما يَذَّكَّرُ إِلاّ أُولُوا الْأَلْبابِ </w:t>
      </w:r>
      <w:r>
        <w:rPr>
          <w:rFonts w:eastAsia="Amiri" w:cs="Amiri" w:ascii="Amiri" w:hAnsi="Amiri"/>
          <w:color w:val="111111"/>
          <w:sz w:val="28"/>
          <w:szCs w:val="28"/>
          <w:rtl w:val="true"/>
          <w:lang w:bidi="ar-SA"/>
        </w:rPr>
        <w:t>).</w:t>
      </w:r>
      <w:r>
        <w:rPr>
          <w:rStyle w:val="FootnoteAnchor"/>
          <w:rtl w:val="true"/>
        </w:rPr>
        <w:footnoteReference w:id="572"/>
      </w:r>
    </w:p>
    <w:p>
      <w:pPr>
        <w:pStyle w:val="Heading5"/>
        <w:numPr>
          <w:ilvl w:val="4"/>
          <w:numId w:val="1"/>
        </w:numPr>
        <w:rPr/>
      </w:pPr>
      <w:bookmarkStart w:id="1629" w:name="__RefHeading___Toc7305800_3381743652"/>
      <w:bookmarkStart w:id="1630" w:name="_Toc621"/>
      <w:bookmarkEnd w:id="1629"/>
      <w:r>
        <w:rPr>
          <w:rtl w:val="true"/>
        </w:rPr>
        <w:t>و استقصاء الكلام في الآية يقتضي البحث في أُمور</w:t>
      </w:r>
      <w:r>
        <w:rPr>
          <w:rtl w:val="true"/>
        </w:rPr>
        <w:t>:</w:t>
      </w:r>
      <w:bookmarkEnd w:id="1630"/>
    </w:p>
    <w:p>
      <w:pPr>
        <w:pStyle w:val="Heading6"/>
        <w:numPr>
          <w:ilvl w:val="5"/>
          <w:numId w:val="1"/>
        </w:numPr>
        <w:rPr/>
      </w:pPr>
      <w:bookmarkStart w:id="1631" w:name="__RefHeading___Toc7305802_3381743652"/>
      <w:bookmarkStart w:id="1632" w:name="_Toc622"/>
      <w:bookmarkEnd w:id="1631"/>
      <w:r>
        <w:rPr>
          <w:rtl w:val="true"/>
        </w:rPr>
        <w:t>اشارة</w:t>
      </w:r>
      <w:bookmarkEnd w:id="163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هو المراد من المحكم و المتشابه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هو المراد من التأويل؟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ابتغاء الفتنة؟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الراسخون في العلم يعلمون التأويل أو لا؟ و إليك الكلام في الجميع واحداً بعد الآخر</w:t>
      </w:r>
      <w:r>
        <w:rPr>
          <w:rFonts w:eastAsia="Amiri" w:cs="Amiri" w:ascii="Amiri" w:hAnsi="Amiri"/>
          <w:color w:val="111111"/>
          <w:sz w:val="28"/>
          <w:szCs w:val="28"/>
          <w:rtl w:val="true"/>
          <w:lang w:bidi="ar-SA"/>
        </w:rPr>
        <w:t>:</w:t>
      </w:r>
    </w:p>
    <w:p>
      <w:pPr>
        <w:pStyle w:val="Heading6"/>
        <w:numPr>
          <w:ilvl w:val="5"/>
          <w:numId w:val="1"/>
        </w:numPr>
        <w:rPr/>
      </w:pPr>
      <w:bookmarkStart w:id="1633" w:name="__RefHeading___Toc7305804_3381743652"/>
      <w:bookmarkStart w:id="1634" w:name="_Toc623"/>
      <w:bookmarkEnd w:id="1633"/>
      <w:r>
        <w:rPr/>
        <w:t>1</w:t>
      </w:r>
      <w:r>
        <w:rPr>
          <w:rtl w:val="true"/>
        </w:rPr>
        <w:t xml:space="preserve">. </w:t>
      </w:r>
      <w:r>
        <w:rPr>
          <w:rtl w:val="true"/>
        </w:rPr>
        <w:t>المحكم و المتشابه لغة و قرآناً</w:t>
      </w:r>
      <w:bookmarkEnd w:id="16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المحكم من الحُكْم و هو بمعنى المنع و منها الحِكْمة لأنّها تمنع صاحبها من فضول الكلام و رذائل الأخلاق، و يطلق على اللجام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تمنع</w:t>
      </w:r>
    </w:p>
    <w:p>
      <w:pPr>
        <w:pStyle w:val="BookText"/>
        <w:rPr/>
      </w:pPr>
      <w:r>
        <w:rPr>
          <w:rFonts w:ascii="Amiri" w:hAnsi="Amiri" w:eastAsia="Amiri" w:cs="Amiri"/>
          <w:color w:val="111111"/>
          <w:sz w:val="28"/>
          <w:sz w:val="28"/>
          <w:szCs w:val="28"/>
          <w:rtl w:val="true"/>
          <w:lang w:bidi="ar-SA"/>
        </w:rPr>
        <w:t>الدابّة من الجموح و الحركة، و لو وصف البناء أو المصنوع بالاستحكام لأنّه يمنع عن تسرّب الخراب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المتشابه هو الشيء غير الواضح يشتبه بشيء آخر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كُلَّما رُزِقُوا مِنْها مِنْ ثَمَرَةٍ رِزْقاً قالُوا هذَا الَّذِي رُزِقْنا مِنْ قَبْلُ وَ أُتُوا بِهِ مُتَشابِهاً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المعنى إنّ أهل الجنّة كلّما رزقوا من رزق،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الَّذِي رُزِقْنا مِنْ قَبْلُ </w:t>
      </w:r>
      <w:r>
        <w:rPr>
          <w:rFonts w:eastAsia="Amiri" w:cs="Amiri" w:ascii="Amiri" w:hAnsi="Amiri"/>
          <w:color w:val="111111"/>
          <w:sz w:val="28"/>
          <w:szCs w:val="28"/>
          <w:rtl w:val="true"/>
          <w:lang w:bidi="ar-SA"/>
        </w:rPr>
        <w:t>)</w:t>
      </w:r>
      <w:r>
        <w:rPr>
          <w:rStyle w:val="FootnoteAnchor"/>
          <w:rtl w:val="true"/>
        </w:rPr>
        <w:footnoteReference w:id="573"/>
      </w:r>
      <w:r>
        <w:rPr>
          <w:rFonts w:ascii="Amiri" w:hAnsi="Amiri" w:eastAsia="Amiri" w:cs="Amiri"/>
          <w:color w:val="111111"/>
          <w:sz w:val="28"/>
          <w:sz w:val="28"/>
          <w:szCs w:val="28"/>
          <w:rtl w:val="true"/>
          <w:lang w:bidi="ar-SA"/>
        </w:rPr>
        <w:t>، و لكنّه ليس منه و إنّما أوقعهم في هذا، التشابه بين الثمرتين في اللون و الحجم مع الاختلاف في الطعم و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الْبَقَرَ تَشابَهَ عَلَيْنا </w:t>
      </w:r>
      <w:r>
        <w:rPr>
          <w:rFonts w:eastAsia="Amiri" w:cs="Amiri" w:ascii="Amiri" w:hAnsi="Amiri"/>
          <w:color w:val="111111"/>
          <w:sz w:val="28"/>
          <w:szCs w:val="28"/>
          <w:rtl w:val="true"/>
          <w:lang w:bidi="ar-SA"/>
        </w:rPr>
        <w:t xml:space="preserve">). </w:t>
      </w:r>
      <w:r>
        <w:rPr>
          <w:rStyle w:val="FootnoteAnchor"/>
          <w:rtl w:val="true"/>
        </w:rPr>
        <w:footnoteReference w:id="574"/>
      </w:r>
      <w:r>
        <w:rPr>
          <w:rFonts w:ascii="Amiri" w:hAnsi="Amiri" w:eastAsia="Amiri" w:cs="Amiri"/>
          <w:color w:val="111111"/>
          <w:sz w:val="28"/>
          <w:sz w:val="28"/>
          <w:szCs w:val="28"/>
          <w:rtl w:val="true"/>
          <w:lang w:bidi="ar-SA"/>
        </w:rPr>
        <w:t>أي لم يتميز ما هو الواجب لغاية الذبح،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للشبهة شبهة لأنّها تُشبه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سبحانه يصف الأعناب و الزيتون و الرمان بالمشتبه و غير المتشابه،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جَنّاتٍ مِنْ أَعْنابٍ وَ الزَّيْتُونَ وَ الرُّمّانَ مُشْتَبِهاً وَ غَيْرَ مُتَشابِهٍ انْظُرُوا إِلى ثَمَرِهِ إِذا أَثْمَرَ وَ يَنْعِهِ </w:t>
      </w:r>
      <w:r>
        <w:rPr>
          <w:rFonts w:eastAsia="Amiri" w:cs="Amiri" w:ascii="Amiri" w:hAnsi="Amiri"/>
          <w:color w:val="111111"/>
          <w:sz w:val="28"/>
          <w:szCs w:val="28"/>
          <w:rtl w:val="true"/>
          <w:lang w:bidi="ar-SA"/>
        </w:rPr>
        <w:t>).</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و في آية أُخرى يصف خصوص الزيتون و الرّمّان متشابهاً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الزَّيْتُونَ وَ الرُّمّانَ مُتَشابِهاً وَ غَيْرَ مُتَشابِهٍ </w:t>
      </w:r>
      <w:r>
        <w:rPr>
          <w:rFonts w:eastAsia="Amiri" w:cs="Amiri" w:ascii="Amiri" w:hAnsi="Amiri"/>
          <w:color w:val="111111"/>
          <w:sz w:val="28"/>
          <w:szCs w:val="28"/>
          <w:rtl w:val="true"/>
          <w:lang w:bidi="ar-SA"/>
        </w:rPr>
        <w:t>).</w:t>
      </w:r>
      <w:r>
        <w:rPr>
          <w:rStyle w:val="FootnoteAnchor"/>
          <w:rtl w:val="true"/>
        </w:rPr>
        <w:footnoteReference w:id="576"/>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فالمراد إمّا تشابه أحدهما بالآخر من حيث الظاهر و اختلافهما من حيث الطعم أو تشابه أصناف كلّ نوع بصنف آخر و الاختلاف في أمر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ينتزع من المجموع أنّ التشابه هو كون الشيء على نحو يشتبه لغيره و لا يتميز عنه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معنى المحكم و المتشابه لغة، و أمّا قرآناً فالميزان في وصف الآية بالإحكام و التشابه هو الدلالة، فإذا كان الكلام واضح الدلالة، فهو في الإتقان و الرصانة بمكان تمنع عن الاحتمال الآخر، و هذا بخلاف المتشابه، فبما أنّ دلالتها ليست على حدّ تمنع عن تشابه المقصود بغيره، ففي بادئ النظر يرد إلى الذهن وجوه و احتمالات يحتملها لفظ الآية في بادئ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هو المقصود و الباقي ليس بمقصود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قسّم في الآية السابقة، الآيات القرآنية إلى قسم محكم و قسم متشابه مع أنّ بعض الآيات يصف الجميع بالإحكام كما أنّ البعض الآخر يصف الجميع بالمتشابه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 كِتابٌ أُحْكِمَتْ آياتُهُ ثُمَّ فُصِّلَتْ مِنْ لَدُنْ حَكِيمٍ خَبِيرٍ </w:t>
      </w:r>
      <w:r>
        <w:rPr>
          <w:rFonts w:eastAsia="Amiri" w:cs="Amiri" w:ascii="Amiri" w:hAnsi="Amiri"/>
          <w:color w:val="111111"/>
          <w:sz w:val="28"/>
          <w:szCs w:val="28"/>
          <w:rtl w:val="true"/>
          <w:lang w:bidi="ar-SA"/>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 أمّا الثاني فهو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نَزَّلَ أَحْسَنَ الْحَدِيثِ كِتاباً مُتَشابِهاً مَثانِيَ تَقْشَعِرُّ مِنْهُ جُلُودُ الَّذِينَ يَخْشَوْنَ رَبَّهُمْ ثُمَّ تَلِينُ جُلُودُهُمْ وَ قُلُوبُهُمْ إِلى ذِكْرِ اللّهِ </w:t>
      </w:r>
      <w:r>
        <w:rPr>
          <w:rFonts w:eastAsia="Amiri" w:cs="Amiri" w:ascii="Amiri" w:hAnsi="Amiri"/>
          <w:color w:val="111111"/>
          <w:sz w:val="28"/>
          <w:szCs w:val="28"/>
          <w:rtl w:val="true"/>
          <w:lang w:bidi="ar-SA"/>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تقسيم الآيات إلى محكم و متشابه بملاك و وصف جميع الآيات بالاستحكام بملاك آخر</w:t>
      </w:r>
      <w:r>
        <w:rPr>
          <w:rFonts w:eastAsia="Amiri" w:cs="Amiri" w:ascii="Amiri" w:hAnsi="Amiri"/>
          <w:color w:val="111111"/>
          <w:sz w:val="28"/>
          <w:szCs w:val="28"/>
          <w:rtl w:val="true"/>
          <w:lang w:bidi="ar-SA"/>
        </w:rPr>
        <w:t>.</w:t>
      </w:r>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فالملاك في تقسيم الآية إلى المحكم و المتشابه دلالة الآية، فالآية إذا كانت </w:t>
      </w:r>
    </w:p>
    <w:p>
      <w:pPr>
        <w:pStyle w:val="BookText"/>
        <w:rPr/>
      </w:pPr>
      <w:r>
        <w:rPr>
          <w:rFonts w:ascii="Amiri" w:hAnsi="Amiri" w:eastAsia="Amiri" w:cs="Amiri"/>
          <w:color w:val="111111"/>
          <w:sz w:val="28"/>
          <w:sz w:val="28"/>
          <w:szCs w:val="28"/>
          <w:rtl w:val="true"/>
          <w:lang w:bidi="ar-SA"/>
        </w:rPr>
        <w:t>محكمة الدلالة و مبيّن المراد يوصف بالمحكم، و إذا كانت غير واضحة الدلالة و متزلزلها توصف بالمتشابه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وصف جميع الآيات بالإحكام فبملاك آخر إمّا المضمون و هو أنّ مضامين القرآن مضامين متقنة لا يتطرق إليه الباطل، فلا يبلى و لا يخلق بل يكون طريّاً في كلّ عصر أو النظم حيث نظمت نظماً رصيناً لا يقع فيه نقص و لا خلل كالبناء المحكم المرصف</w:t>
      </w:r>
      <w:r>
        <w:rPr>
          <w:rFonts w:eastAsia="Amiri" w:cs="Amiri" w:ascii="Amiri" w:hAnsi="Amiri"/>
          <w:color w:val="111111"/>
          <w:sz w:val="28"/>
          <w:szCs w:val="28"/>
          <w:rtl w:val="true"/>
          <w:lang w:bidi="ar-SA"/>
        </w:rPr>
        <w:t>.</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و يقول العلاّمة الطباطبائي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الكريمة القرآنية على اختلاف مضامينها و تشتّت مقاصدها و أغراضها ترجع إلى معنى واحد بسيط، و غرض فارد أصلي لا تكثّر فيه و لا تشتّت بحيث لا تروم آية من الآيات الكريمة مقصداً من المقاصد و لا ترمي إلى هدف إلاّ و الغرض الأصلي هو الروح الساري في جثمانه و الحقيقة المطلوبة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غرض لهذا الكتاب الكريم على تشتّت آياته و تفرّق أبعاضه إلاّ غرض واحد متوحّد إذا فصّل كان في مورد أصلاً دينياً و في آخر أمراً خلقياً و في ثالث حكماً شرعياً، و هكذا كلّما تنزّل من الأُصول إلى فروعها و من الفروع إلى فروع الفروع لم يخرج من معناه الواحد المحفوظ، و لا يخطي غرضه فهذا الأصل الواحد بتركبه يصير كلّ واحد واحد من أجزاء تفاصيل العقائد و الأخلاق و الأعمال، و هي بتحليلها و إرجاعها إلى الروح الساري فيها الحاكم على أجسادها تعود إلى ذاك الأصل الواحد</w:t>
      </w:r>
      <w:r>
        <w:rPr>
          <w:rFonts w:eastAsia="Amiri" w:cs="Amiri" w:ascii="Amiri" w:hAnsi="Amiri"/>
          <w:color w:val="111111"/>
          <w:sz w:val="28"/>
          <w:szCs w:val="28"/>
          <w:rtl w:val="true"/>
          <w:lang w:bidi="ar-SA"/>
        </w:rPr>
        <w:t>.</w:t>
      </w:r>
      <w:r>
        <w:rPr>
          <w:rStyle w:val="FootnoteAnchor"/>
          <w:rtl w:val="true"/>
        </w:rPr>
        <w:footnoteReference w:id="580"/>
      </w:r>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حول الأحكام، و أمّا التشابه فقد علمت أنّ التقسيم بملاك </w:t>
      </w:r>
      <w:bookmarkStart w:id="1635" w:name="pg14356_187318"/>
    </w:p>
    <w:p>
      <w:pPr>
        <w:pStyle w:val="BookText"/>
        <w:rPr/>
      </w:pPr>
      <w:bookmarkEnd w:id="1635"/>
      <w:r>
        <w:rPr>
          <w:rFonts w:ascii="Amiri" w:hAnsi="Amiri" w:eastAsia="Amiri" w:cs="Amiri"/>
          <w:color w:val="111111"/>
          <w:sz w:val="28"/>
          <w:sz w:val="28"/>
          <w:szCs w:val="28"/>
          <w:rtl w:val="true"/>
          <w:lang w:bidi="ar-SA"/>
        </w:rPr>
        <w:t>الدلالة، و أمّا وصف الكلّ بالمتشابه، فالمراد التشابه و التماثل من حيث المضمون حيث إنّ مضمون بعضه يشابه الآخر و يؤكّده، و يدلّ على ذلك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متكرّراً يشبه بعضه بعضاً، فكم تكرّرت قصة آدم و موسى في القرآن الكريم، و كم تكررت الآيات المندّدة بالشرك و عبادة الأصنام، و غير ذلك</w:t>
      </w:r>
      <w:r>
        <w:rPr>
          <w:rFonts w:eastAsia="Amiri" w:cs="Amiri" w:ascii="Amiri" w:hAnsi="Amiri"/>
          <w:color w:val="111111"/>
          <w:sz w:val="28"/>
          <w:szCs w:val="28"/>
          <w:rtl w:val="true"/>
          <w:lang w:bidi="ar-SA"/>
        </w:rPr>
        <w:t>.</w:t>
      </w:r>
    </w:p>
    <w:p>
      <w:pPr>
        <w:pStyle w:val="Heading6"/>
        <w:numPr>
          <w:ilvl w:val="5"/>
          <w:numId w:val="1"/>
        </w:numPr>
        <w:rPr/>
      </w:pPr>
      <w:bookmarkStart w:id="1636" w:name="__RefHeading___Toc7305806_3381743652"/>
      <w:bookmarkStart w:id="1637" w:name="_Toc624"/>
      <w:bookmarkEnd w:id="1636"/>
      <w:r>
        <w:rPr>
          <w:rtl w:val="true"/>
        </w:rPr>
        <w:t>ما هو المراد من الآية المتشابهة؟</w:t>
      </w:r>
      <w:bookmarkEnd w:id="1637"/>
    </w:p>
    <w:p>
      <w:pPr>
        <w:pStyle w:val="BookText"/>
        <w:rPr/>
      </w:pPr>
      <w:r>
        <w:rPr>
          <w:rFonts w:ascii="Amiri" w:hAnsi="Amiri" w:eastAsia="Amiri" w:cs="Amiri"/>
          <w:color w:val="111111"/>
          <w:sz w:val="28"/>
          <w:sz w:val="28"/>
          <w:szCs w:val="28"/>
          <w:rtl w:val="true"/>
          <w:lang w:bidi="ar-SA"/>
        </w:rPr>
        <w:t>اختلفت أنظار المفسّرين في مصاديق المتشابه في الآية الكريمة إلى أقوال ربما يناهض ستة عشر قولاً</w:t>
      </w:r>
      <w:r>
        <w:rPr>
          <w:rStyle w:val="FootnoteAnchor"/>
          <w:rtl w:val="true"/>
        </w:rPr>
        <w:footnoteReference w:id="581"/>
      </w:r>
      <w:r>
        <w:rPr>
          <w:rFonts w:ascii="Amiri" w:hAnsi="Amiri" w:eastAsia="Amiri" w:cs="Amiri"/>
          <w:color w:val="111111"/>
          <w:sz w:val="28"/>
          <w:sz w:val="28"/>
          <w:szCs w:val="28"/>
          <w:rtl w:val="true"/>
          <w:lang w:bidi="ar-SA"/>
        </w:rPr>
        <w:t>، و نحن نذكر منها ما هو المهمّ</w:t>
      </w:r>
      <w:r>
        <w:rPr>
          <w:rFonts w:eastAsia="Amiri" w:cs="Amiri" w:ascii="Amiri" w:hAnsi="Amiri"/>
          <w:color w:val="111111"/>
          <w:sz w:val="28"/>
          <w:szCs w:val="28"/>
          <w:rtl w:val="true"/>
          <w:lang w:bidi="ar-SA"/>
        </w:rPr>
        <w:t>:</w:t>
      </w:r>
    </w:p>
    <w:p>
      <w:pPr>
        <w:pStyle w:val="Heading6"/>
        <w:numPr>
          <w:ilvl w:val="5"/>
          <w:numId w:val="1"/>
        </w:numPr>
        <w:rPr/>
      </w:pPr>
      <w:bookmarkStart w:id="1638" w:name="__RefHeading___Toc7305808_3381743652"/>
      <w:bookmarkStart w:id="1639" w:name="_Toc625"/>
      <w:bookmarkEnd w:id="1638"/>
      <w:r>
        <w:rPr/>
        <w:t>1</w:t>
      </w:r>
      <w:r>
        <w:rPr>
          <w:rtl w:val="true"/>
        </w:rPr>
        <w:t xml:space="preserve">. </w:t>
      </w:r>
      <w:r>
        <w:rPr>
          <w:rtl w:val="true"/>
        </w:rPr>
        <w:t>المتشابه هو الخارج عن اطار العقل و الحسّ‌</w:t>
      </w:r>
      <w:bookmarkEnd w:id="1639"/>
    </w:p>
    <w:p>
      <w:pPr>
        <w:pStyle w:val="BookText"/>
        <w:rPr/>
      </w:pPr>
      <w:r>
        <w:rPr>
          <w:rFonts w:ascii="Amiri" w:hAnsi="Amiri" w:eastAsia="Amiri" w:cs="Amiri"/>
          <w:color w:val="111111"/>
          <w:sz w:val="28"/>
          <w:sz w:val="28"/>
          <w:szCs w:val="28"/>
          <w:rtl w:val="true"/>
          <w:lang w:bidi="ar-SA"/>
        </w:rPr>
        <w:t>المتشابه عبارة عن الموضوعات الواردة في القرآن الكريم الخارجة عن اطار الحس و العقل و الّتي لا يقدر الإنسان على درك حقيقته و كنهه كذاته سبحانه و حقيقة صفاته و العوالم الغيبية كالملك و الجنّ و الروح و البرزخ و الميزان و غير ذلك من الأُمور التي لا يمكن للإنسان الدنيوي درك حقائقها، بل يُطلب منه الإيمان بها،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يُؤْمِنُونَ بِالْغَيْبِ </w:t>
      </w:r>
      <w:r>
        <w:rPr>
          <w:rFonts w:eastAsia="Amiri" w:cs="Amiri" w:ascii="Amiri" w:hAnsi="Amiri"/>
          <w:color w:val="111111"/>
          <w:sz w:val="28"/>
          <w:szCs w:val="28"/>
          <w:rtl w:val="true"/>
          <w:lang w:bidi="ar-SA"/>
        </w:rPr>
        <w:t>).</w:t>
      </w:r>
      <w:r>
        <w:rPr>
          <w:rStyle w:val="FootnoteAnchor"/>
          <w:rtl w:val="true"/>
        </w:rPr>
        <w:footnoteReference w:id="582"/>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النظرية لا تنسجم مع الخصوصيات المذكورة للمتشابه في الآية الكريمة و ذلك</w:t>
      </w:r>
      <w:r>
        <w:rPr>
          <w:rFonts w:eastAsia="Amiri" w:cs="Amiri" w:ascii="Amiri" w:hAnsi="Amiri"/>
          <w:color w:val="111111"/>
          <w:sz w:val="28"/>
          <w:szCs w:val="28"/>
          <w:rtl w:val="true"/>
          <w:lang w:bidi="ar-SA"/>
        </w:rPr>
        <w:t>:</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المتشابه عبارة عن شيء يشبه الشيء الآخر، و يصعب للإنسان تمييزهما كالتوأمين و الثمار المتشابهة، و هذا غير كون الشيء مجهول الحقيقة مبهم الماهية لا يدخل في إطار أدوات المعرفة كما مثّل، فما ذكر من العوالم الغيبيّة </w:t>
      </w:r>
    </w:p>
    <w:p>
      <w:pPr>
        <w:pStyle w:val="BookText"/>
        <w:rPr/>
      </w:pPr>
      <w:r>
        <w:rPr>
          <w:rFonts w:ascii="IRNazanin" w:hAnsi="IRNazanin" w:eastAsia="IRNazanin"/>
          <w:color w:val="111111"/>
          <w:sz w:val="28"/>
          <w:sz w:val="28"/>
          <w:szCs w:val="28"/>
          <w:rtl w:val="true"/>
          <w:lang w:bidi="fa-IR"/>
        </w:rPr>
        <w:t>مبهمات لا متشابهات، مجهولات لا متماثلات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 المحكمات بكونها أُمّ الكتاب لبيان أنّ رفع التشابه من الآيات المتشابهة يتحقّق بإرجاعها إلى المحكمات، و أمّا العوالم الغيبية فهي حقائق مغمورة لا توضح بالرجوع إلى أيّ آية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تصرّح بأنّ أصحاب الأهواء يتبعون الآيات المتشابهة مكان الاتباع للمحكمات، و هذا فرع أن يكون للآية المتشابهة ظهور ما، و أمّا العوالم الغيبية فليس هناك أيّ ظهور لها حتّى يتّبع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المتشابه، آية متشابهة من أوّلها إلى آخرها يشتبه المراد منها بغيره، و أمّا العوالم الغيبية فهي مفردات لا آيات، فقوله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 xml:space="preserve">) </w:t>
      </w:r>
      <w:r>
        <w:rPr>
          <w:rStyle w:val="FootnoteAnchor"/>
          <w:rtl w:val="true"/>
        </w:rPr>
        <w:footnoteReference w:id="583"/>
      </w:r>
      <w:r>
        <w:rPr>
          <w:rFonts w:ascii="Amiri" w:hAnsi="Amiri" w:eastAsia="Amiri" w:cs="Amiri"/>
          <w:color w:val="111111"/>
          <w:sz w:val="28"/>
          <w:sz w:val="28"/>
          <w:szCs w:val="28"/>
          <w:rtl w:val="true"/>
          <w:lang w:bidi="ar-SA"/>
        </w:rPr>
        <w:t>آية محكمة واضحة الدلالة، مبيّنة المقصد، و إجمال حقيقة الجن لا يوجد في الآية أي تشابه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الداعي لاختيار هذا الرأي هو أنّ ابن تيميّة ممّن يحمل الصفات الخبرية كالاستواء على العرش، و البناء بالأيدي و غيرهما على معانيها اللغويّة فهي عندها من المحكمات و إن استلزمت التشبيه و التجسيم و الجهة للّه سبحانه مع أنّها عند المشهور، متشابهات تُفسر في ضوء المحكمات و لأجل ذلك اضطرّ إلى تفسير المتشابه بالعوالم الغيبيّة الّتي هي مجهولات مبهمات لا متشابهات</w:t>
      </w:r>
      <w:r>
        <w:rPr>
          <w:rFonts w:eastAsia="Amiri" w:cs="Amiri" w:ascii="Amiri" w:hAnsi="Amiri"/>
          <w:color w:val="111111"/>
          <w:sz w:val="28"/>
          <w:szCs w:val="28"/>
          <w:rtl w:val="true"/>
          <w:lang w:bidi="ar-SA"/>
        </w:rPr>
        <w:t>.</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الآية تحكي عن أنّ أصحاب الأهواء يثيرون الفتنة بالآيات المتشابهة، و لم تكن العوالم الغيبية كالروح و الجنّ و الملك سبباً لإثارة الفتنة، بخلاف ما نذكره من الصفات الخبرية، فإنّها لم تزل و ما زالت سبباً لإثارة الفتنة و قد فرّقت كلمة الأُمّة و جعلتها طائفتين أو طوائف</w:t>
      </w:r>
      <w:r>
        <w:rPr>
          <w:rFonts w:eastAsia="Amiri" w:cs="Amiri" w:ascii="Amiri" w:hAnsi="Amiri"/>
          <w:color w:val="111111"/>
          <w:sz w:val="28"/>
          <w:szCs w:val="28"/>
          <w:rtl w:val="true"/>
          <w:lang w:bidi="ar-SA"/>
        </w:rPr>
        <w:t xml:space="preserve">. </w:t>
      </w:r>
      <w:bookmarkStart w:id="1640" w:name="pg14356_187320"/>
    </w:p>
    <w:p>
      <w:pPr>
        <w:pStyle w:val="BookText"/>
        <w:rPr/>
      </w:pPr>
      <w:bookmarkEnd w:id="1640"/>
      <w:r>
        <w:rPr>
          <w:rFonts w:ascii="Amiri" w:hAnsi="Amiri" w:eastAsia="Amiri" w:cs="Amiri"/>
          <w:color w:val="111111"/>
          <w:sz w:val="28"/>
          <w:sz w:val="28"/>
          <w:szCs w:val="28"/>
          <w:rtl w:val="true"/>
          <w:lang w:bidi="ar-SA"/>
        </w:rPr>
        <w:t>إنّك ترى أنّ الوهّابية التابعة لمنهج ابن تيمية لم تزل تنشر رسائل حول الصفات الخبرية و تصرّ على أنّها محمولة على اللّه بنفس معانيها اللغوية، غاية الأمر يردفها أسيادهم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كيف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له سبحانه أيد لا كأيدينا و عرش لا كعرشنا، إلى غير ذلك</w:t>
      </w:r>
      <w:r>
        <w:rPr>
          <w:rFonts w:eastAsia="Amiri" w:cs="Amiri" w:ascii="Amiri" w:hAnsi="Amiri"/>
          <w:color w:val="111111"/>
          <w:sz w:val="28"/>
          <w:szCs w:val="28"/>
          <w:rtl w:val="true"/>
          <w:lang w:bidi="ar-SA"/>
        </w:rPr>
        <w:t>.</w:t>
      </w:r>
    </w:p>
    <w:p>
      <w:pPr>
        <w:pStyle w:val="Heading6"/>
        <w:numPr>
          <w:ilvl w:val="5"/>
          <w:numId w:val="1"/>
        </w:numPr>
        <w:rPr/>
      </w:pPr>
      <w:bookmarkStart w:id="1641" w:name="__RefHeading___Toc7305810_3381743652"/>
      <w:bookmarkStart w:id="1642" w:name="_Toc626"/>
      <w:bookmarkEnd w:id="1641"/>
      <w:r>
        <w:rPr/>
        <w:t>2</w:t>
      </w:r>
      <w:r>
        <w:rPr>
          <w:rtl w:val="true"/>
        </w:rPr>
        <w:t xml:space="preserve">. </w:t>
      </w:r>
      <w:r>
        <w:rPr>
          <w:rtl w:val="true"/>
        </w:rPr>
        <w:t>المتشابه و الحروف المتقطّعة</w:t>
      </w:r>
      <w:bookmarkEnd w:id="1642"/>
    </w:p>
    <w:p>
      <w:pPr>
        <w:pStyle w:val="BookText"/>
        <w:rPr/>
      </w:pPr>
      <w:r>
        <w:rPr>
          <w:rFonts w:ascii="Amiri" w:hAnsi="Amiri" w:eastAsia="Amiri" w:cs="Amiri"/>
          <w:color w:val="111111"/>
          <w:sz w:val="28"/>
          <w:sz w:val="28"/>
          <w:szCs w:val="28"/>
          <w:rtl w:val="true"/>
          <w:lang w:bidi="ar-SA"/>
        </w:rPr>
        <w:t xml:space="preserve">هذه هي النظرية الثانية، ذكرها الطبري في ضمن رواية حاصلها أنّ ياسر بن أخطب مرّ برسول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يتلو فاتحة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فاخبر به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حُيَيّ بن أخطب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فتمشى هو مع رجال من اليهود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 يا محمّد أ لم تذكر أنّك تتلو فيما أنزل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واحدة و اللام ثلاثون، و الميم أربعون، فهذه إحدى و سبعون و هذا مدّة نبوّتك ثمّ أقبل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هل مع هذا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أثقل و أطول، الألف واحدة، و اللام ثلاثون، و الميم أربعون، و الصاد تسعون، فهذه مائة و إحدى و 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يسأل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يقرأ الحروف المقطّعة و يحاسب على حساب الحروف الهجائية فلمّا وصلوا إلى سبعمائة سنة و أربع و ثلاثون فقالوا لقد تشابه علينا أمره فنزل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عَلَيْكَ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584"/>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الحديث ضعيف سنداً لأنّه مرويّ عن سلمة بن فضل الذي جرحه علماء الرجال، حيث قال أبو حاتم الرازي في كتابه الجرح و 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إنكار، ليس بقويّ، لا يمكن أن أطلق لساني فيه بأكثر من هذا </w:t>
      </w:r>
      <w:r>
        <w:rPr>
          <w:rFonts w:eastAsia="Amiri" w:cs="Amiri" w:ascii="Amiri" w:hAnsi="Amiri"/>
          <w:color w:val="111111"/>
          <w:sz w:val="28"/>
          <w:szCs w:val="28"/>
          <w:rtl w:val="true"/>
          <w:lang w:bidi="ar-SA"/>
        </w:rPr>
        <w:t>«.</w:t>
      </w:r>
      <w:r>
        <w:rPr>
          <w:rStyle w:val="FootnoteAnchor"/>
          <w:rtl w:val="true"/>
        </w:rPr>
        <w:footnoteReference w:id="585"/>
      </w:r>
      <w:bookmarkStart w:id="1643" w:name="pg14356_187321"/>
    </w:p>
    <w:p>
      <w:pPr>
        <w:pStyle w:val="BookText"/>
        <w:rPr/>
      </w:pPr>
      <w:bookmarkEnd w:id="1643"/>
      <w:r>
        <w:rPr>
          <w:rFonts w:ascii="Amiri" w:hAnsi="Amiri" w:eastAsia="Amiri" w:cs="Amiri"/>
          <w:color w:val="111111"/>
          <w:sz w:val="28"/>
          <w:sz w:val="28"/>
          <w:szCs w:val="28"/>
          <w:rtl w:val="true"/>
          <w:lang w:bidi="ar-SA"/>
        </w:rPr>
        <w:t>كما انّه مطرود دلالة، و ذلك لأنّ ظاهر الرواية أنّ حُييّ اليهودي كان يتلاعب بالحروف المقطعة و يحدّد مدّة نبوّة النبي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ساكت في مقابل تلاعبه بها، و هذا لا يناسب شأن النبي الأعظم في حقّ اللاعبين بآيات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ظاهر الآية أنّ أصحاب الفتنة يؤمنون بمجموع القرآن و لكن يتبعون خصوص المتشابه، و هذا لا ينطبق على شأن النزول، فإنّ اليهود كانوا يرفضون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الظاهر من الرواية أنّهم لم يتبعوا المتشابه، بل قاموا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تشابه علينا أمره</w:t>
      </w:r>
      <w:r>
        <w:rPr>
          <w:rFonts w:eastAsia="Amiri" w:cs="Amiri" w:ascii="Amiri" w:hAnsi="Amiri"/>
          <w:color w:val="111111"/>
          <w:sz w:val="28"/>
          <w:szCs w:val="28"/>
          <w:rtl w:val="true"/>
          <w:lang w:bidi="ar-SA"/>
        </w:rPr>
        <w:t>.</w:t>
      </w:r>
    </w:p>
    <w:p>
      <w:pPr>
        <w:pStyle w:val="Heading6"/>
        <w:numPr>
          <w:ilvl w:val="5"/>
          <w:numId w:val="1"/>
        </w:numPr>
        <w:rPr/>
      </w:pPr>
      <w:bookmarkStart w:id="1644" w:name="__RefHeading___Toc7305812_3381743652"/>
      <w:bookmarkStart w:id="1645" w:name="_Toc627"/>
      <w:bookmarkEnd w:id="1644"/>
      <w:r>
        <w:rPr/>
        <w:t>3</w:t>
      </w:r>
      <w:r>
        <w:rPr>
          <w:rtl w:val="true"/>
        </w:rPr>
        <w:t xml:space="preserve">. </w:t>
      </w:r>
      <w:r>
        <w:rPr>
          <w:rtl w:val="true"/>
        </w:rPr>
        <w:t>النظرية المعروفة</w:t>
      </w:r>
      <w:bookmarkEnd w:id="1645"/>
    </w:p>
    <w:p>
      <w:pPr>
        <w:pStyle w:val="BookText"/>
        <w:rPr/>
      </w:pPr>
      <w:r>
        <w:rPr>
          <w:rFonts w:ascii="Amiri" w:hAnsi="Amiri" w:eastAsia="Amiri" w:cs="Amiri"/>
          <w:color w:val="111111"/>
          <w:sz w:val="28"/>
          <w:sz w:val="28"/>
          <w:szCs w:val="28"/>
          <w:rtl w:val="true"/>
          <w:lang w:bidi="ar-SA"/>
        </w:rPr>
        <w:t>إنّ الآيات القرآنية تنقسم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واضح الدلالة، مبيّن المقاصد، و متشابه يشتبه مدلوله الواقعي بغير الواقعي، و يرتفع التشابه إذا لوحظت مع سائر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يعرض التشابه للآية لا لقصور في اللفظ أو في الهيئة التركيبية، بل لأجل أنّ المعارف الإلهيّة إذا نزلت إلى سطوح الأفهام العادية، و أُريد بيانها بالألفاظ الدارجة التي وضعت لبيان المعاني الحسّية الملموسة، عرض لها التشابه في المقاصد، فإنّ الألفاظ الدارجة إنّما وضعت للاستعانة بها في إلقاء المقاصد العرفية الحسّيّة، فإلقاء المعارف العقلية العليا بهذه الوسيلة، لا تنفك عن عروض التشابه لها</w:t>
      </w:r>
      <w:r>
        <w:rPr>
          <w:rFonts w:eastAsia="Amiri" w:cs="Amiri" w:ascii="Amiri" w:hAnsi="Amiri"/>
          <w:color w:val="111111"/>
          <w:sz w:val="28"/>
          <w:szCs w:val="28"/>
          <w:rtl w:val="true"/>
          <w:lang w:bidi="ar-SA"/>
        </w:rPr>
        <w:t>.</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هناك سبب آخر للتشابه و هو استخدام المجاز و الاستعارة و الكناية في حلبة البلاغة فتصير الآية متشابهة المراد، لا بحسب المعنى المستعمل فيه، بل </w:t>
      </w:r>
    </w:p>
    <w:p>
      <w:pPr>
        <w:pStyle w:val="BookText"/>
        <w:rPr/>
      </w:pPr>
      <w:r>
        <w:rPr>
          <w:rFonts w:ascii="Amiri" w:hAnsi="Amiri" w:eastAsia="Amiri" w:cs="Amiri"/>
          <w:color w:val="111111"/>
          <w:sz w:val="28"/>
          <w:sz w:val="28"/>
          <w:szCs w:val="28"/>
          <w:rtl w:val="true"/>
          <w:lang w:bidi="ar-SA"/>
        </w:rPr>
        <w:t>حسب المعنى الجدّي فيؤخذ بالمستعمل فيه، و يترك المقصد الجدّي الذي سيق لأجله الكلام لابتغاء الفتنة، كما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نذكر فهرساً إجمالياً من الآيات الظاهرة في التجسيم و التشبيه و الجبر و الحركة و الجهة للّه سبحانه، و من المعلوم أنّ ظواهر هذه الآيات المتزلزلة الدلالة، لا تنسجم مع المحكمات، و ما ذلك إلاّ لأنّ ظهورها ظهور بدوي لا استقراري، أفرادي لا جملي، تصوّري لا تصديقي، و لا قيمة لهذه الظهورات ما لم تنتهِ إلى الظهور الاستقراري، الجملي، التصديقي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العين،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لِتُصْنَعَ عَلى عَيْنِي </w:t>
      </w:r>
      <w:r>
        <w:rPr>
          <w:rFonts w:eastAsia="Amiri" w:cs="Amiri" w:ascii="Amiri" w:hAnsi="Amiri"/>
          <w:color w:val="111111"/>
          <w:sz w:val="28"/>
          <w:szCs w:val="28"/>
          <w:rtl w:val="true"/>
          <w:lang w:bidi="ar-SA"/>
        </w:rPr>
        <w:t>).</w:t>
      </w:r>
      <w:r>
        <w:rPr>
          <w:rStyle w:val="FootnoteAnchor"/>
          <w:rtl w:val="true"/>
        </w:rPr>
        <w:footnoteReference w:id="58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اليمين،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السَّماواتُ مَطْوِيّاتٌ بِيَمِينِهِ </w:t>
      </w:r>
      <w:r>
        <w:rPr>
          <w:rFonts w:eastAsia="Amiri" w:cs="Amiri" w:ascii="Amiri" w:hAnsi="Amiri"/>
          <w:color w:val="111111"/>
          <w:sz w:val="28"/>
          <w:szCs w:val="28"/>
          <w:rtl w:val="true"/>
          <w:lang w:bidi="ar-SA"/>
        </w:rPr>
        <w:t>).</w:t>
      </w:r>
      <w:r>
        <w:rPr>
          <w:rStyle w:val="FootnoteAnchor"/>
          <w:rtl w:val="true"/>
        </w:rPr>
        <w:footnoteReference w:id="58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الاستواء،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النفس،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 ما فِي نَفْسِي وَ لا أَعْلَمُ ما فِي نَفْسِكَ </w:t>
      </w:r>
      <w:r>
        <w:rPr>
          <w:rFonts w:eastAsia="Amiri" w:cs="Amiri" w:ascii="Amiri" w:hAnsi="Amiri"/>
          <w:color w:val="111111"/>
          <w:sz w:val="28"/>
          <w:szCs w:val="28"/>
          <w:rtl w:val="true"/>
          <w:lang w:bidi="ar-SA"/>
        </w:rPr>
        <w:t>).</w:t>
      </w:r>
      <w:r>
        <w:rPr>
          <w:rStyle w:val="FootnoteAnchor"/>
          <w:rtl w:val="true"/>
        </w:rPr>
        <w:footnoteReference w:id="589"/>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فَأَيْنَما تُوَلُّوا فَثَمَّ وَجْهُ اللّهِ </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الساق،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 يُكْشَفُ عَنْ ساقٍ </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الجنب،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ما فَرَّطْتُ فِي جَنْبِ اللّهِ </w:t>
      </w:r>
      <w:r>
        <w:rPr>
          <w:rFonts w:eastAsia="Amiri" w:cs="Amiri" w:ascii="Amiri" w:hAnsi="Amiri"/>
          <w:color w:val="111111"/>
          <w:sz w:val="28"/>
          <w:szCs w:val="28"/>
          <w:rtl w:val="true"/>
          <w:lang w:bidi="ar-SA"/>
        </w:rPr>
        <w:t>).</w:t>
      </w:r>
      <w:r>
        <w:rPr>
          <w:rStyle w:val="FootnoteAnchor"/>
          <w:rtl w:val="true"/>
        </w:rPr>
        <w:footnoteReference w:id="59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القرب،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فَإِنِّي قَرِيبٌ أُجِيبُ دَعْوَةَ الدّاعِ </w:t>
      </w:r>
      <w:r>
        <w:rPr>
          <w:rFonts w:eastAsia="Amiri" w:cs="Amiri" w:ascii="Amiri" w:hAnsi="Amiri"/>
          <w:color w:val="111111"/>
          <w:sz w:val="28"/>
          <w:szCs w:val="28"/>
          <w:rtl w:val="true"/>
          <w:lang w:bidi="ar-SA"/>
        </w:rPr>
        <w:t>).</w:t>
      </w:r>
      <w:r>
        <w:rPr>
          <w:rStyle w:val="FootnoteAnchor"/>
          <w:rtl w:val="true"/>
        </w:rPr>
        <w:footnoteReference w:id="59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المجيء، كقوله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 رَبُّكَ </w:t>
      </w:r>
      <w:r>
        <w:rPr>
          <w:rFonts w:eastAsia="Amiri" w:cs="Amiri" w:ascii="Amiri" w:hAnsi="Amiri"/>
          <w:color w:val="111111"/>
          <w:sz w:val="28"/>
          <w:szCs w:val="28"/>
          <w:rtl w:val="true"/>
          <w:lang w:bidi="ar-SA"/>
        </w:rPr>
        <w:t>).</w:t>
      </w:r>
      <w:r>
        <w:rPr>
          <w:rStyle w:val="FootnoteAnchor"/>
          <w:rtl w:val="true"/>
        </w:rPr>
        <w:footnoteReference w:id="594"/>
      </w:r>
      <w:bookmarkStart w:id="1646" w:name="pg14356_187323"/>
    </w:p>
    <w:p>
      <w:pPr>
        <w:pStyle w:val="BookText"/>
        <w:rPr/>
      </w:pPr>
      <w:bookmarkEnd w:id="1646"/>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الإتيان،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يَأْتِيَ رَبُّكَ </w:t>
      </w:r>
      <w:r>
        <w:rPr>
          <w:rFonts w:eastAsia="Amiri" w:cs="Amiri" w:ascii="Amiri" w:hAnsi="Amiri"/>
          <w:color w:val="111111"/>
          <w:sz w:val="28"/>
          <w:szCs w:val="28"/>
          <w:rtl w:val="true"/>
          <w:lang w:bidi="ar-SA"/>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الغضب،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غَضِبَ اللّهُ عَلَيْهِمْ </w:t>
      </w:r>
      <w:r>
        <w:rPr>
          <w:rFonts w:eastAsia="Amiri" w:cs="Amiri" w:ascii="Amiri" w:hAnsi="Amiri"/>
          <w:color w:val="111111"/>
          <w:sz w:val="28"/>
          <w:szCs w:val="28"/>
          <w:rtl w:val="true"/>
          <w:lang w:bidi="ar-SA"/>
        </w:rPr>
        <w:t>).</w:t>
      </w:r>
      <w:r>
        <w:rPr>
          <w:rStyle w:val="FootnoteAnchor"/>
          <w:rtl w:val="true"/>
        </w:rPr>
        <w:footnoteReference w:id="596"/>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الرضا، كما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و نظير ذلك الآيات الدالّة على الجبر نحو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مَنْ يَشاءُ وَ يَهْدِي 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كلتا الطائفتين يؤوّلون المتشابهات، فأصحاب الزيغ يأخذون بالظاهر المتزلزل ذريعة لنشر البدع و الضلالات، و أمّا الآخرون فيؤوّلونه بإرجاع المتشابه إلى المحكمات التي هنّ أُمّ الكتاب</w:t>
      </w:r>
      <w:r>
        <w:rPr>
          <w:rFonts w:eastAsia="Amiri" w:cs="Amiri" w:ascii="Amiri" w:hAnsi="Amiri"/>
          <w:color w:val="111111"/>
          <w:sz w:val="28"/>
          <w:szCs w:val="28"/>
          <w:rtl w:val="true"/>
          <w:lang w:bidi="ar-SA"/>
        </w:rPr>
        <w:t>.</w:t>
      </w:r>
    </w:p>
    <w:p>
      <w:pPr>
        <w:pStyle w:val="Heading6"/>
        <w:numPr>
          <w:ilvl w:val="5"/>
          <w:numId w:val="1"/>
        </w:numPr>
        <w:rPr/>
      </w:pPr>
      <w:bookmarkStart w:id="1647" w:name="__RefHeading___Toc7305814_3381743652"/>
      <w:bookmarkStart w:id="1648" w:name="_Toc628"/>
      <w:bookmarkEnd w:id="1647"/>
      <w:r>
        <w:rPr/>
        <w:t>2</w:t>
      </w:r>
      <w:r>
        <w:rPr>
          <w:rtl w:val="true"/>
        </w:rPr>
        <w:t xml:space="preserve">. </w:t>
      </w:r>
      <w:r>
        <w:rPr>
          <w:rtl w:val="true"/>
        </w:rPr>
        <w:t>ما هو المراد من التأويل؟</w:t>
      </w:r>
      <w:bookmarkEnd w:id="1648"/>
    </w:p>
    <w:p>
      <w:pPr>
        <w:pStyle w:val="BookText"/>
        <w:rPr/>
      </w:pPr>
      <w:r>
        <w:rPr>
          <w:rFonts w:ascii="Amiri" w:hAnsi="Amiri" w:eastAsia="Amiri" w:cs="Amiri"/>
          <w:color w:val="111111"/>
          <w:sz w:val="28"/>
          <w:sz w:val="28"/>
          <w:szCs w:val="28"/>
          <w:rtl w:val="true"/>
          <w:lang w:bidi="ar-SA"/>
        </w:rPr>
        <w:t>إلى هنا تعرّفنا على الآيات المتشابهة، و حان حين البحث عن تأويلها، سواء أ كان من أصحاب الزيغ أو من غيرهم،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التأويل في مصطلح العلماء صرف الظاهر المستقرّ عن ظاهره، و هذا التفسير للتأويل مصطلح للعلماء و لا صلة له بالتأويل في القرآن الكريم، و أمّا تأويل المتشابه، فهو تحقيق ظهوره، و السعي وراء مراده و إرجاع ظهوره البدوي، إلى الظهور الاستقراريّ، و إليك بيانه</w:t>
      </w:r>
      <w:r>
        <w:rPr>
          <w:rFonts w:eastAsia="Amiri" w:cs="Amiri" w:ascii="Amiri" w:hAnsi="Amiri"/>
          <w:color w:val="111111"/>
          <w:sz w:val="28"/>
          <w:szCs w:val="28"/>
          <w:rtl w:val="true"/>
          <w:lang w:bidi="ar-SA"/>
        </w:rPr>
        <w:t>:</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التأويل مأخوذ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يؤول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 رجع، قال الراغب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من الأول، أي الرجوع إلى الأصل، و منه الموئِل للموضع الذي يرجع إليه، و ذلك هو ردّ الشيء إلى الغاية المرادة منه علماً كان أو فعلاً</w:t>
      </w:r>
      <w:r>
        <w:rPr>
          <w:rFonts w:eastAsia="Amiri" w:cs="Amiri" w:ascii="Amiri" w:hAnsi="Amiri"/>
          <w:color w:val="111111"/>
          <w:sz w:val="28"/>
          <w:szCs w:val="28"/>
          <w:rtl w:val="true"/>
          <w:lang w:bidi="ar-SA"/>
        </w:rPr>
        <w:t>.</w:t>
      </w:r>
      <w:r>
        <w:rPr>
          <w:rStyle w:val="FootnoteAnchor"/>
          <w:rtl w:val="true"/>
        </w:rPr>
        <w:footnoteReference w:id="598"/>
      </w:r>
      <w:bookmarkStart w:id="1649" w:name="pg14356_187324"/>
    </w:p>
    <w:p>
      <w:pPr>
        <w:pStyle w:val="BookText"/>
        <w:rPr/>
      </w:pPr>
      <w:bookmarkEnd w:id="1649"/>
      <w:r>
        <w:rPr>
          <w:rFonts w:ascii="Amiri" w:hAnsi="Amiri" w:eastAsia="Amiri" w:cs="Amiri"/>
          <w:color w:val="111111"/>
          <w:sz w:val="28"/>
          <w:sz w:val="28"/>
          <w:szCs w:val="28"/>
          <w:rtl w:val="true"/>
          <w:lang w:bidi="ar-SA"/>
        </w:rPr>
        <w:t>و على ذلك فالتأويل عبارة عن إرجاع الفعل أو الكلام المبهمين من خلال القرائن الموجودة، إلى واقعه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استعمل في القرآن المجيد في موارد ثلاثة</w:t>
      </w:r>
      <w:r>
        <w:rPr>
          <w:rFonts w:eastAsia="Amiri" w:cs="Amiri" w:ascii="Amiri" w:hAnsi="Amiri"/>
          <w:color w:val="111111"/>
          <w:sz w:val="28"/>
          <w:szCs w:val="28"/>
          <w:rtl w:val="true"/>
          <w:lang w:bidi="ar-SA"/>
        </w:rPr>
        <w:t>:</w:t>
      </w:r>
    </w:p>
    <w:p>
      <w:pPr>
        <w:pStyle w:val="Heading6"/>
        <w:numPr>
          <w:ilvl w:val="5"/>
          <w:numId w:val="1"/>
        </w:numPr>
        <w:rPr/>
      </w:pPr>
      <w:bookmarkStart w:id="1650" w:name="__RefHeading___Toc7305816_3381743652"/>
      <w:bookmarkStart w:id="1651" w:name="_Toc629"/>
      <w:bookmarkEnd w:id="1650"/>
      <w:r>
        <w:rPr>
          <w:rtl w:val="true"/>
        </w:rPr>
        <w:t>أ</w:t>
      </w:r>
      <w:r>
        <w:rPr>
          <w:rtl w:val="true"/>
        </w:rPr>
        <w:t xml:space="preserve">. </w:t>
      </w:r>
      <w:r>
        <w:rPr>
          <w:rtl w:val="true"/>
        </w:rPr>
        <w:t>تأويل الفعل</w:t>
      </w:r>
      <w:bookmarkEnd w:id="1651"/>
    </w:p>
    <w:p>
      <w:pPr>
        <w:pStyle w:val="BookText"/>
        <w:rPr/>
      </w:pPr>
      <w:r>
        <w:rPr>
          <w:rFonts w:ascii="Amiri" w:hAnsi="Amiri" w:eastAsia="Amiri" w:cs="Amiri"/>
          <w:color w:val="111111"/>
          <w:sz w:val="28"/>
          <w:sz w:val="28"/>
          <w:szCs w:val="28"/>
          <w:rtl w:val="true"/>
          <w:lang w:bidi="ar-SA"/>
        </w:rPr>
        <w:t>يصف القرآن الكريم ردّ المنازعات إلى اللّه و الرسول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 تَأْوِيلاً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فَإِنْ تَنازَعْتُمْ فِي شَيْ‌ءٍ فَرُدُّوهُ إِلَى اللّهِ وَ الرَّسُولِ إِنْ كُنْتُمْ تُؤْمِنُونَ بِاللّهِ وَ الْيَوْمِ الْآخِرِ ذلِكَ خَيْرٌ وَ أَحْسَنُ تَأْوِيلاً </w:t>
      </w:r>
      <w:r>
        <w:rPr>
          <w:rFonts w:eastAsia="Amiri" w:cs="Amiri" w:ascii="Amiri" w:hAnsi="Amiri"/>
          <w:color w:val="111111"/>
          <w:sz w:val="28"/>
          <w:szCs w:val="28"/>
          <w:rtl w:val="true"/>
          <w:lang w:bidi="ar-SA"/>
        </w:rPr>
        <w:t>).</w:t>
      </w:r>
      <w:r>
        <w:rPr>
          <w:rStyle w:val="FootnoteAnchor"/>
          <w:rtl w:val="true"/>
        </w:rPr>
        <w:footnoteReference w:id="599"/>
      </w:r>
    </w:p>
    <w:p>
      <w:pPr>
        <w:pStyle w:val="BookText"/>
        <w:rPr/>
      </w:pPr>
      <w:r>
        <w:rPr>
          <w:rFonts w:ascii="Amiri" w:hAnsi="Amiri" w:eastAsia="Amiri" w:cs="Amiri"/>
          <w:color w:val="111111"/>
          <w:sz w:val="28"/>
          <w:sz w:val="28"/>
          <w:szCs w:val="28"/>
          <w:rtl w:val="true"/>
          <w:lang w:bidi="ar-SA"/>
        </w:rPr>
        <w:t>أي أحسن مآلاً، لأنّ في الرجوع إلى اللّه و الرسول إحقاقاً للحق و إبطالاً للباطل، على خلاف الرجوع إلى الجبت و الطاغوت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هذا القبيل وصف الكيل بالعدل و الإنصاف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 تَأْوِيلاً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أَوْفُوا الْكَيْلَ إِذا كِلْتُمْ وَ زِنُوا بِالْقِسْطاسِ الْمُسْتَقِيمِ ذلِكَ خَيْرٌ وَ أَحْسَنُ تَأْوِيلاً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أحسن مآلاً لما يترتّب على إجراء العدل في عمليّة الوزن من المصالح و الغايات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فالتأويل في هذه الآيات بمعنى المآل و المرجع بما يترتب عليه من المصالح</w:t>
      </w:r>
      <w:r>
        <w:rPr>
          <w:rFonts w:eastAsia="Amiri" w:cs="Amiri" w:ascii="Amiri" w:hAnsi="Amiri"/>
          <w:color w:val="111111"/>
          <w:sz w:val="28"/>
          <w:szCs w:val="28"/>
          <w:rtl w:val="true"/>
          <w:lang w:bidi="ar-SA"/>
        </w:rPr>
        <w:t>.</w:t>
      </w:r>
    </w:p>
    <w:p>
      <w:pPr>
        <w:pStyle w:val="Heading6"/>
        <w:numPr>
          <w:ilvl w:val="5"/>
          <w:numId w:val="1"/>
        </w:numPr>
        <w:rPr/>
      </w:pPr>
      <w:bookmarkStart w:id="1652" w:name="__RefHeading___Toc7305818_3381743652"/>
      <w:bookmarkStart w:id="1653" w:name="_Toc630"/>
      <w:bookmarkEnd w:id="1652"/>
      <w:r>
        <w:rPr>
          <w:rtl w:val="true"/>
        </w:rPr>
        <w:t>ب</w:t>
      </w:r>
      <w:r>
        <w:rPr>
          <w:rtl w:val="true"/>
        </w:rPr>
        <w:t xml:space="preserve">. </w:t>
      </w:r>
      <w:r>
        <w:rPr>
          <w:rtl w:val="true"/>
        </w:rPr>
        <w:t>تأويل النوم</w:t>
      </w:r>
      <w:bookmarkEnd w:id="1653"/>
    </w:p>
    <w:p>
      <w:pPr>
        <w:pStyle w:val="BookText"/>
        <w:rPr/>
      </w:pPr>
      <w:r>
        <w:rPr>
          <w:rFonts w:ascii="Amiri" w:hAnsi="Amiri" w:eastAsia="Amiri" w:cs="Amiri"/>
          <w:color w:val="111111"/>
          <w:sz w:val="28"/>
          <w:sz w:val="28"/>
          <w:szCs w:val="28"/>
          <w:rtl w:val="true"/>
          <w:lang w:bidi="ar-SA"/>
        </w:rPr>
        <w:t>قد شاع إضافة التأويل إلى الرؤيا في القرآن الكريم في غير واحد من الآيات نظير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رؤية يوسف سجود أحد عشر كوكباً مع الشمس و القمر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أحد مصاحبيه في السجن أنّه يعصر خمراً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مصاحبه الآخر أنّه يحمل فوق رأسه خبزاً تأكل منه الطير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الملك سبع بقرات سمان و سبع عجاف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فالتأويل في هذه الموارد عبارة عن إرجاع الرؤيا إلى حقيقتها، فإنّ الإنسان في الرؤيا الصادقة يرى الواقع نفسه و لكن القوة المتخيّلة إلى حين الانتباه تتصرّف في ما رآه و تتغيّر كيفية الرؤيا و شكلها، فالتأويل عبارة عن إرجاع الرؤيا إلى أُصولها و جذورها التي كانت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المتشابه قد تعرّفت على أنّ التأويل ربما يوصف به الفعل و أُخرى به الرؤيا و ثالثة الكلام، و ليس المراد منه في القرآن الكريم هو صرف الظاهر عن وضعه الأصلي، و إن ذكره ابن منظور في لسانه،</w:t>
      </w:r>
      <w:r>
        <w:rPr>
          <w:rStyle w:val="FootnoteAnchor"/>
          <w:rtl w:val="true"/>
        </w:rPr>
        <w:footnoteReference w:id="600"/>
      </w:r>
      <w:r>
        <w:rPr>
          <w:rFonts w:ascii="Amiri" w:hAnsi="Amiri" w:eastAsia="Amiri" w:cs="Amiri"/>
          <w:color w:val="111111"/>
          <w:sz w:val="28"/>
          <w:sz w:val="28"/>
          <w:szCs w:val="28"/>
          <w:rtl w:val="true"/>
          <w:lang w:bidi="ar-SA"/>
        </w:rPr>
        <w:t>فقال المراد بالتأويل نقل ظاهر اللفظ عن وضعه الأصلي إلى ما يحتاج إلى دليل لولاه ما ترك ظاهر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صحّ ما ذكره فإنّما هو مصطلح جديد لا صلة له بالقرآن الكريم فإنّ ظاهر القرآن المستقرّ يستحيل منه العدول إلى معنى آخر، إذ معنى ذلك أنّ القرآن يشتمل على ما لا يوافق العقل و العلم، فيُعدل عن الظاهر لرفع التناقض، سبحان من لا يناقض كلامُه حكمَ العقل الحصيف، و العلم الصحيح، بل الوحي و العقل و العلم يسيرون جنباً إلى جنب، و للتأويل في القرآن عند ما يقع وصفاً للكلام معنى آخر و هو الذي نذكره</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التأويل عبارة عن إرجاع الكلام الذي له ظهور بدويّ غير مستقرّ، إلى </w:t>
      </w:r>
    </w:p>
    <w:p>
      <w:pPr>
        <w:pStyle w:val="BookText"/>
        <w:rPr/>
      </w:pPr>
      <w:r>
        <w:rPr>
          <w:rFonts w:ascii="Amiri" w:hAnsi="Amiri" w:eastAsia="Amiri" w:cs="Amiri"/>
          <w:color w:val="111111"/>
          <w:sz w:val="28"/>
          <w:sz w:val="28"/>
          <w:szCs w:val="28"/>
          <w:rtl w:val="true"/>
          <w:lang w:bidi="ar-SA"/>
        </w:rPr>
        <w:t>الظهور النهائي الاستقراري بالإمعان في القرائن المكتنفة بالآية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 نحن نذكر نماذج من هذا التأويل الذي هو بمعنى تحقيق ظهور الآية و إنهاء الظهور البدوي إلى الظهور النهائي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سبحانه يحيط بالظالمين في الدنيا و الآخرة إحاطة قيّوميّة، فيحيط بالإنسان بشراشر وجوده و خصوصياته،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هُوَ مَعَكُمْ أَيْنَ ما كُنْتُمْ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مِنْ نَجْوى ثَلاثَةٍ إِلاّ هُوَ رابِعُهُمْ وَ لا خَمْسَةٍ إِلاّ هُوَ سادِسُهُمْ وَ لا أَدْنى مِنْ ذلِكَ وَ لا أَكْثَرَ إِلاّ هُوَ مَعَهُمْ أَيْنَ ما كانُوا ثُمَّ يُنَبِّئُهُمْ بِما عَمِلُوا يَوْمَ الْقِيامَةِ </w:t>
      </w:r>
      <w:r>
        <w:rPr>
          <w:rFonts w:eastAsia="Amiri" w:cs="Amiri" w:ascii="Amiri" w:hAnsi="Amiri"/>
          <w:color w:val="111111"/>
          <w:sz w:val="28"/>
          <w:szCs w:val="28"/>
          <w:rtl w:val="true"/>
          <w:lang w:bidi="ar-SA"/>
        </w:rPr>
        <w:t>).</w:t>
      </w:r>
      <w:r>
        <w:rPr>
          <w:rStyle w:val="FootnoteAnchor"/>
          <w:rtl w:val="true"/>
        </w:rPr>
        <w:footnoteReference w:id="601"/>
      </w:r>
    </w:p>
    <w:p>
      <w:pPr>
        <w:pStyle w:val="BookText"/>
        <w:rPr/>
      </w:pPr>
      <w:r>
        <w:rPr>
          <w:rFonts w:ascii="Amiri" w:hAnsi="Amiri" w:eastAsia="Amiri" w:cs="Amiri"/>
          <w:color w:val="111111"/>
          <w:sz w:val="28"/>
          <w:sz w:val="28"/>
          <w:szCs w:val="28"/>
          <w:rtl w:val="true"/>
          <w:lang w:bidi="ar-SA"/>
        </w:rPr>
        <w:t>فهاتان الآيتان من الآيات المحكمة تبيّن لنا إحاطة وجوده سبحانه بعامة الممكنات إحاطة قيّوميّة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سبحانه و تعالى يبيّن تلك الإحاطة القيّومية في مورد الظالم بتشبيه خاص بغية تقريب المراد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 ما ذلك إلاّ لأجل تشبيه الإحاطة القيومية بالأمر الحسّي و عند ذلك يعرض التشابه، و ما ذلك إلاّ لأنّ السلطة الحقيقية عند الناس هي سلطة الصياد بصيده إذا جلس في المرصاد و أخفى نفسه عنه و هو يراه و لا يراه هو، فالآية لأجل تقريب سلطته الإحاطية إلى الأذهان يستخدم كلمة المرصاد، و عندئذ يعرض التشابه للآية، لكن أين سلطته سبحانه على الناس، من سلطة الصياد على الصيد</w:t>
      </w:r>
      <w:r>
        <w:rPr>
          <w:rFonts w:eastAsia="Amiri" w:cs="Amiri" w:ascii="Amiri" w:hAnsi="Amiri"/>
          <w:color w:val="111111"/>
          <w:sz w:val="28"/>
          <w:szCs w:val="28"/>
          <w:rtl w:val="true"/>
          <w:lang w:bidi="ar-SA"/>
        </w:rPr>
        <w:t>.</w:t>
      </w:r>
    </w:p>
    <w:p>
      <w:pPr>
        <w:sectPr>
          <w:footerReference w:type="default" r:id="rId7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ضوء ذلك فالآية متشابهة من حيث الظهور البدوي، و لكن بالإمعان </w:t>
      </w:r>
    </w:p>
    <w:p>
      <w:pPr>
        <w:pStyle w:val="BookText"/>
        <w:rPr/>
      </w:pPr>
      <w:r>
        <w:rPr>
          <w:rFonts w:ascii="Amiri" w:hAnsi="Amiri" w:eastAsia="Amiri" w:cs="Amiri"/>
          <w:color w:val="111111"/>
          <w:sz w:val="28"/>
          <w:sz w:val="28"/>
          <w:szCs w:val="28"/>
          <w:rtl w:val="true"/>
          <w:lang w:bidi="ar-SA"/>
        </w:rPr>
        <w:t>في نفس الآية و مقارنتها بالآيات الأُخرى يتبيّن أنّ الغرض تشبيه الإحاطة العقلية بالإحاطة الحسّية تقريباً للأذهان و معاذ اللّه أن تكون إحاطته بالإنسان كإحاطة الصيّاد بصيد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سبحانه يريد أن يبيّن عظمته يوم القيامة، فبيّنها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جِيءَ يَوْمَئِذٍ بِجَهَنَّمَ يَوْمَئِذٍ يَتَذَكَّرُ الْإِنْسانُ وَ أَنّى لَهُ الذِّكْرى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هو بظاهره يفيد، نسبة المجيء إليه سبحانه و بالتالي جسميته و الذي أوقع التشابه فيه، أي تشابه المراد هو نزول المعارف العقلية العليا إلى موقع الحس و اللمس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ظهور عظمته و قهره يوم القيامة باندكاك الجبال و ظهور جهنّم يعد مجيئاً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إِبْلِيسُ ما مَنَعَكَ أَنْ تَسْجُدَ لِما خَلَقْتُ بِيَدَيَّ أَسْتَكْبَرْتَ أَمْ كُنْتَ مِنَ الْعالِينَ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فأصحاب الأهواء يثبتون له سبحانه يدين جسمانيتين، أو يقولون لا نعلم كيفيتهما، و لكنّه لو أُمعن النظر يعلم أنّ التصريح بأنّه سبحانه خلق آدم بيديه كناية عن الاهتمام بخلقة آدم حيث خلقه و نفخ فيه من روحه و علّمه الأسماء حتّى يتسنّى بذلك ذمّ إبليس على ترك السجود لآدم و أنّه ترك السجود لما قام بخلقته مباشرة و إنّما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الغالب في عمل الإنسان هو القيام به باستعمال اليد،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البناء بنيته بيدي، مع أنّه استعان في عمله هذا بعينه و سمعه و غيرهما من الأعضاء، و كأنّه سبحانه يندد بالشيطان بأنّك تركت السجود لموجود اهتممتُ بخلقه و صنعه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عَلَى الْعَرْشِ اسْتَوى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اللغة هو السرير،</w:t>
      </w:r>
    </w:p>
    <w:p>
      <w:pPr>
        <w:pStyle w:val="BookText"/>
        <w:rPr/>
      </w:pPr>
      <w:r>
        <w:rPr>
          <w:rFonts w:ascii="Amiri" w:hAnsi="Amiri" w:eastAsia="Amiri" w:cs="Amiri"/>
          <w:color w:val="111111"/>
          <w:sz w:val="28"/>
          <w:sz w:val="28"/>
          <w:szCs w:val="28"/>
          <w:rtl w:val="true"/>
          <w:lang w:bidi="ar-SA"/>
        </w:rPr>
        <w:t>و الاستواء عليه هو الجلوس، غير أنّ هذا حكم مفرداتها، و أمّا مع الجملة فيتفرع الاستظهار منها، على القرائن الحافّة بها، فالعرب الأقحاح لا يفهمون منها سوى العلو و الاستيلاء، و حملها على غير ذلك يعد تصرفاً في الظاهر، و تأويلاً لها، فإذا سمع العرب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استوى بشر على العراق من غير سيف و دم مهراق</w:t>
      </w:r>
    </w:p>
    <w:p>
      <w:pPr>
        <w:pStyle w:val="BookText"/>
        <w:rPr/>
      </w:pPr>
      <w:r>
        <w:rPr>
          <w:rFonts w:ascii="IRNazanin" w:hAnsi="IRNazanin" w:eastAsia="IRNazanin"/>
          <w:color w:val="111111"/>
          <w:sz w:val="28"/>
          <w:sz w:val="28"/>
          <w:szCs w:val="28"/>
          <w:rtl w:val="true"/>
          <w:lang w:bidi="fa-IR"/>
        </w:rPr>
        <w:t>أو سمع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لما علونا و استوينا عليهم تركناهم مرعى لنسر و كاسر</w:t>
      </w:r>
    </w:p>
    <w:p>
      <w:pPr>
        <w:pStyle w:val="BookText"/>
        <w:rPr/>
      </w:pPr>
      <w:r>
        <w:rPr>
          <w:rFonts w:ascii="Amiri" w:hAnsi="Amiri" w:eastAsia="Amiri" w:cs="Amiri"/>
          <w:color w:val="111111"/>
          <w:sz w:val="28"/>
          <w:sz w:val="28"/>
          <w:szCs w:val="28"/>
          <w:rtl w:val="true"/>
          <w:lang w:bidi="ar-SA"/>
        </w:rPr>
        <w:t>فلا يتبادر إلى أذهانهم سوى العلو و السيطرة و السلطة لا العلو المكاني الذي يعد كمالاً للجسم، و أين هو من العلو المعنوي الذي هو كمال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جاء استعمال لفظ الاستواء على العرش في سبع آيات</w:t>
      </w:r>
      <w:r>
        <w:rPr>
          <w:rStyle w:val="FootnoteAnchor"/>
          <w:rtl w:val="true"/>
        </w:rPr>
        <w:footnoteReference w:id="603"/>
      </w:r>
      <w:r>
        <w:rPr>
          <w:rFonts w:ascii="Amiri" w:hAnsi="Amiri" w:eastAsia="Amiri" w:cs="Amiri"/>
          <w:color w:val="111111"/>
          <w:sz w:val="28"/>
          <w:sz w:val="28"/>
          <w:szCs w:val="28"/>
          <w:rtl w:val="true"/>
          <w:lang w:bidi="ar-SA"/>
        </w:rPr>
        <w:t>مقترناً بذكر فعل من أفعاله، و هو رفع السماوات بغير عمد، أو خلق السماوات و الأرض و ما بينهما في ستة أيّام، فكان ذاك قرينة على أنّ المراد منه ليس هو الاستواء المكاني، بل الاستيلاء و السيطرة على العالم كلّه، فكما لا شريك له في الخلق و الإيجاد لا شريك له أيضاً في التدبير و السلطة، و لأجل ذلك يقول في ذيل بعض هذه الآيات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لَهُ الْخَلْقُ وَ الْأَمْرُ تَبارَكَ اللّهُ رَبُّ الْعالَمِينَ </w:t>
      </w:r>
      <w:r>
        <w:rPr>
          <w:rFonts w:eastAsia="Amiri" w:cs="Amiri" w:ascii="Amiri" w:hAnsi="Amiri"/>
          <w:color w:val="111111"/>
          <w:sz w:val="28"/>
          <w:szCs w:val="28"/>
          <w:rtl w:val="true"/>
          <w:lang w:bidi="ar-SA"/>
        </w:rPr>
        <w:t>).</w:t>
      </w:r>
      <w:r>
        <w:rPr>
          <w:rStyle w:val="FootnoteAnchor"/>
          <w:rtl w:val="true"/>
        </w:rPr>
        <w:footnoteReference w:id="604"/>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لم يفسّر الاستواء بما ذكرناه، يكون ذكر جلوسه على السرير في ثنايا ذكر أفعاله، بلا مناسبة، إذ أي نكتة في الإخبار عن جلوسه على سريره، لو لم يكن كناية عن استيلائه على عالم الخلق و الكون</w:t>
      </w:r>
      <w:r>
        <w:rPr>
          <w:rFonts w:eastAsia="Amiri" w:cs="Amiri" w:ascii="Amiri" w:hAnsi="Amiri"/>
          <w:color w:val="111111"/>
          <w:sz w:val="28"/>
          <w:szCs w:val="28"/>
          <w:rtl w:val="true"/>
          <w:lang w:bidi="ar-SA"/>
        </w:rPr>
        <w:t xml:space="preserve">. </w:t>
      </w:r>
      <w:bookmarkStart w:id="1654" w:name="pg14356_187329"/>
    </w:p>
    <w:p>
      <w:pPr>
        <w:pStyle w:val="Heading6"/>
        <w:numPr>
          <w:ilvl w:val="5"/>
          <w:numId w:val="1"/>
        </w:numPr>
        <w:rPr/>
      </w:pPr>
      <w:bookmarkStart w:id="1655" w:name="__RefHeading___Toc7305820_3381743652"/>
      <w:bookmarkStart w:id="1656" w:name="_Toc631"/>
      <w:bookmarkEnd w:id="1654"/>
      <w:bookmarkEnd w:id="1655"/>
      <w:r>
        <w:rPr/>
        <w:t>3</w:t>
      </w:r>
      <w:r>
        <w:rPr>
          <w:rtl w:val="true"/>
        </w:rPr>
        <w:t xml:space="preserve">. </w:t>
      </w:r>
      <w:r>
        <w:rPr>
          <w:rtl w:val="true"/>
        </w:rPr>
        <w:t>ما هو المراد من ابتغاء الفتنة؟</w:t>
      </w:r>
      <w:bookmarkEnd w:id="1656"/>
    </w:p>
    <w:p>
      <w:pPr>
        <w:pStyle w:val="BookText"/>
        <w:rPr/>
      </w:pPr>
      <w:r>
        <w:rPr>
          <w:rFonts w:ascii="Amiri" w:hAnsi="Amiri" w:eastAsia="Amiri" w:cs="Amiri"/>
          <w:color w:val="111111"/>
          <w:sz w:val="28"/>
          <w:sz w:val="28"/>
          <w:szCs w:val="28"/>
          <w:rtl w:val="true"/>
          <w:lang w:bidi="ar-SA"/>
        </w:rPr>
        <w:t>إنّ أصحاب القلوب الزائغة لا يريدون الاهتداء بهدى القرآن الكريم، و إنّما يتبنّون عقيدة أو فكرة أو سلوكاً خاصّاً فيرجعون إلى القرآن بغية الاستدلال عليها، و لأجل ذلك يأخذون من الآيات المتشابهة ما تؤيد ظهورها المتزلزلة مقاصدَهم، و إليك نموذجاً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روّاد الجبر الذين يتظاهرون به بغية الانحلال الأخلاقي و الحرّية في السلوك، يتمسّكون بقوله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مَنْ يَشاءُ وَ يَهْدِي مَنْ يَشاءُ </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و يبثّون فكرة الجبر الذي هو بمعنى سلب الاختيار عن الإنسان في مجال الهداية و الضلالة و الإيمان و الكفر و الطاعة و العصيان فكأنّ الإنسان ريشة في مهبّ الريح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الراسخين في العلم يؤوّلون الآية و يرجعونها إلى واقعها المراد، و هو أنّ الآية بصدد بيان أنّ الفيوض المعنوية و المادّية كلّها بيد اللّه سبحانه و لا يملك الإنسان شيئاً من ذلك، و لكن لا بمعنى وجود الفوضى في هداية الإنسان و إضلاله و إنّما يتّبعان الأرضية الصالحة التي يكتسبها العبد باختياره و يستحق الهداية أو 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صرّح سبحانه في آيات أُخرى بذلك، 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يُضِلُّ بِهِ كَثِيراً وَ يَهْدِي بِهِ كَثِيراً وَ ما يُضِلُّ بِهِ إِلاَّ الْفاسِقِينَ </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يَهْدِي الْقَوْمَ الظّالِمِينَ </w:t>
      </w:r>
      <w:r>
        <w:rPr>
          <w:rFonts w:eastAsia="Amiri" w:cs="Amiri" w:ascii="Amiri" w:hAnsi="Amiri"/>
          <w:color w:val="111111"/>
          <w:sz w:val="28"/>
          <w:szCs w:val="28"/>
          <w:rtl w:val="true"/>
          <w:lang w:bidi="ar-SA"/>
        </w:rPr>
        <w:t>)</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يُضِلُّ مَنْ يَشاءُ وَ يَهْدِي إِلَيْهِ مَنْ أَنابَ </w:t>
      </w:r>
      <w:r>
        <w:rPr>
          <w:rFonts w:eastAsia="Amiri" w:cs="Amiri" w:ascii="Amiri" w:hAnsi="Amiri"/>
          <w:color w:val="111111"/>
          <w:sz w:val="28"/>
          <w:szCs w:val="28"/>
          <w:rtl w:val="true"/>
          <w:lang w:bidi="ar-SA"/>
        </w:rPr>
        <w:t>).</w:t>
      </w:r>
      <w:r>
        <w:rPr>
          <w:rStyle w:val="FootnoteAnchor"/>
          <w:rtl w:val="true"/>
        </w:rPr>
        <w:footnoteReference w:id="608"/>
      </w:r>
    </w:p>
    <w:p>
      <w:pPr>
        <w:sectPr>
          <w:footerReference w:type="default" r:id="rId7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الآيات تفسّر لنا إضلال اللّه سبحانه و أنّه جزاء من اللّه سبحانه لمن </w:t>
      </w:r>
      <w:bookmarkStart w:id="1657" w:name="pg14356_187330"/>
    </w:p>
    <w:p>
      <w:pPr>
        <w:pStyle w:val="BookText"/>
        <w:rPr/>
      </w:pPr>
      <w:bookmarkEnd w:id="1657"/>
      <w:r>
        <w:rPr>
          <w:rFonts w:ascii="Amiri" w:hAnsi="Amiri" w:eastAsia="Amiri" w:cs="Amiri"/>
          <w:color w:val="111111"/>
          <w:sz w:val="28"/>
          <w:sz w:val="28"/>
          <w:szCs w:val="28"/>
          <w:rtl w:val="true"/>
          <w:lang w:bidi="ar-SA"/>
        </w:rPr>
        <w:t>خرج عن طاعته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من الظالمين كما أنّ الهداية جزاء منه سبحانه لمن هو أناب إلى اللّه سبحانه، فلا يصحّ تفسير هذه الآيات إلاّ بردّ المتشابه إلى المحكم</w:t>
      </w:r>
      <w:r>
        <w:rPr>
          <w:rFonts w:eastAsia="Amiri" w:cs="Amiri" w:ascii="Amiri" w:hAnsi="Amiri"/>
          <w:color w:val="111111"/>
          <w:sz w:val="28"/>
          <w:szCs w:val="28"/>
          <w:rtl w:val="true"/>
          <w:lang w:bidi="ar-SA"/>
        </w:rPr>
        <w:t>.</w:t>
      </w:r>
    </w:p>
    <w:p>
      <w:pPr>
        <w:pStyle w:val="Heading6"/>
        <w:numPr>
          <w:ilvl w:val="5"/>
          <w:numId w:val="1"/>
        </w:numPr>
        <w:rPr/>
      </w:pPr>
      <w:bookmarkStart w:id="1658" w:name="__RefHeading___Toc7305822_3381743652"/>
      <w:bookmarkStart w:id="1659" w:name="_Toc632"/>
      <w:bookmarkEnd w:id="1658"/>
      <w:r>
        <w:rPr/>
        <w:t>4</w:t>
      </w:r>
      <w:r>
        <w:rPr>
          <w:rtl w:val="true"/>
        </w:rPr>
        <w:t xml:space="preserve">. </w:t>
      </w:r>
      <w:r>
        <w:rPr>
          <w:rtl w:val="true"/>
        </w:rPr>
        <w:t>الراسخون في العلم و التأويل</w:t>
      </w:r>
      <w:bookmarkEnd w:id="1659"/>
    </w:p>
    <w:p>
      <w:pPr>
        <w:pStyle w:val="BookText"/>
        <w:rPr/>
      </w:pPr>
      <w:r>
        <w:rPr>
          <w:rFonts w:ascii="Amiri" w:hAnsi="Amiri" w:eastAsia="Amiri" w:cs="Amiri"/>
          <w:color w:val="111111"/>
          <w:sz w:val="28"/>
          <w:sz w:val="28"/>
          <w:szCs w:val="28"/>
          <w:rtl w:val="true"/>
          <w:lang w:bidi="ar-SA"/>
        </w:rPr>
        <w:t>إنّ الراسخين في العلم يعلمون تأويل المتشابه بشهادة أنّهم راسخون في العلم، و لو كانوا غير عالمين به لكان الصحيح أن يقول و أمّا الراسخون في الإيمان، و قد تضافرت الروايات على أنّ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الراسخون العالمون بتأويل المتشابه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المصداق الأوسط لهذا و إلاّ فالراسخون في العلم هم العلماء المتحلّون بالإيمان، الذين لا يؤوّلون المتشابه برأي مسبق و إنّما يعوّلون على الآيات المحكمات في تفسير المتشابهات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هنا تمّ الكلام في المواضع الأربعة ممّا يرجع إلى المحكم و المتشابه</w:t>
      </w:r>
      <w:r>
        <w:rPr>
          <w:rFonts w:eastAsia="Amiri" w:cs="Amiri" w:ascii="Amiri" w:hAnsi="Amiri"/>
          <w:color w:val="111111"/>
          <w:sz w:val="28"/>
          <w:szCs w:val="28"/>
          <w:rtl w:val="true"/>
          <w:lang w:bidi="ar-SA"/>
        </w:rPr>
        <w:t>.</w:t>
      </w:r>
    </w:p>
    <w:p>
      <w:pPr>
        <w:pStyle w:val="Heading5"/>
        <w:numPr>
          <w:ilvl w:val="4"/>
          <w:numId w:val="1"/>
        </w:numPr>
        <w:rPr/>
      </w:pPr>
      <w:bookmarkStart w:id="1660" w:name="__RefHeading___Toc7305824_3381743652"/>
      <w:bookmarkStart w:id="1661" w:name="_Toc633"/>
      <w:bookmarkEnd w:id="1660"/>
      <w:r>
        <w:rPr>
          <w:rtl w:val="true"/>
        </w:rPr>
        <w:t>إكمال</w:t>
      </w:r>
      <w:r>
        <w:rPr>
          <w:rtl w:val="true"/>
        </w:rPr>
        <w:t>:</w:t>
      </w:r>
      <w:bookmarkEnd w:id="1661"/>
    </w:p>
    <w:p>
      <w:pPr>
        <w:pStyle w:val="Heading6"/>
        <w:numPr>
          <w:ilvl w:val="5"/>
          <w:numId w:val="1"/>
        </w:numPr>
        <w:rPr/>
      </w:pPr>
      <w:bookmarkStart w:id="1662" w:name="__RefHeading___Toc7305826_3381743652"/>
      <w:bookmarkStart w:id="1663" w:name="_Toc634"/>
      <w:bookmarkEnd w:id="1662"/>
      <w:r>
        <w:rPr>
          <w:rtl w:val="true"/>
        </w:rPr>
        <w:t>اشارة</w:t>
      </w:r>
      <w:bookmarkEnd w:id="1663"/>
    </w:p>
    <w:p>
      <w:pPr>
        <w:pStyle w:val="BookText"/>
        <w:rPr/>
      </w:pPr>
      <w:r>
        <w:rPr>
          <w:rFonts w:ascii="Amiri" w:hAnsi="Amiri" w:eastAsia="Amiri" w:cs="Amiri"/>
          <w:color w:val="111111"/>
          <w:sz w:val="28"/>
          <w:sz w:val="28"/>
          <w:szCs w:val="28"/>
          <w:rtl w:val="true"/>
          <w:lang w:bidi="ar-SA"/>
        </w:rPr>
        <w:t>التأويل في مقابل التنزيل</w: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تأويل المتشابه إنّما هو إرجاع ظهوره المتزلزل إلى ظهوره المستقرّ على ضوء القرائن الموجودة في الآية و ما في الكتاب العزيز من الآيات المحكمات، و هناك مصطلح آخر للتأويل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في مقابل التنزيل فللآية تنزيل، كما أنّ لها تأويل، فالمصداق الموجود في عصر الوحي تنزيله، و المصاديق المتحقّقة في الأجيال الآتية تأويله، و هذا من دلائل سعة آفاق القرآن، فالقرآن كما يصفه الإمام يجري مجرى الشمس و القمر، فينتفع منه كلّ جيل في عصره كما ينتفع بالشمس </w:t>
      </w:r>
      <w:bookmarkStart w:id="1664" w:name="pg14356_187331"/>
    </w:p>
    <w:p>
      <w:pPr>
        <w:pStyle w:val="BookText"/>
        <w:rPr/>
      </w:pPr>
      <w:bookmarkEnd w:id="1664"/>
      <w:r>
        <w:rPr>
          <w:rFonts w:ascii="Amiri" w:hAnsi="Amiri" w:eastAsia="Amiri" w:cs="Amiri"/>
          <w:color w:val="111111"/>
          <w:sz w:val="28"/>
          <w:sz w:val="28"/>
          <w:szCs w:val="28"/>
          <w:rtl w:val="true"/>
          <w:lang w:bidi="ar-SA"/>
        </w:rPr>
        <w:t>و القمر عامّة الناس في عامّة الأجيال، و لذلك يقول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نزلت آية على رجل ثمّ مات ذلك الرجل، ماتت الآية مات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لكنّه حيّ يجري فيمن بقي كما جرى فيمن مضى </w:t>
      </w:r>
      <w:r>
        <w:rPr>
          <w:rFonts w:eastAsia="Amiri" w:cs="Amiri" w:ascii="Amiri" w:hAnsi="Amiri"/>
          <w:color w:val="111111"/>
          <w:sz w:val="28"/>
          <w:szCs w:val="28"/>
          <w:rtl w:val="true"/>
          <w:lang w:bidi="ar-SA"/>
        </w:rPr>
        <w:t>«.</w:t>
      </w:r>
      <w:r>
        <w:rPr>
          <w:rStyle w:val="FootnoteAnchor"/>
          <w:rtl w:val="true"/>
        </w:rPr>
        <w:footnoteReference w:id="609"/>
      </w:r>
    </w:p>
    <w:p>
      <w:pPr>
        <w:pStyle w:val="Heading6"/>
        <w:numPr>
          <w:ilvl w:val="5"/>
          <w:numId w:val="1"/>
        </w:numPr>
        <w:rPr/>
      </w:pPr>
      <w:bookmarkStart w:id="1665" w:name="__RefHeading___Toc7305828_3381743652"/>
      <w:bookmarkStart w:id="1666" w:name="_Toc635"/>
      <w:bookmarkEnd w:id="1665"/>
      <w:r>
        <w:rPr>
          <w:rtl w:val="true"/>
        </w:rPr>
        <w:t>نموذجان من التأويل في مقابل التنزيل</w:t>
      </w:r>
      <w:bookmarkEnd w:id="16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يَقُولُ الَّذِينَ كَفَرُوا لَوْ لا أُنْزِلَ عَلَيْهِ آيَةٌ مِنْ رَبِّهِ إِنَّما أَنْتَ مُنْذِرٌ وَ لِكُلِّ قَوْمٍ هادٍ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نصّ القرآن الكريم بأنّ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بشخصه منذر كما نصّ بأنّ لكلّ قوم هاد، و قد قام النبيّ بتعيين مصداق الهادي في حديثه،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المنذر و عليّ الهادي إلى أمري </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و لكن المصداق لا ينحصر بعلي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الهداة الذين ظهروا عبر الزمان هم المصاديق الجديدة للآية المباركة، و لذلك نرى الإمام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المنذر، و علي الهادي، و كلّ إمام هاد للقرن الّذي هو فيه </w:t>
      </w:r>
      <w:r>
        <w:rPr>
          <w:rFonts w:eastAsia="Amiri" w:cs="Amiri" w:ascii="Amiri" w:hAnsi="Amiri"/>
          <w:color w:val="111111"/>
          <w:sz w:val="28"/>
          <w:szCs w:val="28"/>
          <w:rtl w:val="true"/>
          <w:lang w:bidi="ar-SA"/>
        </w:rPr>
        <w:t>«.</w:t>
      </w:r>
      <w:r>
        <w:rPr>
          <w:rStyle w:val="FootnoteAnchor"/>
          <w:rtl w:val="true"/>
        </w:rPr>
        <w:footnoteReference w:id="611"/>
      </w:r>
    </w:p>
    <w:p>
      <w:pPr>
        <w:pStyle w:val="BookText"/>
        <w:rPr/>
      </w:pPr>
      <w:r>
        <w:rPr>
          <w:rFonts w:ascii="Amiri" w:hAnsi="Amiri" w:eastAsia="Amiri" w:cs="Amiri"/>
          <w:color w:val="111111"/>
          <w:sz w:val="28"/>
          <w:sz w:val="28"/>
          <w:szCs w:val="28"/>
          <w:rtl w:val="true"/>
          <w:lang w:bidi="ar-SA"/>
        </w:rPr>
        <w:t>فالمتحلّون بحلية الإيمان و العلم، كلّهم هداة عبر الزمان فالمصاديق المتجددة، تأويل للقرآن مقابل تنزيله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نَكَثُوا أَيْمانَهُمْ مِنْ بَعْدِ عَهْدِهِمْ وَ طَعَنُوا فِي دِينِكُمْ فَقاتِلُوا أَئِمَّةَ الْكُفْرِ إِنَّهُمْ لا أَيْمانَ لَهُمْ لَعَلَّهُمْ يَنْتَهُونَ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فتنزيل الآية هو مشركوا قريش و تأويلها هو الناكثون في عهد الإمام </w:t>
      </w:r>
      <w:bookmarkStart w:id="1667" w:name="pg14356_187332"/>
    </w:p>
    <w:p>
      <w:pPr>
        <w:pStyle w:val="BookText"/>
        <w:rPr/>
      </w:pPr>
      <w:bookmarkEnd w:id="1667"/>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لذلك يقول في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فلق الجنة و برأ النسمة و اصطفى محمّداً بالنبوّة إنّهم لأصحاب هذه الآية، و ما قوتلوا منذ نزلت </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Amiri" w:hAnsi="Amiri" w:eastAsia="Amiri" w:cs="Amiri"/>
          <w:color w:val="111111"/>
          <w:sz w:val="28"/>
          <w:sz w:val="28"/>
          <w:szCs w:val="28"/>
          <w:rtl w:val="true"/>
          <w:lang w:bidi="ar-SA"/>
        </w:rPr>
        <w:t>و من العجب 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سمّى هذا النوع من القتال حسب ما ورد في الرواية تأويلاً في مقابل التنزيل، فقال مخاطباً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تقاتل على تأويل القرآن كما قاتلتَ معي على تنزيله، ثمّ تُقْتَل شهيداً تخضب لحيتُك من دم رأسك </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فهذا هو عمّار قاتل في صفّين مرتجزاً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ضربناكم على تنزيله فاليوم نضربكم على تأويله</w:t>
      </w:r>
      <w:r>
        <w:rPr>
          <w:rStyle w:val="FootnoteAnchor"/>
          <w:rtl w:val="true"/>
        </w:rPr>
        <w:footnoteReference w:id="614"/>
      </w:r>
    </w:p>
    <w:p>
      <w:pPr>
        <w:pStyle w:val="BookText"/>
        <w:rPr/>
      </w:pPr>
      <w:r>
        <w:rPr>
          <w:rFonts w:ascii="Amiri" w:hAnsi="Amiri" w:eastAsia="Amiri" w:cs="Amiri"/>
          <w:color w:val="111111"/>
          <w:sz w:val="28"/>
          <w:sz w:val="28"/>
          <w:szCs w:val="28"/>
          <w:rtl w:val="true"/>
          <w:lang w:bidi="ar-SA"/>
        </w:rPr>
        <w:t>فوصف جهاده في صفين مع القاسطين تأويلاً للقرآن الكريم</w:t>
      </w:r>
      <w:r>
        <w:rPr>
          <w:rFonts w:eastAsia="Amiri" w:cs="Amiri" w:ascii="Amiri" w:hAnsi="Amiri"/>
          <w:color w:val="111111"/>
          <w:sz w:val="28"/>
          <w:szCs w:val="28"/>
          <w:rtl w:val="true"/>
          <w:lang w:bidi="ar-SA"/>
        </w:rPr>
        <w:t>.</w:t>
      </w:r>
    </w:p>
    <w:p>
      <w:pPr>
        <w:pStyle w:val="Heading6"/>
        <w:numPr>
          <w:ilvl w:val="5"/>
          <w:numId w:val="1"/>
        </w:numPr>
        <w:rPr/>
      </w:pPr>
      <w:bookmarkStart w:id="1668" w:name="__RefHeading___Toc7305830_3381743652"/>
      <w:bookmarkStart w:id="1669" w:name="_Toc636"/>
      <w:bookmarkEnd w:id="1668"/>
      <w:r>
        <w:rPr>
          <w:rtl w:val="true"/>
        </w:rPr>
        <w:t>الجري و التطبيق هو التأويل في مقابل التنزيل</w:t>
      </w:r>
      <w:bookmarkEnd w:id="1669"/>
    </w:p>
    <w:p>
      <w:pPr>
        <w:pStyle w:val="BookText"/>
        <w:rPr/>
      </w:pPr>
      <w:r>
        <w:rPr>
          <w:rFonts w:ascii="Amiri" w:hAnsi="Amiri" w:eastAsia="Amiri" w:cs="Amiri"/>
          <w:color w:val="111111"/>
          <w:sz w:val="28"/>
          <w:sz w:val="28"/>
          <w:szCs w:val="28"/>
          <w:rtl w:val="true"/>
          <w:lang w:bidi="ar-SA"/>
        </w:rPr>
        <w:t>إنّ القرآن الكريم ليس كتاباً طائفياً، بل هو كتاب عالمي نزل لهداية الناس عبر القرون، و مع ذلك نرى أنّ قسماً كبيراً من الآيات القرآنية فسّرت بأئمّة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أنّ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سورة الفاتحة فسر بصراط النبيّ و الأئمّة القائمين مقامه</w:t>
      </w:r>
      <w:r>
        <w:rPr>
          <w:rFonts w:eastAsia="Amiri" w:cs="Amiri" w:ascii="Amiri" w:hAnsi="Amiri"/>
          <w:color w:val="111111"/>
          <w:sz w:val="28"/>
          <w:szCs w:val="28"/>
          <w:rtl w:val="true"/>
          <w:lang w:bidi="ar-SA"/>
        </w:rPr>
        <w:t>.</w:t>
      </w:r>
    </w:p>
    <w:p>
      <w:pPr>
        <w:sectPr>
          <w:footerReference w:type="default" r:id="rId7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من يجهل أهداف هذه الروايات و كيفية تفسيرها للآيات فينسب الشيعة إلى الطائفية</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غير أنّ هذه التفاسير تأويل للقرآن بمعنى بيان مصاديقها الواضحة و معالمها الوسطى و لا تعني اختصاص الآية بهم، و هذا ما يسمّيه سيد المحقّقين العلاّمة الطباطبائي بالجري و التطبيق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هو المراد من أنّ للقرآن بطناً أو بطوناً يقول 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تنزيله و بطنه تأويله، و منه ما مضى و منه ما لم يجئ بعد، يجري كما تجري الشمس و القمر </w:t>
      </w:r>
      <w:r>
        <w:rPr>
          <w:rFonts w:eastAsia="Amiri" w:cs="Amiri" w:ascii="Amiri" w:hAnsi="Amiri"/>
          <w:color w:val="111111"/>
          <w:sz w:val="28"/>
          <w:szCs w:val="28"/>
          <w:rtl w:val="true"/>
          <w:lang w:bidi="ar-SA"/>
        </w:rPr>
        <w:t>«.</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نحمده سبحانه و نشكره على توفيقه لهذا العبد لتحرير هذه المحاضرات التي ألقاها شيخنا الأُستاذ مدّ ظلّه في مباحث الألفاظ و قد لاح بدر تمام هذا الجزء في الثامن من شهر ذي القعدة الحرام من شهور عام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أرجو من اللّه سبحانه أن يجعل جهدي ذخراً لآخرتي و سعيي سبباً لنيل رضاه، فإنّ ما في الكون يفنى سوى ما كان للّه، يقول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 في الوجود بعين فكر ترى الدنيا الدنيّة كالخيال</w:t>
      </w:r>
    </w:p>
    <w:p>
      <w:pPr>
        <w:pStyle w:val="BookText"/>
        <w:rPr/>
      </w:pPr>
      <w:r>
        <w:rPr>
          <w:rFonts w:ascii="Amiri" w:hAnsi="Amiri" w:eastAsia="Amiri" w:cs="Amiri"/>
          <w:color w:val="111111"/>
          <w:sz w:val="28"/>
          <w:sz w:val="28"/>
          <w:szCs w:val="28"/>
          <w:rtl w:val="true"/>
          <w:lang w:bidi="ar-SA"/>
        </w:rPr>
        <w:t>و من فيها جميعاً سوف يُفنى و يبقى وجه ربّك ذو الجلال</w:t>
      </w:r>
      <w:r>
        <w:rPr>
          <w:rStyle w:val="FootnoteAnchor"/>
          <w:rtl w:val="true"/>
        </w:rPr>
        <w:footnoteReference w:id="617"/>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الراجي محمد حسين الحاج العاملي عامله اللّه بلطفه الخفي </w:t>
      </w:r>
      <w:bookmarkStart w:id="1670" w:name="pg14356_187334"/>
    </w:p>
    <w:p>
      <w:pPr>
        <w:pStyle w:val="Heading2"/>
        <w:numPr>
          <w:ilvl w:val="1"/>
          <w:numId w:val="1"/>
        </w:numPr>
        <w:rPr/>
      </w:pPr>
      <w:bookmarkStart w:id="1671" w:name="__RefHeading___Toc7305832_3381743652"/>
      <w:bookmarkStart w:id="1672" w:name="_Toc637"/>
      <w:bookmarkEnd w:id="1670"/>
      <w:bookmarkEnd w:id="1671"/>
      <w:r>
        <w:rPr>
          <w:rtl w:val="true"/>
        </w:rPr>
        <w:t>فهرس محتويات الكتاب</w:t>
      </w:r>
      <w:bookmarkEnd w:id="1672"/>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كلمة الأُستاذ المحاضر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المؤلّف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الأمر بالشيء النهيَ عن ضدّه؟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أُصولية، و هل هي عقلية أو لفظية؟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الضدّ العام و الخاص و المحاور الثلاثة في هذا الفصل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الضد العام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الأمر بالشيء يقتضي النهي عن الضدّ العام أو لا؟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الأمر، النهي عن الضدّ الخاص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إنكار المقدمية لوجوه ثلاث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sectPr>
          <w:footerReference w:type="default" r:id="rId7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الاستدلال بمسلك الملازمة و انّ المتلازمين متساويان في الحكم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الثمرة الفقهية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وجود الملاك في صحّة العبادة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قصد الأمر المتعلّق بالطبيعة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بالضدين على نحو الترتّب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الترتّب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الترتّب و عدمها عقلي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الترتّب يكفي في وقوعه إمكانه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بالمهم فعليّ كالأهم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تقريبات لتصحيح الترتّب التقريب الأوّل للترتّب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 المحقّق الخراساني دليل القائل بالترتّب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على بطلان الترتّب بطريق الإنّ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الثاني لتصحيح الترتّب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الثالث لتصحيح الترتّب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الرابع لتصحيح الترتّب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التقريب الخامس لتصحيح الترتّب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الفروع الفقهية المترتّبة على صحّة الترتّب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المطاف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الأمر بالأهم و المهم عرضاً لا بنحو الترتّب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جواز الأمر مع العلم بانتفاء شرطه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العنوان و حكم الأوامر الامتحانية؟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الأُستاذ في تفسير العنوان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الأوامر و النواهي تتعلّق بالطبائع أو الافراد؟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النزاع في الدلالة اللفظية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النزاع مبنيّاً على المسائل الفلسفية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الطبيعة؟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الافراد في عنوان البحث؟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القول المختار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القول بتعلّقه بالافراد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ثمرة البحث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تكميل للطبيعة أفراد لا حصص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بقاء الجواز عند نسخ الوجوب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بقاء الجواز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يدلّ على بقاء الجواز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التخييري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شبهات مثارة حول تصوير الواجب التخييري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المحقّق الخراساني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المحقّق النائيني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المحقّق الأصفهاني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بعض القدماء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المختار في تفسير الوجوب التخييري؟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تصحيح التخيير بين الأقل و الأكثر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الكفائي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التكليف بعموم المكلّفين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التكليف على ذمّة واحد من المكلّفين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الوجوب بمجموع المكلّفين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الوجوب بواحد معيّن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البحث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الواجب إلى المطلق و المؤقّت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تقسيم المؤقت إلى الموسّع و المضيّق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sectPr>
          <w:footerReference w:type="default" r:id="rId7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القضاء تابع للأداء أو بأمر جديد؟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العملي في المسألة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بالأمر بفعل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هو أمر بنفس الفعل؟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ثمرات المسألة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شرعية عبادات الصبي بالعمومات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عشر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بعد الأمر هل الأمر بعد الأمر تأكيد أو تأسيس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النواهي الفصل الأوّل في مادّة النهي و صيغته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مفاد الهيئة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دلالتها على الدوام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اجتماع الأمر و النهي في شيء واحد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الاجتماع الآمري و الاجتماع المأموري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النزاع صغروي أو كبرويّ؟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المراد من الواحد في العنوان؟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الفرق بين المسألتين؟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أُصولية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الإشكال على كون المسألة أُصولية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عموم النزاع لأقسام الأمر و النهي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لزوم أخذ عنوان المندوحة في النزاع و عدمه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النزاع على كلا الرأيين في متعلّق الأحكام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للمحقّق النائيني حول التفصيل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التعارض و التزاحم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ثمرات القولين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القائلين بامتناع اجتماع الأمر و النهي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القائلين بجواز الاجتماع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إيضاح النظرية بذكر ما تبتني عليه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المحاذير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بالعبادات المكروهة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الاضطرار إلى الحرام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إلى ارتكاب الحرام من غير اختيار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عبادة المحبوس المضطر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الاضطرار بسوء الاختيار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التنبيه الثاني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أقوى دلالة من الأمر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المفسدة أولى من جلب المنفعة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أقسام التوضّؤ بماءين مشتبهين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 الإضافات كتعدّد العناوين أو لا؟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النهي عن الفساد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مقامان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هذه المسألة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أُصوليّة لا فقهيّة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 النهي إلى تحريمي و تنزيهي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sectPr>
          <w:footerReference w:type="default" r:id="rId7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النهي الإرشادي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العبادة و المعاملة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الصحّة و الفساد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الصحّة و الفساد مجعولان مطلقاً؟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الأصل المعوّل عليه عند الشكّ؟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أقسام تعلّق النهي بالعبادة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النهي على الفساد في المعاملات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الاستدلال بصحيحة زرارة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ملازمة النهي للصحّة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فقهية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المفاهيم، و فيه فصول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المنطوق و المفهوم من أوصاف المدلول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المفهوم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حصر المداليل في المنطوق و المفهوم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اصطلاحين في لفظ المفهوم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مسلك القدماء و المتأخّرين في استفادة المفهوم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النزاع صغروي لا كبروي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الموافقة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الشرط المحقّق للموضوع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الشرط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الانصراف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بالإطلاق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الانحصار مقتضى إطلاق أداة الشرط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الانحصار مقتضى إطلاق فعل الشرط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المحقّق البروجردي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المختار في المقام؟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هو انتفاء سنخ الحكم لا شخصه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تعدّد الشرط و اتّحد الجزاء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تداخل الأسباب و المسببات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الشرط يقتضي عدم التداخل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التفصيل بين كون الأسباب معرفات أو مؤثّرات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بين وحدة الأسباب جنساً و عدمها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شكّ في مقتضى الأدلّة الاجتهادية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تداخل المسببات و عدمه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التداخل ثبوتاً و عدمه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القائل بعدم التداخل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القائل بالتداخل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الفروع المترتّبة على مسألة التداخل و عدمه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السالبة الكلية و مفهومها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الوصف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مفهوم الوصف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الوصف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أدلّة النافي للمفهوم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الغاية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للقضية المغيّاة دلالة على ارتفاع الحكم عن الغاية و ما بعدها أو لا؟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الأقوال في المسألة و بيان المختار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دخول الغاية في حكم المغيّى و عدمه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سرد الأقوال و بيان ما هو المختار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الرابع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الحصر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من النفي إثبات و من الإثبات نفي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أدلّة القائلين بدلالة الاستثناء على الحصر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أدوات الحصر لفظة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بل الاضرابيّة و تقديم ما حقّه التأخير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الخامس مفهوم اللقب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انقسام الاسم إلى العلم و الكنية و اللقب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السادس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العدد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أقسام العدد المأخوذة في الموضوع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تطبيقات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الرابع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و الخاص، و فيه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للعام صيغة تخصّه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العام لا يوجب المجازية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 المخصص حجّة في الباقي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حجّية العام في مورد إجمال المخصص مفهوماً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المخصّص اللفظي المجمل مصداقاً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ما بقي تحت العام بالأصل العملي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حال الفرد المشتبه بالعنوان الثانوي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إحراز حال الفرد المشتبه بالأصل اللفظي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الفحص عن المخصّص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الخطابات الشفاهية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تعقب العام بضمير يرجع إلى بعض أفراده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تخصيص العام بالمفهوم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الاستثناء المتعقِّب للجمل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الكتاب بالخبر الواحد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حالات العام و الخاص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الخامس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 و المقيّد و المجمل و المبيّن، و فيه فصول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ألفاظ المطلق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المطلق لا يستلزم المجازية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مقدّمات الحكمة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حمل المطلق على المقيّد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المجمل و المبيّن و المحكم و المتشابه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الأقوال في المتشابه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في القرآن الكريم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محتويات الكتاب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إنّ المحقّق الاصفهاني ناقش جواب المحقّق الخراساني كما ناقش السيد الإمام الخميني كلام المحقّق الاصفهاني، و قد نقلهما شيخنا الأُستاذ مدّ ظلّه في الدورة السابقة كما نقل نظره في كلام الإمام السيد الخميني، و من أراد التفصيل فليرجع إلى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لزميلنا السيد الجلالي المازندراني حفظه 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3081/307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المنظومة، قسم الحكمة،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نشر دار العلم</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الحكمة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المساوي الأوّل هو اللابياض و من الثاني البياض، و المراد من الشيء هو السواد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عبارة الكفاية في هذا المقام لا تخلو من إغلاق و غموض، و ذلك لأجل أمرين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فصل بين المبتدأ أعني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قيل في التفصي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الخبر أعني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غير سديد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بفاصل طويل يبلغ مقدار صفحة، و مثل هذا يخل بالبلاغة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أقحم بين الإشكال على الدور و الإجابة عنه سؤالاً و جواباً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قلت، قلت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زاد هذا تعقيداً على تعقيد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شيخنا الأُستاذ مدّ ظلّه انّ السؤال قد طرحه تلميذه الشيخ عبد اللّه الكلبايكاني في درسه الشريف، و أجاب عنه بما في الكفاية، فمدّ اللّه عمر شيخنا الأُستاذ فقد أوضح ما في الكفاية بما لا مزيد عليه كما ترى</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733/71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نسلم لزوم تكليف ما لا يطاق إذ لا يمتنع أن يقول الشارع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أوجبت عليك كلاً من الأمرين لكن أحدهما مضيق و الآخر موسّع، فإنّ قدّمت المضيّق فقد امتثلت و سلمت من الإثم، و إن قدّمت الموسّع فقد امتثلت و أثمت بالمخالفة في التقديم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فيه عبارة تصلح سنداً لما ذكره شيخنا الأُستاذ مدّ ظله في المتن، و هو أعرف بمواقع كلمات الفقهاء</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3142/310</w:t>
      </w:r>
      <w:r>
        <w:rPr>
          <w:rFonts w:ascii="IRNazanin" w:hAnsi="IRNazanin" w:eastAsia="IRNazanin"/>
          <w:b w:val="false"/>
          <w:b w:val="false"/>
          <w:bCs w:val="false"/>
          <w:i w:val="false"/>
          <w:i w:val="false"/>
          <w:iCs w:val="false"/>
          <w:color w:val="333333"/>
          <w:sz w:val="20"/>
          <w:sz w:val="20"/>
          <w:szCs w:val="20"/>
          <w:rtl w:val="true"/>
        </w:rPr>
        <w:t>، من المباحث العقلية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التقريب الأوّل في كلام المحقّق الخراساني</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3381/337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3401/339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3611/357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يجب فيه الخمس،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3611/357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العروة الوثقى، كتاب الطهارة،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في صحّة الصلاة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المسألة الرابعة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العروة الوثقى، كتاب الطهارة، فصل في التيمم و مسوغاته، في ذيل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العروة الوثقى، كتاب الطهارة، شرائط الوضوء،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العروة الوثقى، فصل لا يجوز قطع صلاة الفريضة اختياراً،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العروة الوثقى، فصل في مبطلات الصلاة،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فصل في صلاة الآيات،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العروة الوثقى، كتاب الصوم، فصل في شرائط صحّة الصوم، في ذيل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الشرط السادس </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العروة الوثقى، كتاب الاعتكاف،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يشترط في صحّته 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الصلاة للحائري اليزدي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3121/302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2231/222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و لاحظ 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فالتقريران يهدفان إلى أمر واحد في هذه الدورة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الاختلاف بين التقريرين طفيف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الأجود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النهي عن المنكر،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النهي عن المنكر،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3671/366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العلاّمة الطباطبائي على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للوقوف على الأقوال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المعالم و تعليقة المشكيني على المقام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2032/198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التيمم،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1794/178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3341/333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541/53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2411/240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3451/344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العجب انّ الشيخ الأنصاري، جعل هذه الصورة من صغريات التعارض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الفقه، الطبعة المنقحة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2521/251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1421/141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اختلف تقرير شيخنا الأُستاذ مدّ ظلّه في الدورة السابقة، مع ما أفاده في هذه الدورة و ما أثبتناه هو الموافق لتقريره أخيراً</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لأجل احتمال جزئية الكون للصلاة كاحتمال خروجه عنها</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2561/255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و الموجود في اللمعات التي هي تقرير لدرس السيد البروجردي غير ذلك، و يقرب مما ذكرناه في الوجه الرابع فلاحظ</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3901/389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2502/247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التسعة،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 مؤثراً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تامة فاعلها ضمير الملاك،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مؤثراً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 من ملاكه و معنى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سقوط التحريم يبقى ملاك الوجوب لو كان مؤثراً في الوجوب و مقتضياً له لسقوط ملاك التحريم من صلاحية المزاحمة له فيترتب على بقاء الملاك أثره فعلاً</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الطبعة الأُولى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جواهر الكلام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2651/264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أيّده المحقّق البروجردي في درسه الشريف، لاحظ 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قصار الحكم، برقم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الصورة الثانية في الصورة الآتية، عن قريب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مقامان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العبادات، و النهي عن المعاملات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الأُصولية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4561/455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تلاميذ المحقّق الخراساني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مقرر بحثه و هو أُستاذ المحقّق المشكيني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توفّى سنة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شيخنا الأُستاذ مدّ ظلّه قد اختصر الكلام في تفسير العبادة، و له بحث ضاف حولها في مفاهيم القرآن، لاحظ الجزء الأوّل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أشار إليه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غيره فالسقوط ربّما يكون مجعولاً، و الضمير يرجع إلى امتثال الأمر الواقعي الأوّلي، فيكون المراد امتثال الأمر الواقعي الثانوي أي الاضطراري كالتيمّم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و قد قرر شيخنا الأُستاذ مدّ ظلّه هذه المباحث على خلاف ما قرره في الدورة الثالثة، فلو كان هناك خلاف بيننا و بين ما أفاده في تلك الدورة فهو راجع إلى اختلاف التقرير من جانب شيخنا الأُستاذ مدّ ظلّه</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4661/465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القواطع،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حيضك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المحرم،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فيخصص به أو يقيّد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دليل الأمر بها أو عمومه و لا صلة له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لو لم يكن النهي عنها إلاّ عرضاً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4051/404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 الإماء،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3001/299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29/241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الوصول و الأمل المعروف بمختصر الحاجبي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و نقل الشيخ الأعظم كلام العضدي في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الطبعة الحجرية</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بالمخالف، القائل بالمفهوم</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4031/402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التبصرة في أُصول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كان الإنسان ناطقاً، فالحمار ناهق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لوجود الملازمة الاتّفاقية و إن لم يكن بين الحكمين، رابطة علّية أو معلولية</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قد ذكرنا في أوائل مبحث الأوامر انّه إذا دارت صيغة الأمر بين النفسي و الغيري يحمل على الغيري بالبيان المذكور في محله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3/341</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3/140</w:t>
      </w:r>
      <w:r>
        <w:rPr>
          <w:rFonts w:ascii="IRNazanin" w:hAnsi="IRNazanin" w:eastAsia="IRNazanin"/>
          <w:b w:val="false"/>
          <w:b w:val="false"/>
          <w:bCs w:val="false"/>
          <w:i w:val="false"/>
          <w:i w:val="false"/>
          <w:iCs w:val="false"/>
          <w:color w:val="333333"/>
          <w:sz w:val="20"/>
          <w:sz w:val="20"/>
          <w:szCs w:val="20"/>
          <w:rtl w:val="true"/>
        </w:rPr>
        <w:t>، كتاب المزارعة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الصيد و الذباحة،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القاعدة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للكاظمي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4881/487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4251/424</w:t>
      </w:r>
      <w:r>
        <w:rPr>
          <w:rFonts w:ascii="IRNazanin" w:hAnsi="IRNazanin" w:eastAsia="IRNazanin"/>
          <w:b w:val="false"/>
          <w:b w:val="false"/>
          <w:bCs w:val="false"/>
          <w:i w:val="false"/>
          <w:i w:val="false"/>
          <w:iCs w:val="false"/>
          <w:color w:val="333333"/>
          <w:sz w:val="20"/>
          <w:sz w:val="20"/>
          <w:szCs w:val="20"/>
          <w:rtl w:val="true"/>
        </w:rPr>
        <w:t>، قسم التعليقة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المسافر،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الوجه هو الذي ذكره المحقّق الخراساني بعنوان ثالث الوجوه، و كان الأولى أن يذكره بعد الأول كما فعلناه و أمّا ما ذكره بصورة الوجه الثاني، فهو دليل القائل بعدم التداخل، لا التداخل فقد أدخل في ضمن بيان دليل القائل بالتداخل، دليل القائل بعدمه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المطارح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في أوائل الهداية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3191/318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الخلل الواقع في الصلاة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باب أحكام السهو و الشكّ في الصلاة</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أورد شيخنا الأُستاذ مدّ ظلّه في الدورة السابقة على التفصيل الذي عليه الحلّي ما هذا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ذا يريد الفخر من الوحدة، فهل يريد الوحدة النوعية كتكرر الوطء فهو و إن كان صحيحاً لكن المؤثّر هو الأفراد و المفروض انّها متعددة، و إن أراد انّ الوحدة الحقيقية فهي غير صحيحة حسب المفروض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أفاده في الدورة السابقة و لكنّه مدّ ظلّه أفاد في هذه الدورة الرابعة بأنّ ما ذكرناه سابقاً و إن كان صحيحاً، لكن ليس له و لا لما في المطارح و الكفاية من الإشكال على الفخر، صلة بكلامه فانّ كلامه يدور حول وجود الإطلاق في المتحد دون المختلف، و مقتضى الإطلاق في الأوّل هو الاقتصار على المرّة بخلاف الثاني فترديد كلامه بين الوحدة النوعية أو الشخصية، أجنبي عن مرامه، فلاحظ</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هذا الجزء،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 لم نعثر على أصل الدليل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لكن 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15/447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3/236</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طهارة الماء،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هداية المسترشدين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3962/392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معمر بن مثنى المعروف بأبي عبيدة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عام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أُستاذ أبي عبيد سلام بن قاسم مؤلف كتاب الأموال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سنة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بصري لا كوفي، فما في القوانين انّه كوفي غير صحيح</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كتاب الدين،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ط الهند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4981/497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1405/137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1/437</w:t>
      </w:r>
      <w:r>
        <w:rPr>
          <w:rFonts w:ascii="IRNazanin" w:hAnsi="IRNazanin" w:eastAsia="IRNazanin"/>
          <w:b w:val="false"/>
          <w:b w:val="false"/>
          <w:bCs w:val="false"/>
          <w:i w:val="false"/>
          <w:i w:val="false"/>
          <w:iCs w:val="false"/>
          <w:color w:val="333333"/>
          <w:sz w:val="20"/>
          <w:sz w:val="20"/>
          <w:szCs w:val="20"/>
          <w:rtl w:val="true"/>
        </w:rPr>
        <w:t>، قسم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1395/137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كليب رهط جرير الذي هجاه الفرزدق بشعره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نهشل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مجاشع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أبناء دارم رهط الفرزدق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فالشاعر يفتخر بآبائه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المغني، باب الحروف، حرف حتّى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محكوماً بشخص الحكم لكن من المحتمل أن يكون محكوماً بسنخه كما يحتمل أن لا يكون كذلك</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الركوع،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2281/227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للعلاّمة الطباطبائي</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الذمار كلّ ما يلزمك حمايته و حفظه و الدفع عنه</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 و إيضاح</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باب الحروف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حرف بل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التكفين،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التسليم،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يمسك عنه الصائم،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الخلوة،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الجنابة،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10/174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صلاة الجمعة،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الكفن،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إرشاد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4591/458</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قوانين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بيانه في الفصل القادم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الطبعة الحجرية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ط جماعة المدرسين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و لاحظ تشريح الأُصول للمحقّق النهاوندي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3431/342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4451/444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 بخروجه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5391/536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كتاب النكاح، المسألة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طبعة رحمة اللّه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يأتي في هذا الفصل، و إن كان ذيلاً و متمّماً لمباحث الفصل السابق، لكن فصلناه عن السابق لتسهيل الأمر على القارئ، فإنّ الإطناب ربما يوجب الملَل</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الحاشية على تهذيب المنطق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ط مؤسسة النشر الإسلامي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صفحة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رسالة اللباس المشكوك لنفس المحقّق، و هذه الرسالة أسبق نشراً من الكتابين السابقين فقد أطال الكلام فيها في حجّية أصل العدم الأزلي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تعاليق 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3365/332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لأخذ القدرة، إذ الأحكام كلّها مقيّدة بالقدرة</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النذر،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المواقيت،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من يصحّ منه الصوم،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أنّ قضية إرادة العموم لغير الحاضرين ممّا وقع تلو أداة النداء، هو استعمال ما وضع للخطاب في غير الخطاب الحقيقي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مشتمل على ضمائر أوجد التعقيد في كلامه فبدّلنا الضمائر بالمراجع</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لم يكونوا مختصّين بخصوص عنوان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3631/362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بتوضيح و تلخيص منّا</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موانع الإرث،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الذريعة إلى أُصول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للوقوف على الآراء كتاب 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كليات في علم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لاحظ الحديث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غيرهما</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القاضي،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أيضاً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 التكوين، الاصحاح التاسع،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 منّا</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3/230</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 xml:space="preserve">، باب الدعاء يرد البلاء و القضاء،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11413/112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2741/273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7/121</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Pr>
        <w:t>4/172</w:t>
      </w:r>
      <w:r>
        <w:rPr>
          <w:rFonts w:ascii="IRNazanin" w:hAnsi="IRNazanin" w:eastAsia="IRNazanin"/>
          <w:b w:val="false"/>
          <w:b w:val="false"/>
          <w:bCs w:val="false"/>
          <w:i w:val="false"/>
          <w:i w:val="false"/>
          <w:iCs w:val="false"/>
          <w:color w:val="333333"/>
          <w:sz w:val="20"/>
          <w:sz w:val="20"/>
          <w:szCs w:val="20"/>
          <w:rtl w:val="true"/>
        </w:rPr>
        <w:t>، كتاب الأنبياء، باب حديث أبرص و أعمى و أقرع في بني إسرائيل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العضدي على مختصر ابن الحاجب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القوانين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 لزين الدين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يطلق العرض على مثل البياض و العرضي على مثل الأبيض، غير أنّ المحقّق الخراساني أطلق الأعراض و أراد به الأعراض المتأصلة و أطلق العرضيات و أراد به الأُمور الاعتبارية حسب ما فسّره المحقّق المحشي</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المنظومة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حرّرناه من محاضرات شيخنا الأُستاذ مدّ ظله في هذا المضمار في مبحث المشتق في الجزء الأوّل،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قسم التعليق طبعة عبد الرحيم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عقيل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الكافية للاسترآبادي</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شرح ابن عقيل الحمداني المصري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المحاضرات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لباس المصلي</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2031/202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3971/395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مادة بين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13711/136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393/32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الإتقان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هذه النظرية خيرة ابن تيمية و من تبعه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الجرح و التعديل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ط الهند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مادّة أول</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مادّة أول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البرهان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ascii="IRNazanin" w:hAnsi="IRNazanin" w:eastAsia="IRNazanin"/>
          <w:b w:val="false"/>
          <w:b w:val="false"/>
          <w:bCs w:val="false"/>
          <w:i w:val="false"/>
          <w:i w:val="false"/>
          <w:iCs w:val="false"/>
          <w:color w:val="333333"/>
          <w:sz w:val="20"/>
          <w:sz w:val="20"/>
          <w:szCs w:val="20"/>
          <w:rtl w:val="true"/>
        </w:rPr>
        <w:t>، المطبوع في حاشية الإصابة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نظرية الإمامة عند الشيعة الاثنا عشرية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لمحمد بن أحمد بن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نفح الطيب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footer" Target="footer719.xml"/><Relationship Id="rId725" Type="http://schemas.openxmlformats.org/officeDocument/2006/relationships/footer" Target="footer720.xml"/><Relationship Id="rId726" Type="http://schemas.openxmlformats.org/officeDocument/2006/relationships/footer" Target="footer721.xml"/><Relationship Id="rId727" Type="http://schemas.openxmlformats.org/officeDocument/2006/relationships/footer" Target="footer722.xml"/><Relationship Id="rId728" Type="http://schemas.openxmlformats.org/officeDocument/2006/relationships/footer" Target="footer723.xml"/><Relationship Id="rId729" Type="http://schemas.openxmlformats.org/officeDocument/2006/relationships/footer" Target="footer724.xml"/><Relationship Id="rId730" Type="http://schemas.openxmlformats.org/officeDocument/2006/relationships/footer" Target="footer725.xml"/><Relationship Id="rId731" Type="http://schemas.openxmlformats.org/officeDocument/2006/relationships/footer" Target="footer726.xml"/><Relationship Id="rId732" Type="http://schemas.openxmlformats.org/officeDocument/2006/relationships/footer" Target="footer727.xml"/><Relationship Id="rId733" Type="http://schemas.openxmlformats.org/officeDocument/2006/relationships/footer" Target="footer728.xml"/><Relationship Id="rId734" Type="http://schemas.openxmlformats.org/officeDocument/2006/relationships/footer" Target="footer729.xml"/><Relationship Id="rId735" Type="http://schemas.openxmlformats.org/officeDocument/2006/relationships/footer" Target="footer730.xml"/><Relationship Id="rId736" Type="http://schemas.openxmlformats.org/officeDocument/2006/relationships/footer" Target="footer731.xml"/><Relationship Id="rId737" Type="http://schemas.openxmlformats.org/officeDocument/2006/relationships/footer" Target="footer732.xml"/><Relationship Id="rId738" Type="http://schemas.openxmlformats.org/officeDocument/2006/relationships/footer" Target="footer733.xml"/><Relationship Id="rId739" Type="http://schemas.openxmlformats.org/officeDocument/2006/relationships/footer" Target="footer734.xml"/><Relationship Id="rId740" Type="http://schemas.openxmlformats.org/officeDocument/2006/relationships/footer" Target="footer735.xml"/><Relationship Id="rId741" Type="http://schemas.openxmlformats.org/officeDocument/2006/relationships/footer" Target="footer736.xml"/><Relationship Id="rId742" Type="http://schemas.openxmlformats.org/officeDocument/2006/relationships/footer" Target="footer737.xml"/><Relationship Id="rId743" Type="http://schemas.openxmlformats.org/officeDocument/2006/relationships/footer" Target="footer738.xml"/><Relationship Id="rId744" Type="http://schemas.openxmlformats.org/officeDocument/2006/relationships/footer" Target="footer739.xml"/><Relationship Id="rId745" Type="http://schemas.openxmlformats.org/officeDocument/2006/relationships/footer" Target="footer740.xml"/><Relationship Id="rId746" Type="http://schemas.openxmlformats.org/officeDocument/2006/relationships/footer" Target="footer741.xml"/><Relationship Id="rId747" Type="http://schemas.openxmlformats.org/officeDocument/2006/relationships/footer" Target="footer742.xml"/><Relationship Id="rId748" Type="http://schemas.openxmlformats.org/officeDocument/2006/relationships/footer" Target="footer743.xml"/><Relationship Id="rId749" Type="http://schemas.openxmlformats.org/officeDocument/2006/relationships/footer" Target="footer744.xml"/><Relationship Id="rId750" Type="http://schemas.openxmlformats.org/officeDocument/2006/relationships/footer" Target="footer745.xml"/><Relationship Id="rId751" Type="http://schemas.openxmlformats.org/officeDocument/2006/relationships/footer" Target="footer746.xml"/><Relationship Id="rId752" Type="http://schemas.openxmlformats.org/officeDocument/2006/relationships/footer" Target="footer747.xml"/><Relationship Id="rId753" Type="http://schemas.openxmlformats.org/officeDocument/2006/relationships/footer" Target="footer748.xml"/><Relationship Id="rId754" Type="http://schemas.openxmlformats.org/officeDocument/2006/relationships/footer" Target="footer749.xml"/><Relationship Id="rId755" Type="http://schemas.openxmlformats.org/officeDocument/2006/relationships/footer" Target="footer750.xml"/><Relationship Id="rId756" Type="http://schemas.openxmlformats.org/officeDocument/2006/relationships/footer" Target="footer751.xml"/><Relationship Id="rId757" Type="http://schemas.openxmlformats.org/officeDocument/2006/relationships/footer" Target="footer752.xml"/><Relationship Id="rId758" Type="http://schemas.openxmlformats.org/officeDocument/2006/relationships/footer" Target="footer753.xml"/><Relationship Id="rId759" Type="http://schemas.openxmlformats.org/officeDocument/2006/relationships/footer" Target="footer754.xml"/><Relationship Id="rId760" Type="http://schemas.openxmlformats.org/officeDocument/2006/relationships/footer" Target="footer755.xml"/><Relationship Id="rId761" Type="http://schemas.openxmlformats.org/officeDocument/2006/relationships/footer" Target="footer756.xml"/><Relationship Id="rId762" Type="http://schemas.openxmlformats.org/officeDocument/2006/relationships/footer" Target="footer757.xml"/><Relationship Id="rId763" Type="http://schemas.openxmlformats.org/officeDocument/2006/relationships/footer" Target="footer758.xml"/><Relationship Id="rId764" Type="http://schemas.openxmlformats.org/officeDocument/2006/relationships/footer" Target="footer759.xml"/><Relationship Id="rId765" Type="http://schemas.openxmlformats.org/officeDocument/2006/relationships/footer" Target="footer760.xml"/><Relationship Id="rId766" Type="http://schemas.openxmlformats.org/officeDocument/2006/relationships/footer" Target="footer761.xml"/><Relationship Id="rId767" Type="http://schemas.openxmlformats.org/officeDocument/2006/relationships/footer" Target="footer762.xml"/><Relationship Id="rId768" Type="http://schemas.openxmlformats.org/officeDocument/2006/relationships/footer" Target="footer763.xml"/><Relationship Id="rId769" Type="http://schemas.openxmlformats.org/officeDocument/2006/relationships/footer" Target="footer764.xml"/><Relationship Id="rId770" Type="http://schemas.openxmlformats.org/officeDocument/2006/relationships/image" Target="media/image2.jpeg"/><Relationship Id="rId771" Type="http://schemas.openxmlformats.org/officeDocument/2006/relationships/image" Target="media/image2.jpeg"/><Relationship Id="rId772" Type="http://schemas.openxmlformats.org/officeDocument/2006/relationships/footer" Target="footer765.xml"/><Relationship Id="rId773" Type="http://schemas.openxmlformats.org/officeDocument/2006/relationships/footnotes" Target="footnotes.xml"/><Relationship Id="rId774" Type="http://schemas.openxmlformats.org/officeDocument/2006/relationships/numbering" Target="numbering.xml"/><Relationship Id="rId775" Type="http://schemas.openxmlformats.org/officeDocument/2006/relationships/fontTable" Target="fontTable.xml"/><Relationship Id="rId776" Type="http://schemas.openxmlformats.org/officeDocument/2006/relationships/settings" Target="settings.xml"/><Relationship Id="rId7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781</Pages>
  <Words>45874</Words>
  <Characters>192056</Characters>
  <CharactersWithSpaces>236290</CharactersWithSpaces>
  <Paragraphs>1839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2026-08-28T14:50:12Z</dcterms:created>
  <dc:creator>ghaemiyeh.com</dc:creator>
  <dc:description/>
  <dc:language>en-US</dc:language>
  <cp:lastModifiedBy/>
  <dcterms:modified xsi:type="dcterms:W3CDTF">2026-08-28T18:21:02Z</dcterms:modified>
  <cp:revision>1</cp:revision>
  <dc:subject/>
  <dc:title>ارشاد العقول الی مباحث الاصول جلد 2</dc:title>
</cp:coreProperties>
</file>

<file path=docProps/custom.xml><?xml version="1.0" encoding="utf-8"?>
<Properties xmlns="http://schemas.openxmlformats.org/officeDocument/2006/custom-properties" xmlns:vt="http://schemas.openxmlformats.org/officeDocument/2006/docPropsVTypes"/>
</file>